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2DC" w:rsidRPr="00F95336" w:rsidRDefault="00CD12DC" w:rsidP="008A0F5B">
      <w:pPr>
        <w:pStyle w:val="Ttulo"/>
        <w:spacing w:before="3000" w:after="960"/>
        <w:rPr>
          <w:rFonts w:ascii="Arial Narrow" w:hAnsi="Arial Narrow"/>
        </w:rPr>
      </w:pPr>
      <w:r w:rsidRPr="00F95336">
        <w:rPr>
          <w:rFonts w:ascii="Arial Narrow" w:hAnsi="Arial Narrow"/>
        </w:rPr>
        <w:t>Parte 3</w:t>
      </w:r>
      <w:r w:rsidRPr="00F95336">
        <w:rPr>
          <w:rFonts w:ascii="Arial Narrow" w:hAnsi="Arial Narrow"/>
        </w:rPr>
        <w:br/>
        <w:t>CONVERGÊNCIAS ENTRE A DIREITA RADICAL</w:t>
      </w:r>
      <w:r w:rsidRPr="00F95336">
        <w:rPr>
          <w:rFonts w:ascii="Arial Narrow" w:hAnsi="Arial Narrow"/>
        </w:rPr>
        <w:br/>
        <w:t xml:space="preserve">E A ESQUERDA </w:t>
      </w:r>
      <w:r>
        <w:rPr>
          <w:rFonts w:ascii="Arial Narrow" w:hAnsi="Arial Narrow"/>
        </w:rPr>
        <w:t>SOCIAL</w:t>
      </w:r>
    </w:p>
    <w:p w:rsidR="00CD12DC" w:rsidRPr="00F95336" w:rsidRDefault="00CD12DC" w:rsidP="00CD12DC">
      <w:pPr>
        <w:pStyle w:val="Ttulo"/>
        <w:spacing w:before="0" w:after="960"/>
        <w:rPr>
          <w:rFonts w:ascii="Arial Narrow" w:hAnsi="Arial Narrow"/>
        </w:rPr>
      </w:pPr>
      <w:r w:rsidRPr="00F95336">
        <w:rPr>
          <w:rFonts w:ascii="Arial Narrow" w:hAnsi="Arial Narrow"/>
        </w:rPr>
        <w:br w:type="page"/>
      </w:r>
      <w:r w:rsidRPr="00F95336">
        <w:rPr>
          <w:rFonts w:ascii="Arial Narrow" w:hAnsi="Arial Narrow"/>
        </w:rPr>
        <w:lastRenderedPageBreak/>
        <w:t>Capítulo 1</w:t>
      </w:r>
      <w:r w:rsidRPr="00F95336">
        <w:rPr>
          <w:rFonts w:ascii="Arial Narrow" w:hAnsi="Arial Narrow"/>
        </w:rPr>
        <w:br/>
        <w:t>A «NAÇÃO PROLETÁRIA»</w:t>
      </w:r>
    </w:p>
    <w:p w:rsidR="00CD12DC" w:rsidRPr="00F95336" w:rsidRDefault="00CD12DC" w:rsidP="0027740E">
      <w:pPr>
        <w:pStyle w:val="Corpodetexto2"/>
        <w:jc w:val="center"/>
        <w:rPr>
          <w:rFonts w:ascii="Arial Narrow" w:hAnsi="Arial Narrow"/>
        </w:rPr>
      </w:pPr>
      <w:r w:rsidRPr="00F95336">
        <w:rPr>
          <w:rFonts w:ascii="Arial Narrow" w:hAnsi="Arial Narrow"/>
        </w:rPr>
        <w:t>1. O marxismo entre o racionali</w:t>
      </w:r>
      <w:r w:rsidR="00A15488">
        <w:rPr>
          <w:rFonts w:ascii="Arial Narrow" w:hAnsi="Arial Narrow"/>
        </w:rPr>
        <w:t>smo da burguesia revolucionária</w:t>
      </w:r>
      <w:r w:rsidR="00A15488">
        <w:rPr>
          <w:rFonts w:ascii="Arial Narrow" w:hAnsi="Arial Narrow"/>
        </w:rPr>
        <w:br/>
      </w:r>
      <w:r w:rsidRPr="00F95336">
        <w:rPr>
          <w:rFonts w:ascii="Arial Narrow" w:hAnsi="Arial Narrow"/>
        </w:rPr>
        <w:t>e o irracionalismo dos românticos contra-revolucionários</w:t>
      </w:r>
    </w:p>
    <w:p w:rsidR="00CD12DC" w:rsidRPr="00F95336" w:rsidRDefault="00CD12DC" w:rsidP="00CD12DC">
      <w:pPr>
        <w:rPr>
          <w:rFonts w:ascii="Arial Narrow" w:hAnsi="Arial Narrow"/>
        </w:rPr>
      </w:pPr>
      <w:r w:rsidRPr="00F95336">
        <w:rPr>
          <w:rFonts w:ascii="Arial Narrow" w:hAnsi="Arial Narrow"/>
        </w:rPr>
        <w:t>Na génese da cultura capitalista Karl Mannheim discerniu uma articulação entre a corrente principal, constituída pelo pensamento abstracto, racionalista e quantificador, típico da burguesia, e outra corrente, ao mesmo tempo oposta e complementar, de feição conservadora, que restaurou os temas arcaicos do irracionalismo e renovou a visão tradicional da realidade, concreta e qualitativa. A ideologia conservadora desenvolveu-se a partir das camadas sociais que haviam sido excluídas pelo processo de racionalização capitalista, ou pelo menos que não haviam tomado parte activa em tal processo. Foi neste meio que continuou a vigorar uma concepção concreta e orgânica da situação humana, recusando a operação fundamental do racionalismo</w:t>
      </w:r>
      <w:r w:rsidR="002B2473">
        <w:rPr>
          <w:rFonts w:ascii="Arial Narrow" w:hAnsi="Arial Narrow"/>
        </w:rPr>
        <w:t xml:space="preserve"> burguês</w:t>
      </w:r>
      <w:r w:rsidRPr="00F95336">
        <w:rPr>
          <w:rFonts w:ascii="Arial Narrow" w:hAnsi="Arial Narrow"/>
        </w:rPr>
        <w:t xml:space="preserve">, que consiste em desestruturar as relações e </w:t>
      </w:r>
      <w:r w:rsidR="002B2473">
        <w:rPr>
          <w:rFonts w:ascii="Arial Narrow" w:hAnsi="Arial Narrow"/>
        </w:rPr>
        <w:t>particularizar</w:t>
      </w:r>
      <w:r w:rsidRPr="00F95336">
        <w:rPr>
          <w:rFonts w:ascii="Arial Narrow" w:hAnsi="Arial Narrow"/>
        </w:rPr>
        <w:t xml:space="preserve"> os indivíduos, reduzindo-os a entidades jurídicas abstractas e mutuamente equivalentes. «A importância sociológica do romantismo consiste no êxito com que, enquanto reacção anti-iluminista de um pensamento baseado na experiência [...], conseguiu elaborar num nível consciente formas e conteúdos de vida arcaicos e em declínio, e usá-los em oposição ao estilo racionalista de pensamento. O romantismo deu continuidade precisamente àquelas atitudes e esferas de vida que sobreviviam subterraneamente e de maneira apenas residual, e que o racionalismo burguês ameaçava de extinção». O mero facto, porém, de renovar as tradições num plano de oposição consciente à razão teve como consequência que o pensamento romântico se deixou infiltrar por aquele mesmo iluminismo ao qual se opunha, de maneira que o irracionalismo tornou-se objecto de reflexão, passando a ser encarado numa perspectiva racional. Contrariamente às suas aspirações ideológicas, o conservadorismo romântico acabou por ampliar o campo da razão, incluindo nele métodos de conhecimento e conteúdos que escapavam completamente ao racionalismo burguês</w:t>
      </w:r>
      <w:r w:rsidRPr="00F95336">
        <w:rPr>
          <w:rStyle w:val="Refdenotaderodap"/>
          <w:rFonts w:ascii="Arial Narrow" w:hAnsi="Arial Narrow"/>
        </w:rPr>
        <w:footnoteReference w:id="1"/>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lastRenderedPageBreak/>
        <w:t xml:space="preserve">O especial interesse destas observações de Mannheim começa no momento em que nos mostra a classe trabalhadora a buscar inspiração para a sua crítica revolucionária ao capitalismo no universo ideológico do romantismo, que constituíra até então, embora do outro lado do espectro político, a única corrente de pensamento hostil ao mundo burguês. O quadro de interferências é complexo. As forças sociais que sustentavam o conservadorismo romântico, ou entre as quais ele encontrava eco, tinham origem no mundo pré-capitalista e apareciam por isso como representantes da tradição, contra o progresso. Mas o proletariado é um produto social do capitalismo, sem vínculos anteriores nem outras raízes históricas que não sejam as do progresso. Por isso as formas de pensamento da classe trabalhadora não excluem o racionalismo. Seguindo neste aspecto os ensinamentos de Max Weber, que considerava a burocratização como a operacionalidade da razão, em virtude da sua capacidade de reduzir os casos particulares a expressões de uma norma geral, Mannheim viu na tendência para a burocratização das revoltas operárias a garantia da extrema racionalidade desta classe social. Porém, o anticapitalismo revolucionário dos trabalhadores sofreu </w:t>
      </w:r>
      <w:r>
        <w:rPr>
          <w:rFonts w:ascii="Arial Narrow" w:hAnsi="Arial Narrow"/>
        </w:rPr>
        <w:t xml:space="preserve">também </w:t>
      </w:r>
      <w:r w:rsidRPr="00F95336">
        <w:rPr>
          <w:rFonts w:ascii="Arial Narrow" w:hAnsi="Arial Narrow"/>
        </w:rPr>
        <w:t>a influência do outro extremo e integrou nas suas preocupações próprias não o conteúdo ideológico, mas as formas de pensamento desenvolvidas pelo anticapitalismo contra-revolucionário dos românticos</w:t>
      </w:r>
      <w:r w:rsidRPr="00F95336">
        <w:rPr>
          <w:rStyle w:val="Refdenotaderodap"/>
          <w:rFonts w:ascii="Arial Narrow" w:hAnsi="Arial Narrow"/>
        </w:rPr>
        <w:footnoteReference w:id="2"/>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Nesta conjugação entre um racionalismo pós-burguês e um irracionalismo pré-capitalista residia para Mannheim a especificidade do pensamento proletário. A estigmatização do carácter abstracto das relações humanas no capitalismo, que seria depois indispensável para o desenvolvimento da crítica à alienação e aos mecanismos da exploração, foi na sua origem elaborada no campo conservador</w:t>
      </w:r>
      <w:r w:rsidRPr="00F95336">
        <w:rPr>
          <w:rStyle w:val="Refdenotaderodap"/>
          <w:rFonts w:ascii="Arial Narrow" w:hAnsi="Arial Narrow"/>
        </w:rPr>
        <w:footnoteReference w:id="3"/>
      </w:r>
      <w:r w:rsidRPr="00F95336">
        <w:rPr>
          <w:rFonts w:ascii="Arial Narrow" w:hAnsi="Arial Narrow"/>
        </w:rPr>
        <w:t xml:space="preserve">. Mas a inspiração emanada da direita antijacobina influenciou sobretudo o operariado radical, atingindo-o no âmago do dinamismo revolucionário. «Enquanto se mantém numa atitude de oposição, a racionalização proletária não pode prescindir do elemento irracional que é necessário para qualquer “acção”». A burguesia </w:t>
      </w:r>
      <w:r>
        <w:rPr>
          <w:rFonts w:ascii="Arial Narrow" w:hAnsi="Arial Narrow"/>
        </w:rPr>
        <w:t xml:space="preserve">comporta-se de acordo com </w:t>
      </w:r>
      <w:r w:rsidRPr="00F95336">
        <w:rPr>
          <w:rFonts w:ascii="Arial Narrow" w:hAnsi="Arial Narrow"/>
        </w:rPr>
        <w:t xml:space="preserve">critérios de sucesso estritamente racionais, que minimizam o risco, enquanto os trabalhadores, pelo contrário, conduzem as lutas pelo desejo revolucionário, com todos os perigos inerentes, sem procurarem guiar-se por estimativas prévias de êxito seguro. «[...] o factor indeterminado do ímpeto revolucionário faz com que seja impossível calcular as probabilidades de vitória ou de derrota. É aqui que se torna mais evidente a abertura da “experiência proletária” ao irracional, devida ao lugar social que ocupa. Ela relaciona-se com a feição revolucionária do irracional, com o seu elemento milenarista primitivo. É também nesta relação que mais </w:t>
      </w:r>
      <w:r w:rsidRPr="00F95336">
        <w:rPr>
          <w:rFonts w:ascii="Arial Narrow" w:hAnsi="Arial Narrow"/>
        </w:rPr>
        <w:lastRenderedPageBreak/>
        <w:t>exactamente se pode definir a sua afinidade interior com aquilo que é contra-revolucionário»</w:t>
      </w:r>
      <w:r w:rsidRPr="00F95336">
        <w:rPr>
          <w:rStyle w:val="Refdenotaderodap"/>
          <w:rFonts w:ascii="Arial Narrow" w:hAnsi="Arial Narrow"/>
        </w:rPr>
        <w:footnoteReference w:id="4"/>
      </w:r>
      <w:r w:rsidRPr="00F95336">
        <w:rPr>
          <w:rFonts w:ascii="Arial Narrow" w:hAnsi="Arial Narrow"/>
        </w:rPr>
        <w:t xml:space="preserve">. Em suma </w:t>
      </w:r>
      <w:r w:rsidR="00A607F2">
        <w:rPr>
          <w:rFonts w:ascii="Arial Narrow" w:hAnsi="Arial Narrow"/>
        </w:rPr>
        <w:t>—</w:t>
      </w:r>
      <w:r w:rsidRPr="00F95336">
        <w:rPr>
          <w:rFonts w:ascii="Arial Narrow" w:hAnsi="Arial Narrow"/>
        </w:rPr>
        <w:t xml:space="preserve"> e temos aqui o traço mais significativo da tese defendida por Mannheim </w:t>
      </w:r>
      <w:r w:rsidR="00A607F2">
        <w:rPr>
          <w:rFonts w:ascii="Arial Narrow" w:hAnsi="Arial Narrow"/>
        </w:rPr>
        <w:t>—</w:t>
      </w:r>
      <w:r w:rsidRPr="00F95336">
        <w:rPr>
          <w:rFonts w:ascii="Arial Narrow" w:hAnsi="Arial Narrow"/>
        </w:rPr>
        <w:t xml:space="preserve"> não foi na sua vertente moderada e reformista que o movimento operário absorveu as inspirações ideológicas do romantismo conservador, mas na sua projecção radical. Parece que só através de formas de pensamento de conotação irracionalista consegue a acção revolucionária ultrapassar os limites da racionalidade burguesa e abrir os horizontes do impossível. </w:t>
      </w:r>
    </w:p>
    <w:p w:rsidR="00CD12DC" w:rsidRPr="00F95336" w:rsidRDefault="00CD12DC" w:rsidP="00CD12DC">
      <w:pPr>
        <w:rPr>
          <w:rFonts w:ascii="Arial Narrow" w:hAnsi="Arial Narrow"/>
        </w:rPr>
      </w:pPr>
      <w:r w:rsidRPr="00F95336">
        <w:rPr>
          <w:rFonts w:ascii="Arial Narrow" w:hAnsi="Arial Narrow"/>
        </w:rPr>
        <w:t>Nesta perspectiva Mannheim situ</w:t>
      </w:r>
      <w:r>
        <w:rPr>
          <w:rFonts w:ascii="Arial Narrow" w:hAnsi="Arial Narrow"/>
        </w:rPr>
        <w:t>ou</w:t>
      </w:r>
      <w:r w:rsidRPr="00F95336">
        <w:rPr>
          <w:rFonts w:ascii="Arial Narrow" w:hAnsi="Arial Narrow"/>
        </w:rPr>
        <w:t xml:space="preserve"> no quadro da crítica romântica à razão a origem do modelo lógico prevalecente nas organizações radicais do movimento operário, a dialéctica marxista, de raízes hegelianas. Mannheim consider</w:t>
      </w:r>
      <w:r>
        <w:rPr>
          <w:rFonts w:ascii="Arial Narrow" w:hAnsi="Arial Narrow"/>
        </w:rPr>
        <w:t>ou</w:t>
      </w:r>
      <w:r w:rsidRPr="00F95336">
        <w:rPr>
          <w:rFonts w:ascii="Arial Narrow" w:hAnsi="Arial Narrow"/>
        </w:rPr>
        <w:t xml:space="preserve"> que a modalidade mais primitiva de crítica ao racionalismo dedutivo, em nome da apologia da vida concreta, consistira na proclamação da pobreza da palavra escrita perante o carácter infinitamente multifacetado da realidade. A partir desta oposição entre o estabelecimento de uma norma geral e abstracta e o ser concreto no seu processo, o romantismo germânico procurara </w:t>
      </w:r>
      <w:r>
        <w:rPr>
          <w:rFonts w:ascii="Arial Narrow" w:hAnsi="Arial Narrow"/>
        </w:rPr>
        <w:t>adoptar</w:t>
      </w:r>
      <w:r w:rsidRPr="00F95336">
        <w:rPr>
          <w:rFonts w:ascii="Arial Narrow" w:hAnsi="Arial Narrow"/>
        </w:rPr>
        <w:t xml:space="preserve"> uma forma de pensamento que reproduzisse directamente a corrente vital, acompanhando a natureza e a realidade social no seu desenvolvimento progressivo e na qualidade inesgotável dos seus aspectos sempre particulares. Enquanto o racionalismo começara por tornar abstracto o presente para lhe conferir em seguida um valor inteiramente genérico e intemporal, o irracionalismo romântico pretendera localizar o pensamento no desdobrar do tempo real, de tal maneira que a génese de ambos tivesse de ser comum. Assim, a crítica à razão jacobina prosseguira em duas vertentes, </w:t>
      </w:r>
      <w:r w:rsidR="006F038A">
        <w:rPr>
          <w:rFonts w:ascii="Arial Narrow" w:hAnsi="Arial Narrow"/>
        </w:rPr>
        <w:t xml:space="preserve">simultaneamente </w:t>
      </w:r>
      <w:r w:rsidRPr="00F95336">
        <w:rPr>
          <w:rFonts w:ascii="Arial Narrow" w:hAnsi="Arial Narrow"/>
        </w:rPr>
        <w:t xml:space="preserve">contra o seu carácter estático e contra as suas ambições generalizadoras, na aspiração de conseguir um pensamento tão multímodo e fluido como a própria vida. </w:t>
      </w:r>
    </w:p>
    <w:p w:rsidR="00CD12DC" w:rsidRPr="00F95336" w:rsidRDefault="00CD12DC" w:rsidP="00CD12DC">
      <w:pPr>
        <w:rPr>
          <w:rFonts w:ascii="Arial Narrow" w:hAnsi="Arial Narrow"/>
        </w:rPr>
      </w:pPr>
      <w:r w:rsidRPr="00F95336">
        <w:rPr>
          <w:rFonts w:ascii="Arial Narrow" w:hAnsi="Arial Narrow"/>
        </w:rPr>
        <w:t xml:space="preserve">A partir daqui fora possível </w:t>
      </w:r>
      <w:r w:rsidRPr="00E62C48">
        <w:rPr>
          <w:rFonts w:ascii="Arial Narrow" w:hAnsi="Arial Narrow"/>
        </w:rPr>
        <w:t xml:space="preserve">até </w:t>
      </w:r>
      <w:r w:rsidRPr="00F95336">
        <w:rPr>
          <w:rFonts w:ascii="Arial Narrow" w:hAnsi="Arial Narrow"/>
        </w:rPr>
        <w:t xml:space="preserve">rejeitar o pensamento e apelar para o irracional, e muitos românticos o haviam feito. Mas </w:t>
      </w:r>
      <w:r w:rsidRPr="00E62C48">
        <w:rPr>
          <w:rFonts w:ascii="Arial Narrow" w:hAnsi="Arial Narrow"/>
        </w:rPr>
        <w:t xml:space="preserve">também </w:t>
      </w:r>
      <w:r w:rsidRPr="00F95336">
        <w:rPr>
          <w:rFonts w:ascii="Arial Narrow" w:hAnsi="Arial Narrow"/>
        </w:rPr>
        <w:t xml:space="preserve">fora possível desenvolver formas de pensamento que se pretendessem dinâmicas, tal como a vida. Com este objectivo Adam Müller postulou a existência de uma antítese entre o conceito, que é rígido, estático e genérico, e a ideia, fluida e susceptível de desenvolvimento como a realidade, permitindo o pensamento dinâmico. O carácter móvel do processo </w:t>
      </w:r>
      <w:r>
        <w:rPr>
          <w:rFonts w:ascii="Arial Narrow" w:hAnsi="Arial Narrow"/>
        </w:rPr>
        <w:t xml:space="preserve">mental </w:t>
      </w:r>
      <w:r w:rsidRPr="00F95336">
        <w:rPr>
          <w:rFonts w:ascii="Arial Narrow" w:hAnsi="Arial Narrow"/>
        </w:rPr>
        <w:t xml:space="preserve">era assegurado pela transmutação de todas as posições intelectuais em antíteses, de maneira a dissolver a rigidez do racionalismo, que operava sempre mediante deduções lineares a partir de princípios únicos. </w:t>
      </w:r>
      <w:r>
        <w:rPr>
          <w:rFonts w:ascii="Arial Narrow" w:hAnsi="Arial Narrow"/>
        </w:rPr>
        <w:t xml:space="preserve">Estas noções de Adam Müller encontraram aceitação nas correntes mais extremas da opinião conservadora, e </w:t>
      </w:r>
      <w:r w:rsidRPr="00F95336">
        <w:rPr>
          <w:rFonts w:ascii="Arial Narrow" w:hAnsi="Arial Narrow"/>
        </w:rPr>
        <w:t xml:space="preserve">Bergson copiaria mais tarde a divisão entre conceito e ideia, reproduzindo-a quando distinguiu o intelecto, capaz apenas de conceber o descontínuo e o imóvel, e a intuição, única capaz de conhecer a vida. Mas Bergson levou o irracionalismo a extremos insuspeitados por Müller, ao pretender que a génese do </w:t>
      </w:r>
      <w:r w:rsidRPr="00F95336">
        <w:rPr>
          <w:rFonts w:ascii="Arial Narrow" w:hAnsi="Arial Narrow"/>
        </w:rPr>
        <w:lastRenderedPageBreak/>
        <w:t>intelecto e a génese dos corpos materiais estariam em relação recíproca a partir de uma origem única, como se os sólidos tivessem sido criados para que o intelecto pudesse exercitar</w:t>
      </w:r>
      <w:r w:rsidR="00A607F2">
        <w:rPr>
          <w:rFonts w:ascii="Arial Narrow" w:hAnsi="Arial Narrow"/>
        </w:rPr>
        <w:t>-se</w:t>
      </w:r>
      <w:r w:rsidRPr="00F95336">
        <w:rPr>
          <w:rFonts w:ascii="Arial Narrow" w:hAnsi="Arial Narrow"/>
        </w:rPr>
        <w:t>.</w:t>
      </w:r>
      <w:r>
        <w:rPr>
          <w:rFonts w:ascii="Arial Narrow" w:hAnsi="Arial Narrow"/>
        </w:rPr>
        <w:t xml:space="preserve"> Também outra das sumidades do conservadorismo, Oswald Spengler, sofreu a influência da problemática inaugurada por Müller, e um dos eixos da sua obra maior, </w:t>
      </w:r>
      <w:r w:rsidRPr="006B2C59">
        <w:rPr>
          <w:rFonts w:ascii="Arial Narrow" w:hAnsi="Arial Narrow"/>
          <w:i/>
        </w:rPr>
        <w:t>A Decadência do Ocidente,</w:t>
      </w:r>
      <w:r>
        <w:rPr>
          <w:rFonts w:ascii="Arial Narrow" w:hAnsi="Arial Narrow"/>
        </w:rPr>
        <w:t xml:space="preserve"> consiste na distinção entre o processo vivo e os resultados mortos, apreensíveis pelo intelecto e pelo conhecimento. Desta distinção decorria directamente o antagonismo entre cultura e civilização, central no pensamento spengleriano. «O devir “não tem números”», escreveu Spengler numa passagem que parece decalcada de Adam Müller, pois também ele desprezara as cifras. «Só o que carece de vida </w:t>
      </w:r>
      <w:r w:rsidR="00A607F2">
        <w:t>—</w:t>
      </w:r>
      <w:r>
        <w:rPr>
          <w:rFonts w:ascii="Arial Narrow" w:hAnsi="Arial Narrow"/>
        </w:rPr>
        <w:t xml:space="preserve"> ou o vivo, se se prescindir da sua vida </w:t>
      </w:r>
      <w:r w:rsidR="00A607F2">
        <w:t>—</w:t>
      </w:r>
      <w:r>
        <w:rPr>
          <w:rFonts w:ascii="Arial Narrow" w:hAnsi="Arial Narrow"/>
        </w:rPr>
        <w:t xml:space="preserve"> pode ser contado, medido, analisado. O devir puro, a vida, é, nesta acepção, ilimitada e transcende o nexo causal, a lei e a medida»</w:t>
      </w:r>
      <w:r>
        <w:rPr>
          <w:rStyle w:val="Refdenotaderodap"/>
          <w:rFonts w:ascii="Arial Narrow" w:hAnsi="Arial Narrow"/>
        </w:rPr>
        <w:footnoteReference w:id="5"/>
      </w:r>
      <w:r>
        <w:rPr>
          <w:rFonts w:ascii="Arial Narrow" w:hAnsi="Arial Narrow"/>
        </w:rPr>
        <w:t xml:space="preserve">. </w:t>
      </w:r>
      <w:r w:rsidRPr="00F95336">
        <w:rPr>
          <w:rFonts w:ascii="Arial Narrow" w:hAnsi="Arial Narrow"/>
        </w:rPr>
        <w:t>A ideia de progresso era uma das expressões supremas</w:t>
      </w:r>
      <w:r>
        <w:rPr>
          <w:rFonts w:ascii="Arial Narrow" w:hAnsi="Arial Narrow"/>
        </w:rPr>
        <w:t xml:space="preserve"> da </w:t>
      </w:r>
      <w:r w:rsidRPr="00F95336">
        <w:rPr>
          <w:rFonts w:ascii="Arial Narrow" w:hAnsi="Arial Narrow"/>
        </w:rPr>
        <w:t>linearidade</w:t>
      </w:r>
      <w:r>
        <w:rPr>
          <w:rFonts w:ascii="Arial Narrow" w:hAnsi="Arial Narrow"/>
        </w:rPr>
        <w:t xml:space="preserve"> que presidia à </w:t>
      </w:r>
      <w:r w:rsidRPr="00F95336">
        <w:rPr>
          <w:rFonts w:ascii="Arial Narrow" w:hAnsi="Arial Narrow"/>
        </w:rPr>
        <w:t>concepção racionalis</w:t>
      </w:r>
      <w:r>
        <w:rPr>
          <w:rFonts w:ascii="Arial Narrow" w:hAnsi="Arial Narrow"/>
        </w:rPr>
        <w:t>ta</w:t>
      </w:r>
      <w:r w:rsidRPr="00F95336">
        <w:rPr>
          <w:rFonts w:ascii="Arial Narrow" w:hAnsi="Arial Narrow"/>
        </w:rPr>
        <w:t xml:space="preserve"> de desenvolvimento temporal. Pelo contrário, o romantismo, para aproximar o pensamento e a vida, tom</w:t>
      </w:r>
      <w:r>
        <w:rPr>
          <w:rFonts w:ascii="Arial Narrow" w:hAnsi="Arial Narrow"/>
        </w:rPr>
        <w:t>ou</w:t>
      </w:r>
      <w:r w:rsidRPr="00F95336">
        <w:rPr>
          <w:rFonts w:ascii="Arial Narrow" w:hAnsi="Arial Narrow"/>
        </w:rPr>
        <w:t xml:space="preserve"> como ponto de partida mais de uma posição e reflecti</w:t>
      </w:r>
      <w:r>
        <w:rPr>
          <w:rFonts w:ascii="Arial Narrow" w:hAnsi="Arial Narrow"/>
        </w:rPr>
        <w:t>u</w:t>
      </w:r>
      <w:r w:rsidRPr="00F95336">
        <w:rPr>
          <w:rFonts w:ascii="Arial Narrow" w:hAnsi="Arial Narrow"/>
        </w:rPr>
        <w:t xml:space="preserve"> sob a égide de mais de um princípio. Nesta vertente das ideologias conservadoras, a crítica ao racionalismo, sem recusar a sistematicidade da reflexão, expressou-se nos termos de um pensamento dinâmico. E o dinamismo do pensamento só era possível num quadro de antíteses e polaridades. </w:t>
      </w:r>
      <w:r>
        <w:rPr>
          <w:rFonts w:ascii="Arial Narrow" w:hAnsi="Arial Narrow"/>
        </w:rPr>
        <w:t xml:space="preserve">Na </w:t>
      </w:r>
      <w:r w:rsidRPr="00F95336">
        <w:rPr>
          <w:rFonts w:ascii="Arial Narrow" w:hAnsi="Arial Narrow"/>
        </w:rPr>
        <w:t>multiplicidade de elementos inter-relacionados e impossíveis de isolar</w:t>
      </w:r>
      <w:r>
        <w:rPr>
          <w:rFonts w:ascii="Arial Narrow" w:hAnsi="Arial Narrow"/>
        </w:rPr>
        <w:t>,</w:t>
      </w:r>
      <w:r w:rsidRPr="00F95336">
        <w:rPr>
          <w:rFonts w:ascii="Arial Narrow" w:hAnsi="Arial Narrow"/>
        </w:rPr>
        <w:t xml:space="preserve"> o pensamento dinâmico converteu</w:t>
      </w:r>
      <w:r>
        <w:rPr>
          <w:rFonts w:ascii="Arial Narrow" w:hAnsi="Arial Narrow"/>
        </w:rPr>
        <w:t>-</w:t>
      </w:r>
      <w:r w:rsidRPr="00F95336">
        <w:rPr>
          <w:rFonts w:ascii="Arial Narrow" w:hAnsi="Arial Narrow"/>
        </w:rPr>
        <w:t xml:space="preserve">se num pensamento orgânico, pretendendo reproduzir a realidade viva, também ela orgânica e dinâmica, feita de um irrefreável desenvolvimento e de uma infinidade de oposições. </w:t>
      </w:r>
    </w:p>
    <w:p w:rsidR="00CD12DC" w:rsidRPr="00F95336" w:rsidRDefault="00CD12DC" w:rsidP="00CD12DC">
      <w:pPr>
        <w:rPr>
          <w:rFonts w:ascii="Arial Narrow" w:hAnsi="Arial Narrow"/>
        </w:rPr>
      </w:pPr>
      <w:r w:rsidRPr="00F95336">
        <w:rPr>
          <w:rFonts w:ascii="Arial Narrow" w:hAnsi="Arial Narrow"/>
        </w:rPr>
        <w:t xml:space="preserve">De então em diante tornava-se possível que o pensamento, entendido como processo, aspirasse a participar nas mutações da realidade. «O que se exige», indicou Mannheim, «é que o pensamento seja móvel e cresça </w:t>
      </w:r>
      <w:r w:rsidR="009829F0">
        <w:rPr>
          <w:rFonts w:ascii="Arial Narrow" w:hAnsi="Arial Narrow"/>
        </w:rPr>
        <w:t>—</w:t>
      </w:r>
      <w:r w:rsidRPr="00F95336">
        <w:rPr>
          <w:rFonts w:ascii="Arial Narrow" w:hAnsi="Arial Narrow"/>
        </w:rPr>
        <w:t xml:space="preserve"> e isto vai já muito além [...] do simples pensar em termos de polaridades. Já não está apenas implícita a proposta de apreender o objecto através de um oposto igualmente rígido, mas a intenção inovadora de tornar o pensamento tão móvel como a própria vida»</w:t>
      </w:r>
      <w:r>
        <w:rPr>
          <w:rStyle w:val="Refdenotaderodap"/>
          <w:rFonts w:ascii="Arial Narrow" w:hAnsi="Arial Narrow"/>
        </w:rPr>
        <w:footnoteReference w:id="6"/>
      </w:r>
      <w:r w:rsidRPr="00F95336">
        <w:rPr>
          <w:rFonts w:ascii="Arial Narrow" w:hAnsi="Arial Narrow"/>
        </w:rPr>
        <w:t xml:space="preserve">. Activo no seu dinamismo entre termos antitéticos e pólos opostos, o pensamento romântico realizou-se sob a forma da mediação. Para o racionalismo burguês a análise operava-se através do desmembramento e da fragmentação, e a síntese consistia numa adição, onde o particular desaparecia no geral. Para o romantismo era o estabelecimento de oposições dinâmicas entre pólos e entre antíteses que constituía a análise, mantendo-se assim a especificidade de cada factor, e a síntese correspondia ao dinamismo da mediação, que </w:t>
      </w:r>
      <w:r w:rsidRPr="00F95336">
        <w:rPr>
          <w:rFonts w:ascii="Arial Narrow" w:hAnsi="Arial Narrow"/>
        </w:rPr>
        <w:lastRenderedPageBreak/>
        <w:t>congregava os elementos sem nunca lhes retirar o particularismo. Era enquanto mediador que o processo de pensamento podia intervir nos confrontos e tensões constitutivos da realidade. «O dever da pessoa actuante», escreveu Mannheim, «</w:t>
      </w:r>
      <w:r w:rsidRPr="00F95336">
        <w:rPr>
          <w:rFonts w:ascii="Arial Narrow" w:hAnsi="Arial Narrow"/>
          <w:i/>
        </w:rPr>
        <w:t>não</w:t>
      </w:r>
      <w:r w:rsidRPr="00F95336">
        <w:rPr>
          <w:rFonts w:ascii="Arial Narrow" w:hAnsi="Arial Narrow"/>
        </w:rPr>
        <w:t xml:space="preserve"> é assimilar uma dada situação concreta </w:t>
      </w:r>
      <w:r w:rsidRPr="00F95336">
        <w:rPr>
          <w:rFonts w:ascii="Arial Narrow" w:hAnsi="Arial Narrow"/>
          <w:i/>
        </w:rPr>
        <w:t>como um caso particular de uma regra geral ou de um conceito geral,</w:t>
      </w:r>
      <w:r w:rsidRPr="00F95336">
        <w:rPr>
          <w:rFonts w:ascii="Arial Narrow" w:hAnsi="Arial Narrow"/>
        </w:rPr>
        <w:t xml:space="preserve"> mas experimentar as situações, nas suas mudanças permanentes, como um </w:t>
      </w:r>
      <w:r w:rsidRPr="00F95336">
        <w:rPr>
          <w:rFonts w:ascii="Arial Narrow" w:hAnsi="Arial Narrow"/>
          <w:i/>
        </w:rPr>
        <w:t>compromisso</w:t>
      </w:r>
      <w:r w:rsidRPr="00F95336">
        <w:rPr>
          <w:rFonts w:ascii="Arial Narrow" w:hAnsi="Arial Narrow"/>
        </w:rPr>
        <w:t xml:space="preserve"> entre factores em mudança dinâmica [...]»</w:t>
      </w:r>
      <w:r>
        <w:rPr>
          <w:rStyle w:val="Refdenotaderodap"/>
          <w:rFonts w:ascii="Arial Narrow" w:hAnsi="Arial Narrow"/>
        </w:rPr>
        <w:footnoteReference w:id="7"/>
      </w:r>
      <w:r w:rsidRPr="00F95336">
        <w:rPr>
          <w:rFonts w:ascii="Arial Narrow" w:hAnsi="Arial Narrow"/>
        </w:rPr>
        <w:t xml:space="preserve">. Ao assumir a função de mediador o pensamento dinâmico revelou-se caracterizadamente conservador, capaz de conciliar ou equilibrar as forças opostas em soluções ou compromissos sempre instáveis e precários, de maneira que a actividade de mediação devia reproduzir-se sem cessar. Continuando a seguir os passos de Mannheim no seu estudo das ideias de Adam Müller, é interessante observar a este respeito que, enquanto o racionalismo burguês apresentava o Estado como um compromisso definitivo entre as partes contraentes, o romantismo contra-revolucionário considerava-o como uma mediação dinâmica e permanentemente mutável entre várias colectividades em choque recíproco. A vocação mediadora era a força viva do pensamento. </w:t>
      </w:r>
    </w:p>
    <w:p w:rsidR="00CD12DC" w:rsidRPr="00F95336" w:rsidRDefault="00CD12DC" w:rsidP="00CD12DC">
      <w:pPr>
        <w:rPr>
          <w:rFonts w:ascii="Arial Narrow" w:hAnsi="Arial Narrow"/>
        </w:rPr>
      </w:pPr>
      <w:r w:rsidRPr="00F95336">
        <w:rPr>
          <w:rFonts w:ascii="Arial Narrow" w:hAnsi="Arial Narrow"/>
        </w:rPr>
        <w:t>Este tipo de abordagem inspir</w:t>
      </w:r>
      <w:r>
        <w:rPr>
          <w:rFonts w:ascii="Arial Narrow" w:hAnsi="Arial Narrow"/>
        </w:rPr>
        <w:t>ou</w:t>
      </w:r>
      <w:r w:rsidRPr="00F95336">
        <w:rPr>
          <w:rFonts w:ascii="Arial Narrow" w:hAnsi="Arial Narrow"/>
        </w:rPr>
        <w:t>, por um lado, uma corrente ideológica que transferiu o pensamento dinâmico para a actividade interior do sujeito, renovando o ímpeto subjectivo dos místicos e afastando-se, por aí, de qualquer posicionamento político. Mas, por outro lado, o romantismo continuou a suscitar uma reflexão sobre o pensamento entendido como uma actividade dirigida para a realidade exterior e para a história. A noção dialéctica de síntese, tal como Hegel a desenvolveu, proveio directamente daquela concepção de uma mediação mutável entre termos opostos ou antinómicos. E a noção de síntese presidiu a tal ponto às preocupações de Hegel que ele pretendeu ultrapassar a oposição entre o racionalismo jacobino e o irracionalismo contra-revolucionário, sintetizando ambos num estádio superior da razão, que incluísse a componente dinâmica promovida pelos românticos</w:t>
      </w:r>
      <w:r w:rsidRPr="00F95336">
        <w:rPr>
          <w:rStyle w:val="Refdenotaderodap"/>
          <w:rFonts w:ascii="Arial Narrow" w:hAnsi="Arial Narrow"/>
        </w:rPr>
        <w:footnoteReference w:id="8"/>
      </w:r>
      <w:r w:rsidRPr="00F95336">
        <w:rPr>
          <w:rFonts w:ascii="Arial Narrow" w:hAnsi="Arial Narrow"/>
        </w:rPr>
        <w:t xml:space="preserve">. </w:t>
      </w:r>
    </w:p>
    <w:p w:rsidR="00CD12DC" w:rsidRPr="00F95336" w:rsidRDefault="005C634B" w:rsidP="00CD12DC">
      <w:pPr>
        <w:rPr>
          <w:rFonts w:ascii="Arial Narrow" w:hAnsi="Arial Narrow"/>
        </w:rPr>
      </w:pPr>
      <w:r>
        <w:rPr>
          <w:rFonts w:ascii="Arial Narrow" w:hAnsi="Arial Narrow"/>
        </w:rPr>
        <w:t>A</w:t>
      </w:r>
      <w:r w:rsidR="00CD12DC" w:rsidRPr="00F95336">
        <w:rPr>
          <w:rFonts w:ascii="Arial Narrow" w:hAnsi="Arial Narrow"/>
        </w:rPr>
        <w:t>ssim, através da sua tão conhecida filiação hegeliana, a versão marxista da dialéctica surgiu como herdeira de uma concepção dinâmica de pensamento inaugurada pelo romantismo contra-revolucionário. «A ideia de dialéctica [...] parece, à primeira vista, extremamente racionalista, pois representa uma tentativa de impor uma fórmula lógica única à totalidade do processo de desenvolvimento e de sujeitar a totalidade da realidade histórica à dedução racional». No entanto, continu</w:t>
      </w:r>
      <w:r w:rsidR="00CD12DC">
        <w:rPr>
          <w:rFonts w:ascii="Arial Narrow" w:hAnsi="Arial Narrow"/>
        </w:rPr>
        <w:t>ou</w:t>
      </w:r>
      <w:r w:rsidR="00CD12DC" w:rsidRPr="00F95336">
        <w:rPr>
          <w:rFonts w:ascii="Arial Narrow" w:hAnsi="Arial Narrow"/>
        </w:rPr>
        <w:t xml:space="preserve"> Mannheim, esta utilização da razão é de cariz completamente </w:t>
      </w:r>
      <w:r w:rsidR="00CD12DC" w:rsidRPr="00F95336">
        <w:rPr>
          <w:rFonts w:ascii="Arial Narrow" w:hAnsi="Arial Narrow"/>
        </w:rPr>
        <w:lastRenderedPageBreak/>
        <w:t xml:space="preserve">diferente do racionalismo burguês, tal como o vemos aplicado nas ciências da natureza. Tanto o pensamento da burguesia como as formas ideológicas correntes nas organizações operárias reformistas e democráticas são hostis à dialéctica, que representa um tipo de racionalidade visceralmente antiburguês. «Já com Hegel [...] a dialéctica serve para resolver problemas que são, de facto, problemas românticos [...]». Antes de mais, a dialéctica recusa a anulação da especificidade individual que é operada pela razão quantitativa da burguesia. «Enquanto que o carácter único do indivíduo fica perdido em todas as abordagens que têm como objectivo generalizações e leis universais, no pensamento dialéctico o indivíduo faz parte integrante do desenvolvimento único em que consiste a história. A dialéctica propõe-se gerar uma forma de racionalização na qual o racionalismo [...] se transcende a ele próprio. A segunda função de todas as correntes da dialéctica [...] é o esforço por detectar a linha de desenvolvimento </w:t>
      </w:r>
      <w:r w:rsidR="00CD12DC" w:rsidRPr="00F95336">
        <w:rPr>
          <w:rFonts w:ascii="Arial Narrow" w:hAnsi="Arial Narrow"/>
          <w:i/>
        </w:rPr>
        <w:t>interno</w:t>
      </w:r>
      <w:r w:rsidR="00CD12DC" w:rsidRPr="00F95336">
        <w:rPr>
          <w:rFonts w:ascii="Arial Narrow" w:hAnsi="Arial Narrow"/>
        </w:rPr>
        <w:t xml:space="preserve"> de uma esfera cultural. E também isto constitui como que uma racionalização de uma dimensão irracional [...]. Em terceiro lugar, qualquer abordagem dialéctica se esforça por discernir a significação de um processo. Trata-se [...] de uma forma de racionalidade muito dificilmente conciliável com o positivismo “livre de valores” e antimetafísico, orientado para as ciências da natureza». À última hora, todavia </w:t>
      </w:r>
      <w:r w:rsidR="00621E5F">
        <w:rPr>
          <w:rFonts w:ascii="Arial Narrow" w:hAnsi="Arial Narrow"/>
        </w:rPr>
        <w:t>—</w:t>
      </w:r>
      <w:r w:rsidR="00CD12DC" w:rsidRPr="00F95336">
        <w:rPr>
          <w:rFonts w:ascii="Arial Narrow" w:hAnsi="Arial Narrow"/>
        </w:rPr>
        <w:t xml:space="preserve"> e a própria lógica dialéctica justifica este género de inversões </w:t>
      </w:r>
      <w:r w:rsidR="00621E5F">
        <w:rPr>
          <w:rFonts w:ascii="Arial Narrow" w:hAnsi="Arial Narrow"/>
        </w:rPr>
        <w:t>—</w:t>
      </w:r>
      <w:r w:rsidR="00CD12DC" w:rsidRPr="00F95336">
        <w:rPr>
          <w:rFonts w:ascii="Arial Narrow" w:hAnsi="Arial Narrow"/>
        </w:rPr>
        <w:t xml:space="preserve"> Mannheim descobriu uma vocação final de racionalismo no movimento revolucionário anticapitalista. «[...] apesar de tudo</w:t>
      </w:r>
      <w:r w:rsidR="00621E5F">
        <w:rPr>
          <w:rFonts w:ascii="Arial Narrow" w:hAnsi="Arial Narrow"/>
        </w:rPr>
        <w:t>,</w:t>
      </w:r>
      <w:r w:rsidR="00CD12DC" w:rsidRPr="00F95336">
        <w:rPr>
          <w:rFonts w:ascii="Arial Narrow" w:hAnsi="Arial Narrow"/>
        </w:rPr>
        <w:t xml:space="preserve"> a atitude fundamental do [pensamento] “proletário” permanece estritamente racionalista e, na sua tonalidade dominante, está intimamente relacionada com a tendência positivista da filosofia burguesa». </w:t>
      </w:r>
      <w:r>
        <w:rPr>
          <w:rFonts w:ascii="Arial Narrow" w:hAnsi="Arial Narrow"/>
        </w:rPr>
        <w:t>Principalmente</w:t>
      </w:r>
      <w:r w:rsidR="00CD12DC" w:rsidRPr="00F95336">
        <w:rPr>
          <w:rFonts w:ascii="Arial Narrow" w:hAnsi="Arial Narrow"/>
        </w:rPr>
        <w:t>, a hierarquização da estrutura e a definição de um plano socioeconómico determinante representam a adopção da «hierarquia de esferas que gradualmente passou a equivaler à realidade para a consciência burguesa»</w:t>
      </w:r>
      <w:r w:rsidR="00CD12DC" w:rsidRPr="00F95336">
        <w:rPr>
          <w:rStyle w:val="Refdenotaderodap"/>
          <w:rFonts w:ascii="Arial Narrow" w:hAnsi="Arial Narrow"/>
        </w:rPr>
        <w:footnoteReference w:id="9"/>
      </w:r>
      <w:r w:rsidR="00CD12DC"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Outro húngaro escrevendo também em alemão, György Lukács, alicerçou a sua obra de 1952 na concepção de que os limites opostos à razão deviam estimulá-la a alcançar um novo patamar e que este processo de superação </w:t>
      </w:r>
      <w:r w:rsidR="00621E5F">
        <w:rPr>
          <w:rFonts w:ascii="Arial Narrow" w:hAnsi="Arial Narrow"/>
        </w:rPr>
        <w:t>constituía</w:t>
      </w:r>
      <w:r w:rsidRPr="00F95336">
        <w:rPr>
          <w:rFonts w:ascii="Arial Narrow" w:hAnsi="Arial Narrow"/>
        </w:rPr>
        <w:t xml:space="preserve"> a dialéctica. O irracionalismo, pelo contrário, parava perante aqueles limites, convertia-os num absoluto e transformava-os numa pseudo-solução de carácter supra-racional</w:t>
      </w:r>
      <w:r w:rsidRPr="00F95336">
        <w:rPr>
          <w:rStyle w:val="Refdenotaderodap"/>
          <w:rFonts w:ascii="Arial Narrow" w:hAnsi="Arial Narrow"/>
        </w:rPr>
        <w:footnoteReference w:id="10"/>
      </w:r>
      <w:r w:rsidRPr="00F95336">
        <w:rPr>
          <w:rFonts w:ascii="Arial Narrow" w:hAnsi="Arial Narrow"/>
        </w:rPr>
        <w:t xml:space="preserve">. «E se, perante as realidades, o pensamento [...] parar e se demitir? [...] E se ele hipostasiar a inaptidão de dados conceitos </w:t>
      </w:r>
      <w:r w:rsidRPr="00F95336">
        <w:rPr>
          <w:rFonts w:ascii="Arial Narrow" w:hAnsi="Arial Narrow"/>
          <w:i/>
        </w:rPr>
        <w:t>específicos</w:t>
      </w:r>
      <w:r w:rsidRPr="00F95336">
        <w:rPr>
          <w:rFonts w:ascii="Arial Narrow" w:hAnsi="Arial Narrow"/>
        </w:rPr>
        <w:t xml:space="preserve"> para compreender uma dada realidade específica numa inaptidão do pensamento, das concepções e da percepção racional em geral para dominar intelectualmente a essência da realidade? E se se fizer desta necessidade um mérito e a inaptidão para compreender intelectualmente o mundo for </w:t>
      </w:r>
      <w:r w:rsidRPr="00F95336">
        <w:rPr>
          <w:rFonts w:ascii="Arial Narrow" w:hAnsi="Arial Narrow"/>
        </w:rPr>
        <w:lastRenderedPageBreak/>
        <w:t>apresentada como “percepção superior”, fé, intuição e assim por diante?». O irracionalismo, acrescentou Lukács, «reage às novas questões colocadas pela ciência e pela filosofia assinalando o problema como se fosse a resposta e declarando que a pretensa impossibilidade fundamental de resolver o problema é uma forma superior de compreensão»</w:t>
      </w:r>
      <w:r w:rsidRPr="00F95336">
        <w:rPr>
          <w:rStyle w:val="Refdenotaderodap"/>
          <w:rFonts w:ascii="Arial Narrow" w:hAnsi="Arial Narrow"/>
        </w:rPr>
        <w:footnoteReference w:id="11"/>
      </w:r>
      <w:r w:rsidRPr="00F95336">
        <w:rPr>
          <w:rFonts w:ascii="Arial Narrow" w:hAnsi="Arial Narrow"/>
        </w:rPr>
        <w:t xml:space="preserve">. Muito bem. </w:t>
      </w:r>
    </w:p>
    <w:p w:rsidR="00CD12DC" w:rsidRPr="00F95336" w:rsidRDefault="00CD12DC" w:rsidP="00CD12DC">
      <w:pPr>
        <w:rPr>
          <w:rFonts w:ascii="Arial Narrow" w:hAnsi="Arial Narrow"/>
        </w:rPr>
      </w:pPr>
      <w:r w:rsidRPr="00F95336">
        <w:rPr>
          <w:rFonts w:ascii="Arial Narrow" w:hAnsi="Arial Narrow"/>
        </w:rPr>
        <w:t xml:space="preserve">Simplesmente, Lukács confundiu o uso da razão com o conhecimento considerado como aproximação </w:t>
      </w:r>
      <w:r w:rsidR="00897C36">
        <w:rPr>
          <w:rFonts w:ascii="Arial Narrow" w:hAnsi="Arial Narrow"/>
        </w:rPr>
        <w:t>gradual</w:t>
      </w:r>
      <w:r w:rsidRPr="00F95336">
        <w:rPr>
          <w:rFonts w:ascii="Arial Narrow" w:hAnsi="Arial Narrow"/>
        </w:rPr>
        <w:t xml:space="preserve"> da realidade objectiva, que não é mais do que a epistemologia correspondente ao ideal burguês de progresso. Aliás, naquela sua obra Lukács fez-se arauto de um progresso beatamente optimista, tachando de irracionalismo qualquer tipo de pessimismo histórico. Ora, para me limitar a um exemplo, Herbert Marcuse adoptou no </w:t>
      </w:r>
      <w:r w:rsidRPr="00F95336">
        <w:rPr>
          <w:rFonts w:ascii="Arial Narrow" w:hAnsi="Arial Narrow"/>
          <w:i/>
        </w:rPr>
        <w:t>One-Dimensional Man</w:t>
      </w:r>
      <w:r w:rsidRPr="00F95336">
        <w:rPr>
          <w:rFonts w:ascii="Arial Narrow" w:hAnsi="Arial Narrow"/>
        </w:rPr>
        <w:t xml:space="preserve"> uma perspectiva pessimista, na medida em que considerou que a sociedade industrial avançada fora capaz, no seu interior, de anular a capacidade revolucionária do proletariado e evitar o aparecimento de outros agentes de transformação social, mas isto não impediu que o livro pudesse ser revolucionário, e sem dúvida o foi nas suas implicações, como a história da época demonstrou. </w:t>
      </w:r>
    </w:p>
    <w:p w:rsidR="00CD12DC" w:rsidRPr="00F95336" w:rsidRDefault="00CD12DC" w:rsidP="00CD12DC">
      <w:pPr>
        <w:rPr>
          <w:rFonts w:ascii="Arial Narrow" w:hAnsi="Arial Narrow"/>
        </w:rPr>
      </w:pPr>
      <w:r w:rsidRPr="00F95336">
        <w:rPr>
          <w:rFonts w:ascii="Arial Narrow" w:hAnsi="Arial Narrow"/>
        </w:rPr>
        <w:t>Além disso, a noção de que é impossível conhecer a realidade inerte e que o conhecimento é um conhecimento da prática, no sentido de que nós conhecemos aquilo que praticamos, seria uma noção irracionalista na amplíssima acepção dada à palavra por Lukács naquele seu livro. Será, no entanto, justificado incluir na mesma concepção todos os tipos de processo de conhecimento extra-racional, quer</w:t>
      </w:r>
      <w:r>
        <w:rPr>
          <w:rFonts w:ascii="Arial Narrow" w:hAnsi="Arial Narrow"/>
        </w:rPr>
        <w:t>o</w:t>
      </w:r>
      <w:r w:rsidRPr="00F95336">
        <w:rPr>
          <w:rFonts w:ascii="Arial Narrow" w:hAnsi="Arial Narrow"/>
        </w:rPr>
        <w:t xml:space="preserve"> dizer, será legítimo erigir o «irracionalismo» de um termo descritivo num verdadeiro conceito? O irracionalismo que afirma o prevalecimento da experiência subjectiva imediata, de carácter místico; o irracionalismo que considera o conhecimento como um atributo da inclusão dos indivíduos numa raça e o define como a voz do sangue; e o irracionalismo que afirma que o indivíduo só conhece uma prática constituída pela participação numa pluralidade de práticas sociais </w:t>
      </w:r>
      <w:r w:rsidR="00D017AE">
        <w:rPr>
          <w:rFonts w:ascii="Arial Narrow" w:hAnsi="Arial Narrow"/>
        </w:rPr>
        <w:t>—</w:t>
      </w:r>
      <w:r w:rsidRPr="00F95336">
        <w:rPr>
          <w:rFonts w:ascii="Arial Narrow" w:hAnsi="Arial Narrow"/>
        </w:rPr>
        <w:t xml:space="preserve"> estes três tipos de irracionalismo, para não citar outros, terão entre eles algo mais de comum do que o mero aspecto negativo de recusarem a exclusividade da razão? </w:t>
      </w:r>
    </w:p>
    <w:p w:rsidR="00CD12DC" w:rsidRPr="00F95336" w:rsidRDefault="00CD12DC" w:rsidP="00CD12DC">
      <w:pPr>
        <w:rPr>
          <w:rFonts w:ascii="Arial Narrow" w:hAnsi="Arial Narrow"/>
        </w:rPr>
      </w:pPr>
      <w:r w:rsidRPr="00F95336">
        <w:rPr>
          <w:rFonts w:ascii="Arial Narrow" w:hAnsi="Arial Narrow"/>
        </w:rPr>
        <w:t xml:space="preserve">Na sua obra de 1952 Lukács revelou-se vítima de duas limitações surpreendentes. Por um lado, a noção de que o conhecimento é conhecimento de uma prática foi confundida com o mero subjectivismo. Ora, mesmo que se exclua a possibilidade de um conhecimento em que o sujeito seja imediatamente um grupo social e se considere o problema apenas em termos </w:t>
      </w:r>
      <w:r w:rsidR="00C51F81">
        <w:rPr>
          <w:rFonts w:ascii="Arial Narrow" w:hAnsi="Arial Narrow"/>
        </w:rPr>
        <w:t>pessoais</w:t>
      </w:r>
      <w:r w:rsidRPr="00F95336">
        <w:rPr>
          <w:rFonts w:ascii="Arial Narrow" w:hAnsi="Arial Narrow"/>
        </w:rPr>
        <w:t xml:space="preserve">, se se conceber cada prática individual enquanto articulação única e específica de aspectos de práticas colectivas, então o conhecimento da prática refere-se a uma realidade que, embora extra-racional, é supra-individual, precisamente o que não sucede com o subjectivismo. </w:t>
      </w:r>
      <w:r w:rsidRPr="00F95336">
        <w:rPr>
          <w:rFonts w:ascii="Arial Narrow" w:hAnsi="Arial Narrow"/>
        </w:rPr>
        <w:lastRenderedPageBreak/>
        <w:t>Por outro lado, Lukács confundiu o conhecimento da prática com um relativismo de carácter céptico. Todavia, se se conceber que cada prática oposta às demais é erigida em padrão por aqueles que a praticam, então o cepticismo deixa de ter lugar. Nem sempre tem sido entendido que o cepticismo é antes de mais uma atitude de abstenção</w:t>
      </w:r>
      <w:r w:rsidR="00737AE5">
        <w:rPr>
          <w:rFonts w:ascii="Arial Narrow" w:hAnsi="Arial Narrow"/>
        </w:rPr>
        <w:t xml:space="preserve"> perante a </w:t>
      </w:r>
      <w:r w:rsidR="00737AE5" w:rsidRPr="00F95336">
        <w:rPr>
          <w:rFonts w:ascii="Arial Narrow" w:hAnsi="Arial Narrow"/>
        </w:rPr>
        <w:t>prática</w:t>
      </w:r>
      <w:r w:rsidRPr="00F95336">
        <w:rPr>
          <w:rFonts w:ascii="Arial Narrow" w:hAnsi="Arial Narrow"/>
        </w:rPr>
        <w:t xml:space="preserve">, e só ilusoriamente uma posição epistemológica. O facto de aceitar a razão de ser da sua própria prática elimina qualquer sistematicidade da dúvida no plano ideológico, mesmo que a ideologia alheia seja reconhecida como coerente em função da prática alheia. Uma «falsa consciência» só é falsa para aqueles que têm consciência de outra prática. </w:t>
      </w:r>
    </w:p>
    <w:p w:rsidR="00CD12DC" w:rsidRPr="00F95336" w:rsidRDefault="00CD12DC" w:rsidP="00CD12DC">
      <w:pPr>
        <w:rPr>
          <w:rFonts w:ascii="Arial Narrow" w:hAnsi="Arial Narrow"/>
        </w:rPr>
      </w:pPr>
      <w:r w:rsidRPr="00F95336">
        <w:rPr>
          <w:rFonts w:ascii="Arial Narrow" w:hAnsi="Arial Narrow"/>
        </w:rPr>
        <w:t>Para Lukács, como em geral para a ortodoxia marxista, primeiro vinham as descobertas científicas, que eram depois seguidas pela reflexão filosófica, como se as próprias descobertas não fossem desencadeadas por novos quadros de reflexão. Des</w:t>
      </w:r>
      <w:r>
        <w:rPr>
          <w:rFonts w:ascii="Arial Narrow" w:hAnsi="Arial Narrow"/>
        </w:rPr>
        <w:t>t</w:t>
      </w:r>
      <w:r w:rsidRPr="00F95336">
        <w:rPr>
          <w:rFonts w:ascii="Arial Narrow" w:hAnsi="Arial Narrow"/>
        </w:rPr>
        <w:t xml:space="preserve">e modo as descobertas científicas foram remetidas para as forças produtivas, as quais por sua vez foram naturalizadas na forma evolutiva do progresso. O marxismo ortodoxo </w:t>
      </w:r>
      <w:r w:rsidR="00737AE5">
        <w:rPr>
          <w:rFonts w:ascii="Arial Narrow" w:hAnsi="Arial Narrow"/>
        </w:rPr>
        <w:t>—</w:t>
      </w:r>
      <w:r w:rsidRPr="00F95336">
        <w:rPr>
          <w:rFonts w:ascii="Arial Narrow" w:hAnsi="Arial Narrow"/>
        </w:rPr>
        <w:t xml:space="preserve"> e mesmo Marx, embora ele tivesse também recorrido a uma perspectiva diferente </w:t>
      </w:r>
      <w:r w:rsidR="00737AE5">
        <w:rPr>
          <w:rFonts w:ascii="Arial Narrow" w:hAnsi="Arial Narrow"/>
        </w:rPr>
        <w:t>—</w:t>
      </w:r>
      <w:r w:rsidRPr="00F95336">
        <w:rPr>
          <w:rFonts w:ascii="Arial Narrow" w:hAnsi="Arial Narrow"/>
        </w:rPr>
        <w:t xml:space="preserve"> atribuía às forças produtivas materiais um ritmo de crescimento próprio, que determinava o progresso social. Em sentido inverso, considerava-se que as relações sociais, embora pudessem opor obstáculos temporários ao avanço das forças produtivas, não estavam na origem deste avanço. As forças produtivas ficavam assim convertidas em padrão e critério da história. </w:t>
      </w:r>
      <w:r w:rsidR="00A37827" w:rsidRPr="00F95336">
        <w:rPr>
          <w:rFonts w:ascii="Arial Narrow" w:hAnsi="Arial Narrow"/>
        </w:rPr>
        <w:t xml:space="preserve">Quando se consideram outras implicações do marxismo, </w:t>
      </w:r>
      <w:r w:rsidR="00A37827">
        <w:rPr>
          <w:rFonts w:ascii="Arial Narrow" w:hAnsi="Arial Narrow"/>
        </w:rPr>
        <w:t xml:space="preserve">é </w:t>
      </w:r>
      <w:r w:rsidRPr="00F95336">
        <w:rPr>
          <w:rFonts w:ascii="Arial Narrow" w:hAnsi="Arial Narrow"/>
        </w:rPr>
        <w:t>bizarr</w:t>
      </w:r>
      <w:r w:rsidR="00A37827">
        <w:rPr>
          <w:rFonts w:ascii="Arial Narrow" w:hAnsi="Arial Narrow"/>
        </w:rPr>
        <w:t xml:space="preserve">o que aqui </w:t>
      </w:r>
      <w:r w:rsidRPr="00F95336">
        <w:rPr>
          <w:rFonts w:ascii="Arial Narrow" w:hAnsi="Arial Narrow"/>
        </w:rPr>
        <w:t>as relações sociais só adquiri</w:t>
      </w:r>
      <w:r w:rsidR="00A37827">
        <w:rPr>
          <w:rFonts w:ascii="Arial Narrow" w:hAnsi="Arial Narrow"/>
        </w:rPr>
        <w:t>sse</w:t>
      </w:r>
      <w:r w:rsidRPr="00F95336">
        <w:rPr>
          <w:rFonts w:ascii="Arial Narrow" w:hAnsi="Arial Narrow"/>
        </w:rPr>
        <w:t>m autonomia na sua modalidade reaccionária, virando-se contra as forças produtivas; e assumi</w:t>
      </w:r>
      <w:r w:rsidR="00A37827">
        <w:rPr>
          <w:rFonts w:ascii="Arial Narrow" w:hAnsi="Arial Narrow"/>
        </w:rPr>
        <w:t>ssem</w:t>
      </w:r>
      <w:r w:rsidRPr="00F95336">
        <w:rPr>
          <w:rFonts w:ascii="Arial Narrow" w:hAnsi="Arial Narrow"/>
        </w:rPr>
        <w:t xml:space="preserve"> uma existência progressiva anulando a sua especificidade e tornando-se transparentes perante as forças produtivas. Um modelo deste tipo conferia ao pensamento progressivo as mesmas características que atribuía às forças produtivas, naturalizando-o e dando-lhe uma orientação evolutiva. </w:t>
      </w:r>
    </w:p>
    <w:p w:rsidR="00CD12DC" w:rsidRPr="00F95336" w:rsidRDefault="00CD12DC" w:rsidP="00CD12DC">
      <w:pPr>
        <w:rPr>
          <w:rFonts w:ascii="Arial Narrow" w:hAnsi="Arial Narrow"/>
        </w:rPr>
      </w:pPr>
      <w:r w:rsidRPr="00F95336">
        <w:rPr>
          <w:rFonts w:ascii="Arial Narrow" w:hAnsi="Arial Narrow"/>
        </w:rPr>
        <w:t>Só admit</w:t>
      </w:r>
      <w:r w:rsidR="006F72B4">
        <w:rPr>
          <w:rFonts w:ascii="Arial Narrow" w:hAnsi="Arial Narrow"/>
        </w:rPr>
        <w:t>indo</w:t>
      </w:r>
      <w:r w:rsidRPr="00F95336">
        <w:rPr>
          <w:rFonts w:ascii="Arial Narrow" w:hAnsi="Arial Narrow"/>
        </w:rPr>
        <w:t>, como fez Lukács em 1952, que o processo cognitivo é um reflexo do processo natural e assimila</w:t>
      </w:r>
      <w:r w:rsidR="006F72B4">
        <w:rPr>
          <w:rFonts w:ascii="Arial Narrow" w:hAnsi="Arial Narrow"/>
        </w:rPr>
        <w:t>ndo</w:t>
      </w:r>
      <w:r w:rsidRPr="00F95336">
        <w:rPr>
          <w:rFonts w:ascii="Arial Narrow" w:hAnsi="Arial Narrow"/>
        </w:rPr>
        <w:t xml:space="preserve"> a prática ao processo natural, através da assimilação da revolução ao progresso e da definição do progresso como uma lei evolutiva, é que o conhecimento da prática pode não exceder os limites da razão. Lukács considerou as ideologias reaccionárias como falsas ideologias, incapazes de conceber a prática, e reservou o conhecimento da prática às ideologias revolucionárias, entendidas como a ideologia do proletariado e, antes dela, a ideologia da burguesia na fase em que luta</w:t>
      </w:r>
      <w:r>
        <w:rPr>
          <w:rFonts w:ascii="Arial Narrow" w:hAnsi="Arial Narrow"/>
        </w:rPr>
        <w:t>r</w:t>
      </w:r>
      <w:r w:rsidRPr="00F95336">
        <w:rPr>
          <w:rFonts w:ascii="Arial Narrow" w:hAnsi="Arial Narrow"/>
        </w:rPr>
        <w:t xml:space="preserve">a contra o </w:t>
      </w:r>
      <w:r w:rsidRPr="00F95336">
        <w:rPr>
          <w:rFonts w:ascii="Arial Narrow" w:hAnsi="Arial Narrow"/>
          <w:i/>
        </w:rPr>
        <w:t>Ancien Régime</w:t>
      </w:r>
      <w:r w:rsidRPr="00F95336">
        <w:rPr>
          <w:rFonts w:ascii="Arial Narrow" w:hAnsi="Arial Narrow"/>
        </w:rPr>
        <w:t xml:space="preserve">. O progresso do conhecimento corresponderia, assim, ao desenvolvimento do processo revolucionário, começando na passagem da fase burguesa à fase proletária e prolongando-se pelos sucessivos estádios da fase proletária. E, como a prática correcta (a prática cada vez mais correcta) corresponderia à realidade objectiva, o conhecimento revolucionário (cada vez mais </w:t>
      </w:r>
      <w:r w:rsidRPr="00F95336">
        <w:rPr>
          <w:rFonts w:ascii="Arial Narrow" w:hAnsi="Arial Narrow"/>
        </w:rPr>
        <w:lastRenderedPageBreak/>
        <w:t xml:space="preserve">revolucionário) apreenderia (apreenderia cada vez mais) a realidade objectiva. O modelo de Hegel, identificando a História com o desenvolvimento do Espírito, foi aqui de grande utilidade para Lukács, que erigiu a ideologia específica do proletariado em Ideia da História e identificou o </w:t>
      </w:r>
      <w:r w:rsidR="00073F82">
        <w:rPr>
          <w:rFonts w:ascii="Arial Narrow" w:hAnsi="Arial Narrow"/>
        </w:rPr>
        <w:t xml:space="preserve"> </w:t>
      </w:r>
      <w:r w:rsidRPr="00F95336">
        <w:rPr>
          <w:rFonts w:ascii="Arial Narrow" w:hAnsi="Arial Narrow"/>
        </w:rPr>
        <w:t>processo revolucionário comunista com a totalidade do progresso histórico. Mannheim concitou a ira de Lukács por profanar o tabernáculo, pois aplicou a dialéctica à própria dialéctica materialista e relativizou a ideologia do proletariado, explicando-a pelos interesses de classe e por circunstâncias históricas específicas</w:t>
      </w:r>
      <w:r w:rsidRPr="00F95336">
        <w:rPr>
          <w:rStyle w:val="Refdenotaderodap"/>
          <w:rFonts w:ascii="Arial Narrow" w:hAnsi="Arial Narrow"/>
        </w:rPr>
        <w:footnoteReference w:id="12"/>
      </w:r>
      <w:r w:rsidRPr="00F95336">
        <w:rPr>
          <w:rFonts w:ascii="Arial Narrow" w:hAnsi="Arial Narrow"/>
        </w:rPr>
        <w:t xml:space="preserve">. Que lugar restava para a ortodoxia, que enquanto padrão de valores ideológicos não podia depender de uma justificação exterior? Contra qualquer tipo de relativismo, no seu livro de 1952 </w:t>
      </w:r>
      <w:r w:rsidR="00790404" w:rsidRPr="00F95336">
        <w:rPr>
          <w:rFonts w:ascii="Arial Narrow" w:hAnsi="Arial Narrow"/>
        </w:rPr>
        <w:t xml:space="preserve">Lukács </w:t>
      </w:r>
      <w:r w:rsidRPr="00F95336">
        <w:rPr>
          <w:rFonts w:ascii="Arial Narrow" w:hAnsi="Arial Narrow"/>
        </w:rPr>
        <w:t>admiti</w:t>
      </w:r>
      <w:r w:rsidR="00790404">
        <w:rPr>
          <w:rFonts w:ascii="Arial Narrow" w:hAnsi="Arial Narrow"/>
        </w:rPr>
        <w:t>u</w:t>
      </w:r>
      <w:r w:rsidRPr="00F95336">
        <w:rPr>
          <w:rFonts w:ascii="Arial Narrow" w:hAnsi="Arial Narrow"/>
        </w:rPr>
        <w:t xml:space="preserve"> uma verdade absoluta porque assimil</w:t>
      </w:r>
      <w:r w:rsidR="00790404">
        <w:rPr>
          <w:rFonts w:ascii="Arial Narrow" w:hAnsi="Arial Narrow"/>
        </w:rPr>
        <w:t>ou</w:t>
      </w:r>
      <w:r w:rsidRPr="00F95336">
        <w:rPr>
          <w:rFonts w:ascii="Arial Narrow" w:hAnsi="Arial Narrow"/>
        </w:rPr>
        <w:t xml:space="preserve"> à revolução a verdade objectiva, o que era uma forma tão ingénua de naturalizar os anseios sociais da classe trabalhadora como o «direito natural» fora uma forma ingénua de naturalizar as pretensões da burguesia. </w:t>
      </w:r>
      <w:r w:rsidR="001848F0">
        <w:rPr>
          <w:rFonts w:ascii="Arial Narrow" w:hAnsi="Arial Narrow"/>
        </w:rPr>
        <w:t xml:space="preserve">Ficou assim unido </w:t>
      </w:r>
      <w:r w:rsidR="00FD6912" w:rsidRPr="00F95336">
        <w:rPr>
          <w:rFonts w:ascii="Arial Narrow" w:hAnsi="Arial Narrow"/>
        </w:rPr>
        <w:t>num mesmo modelo ideológico o jovem Lukács ao Lukács da maturidade</w:t>
      </w:r>
      <w:r w:rsidR="00FD6912">
        <w:rPr>
          <w:rFonts w:ascii="Arial Narrow" w:hAnsi="Arial Narrow"/>
        </w:rPr>
        <w:t>,</w:t>
      </w:r>
      <w:r w:rsidR="00FD6912" w:rsidRPr="00F95336">
        <w:rPr>
          <w:rFonts w:ascii="Arial Narrow" w:hAnsi="Arial Narrow"/>
        </w:rPr>
        <w:t xml:space="preserve"> </w:t>
      </w:r>
      <w:r w:rsidR="001848F0">
        <w:rPr>
          <w:rFonts w:ascii="Arial Narrow" w:hAnsi="Arial Narrow"/>
        </w:rPr>
        <w:t xml:space="preserve">só que agora </w:t>
      </w:r>
      <w:r w:rsidRPr="00F95336">
        <w:rPr>
          <w:rFonts w:ascii="Arial Narrow" w:hAnsi="Arial Narrow"/>
        </w:rPr>
        <w:t xml:space="preserve">a prática deixou de constituir uma instância específica, recusadas umas como falsas práticas e identificadas as outras com a realidade objectiva. Por isso a passagem da razão a um estádio superior, através da dialéctica, podia ser para Lukács um processo estritamente cognitivo, diluindo-se a prática na realidade natural. </w:t>
      </w:r>
    </w:p>
    <w:p w:rsidR="00CD12DC" w:rsidRPr="00F95336" w:rsidRDefault="00CD12DC" w:rsidP="00CD12DC">
      <w:pPr>
        <w:rPr>
          <w:rFonts w:ascii="Arial Narrow" w:hAnsi="Arial Narrow"/>
        </w:rPr>
      </w:pPr>
      <w:r w:rsidRPr="00F95336">
        <w:rPr>
          <w:rFonts w:ascii="Arial Narrow" w:hAnsi="Arial Narrow"/>
        </w:rPr>
        <w:t>A questão básica consiste em definir a diferença entre o irracionalismo que Mannheim atribuiu ao proletariado revolucionário e o irracionalismo na acepção usada por Lukács em 1952. Para Mannheim o proletariado comportava-se de maneira irracionalista ao determinar a sua acção por um horizonte prático a longo prazo, alheio à cadeia de raciocínios dedutivos, quantificadores e abstractos, em que cada acção reivindicativa era avaliada em termos de custos e benefícios imediatos. A este respeito é curioso observar que Lukács, que na sua juventude fora também discípulo de Max Weber, considerou igualmente racional, na acepção dada ao termo por Mannheim, a estratégia reivindicativa da social-democracia alemã durante o império e a república de Weimar</w:t>
      </w:r>
      <w:r w:rsidRPr="00F95336">
        <w:rPr>
          <w:rStyle w:val="Refdenotaderodap"/>
          <w:rFonts w:ascii="Arial Narrow" w:hAnsi="Arial Narrow"/>
        </w:rPr>
        <w:footnoteReference w:id="13"/>
      </w:r>
      <w:r w:rsidRPr="00F95336">
        <w:rPr>
          <w:rFonts w:ascii="Arial Narrow" w:hAnsi="Arial Narrow"/>
        </w:rPr>
        <w:t>. Mas Lukács preferiu classificar como falsa essa racionalidade e contrapor-lhe outra razão, a razão revolucionária, remetendo o irracionalismo moderno apenas para o campo do fascismo e explicando assim a sedução de uma parte da classe trabalhadora pelos mitos hitlerianos</w:t>
      </w:r>
      <w:r w:rsidRPr="00F95336">
        <w:rPr>
          <w:rStyle w:val="Refdenotaderodap"/>
          <w:rFonts w:ascii="Arial Narrow" w:hAnsi="Arial Narrow"/>
        </w:rPr>
        <w:footnoteReference w:id="14"/>
      </w:r>
      <w:r w:rsidRPr="00F95336">
        <w:rPr>
          <w:rFonts w:ascii="Arial Narrow" w:hAnsi="Arial Narrow"/>
        </w:rPr>
        <w:t xml:space="preserve">, enquanto Mannheim atribuiu ao proletariado um carácter irracional sempre que ele se libertava da razão burguesa e reformista. Esta irracionalidade mannheimiana, convertida pela prática em novo critério, ia fundamentar outra racionalidade, enquanto os irracionalistas a que Lukács se referia paravam perante esse estádio de fundação de uma nova </w:t>
      </w:r>
      <w:r w:rsidRPr="00F95336">
        <w:rPr>
          <w:rFonts w:ascii="Arial Narrow" w:hAnsi="Arial Narrow"/>
        </w:rPr>
        <w:lastRenderedPageBreak/>
        <w:t xml:space="preserve">racionalidade. Só a quatro páginas do final da obra, nos elogios que teceu ao grande movimento pela paz que mobilizava então centenas de milhões de pessoas, Lukács admitiu, de maneira totalmente inesperada, que o irracionalismo pudesse servir para alcançar um novo patamar de racionalidade. «Na sua essência, os quinhentos milhões de assinaturas do protesto de Estocolmo contra a guerra atómica indicam também uma revolta instintiva das massas [...]». E Lukács assinalou que, ao contrário dos anteriores movimentos pela paz, surgidos apenas com o prolongamento das carnificinas e o agravamento das dificuldades económicas, «este movimento de massas irrompe </w:t>
      </w:r>
      <w:r w:rsidRPr="00F95336">
        <w:rPr>
          <w:rFonts w:ascii="Arial Narrow" w:hAnsi="Arial Narrow"/>
          <w:i/>
        </w:rPr>
        <w:t>antes</w:t>
      </w:r>
      <w:r w:rsidRPr="00F95336">
        <w:rPr>
          <w:rFonts w:ascii="Arial Narrow" w:hAnsi="Arial Narrow"/>
        </w:rPr>
        <w:t xml:space="preserve"> de uma guerra, ainda que também </w:t>
      </w:r>
      <w:r w:rsidRPr="00F95336">
        <w:rPr>
          <w:rFonts w:ascii="Arial Narrow" w:hAnsi="Arial Narrow"/>
          <w:i/>
        </w:rPr>
        <w:t>durante</w:t>
      </w:r>
      <w:r w:rsidRPr="00F95336">
        <w:rPr>
          <w:rFonts w:ascii="Arial Narrow" w:hAnsi="Arial Narrow"/>
        </w:rPr>
        <w:t xml:space="preserve"> a guerra </w:t>
      </w:r>
      <w:r w:rsidRPr="00F95336">
        <w:rPr>
          <w:rFonts w:ascii="Arial Narrow" w:hAnsi="Arial Narrow"/>
          <w:i/>
        </w:rPr>
        <w:t>fria</w:t>
      </w:r>
      <w:r w:rsidRPr="00F95336">
        <w:rPr>
          <w:rFonts w:ascii="Arial Narrow" w:hAnsi="Arial Narrow"/>
        </w:rPr>
        <w:t>. Por isso ele tem um carácter preventivo e é muito mais do que uma mera reacção a factos históricos definitivos. Basta isto para elevar o movimento acima do plano puramente espontâneo ou emocional. Todas as tentativas para evitar algo implicam um desejo consciente e racional de controlar os acontecimentos futuros». «Esta espontaneidade», concluiu Lukács, enfermando assim pelo seu próprio epílogo a tese central de um livro todo ele devotado a exprobrar os efeitos nefastos de qualquer irracionalismo, «apresenta uma fisionomia fundamentalmente nova: a da razão na espontaneidade»</w:t>
      </w:r>
      <w:r w:rsidRPr="00F95336">
        <w:rPr>
          <w:rStyle w:val="Refdenotaderodap"/>
          <w:rFonts w:ascii="Arial Narrow" w:hAnsi="Arial Narrow"/>
        </w:rPr>
        <w:footnoteReference w:id="15"/>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A crítica irracionalista à burguesia foi profundamente diferente consoante nasceu na direita ou na esquerda do espectro político. Os românticos reaccionários eram anticapitalistas de um modo puramente negativo, já que representavam uma sociedade historicamente em extinção e estavam, portanto, desprovidos de princípios sociais criativos. Nada lhes restava senão </w:t>
      </w:r>
      <w:r w:rsidR="000D322A">
        <w:rPr>
          <w:rFonts w:ascii="Arial Narrow" w:hAnsi="Arial Narrow"/>
        </w:rPr>
        <w:t>deterem-se</w:t>
      </w:r>
      <w:r w:rsidRPr="00F95336">
        <w:rPr>
          <w:rFonts w:ascii="Arial Narrow" w:hAnsi="Arial Narrow"/>
        </w:rPr>
        <w:t xml:space="preserve"> perante os limites que opunham à razão burguesa, porque eles mesmos nada possuíam para seguir além. Todavia, é possível pensar que a classe trabalhadora dê origem a um novo racionalismo porque, na medida em que luta contra o capital, cont</w:t>
      </w:r>
      <w:r>
        <w:rPr>
          <w:rFonts w:ascii="Arial Narrow" w:hAnsi="Arial Narrow"/>
        </w:rPr>
        <w:t>ém</w:t>
      </w:r>
      <w:r w:rsidRPr="00F95336">
        <w:rPr>
          <w:rFonts w:ascii="Arial Narrow" w:hAnsi="Arial Narrow"/>
        </w:rPr>
        <w:t xml:space="preserve"> os princípios constitutivos de uma nova sociedade. E assim, colocado entre a negação irracional da razão burguesa </w:t>
      </w:r>
      <w:r w:rsidR="00B4332C">
        <w:rPr>
          <w:rFonts w:ascii="Arial Narrow" w:hAnsi="Arial Narrow"/>
        </w:rPr>
        <w:t>—</w:t>
      </w:r>
      <w:r w:rsidRPr="00F95336">
        <w:rPr>
          <w:rFonts w:ascii="Arial Narrow" w:hAnsi="Arial Narrow"/>
        </w:rPr>
        <w:t xml:space="preserve"> irracional segundo os critérios da razão burguesa </w:t>
      </w:r>
      <w:r w:rsidR="00B4332C">
        <w:rPr>
          <w:rFonts w:ascii="Arial Narrow" w:hAnsi="Arial Narrow"/>
        </w:rPr>
        <w:t>—</w:t>
      </w:r>
      <w:r w:rsidRPr="00F95336">
        <w:rPr>
          <w:rFonts w:ascii="Arial Narrow" w:hAnsi="Arial Narrow"/>
        </w:rPr>
        <w:t xml:space="preserve"> e a necessidade de desenvolver uma nova razão </w:t>
      </w:r>
      <w:r w:rsidR="00B4332C">
        <w:rPr>
          <w:rFonts w:ascii="Arial Narrow" w:hAnsi="Arial Narrow"/>
        </w:rPr>
        <w:t>—</w:t>
      </w:r>
      <w:r w:rsidRPr="00F95336">
        <w:rPr>
          <w:rFonts w:ascii="Arial Narrow" w:hAnsi="Arial Narrow"/>
        </w:rPr>
        <w:t xml:space="preserve"> racional porque correspondente a novos critérios </w:t>
      </w:r>
      <w:r w:rsidR="00B4332C">
        <w:rPr>
          <w:rFonts w:ascii="Arial Narrow" w:hAnsi="Arial Narrow"/>
        </w:rPr>
        <w:t>—</w:t>
      </w:r>
      <w:r w:rsidRPr="00F95336">
        <w:rPr>
          <w:rFonts w:ascii="Arial Narrow" w:hAnsi="Arial Narrow"/>
        </w:rPr>
        <w:t xml:space="preserve"> o proletariado </w:t>
      </w:r>
      <w:r>
        <w:rPr>
          <w:rFonts w:ascii="Arial Narrow" w:hAnsi="Arial Narrow"/>
        </w:rPr>
        <w:t xml:space="preserve">revolucionário </w:t>
      </w:r>
      <w:r w:rsidRPr="00F95336">
        <w:rPr>
          <w:rFonts w:ascii="Arial Narrow" w:hAnsi="Arial Narrow"/>
        </w:rPr>
        <w:t xml:space="preserve">não pode senão ser dialéctico. A dialéctica proletária consiste, em suma, na superação de uma racionalidade por outra através da intromissão irracional de uma prática, e na superação desta irracionalidade através da nova razão que é constituída sobre essa prática. A prática do proletariado revolucionário sustenta uma atitude irracional porque os interesses fundamentais de classe, que são interesses práticos, convertem-se para o proletariado no </w:t>
      </w:r>
      <w:r w:rsidRPr="00F95336">
        <w:rPr>
          <w:rFonts w:ascii="Arial Narrow" w:hAnsi="Arial Narrow"/>
          <w:i/>
        </w:rPr>
        <w:t>a priori</w:t>
      </w:r>
      <w:r w:rsidRPr="00F95336">
        <w:rPr>
          <w:rFonts w:ascii="Arial Narrow" w:hAnsi="Arial Narrow"/>
        </w:rPr>
        <w:t xml:space="preserve"> de todo o uso da razão. E ao conceber racionalmente esses interesses de classe a razão revolucionária funda neles um novo racionalismo. O facto de esta nova racionalidade assentar num </w:t>
      </w:r>
      <w:r w:rsidRPr="00F95336">
        <w:rPr>
          <w:rFonts w:ascii="Arial Narrow" w:hAnsi="Arial Narrow"/>
          <w:i/>
        </w:rPr>
        <w:t>a priori</w:t>
      </w:r>
      <w:r w:rsidRPr="00F95336">
        <w:rPr>
          <w:rFonts w:ascii="Arial Narrow" w:hAnsi="Arial Narrow"/>
        </w:rPr>
        <w:t xml:space="preserve"> prático faz com que a irracionalidade permaneça </w:t>
      </w:r>
      <w:r w:rsidRPr="00F95336">
        <w:rPr>
          <w:rFonts w:ascii="Arial Narrow" w:hAnsi="Arial Narrow"/>
        </w:rPr>
        <w:lastRenderedPageBreak/>
        <w:t>estruturalmente contida no processo, ocupando nele, aliás, o lugar central</w:t>
      </w:r>
      <w:r w:rsidR="000D322A">
        <w:rPr>
          <w:rFonts w:ascii="Arial Narrow" w:hAnsi="Arial Narrow"/>
        </w:rPr>
        <w:t>;</w:t>
      </w:r>
      <w:r w:rsidRPr="00F95336">
        <w:rPr>
          <w:rFonts w:ascii="Arial Narrow" w:hAnsi="Arial Narrow"/>
        </w:rPr>
        <w:t xml:space="preserve"> </w:t>
      </w:r>
      <w:r w:rsidR="000D322A" w:rsidRPr="00F95336">
        <w:rPr>
          <w:rFonts w:ascii="Arial Narrow" w:hAnsi="Arial Narrow"/>
        </w:rPr>
        <w:t xml:space="preserve">e </w:t>
      </w:r>
      <w:r w:rsidRPr="00F95336">
        <w:rPr>
          <w:rFonts w:ascii="Arial Narrow" w:hAnsi="Arial Narrow"/>
        </w:rPr>
        <w:t xml:space="preserve">o facto de este </w:t>
      </w:r>
      <w:r w:rsidRPr="00F95336">
        <w:rPr>
          <w:rFonts w:ascii="Arial Narrow" w:hAnsi="Arial Narrow"/>
          <w:i/>
        </w:rPr>
        <w:t>a priori</w:t>
      </w:r>
      <w:r w:rsidRPr="00F95336">
        <w:rPr>
          <w:rFonts w:ascii="Arial Narrow" w:hAnsi="Arial Narrow"/>
        </w:rPr>
        <w:t xml:space="preserve"> prático ser concebido racionalmente faz com que a ideologia do proletariado revolucionário supere o irracionalismo. Na opinião de Mannheim, tal como eu a entendo, a dialéctica proletária não seria, como na obra de Lukács de 1952, um processo interno à razão, mas a forma racional de conjugar duas razões opostas através da referência extra-racional a uma prática. </w:t>
      </w:r>
    </w:p>
    <w:p w:rsidR="00CD12DC" w:rsidRPr="00F95336" w:rsidRDefault="00CD12DC" w:rsidP="00CD12DC">
      <w:pPr>
        <w:rPr>
          <w:rFonts w:ascii="Arial Narrow" w:hAnsi="Arial Narrow"/>
        </w:rPr>
      </w:pPr>
      <w:r w:rsidRPr="00F95336">
        <w:rPr>
          <w:rFonts w:ascii="Arial Narrow" w:hAnsi="Arial Narrow"/>
        </w:rPr>
        <w:t xml:space="preserve">O ataque de Lukács à destruição da razão pode ser lido como uma tentativa de operar na história da filosofia moderna um corte absoluto entre, por um lado, a dialéctica de Hegel e a sua superação pela dialéctica materialista fundada por Marx e Engels e, por outro lado, as demais correntes, remetidas para o campo do irracionalismo. A qualquer destas correntes irracionalistas, ou assim denominadas, mesmo àquelas cuja noção de processo assentava num dinamismo interno, foi recusada a classificação de dialéctica. Esta limitação irrompe de maneira flagrante quando, a propósito da relação entre psicologia e história, vemos Lukács considerar que Dilthey </w:t>
      </w:r>
      <w:r w:rsidR="00FA29D3">
        <w:rPr>
          <w:rFonts w:ascii="Arial Narrow" w:hAnsi="Arial Narrow"/>
        </w:rPr>
        <w:t>—</w:t>
      </w:r>
      <w:r w:rsidRPr="00F95336">
        <w:rPr>
          <w:rFonts w:ascii="Arial Narrow" w:hAnsi="Arial Narrow"/>
        </w:rPr>
        <w:t xml:space="preserve"> mas podia ter sido qualquer outro </w:t>
      </w:r>
      <w:r w:rsidR="00FA29D3">
        <w:rPr>
          <w:rFonts w:ascii="Arial Narrow" w:hAnsi="Arial Narrow"/>
        </w:rPr>
        <w:t>—</w:t>
      </w:r>
      <w:r w:rsidRPr="00F95336">
        <w:rPr>
          <w:rFonts w:ascii="Arial Narrow" w:hAnsi="Arial Narrow"/>
        </w:rPr>
        <w:t xml:space="preserve"> «se bem que tivesse adivinhado uma questão dialéctica real, formulou-a e resolveu-a desde início de maneira irracionalista, levando assim ao desaparecimento do seu carácter dialéctico»</w:t>
      </w:r>
      <w:r w:rsidRPr="00F95336">
        <w:rPr>
          <w:rStyle w:val="Refdenotaderodap"/>
          <w:rFonts w:ascii="Arial Narrow" w:hAnsi="Arial Narrow"/>
        </w:rPr>
        <w:footnoteReference w:id="16"/>
      </w:r>
      <w:r w:rsidRPr="00F95336">
        <w:rPr>
          <w:rFonts w:ascii="Arial Narrow" w:hAnsi="Arial Narrow"/>
        </w:rPr>
        <w:t>. Do mesmo modo, ao criticar o neo-hegelianismo do final do século XIX e do começo do século XX, Lukács tomou como uma evidência que o recurso ao vitalismo implicasse sempre, e por si só, uma anulação da dialéctica</w:t>
      </w:r>
      <w:r w:rsidRPr="00F95336">
        <w:rPr>
          <w:rStyle w:val="Refdenotaderodap"/>
          <w:rFonts w:ascii="Arial Narrow" w:hAnsi="Arial Narrow"/>
        </w:rPr>
        <w:footnoteReference w:id="17"/>
      </w:r>
      <w:r w:rsidRPr="00F95336">
        <w:rPr>
          <w:rFonts w:ascii="Arial Narrow" w:hAnsi="Arial Narrow"/>
        </w:rPr>
        <w:t xml:space="preserve">. </w:t>
      </w:r>
      <w:r>
        <w:rPr>
          <w:rFonts w:ascii="Arial Narrow" w:hAnsi="Arial Narrow"/>
        </w:rPr>
        <w:t xml:space="preserve">Este </w:t>
      </w:r>
      <w:r w:rsidRPr="00F95336">
        <w:rPr>
          <w:rFonts w:ascii="Arial Narrow" w:hAnsi="Arial Narrow"/>
        </w:rPr>
        <w:t xml:space="preserve">critério de compartimentos estanques é aflitivamente simplista e corresponde ao deliberado esquecimento com que Lukács apagou, tanto no plano histórico como no ideológico, as correntes de extrema-esquerda que haviam feito a crítica ao leninismo e que, enquanto ele escrevia </w:t>
      </w:r>
      <w:r w:rsidRPr="00F95336">
        <w:rPr>
          <w:rFonts w:ascii="Arial Narrow" w:hAnsi="Arial Narrow"/>
          <w:i/>
        </w:rPr>
        <w:t>A Destruição da Razão,</w:t>
      </w:r>
      <w:r w:rsidRPr="00F95336">
        <w:rPr>
          <w:rFonts w:ascii="Arial Narrow" w:hAnsi="Arial Narrow"/>
        </w:rPr>
        <w:t xml:space="preserve"> faziam a crítica ao stalinismo. O uso de elementos do irracionalismo enquanto método provisório de superação dos limites dogmáticos da ortodoxia marxista era algo que o Lukács de 1952 estava politicamente impedido de formular, ou quem sabe se </w:t>
      </w:r>
      <w:r w:rsidR="00FA29D3">
        <w:rPr>
          <w:rFonts w:ascii="Arial Narrow" w:hAnsi="Arial Narrow"/>
        </w:rPr>
        <w:t>intelectualmente</w:t>
      </w:r>
      <w:r>
        <w:rPr>
          <w:rFonts w:ascii="Arial Narrow" w:hAnsi="Arial Narrow"/>
        </w:rPr>
        <w:t xml:space="preserve"> </w:t>
      </w:r>
      <w:r w:rsidRPr="00F95336">
        <w:rPr>
          <w:rFonts w:ascii="Arial Narrow" w:hAnsi="Arial Narrow"/>
        </w:rPr>
        <w:t>impedido de conceber. Para nos apercebermos da falência da perspectiva usada por Lukács naquela sua obra basta verificar que o irracionalismo lhe serviu para situar Dostoievsky e Nietzsche no mesmo quadro problemático</w:t>
      </w:r>
      <w:r w:rsidRPr="00F95336">
        <w:rPr>
          <w:rStyle w:val="Refdenotaderodap"/>
          <w:rFonts w:ascii="Arial Narrow" w:hAnsi="Arial Narrow"/>
        </w:rPr>
        <w:footnoteReference w:id="18"/>
      </w:r>
      <w:r w:rsidRPr="00F95336">
        <w:rPr>
          <w:rFonts w:ascii="Arial Narrow" w:hAnsi="Arial Narrow"/>
        </w:rPr>
        <w:t xml:space="preserve">, quando na verdade cada um deles empregara o irracionalismo para, partindo de problemas idênticos, chegar a conclusões diametralmente opostas das atingidas pelo outro. Aqui, e apesar da diatribe que </w:t>
      </w:r>
      <w:r w:rsidRPr="00FD15E2">
        <w:rPr>
          <w:rFonts w:ascii="Arial Narrow" w:hAnsi="Arial Narrow"/>
        </w:rPr>
        <w:t xml:space="preserve">Lukács </w:t>
      </w:r>
      <w:r w:rsidRPr="00F95336">
        <w:rPr>
          <w:rFonts w:ascii="Arial Narrow" w:hAnsi="Arial Narrow"/>
        </w:rPr>
        <w:t>lhe endereçou por «projectar o irracionalismo no materialismo histórico»</w:t>
      </w:r>
      <w:r w:rsidRPr="00F95336">
        <w:rPr>
          <w:rStyle w:val="Refdenotaderodap"/>
          <w:rFonts w:ascii="Arial Narrow" w:hAnsi="Arial Narrow"/>
        </w:rPr>
        <w:footnoteReference w:id="19"/>
      </w:r>
      <w:r w:rsidRPr="00F95336">
        <w:rPr>
          <w:rFonts w:ascii="Arial Narrow" w:hAnsi="Arial Narrow"/>
        </w:rPr>
        <w:t xml:space="preserve">, foi Mannheim quem fez uso da dialéctica ao mostrar como na crítica proletária do capitalismo puderam encontrar eco temas e formas de pensamento oriundos da crítica aristocrática da burguesia. Onde Lukács </w:t>
      </w:r>
      <w:r w:rsidRPr="00F95336">
        <w:rPr>
          <w:rFonts w:ascii="Arial Narrow" w:hAnsi="Arial Narrow"/>
        </w:rPr>
        <w:lastRenderedPageBreak/>
        <w:t xml:space="preserve">pretendeu desenhar uma delimitação rigorosa, Mannheim observou choques e interferências, assimilações e transformações. </w:t>
      </w:r>
    </w:p>
    <w:p w:rsidR="00CD12DC" w:rsidRPr="00F95336" w:rsidRDefault="00CD12DC" w:rsidP="00CD12DC">
      <w:pPr>
        <w:rPr>
          <w:rFonts w:ascii="Arial Narrow" w:hAnsi="Arial Narrow"/>
        </w:rPr>
      </w:pPr>
      <w:r w:rsidRPr="00F95336">
        <w:rPr>
          <w:rFonts w:ascii="Arial Narrow" w:hAnsi="Arial Narrow"/>
        </w:rPr>
        <w:t>Nesta perspectiva, a dialéctica marxista constitui a síntese e a superação das duas componentes da cultura moderna, o irracionalismo romântico e a racionalidade jacobina. Fazendo a razão defrontar-se com a problemática colocada pelo irracionalismo, Marx obrigou o pensamento burguês a reconhecer a estreiteza dos seus limites e levou avante, paradoxalmente, a crítica conservadora. Ao mesmo tempo, porém, sujeitando a um modelo lógico rigoroso e hierarquicamente estruturado os temas propostos pela crítica à razão, Marx conseguiu derrotar o irracionalismo, na medida em que apontou para as suas questões uma solução de ordem racional. Afinal, na articulação contraditória do jacobinismo e do romantismo, a dialéctica marxista representou a superação da razão burguesa pelo recurso ao irracionalismo e a sua passagem a um novo estádio, historicamente superior. A crítica à razão serviu, em suma, para levar a razão a ultrapassar os seus limites. Mas o que podemos então encontrar na ideologia do proletariado revolucionário e a</w:t>
      </w:r>
      <w:r w:rsidR="008471BD">
        <w:rPr>
          <w:rFonts w:ascii="Arial Narrow" w:hAnsi="Arial Narrow"/>
        </w:rPr>
        <w:t xml:space="preserve">ntes de mais </w:t>
      </w:r>
      <w:r w:rsidRPr="00F95336">
        <w:rPr>
          <w:rFonts w:ascii="Arial Narrow" w:hAnsi="Arial Narrow"/>
        </w:rPr>
        <w:t xml:space="preserve">na dialéctica de Marx? Uma apologia da razão, capaz de ir além das fronteiras que lhe pareceriam inerentes e desvendar de maneira inovadora problemas que antes escapavam à sua visão? Ou um perverso triunfo último do irracionalismo, graças ao qual, aos seus temas e à sua dinâmica única, a razão burguesa foi transformada em algo oposto? Por mais importantes que sejam as reflexões de Mannheim, elas não resolvem por si só nenhum problema. Será que o marxismo constitui uma síntese ou, pelo contrário, uma tensão ideológica permanente entre a razão e a crítica irracionalista da razão? </w:t>
      </w:r>
    </w:p>
    <w:p w:rsidR="00CD12DC" w:rsidRPr="00F95336" w:rsidRDefault="00CD12DC" w:rsidP="00CD12DC">
      <w:pPr>
        <w:rPr>
          <w:rFonts w:ascii="Arial Narrow" w:hAnsi="Arial Narrow"/>
        </w:rPr>
      </w:pPr>
      <w:r w:rsidRPr="00F95336">
        <w:rPr>
          <w:rFonts w:ascii="Arial Narrow" w:hAnsi="Arial Narrow"/>
        </w:rPr>
        <w:t xml:space="preserve">Mas nem sequer esta dualidade, e a escolha que nela fizermos, solucionam definitivamente a questão. Influências e assimilações representam um quadro de percursos, e só a análise histórica concreta permite definir, em cada época, em cada situação, qual o sentido dominante nesses percursos. Que as ideologias do movimento operário, naquilo que possuem de fundamental, ou seja, nas suas formas lógicas de pensamento mais do que nos temas e conteúdos específicos, se têm situado historicamente na convergência do racionalismo jacobino e do irracionalismo romântico </w:t>
      </w:r>
      <w:r w:rsidR="008755AF">
        <w:rPr>
          <w:rFonts w:ascii="Arial Narrow" w:hAnsi="Arial Narrow"/>
        </w:rPr>
        <w:t>—</w:t>
      </w:r>
      <w:r w:rsidRPr="00F95336">
        <w:rPr>
          <w:rFonts w:ascii="Arial Narrow" w:hAnsi="Arial Narrow"/>
        </w:rPr>
        <w:t xml:space="preserve"> esta é uma indicação metodológica preciosa, que aponta para onde devemos dirigir o olhar. Aquilo que virmos, porém, depende do jogo das forças sociais. Em que medida a classe trabalhadora se submeteu ideologicamente ao racionalismo burguês? Em que medida veiculou a inspiração do irracionalismo contra-revolucionário? Em que medida conseguiu converter um entrecruzar de influências contraditórias numa síntese de novo tipo e desenvolver a partir daí uma ruptura ideológica? </w:t>
      </w:r>
    </w:p>
    <w:p w:rsidR="00CD12DC" w:rsidRPr="00F95336" w:rsidRDefault="00CD12DC" w:rsidP="0027740E">
      <w:pPr>
        <w:keepNext/>
        <w:spacing w:before="720" w:after="360"/>
        <w:ind w:firstLine="0"/>
        <w:jc w:val="center"/>
        <w:rPr>
          <w:rFonts w:ascii="Arial Narrow" w:hAnsi="Arial Narrow"/>
          <w:b/>
          <w:sz w:val="28"/>
        </w:rPr>
      </w:pPr>
      <w:r w:rsidRPr="00F95336">
        <w:rPr>
          <w:rFonts w:ascii="Arial Narrow" w:hAnsi="Arial Narrow"/>
          <w:b/>
          <w:sz w:val="28"/>
        </w:rPr>
        <w:lastRenderedPageBreak/>
        <w:t>2. Marx e Engels transpuseram a luta de classes para a luta de nações</w:t>
      </w:r>
    </w:p>
    <w:p w:rsidR="00496FC1" w:rsidRDefault="00496FC1" w:rsidP="00496FC1">
      <w:pPr>
        <w:keepNext/>
        <w:spacing w:before="240" w:after="120"/>
        <w:ind w:firstLine="0"/>
        <w:jc w:val="center"/>
        <w:rPr>
          <w:rFonts w:ascii="Arial Narrow" w:hAnsi="Arial Narrow"/>
        </w:rPr>
      </w:pPr>
      <w:r>
        <w:rPr>
          <w:rFonts w:ascii="Arial Narrow" w:hAnsi="Arial Narrow"/>
          <w:b/>
          <w:sz w:val="28"/>
          <w:szCs w:val="28"/>
        </w:rPr>
        <w:t>1</w:t>
      </w:r>
    </w:p>
    <w:p w:rsidR="00CD12DC" w:rsidRPr="00F95336" w:rsidRDefault="00CD12DC" w:rsidP="00CD12DC">
      <w:pPr>
        <w:rPr>
          <w:rFonts w:ascii="Arial Narrow" w:hAnsi="Arial Narrow"/>
        </w:rPr>
      </w:pPr>
      <w:r w:rsidRPr="00F95336">
        <w:rPr>
          <w:rFonts w:ascii="Arial Narrow" w:hAnsi="Arial Narrow"/>
        </w:rPr>
        <w:t xml:space="preserve">No conjunto das obras de Karl Marx e Friedrich Engels existe uma curiosa dualidade de perspectivas. Por um lado, nos seus textos económicos e nos programas políticos de longo prazo os dois fundadores do comunismo moderno desenvolveram e expuseram de maneira abstracta o bem conhecido modelo, afirmando que os mecanismos da exploração dividem a sociedade capitalista em classes antagónicas, cuja luta constitui o motor da história. </w:t>
      </w:r>
      <w:r w:rsidR="009030F4">
        <w:rPr>
          <w:rFonts w:ascii="Arial Narrow" w:hAnsi="Arial Narrow"/>
        </w:rPr>
        <w:t>A própria noção de economia perdeu o sentido que lhe era</w:t>
      </w:r>
      <w:r w:rsidR="00975E9B">
        <w:rPr>
          <w:rFonts w:ascii="Arial Narrow" w:hAnsi="Arial Narrow"/>
        </w:rPr>
        <w:t xml:space="preserve"> —</w:t>
      </w:r>
      <w:r w:rsidR="009030F4">
        <w:rPr>
          <w:rFonts w:ascii="Arial Narrow" w:hAnsi="Arial Narrow"/>
        </w:rPr>
        <w:t xml:space="preserve"> e é</w:t>
      </w:r>
      <w:r w:rsidR="00975E9B">
        <w:rPr>
          <w:rFonts w:ascii="Arial Narrow" w:hAnsi="Arial Narrow"/>
        </w:rPr>
        <w:t xml:space="preserve"> —</w:t>
      </w:r>
      <w:r w:rsidR="009030F4">
        <w:rPr>
          <w:rFonts w:ascii="Arial Narrow" w:hAnsi="Arial Narrow"/>
        </w:rPr>
        <w:t xml:space="preserve"> dado pelos economistas e passou a definir-se em função </w:t>
      </w:r>
      <w:r w:rsidR="002D2B13">
        <w:rPr>
          <w:rFonts w:ascii="Arial Narrow" w:hAnsi="Arial Narrow"/>
        </w:rPr>
        <w:t>desses</w:t>
      </w:r>
      <w:r w:rsidR="009030F4">
        <w:rPr>
          <w:rFonts w:ascii="Arial Narrow" w:hAnsi="Arial Narrow"/>
        </w:rPr>
        <w:t xml:space="preserve"> mecanismos d</w:t>
      </w:r>
      <w:r w:rsidR="00975E9B">
        <w:rPr>
          <w:rFonts w:ascii="Arial Narrow" w:hAnsi="Arial Narrow"/>
        </w:rPr>
        <w:t>a</w:t>
      </w:r>
      <w:r w:rsidR="009030F4">
        <w:rPr>
          <w:rFonts w:ascii="Arial Narrow" w:hAnsi="Arial Narrow"/>
        </w:rPr>
        <w:t xml:space="preserve"> exploração. </w:t>
      </w:r>
      <w:r w:rsidRPr="00F95336">
        <w:rPr>
          <w:rFonts w:ascii="Arial Narrow" w:hAnsi="Arial Narrow"/>
        </w:rPr>
        <w:t xml:space="preserve">Por outro lado, porém, nas análises concretas, na descrição dos processos revolucionários e em inúmeros textos de circunstância </w:t>
      </w:r>
      <w:r w:rsidR="009030F4" w:rsidRPr="00F95336">
        <w:rPr>
          <w:rFonts w:ascii="Arial Narrow" w:hAnsi="Arial Narrow"/>
        </w:rPr>
        <w:t xml:space="preserve">Marx e Engels </w:t>
      </w:r>
      <w:r w:rsidRPr="00F95336">
        <w:rPr>
          <w:rFonts w:ascii="Arial Narrow" w:hAnsi="Arial Narrow"/>
        </w:rPr>
        <w:t xml:space="preserve">recorreram a um modelo </w:t>
      </w:r>
      <w:r w:rsidR="009030F4">
        <w:rPr>
          <w:rFonts w:ascii="Arial Narrow" w:hAnsi="Arial Narrow"/>
        </w:rPr>
        <w:t>oposto</w:t>
      </w:r>
      <w:r w:rsidRPr="00F95336">
        <w:rPr>
          <w:rFonts w:ascii="Arial Narrow" w:hAnsi="Arial Narrow"/>
        </w:rPr>
        <w:t xml:space="preserve">, trocando a definição económica e abstracta </w:t>
      </w:r>
      <w:r w:rsidR="009030F4">
        <w:rPr>
          <w:rFonts w:ascii="Arial Narrow" w:hAnsi="Arial Narrow"/>
        </w:rPr>
        <w:t>das</w:t>
      </w:r>
      <w:r w:rsidRPr="00F95336">
        <w:rPr>
          <w:rFonts w:ascii="Arial Narrow" w:hAnsi="Arial Narrow"/>
        </w:rPr>
        <w:t xml:space="preserve"> classe</w:t>
      </w:r>
      <w:r w:rsidR="009030F4">
        <w:rPr>
          <w:rFonts w:ascii="Arial Narrow" w:hAnsi="Arial Narrow"/>
        </w:rPr>
        <w:t>s</w:t>
      </w:r>
      <w:r w:rsidRPr="00F95336">
        <w:rPr>
          <w:rFonts w:ascii="Arial Narrow" w:hAnsi="Arial Narrow"/>
        </w:rPr>
        <w:t xml:space="preserve"> pela evocação de uma pluralidade de grupos sociais caracterizados empiricamente, através da conotação política de cada um. Não se tratava de distinguir em cada classe os diversos estratos que a compunham, mas de sobrepor </w:t>
      </w:r>
      <w:r w:rsidR="00E2696F">
        <w:rPr>
          <w:rFonts w:ascii="Arial Narrow" w:hAnsi="Arial Narrow"/>
        </w:rPr>
        <w:t xml:space="preserve">à </w:t>
      </w:r>
      <w:r w:rsidRPr="00F95336">
        <w:rPr>
          <w:rFonts w:ascii="Arial Narrow" w:hAnsi="Arial Narrow"/>
        </w:rPr>
        <w:t>divisão económica uma divisão supraclassista, que atribuía os movimentos históricos a disputas de interesses nacionais, condicionados pelo que mais tarde hav</w:t>
      </w:r>
      <w:r w:rsidR="00350159">
        <w:rPr>
          <w:rFonts w:ascii="Arial Narrow" w:hAnsi="Arial Narrow"/>
        </w:rPr>
        <w:t>er</w:t>
      </w:r>
      <w:r w:rsidRPr="00F95336">
        <w:rPr>
          <w:rFonts w:ascii="Arial Narrow" w:hAnsi="Arial Narrow"/>
        </w:rPr>
        <w:t>ia de se chamar geopolítica</w:t>
      </w:r>
      <w:r w:rsidR="00B10504">
        <w:rPr>
          <w:rStyle w:val="Refdenotaderodap"/>
          <w:rFonts w:ascii="Arial Narrow" w:hAnsi="Arial Narrow"/>
        </w:rPr>
        <w:footnoteReference w:id="20"/>
      </w:r>
      <w:r w:rsidRPr="00F95336">
        <w:rPr>
          <w:rFonts w:ascii="Arial Narrow" w:hAnsi="Arial Narrow"/>
        </w:rPr>
        <w:t>. Para o leitor comum, que do marxismo conheça apenas os textos do primeiro tipo ou só deles tenha ouvido falar, será talvez surpreendente saber que Engels explic</w:t>
      </w:r>
      <w:r>
        <w:rPr>
          <w:rFonts w:ascii="Arial Narrow" w:hAnsi="Arial Narrow"/>
        </w:rPr>
        <w:t>ou</w:t>
      </w:r>
      <w:r w:rsidRPr="00F95336">
        <w:rPr>
          <w:rFonts w:ascii="Arial Narrow" w:hAnsi="Arial Narrow"/>
        </w:rPr>
        <w:t xml:space="preserve"> a dinâmica da revolução francesa pela guerra entre a França revolucionária e as potências reaccionárias europeias, e consider</w:t>
      </w:r>
      <w:r>
        <w:rPr>
          <w:rFonts w:ascii="Arial Narrow" w:hAnsi="Arial Narrow"/>
        </w:rPr>
        <w:t>ou</w:t>
      </w:r>
      <w:r w:rsidRPr="00F95336">
        <w:rPr>
          <w:rFonts w:ascii="Arial Narrow" w:hAnsi="Arial Narrow"/>
        </w:rPr>
        <w:t xml:space="preserve"> que teriam sido as vitórias e as derrotas militares a determinar as modalidades e os resultados da luta entre as classes sociais no interior do país, em vez de ser o confronto das classes a orientar o curso da guerra</w:t>
      </w:r>
      <w:r w:rsidRPr="00F95336">
        <w:rPr>
          <w:rStyle w:val="Refdenotaderodap"/>
          <w:rFonts w:ascii="Arial Narrow" w:hAnsi="Arial Narrow"/>
        </w:rPr>
        <w:footnoteReference w:id="21"/>
      </w:r>
      <w:r w:rsidRPr="00F95336">
        <w:rPr>
          <w:rFonts w:ascii="Arial Narrow" w:hAnsi="Arial Narrow"/>
        </w:rPr>
        <w:t>. Já em 1848 Engels sustentara que a revolução democrática na Alemanha e a unificação do país só poderiam ser alcançadas através de uma guerra contra a Rússia e que este factor externo determinaria o processo interno de lutas sociais</w:t>
      </w:r>
      <w:r w:rsidRPr="00F95336">
        <w:rPr>
          <w:rStyle w:val="Refdenotaderodap"/>
          <w:rFonts w:ascii="Arial Narrow" w:hAnsi="Arial Narrow"/>
        </w:rPr>
        <w:footnoteReference w:id="22"/>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Sob esse ponto de vista, o grande acontecimento da segunda metade do século XIX consistiria na guerra, cuja iminência Marx e Engels tantas vezes se enganaram ao anunciar, entre a autocracia russa e os radicais da Europa ocidental, os alemães sobretudo. A obsessão </w:t>
      </w:r>
      <w:r w:rsidRPr="00F95336">
        <w:rPr>
          <w:rFonts w:ascii="Arial Narrow" w:hAnsi="Arial Narrow"/>
        </w:rPr>
        <w:lastRenderedPageBreak/>
        <w:t>antieslava foi a trama que sustentou as visões políticas de Marx e de Engels</w:t>
      </w:r>
      <w:r w:rsidRPr="00F95336">
        <w:rPr>
          <w:rStyle w:val="Refdenotaderodap"/>
          <w:rFonts w:ascii="Arial Narrow" w:hAnsi="Arial Narrow"/>
        </w:rPr>
        <w:footnoteReference w:id="23"/>
      </w:r>
      <w:r w:rsidRPr="00F95336">
        <w:rPr>
          <w:rFonts w:ascii="Arial Narrow" w:hAnsi="Arial Narrow"/>
        </w:rPr>
        <w:t>. E os interesses próprios d</w:t>
      </w:r>
      <w:r w:rsidR="00DA6359">
        <w:rPr>
          <w:rFonts w:ascii="Arial Narrow" w:hAnsi="Arial Narrow"/>
        </w:rPr>
        <w:t>a</w:t>
      </w:r>
      <w:r w:rsidRPr="00F95336">
        <w:rPr>
          <w:rFonts w:ascii="Arial Narrow" w:hAnsi="Arial Narrow"/>
        </w:rPr>
        <w:t xml:space="preserve"> </w:t>
      </w:r>
      <w:r w:rsidR="00DA6359">
        <w:rPr>
          <w:rFonts w:ascii="Arial Narrow" w:hAnsi="Arial Narrow"/>
        </w:rPr>
        <w:t>classe trabalhadora</w:t>
      </w:r>
      <w:r w:rsidRPr="00F95336">
        <w:rPr>
          <w:rFonts w:ascii="Arial Narrow" w:hAnsi="Arial Narrow"/>
        </w:rPr>
        <w:t xml:space="preserve">, que no modelo abstracto eram postulados como determinantes, encontravam-se remetidos no modelo empírico para um confronto entre alianças nacionais, conduzida uma pela facção reaccionária, </w:t>
      </w:r>
      <w:r w:rsidR="00437F1D">
        <w:rPr>
          <w:rFonts w:ascii="Arial Narrow" w:hAnsi="Arial Narrow"/>
        </w:rPr>
        <w:t xml:space="preserve">a </w:t>
      </w:r>
      <w:r w:rsidRPr="00F95336">
        <w:rPr>
          <w:rFonts w:ascii="Arial Narrow" w:hAnsi="Arial Narrow"/>
        </w:rPr>
        <w:t xml:space="preserve">outra pela facção progressiva, das respectivas classes dominantes. Assim, nos estudos analíticos e nos artigos de intervenção os dois amigos, em vez de se concentrarem na realidade supranacional do proletariado enquanto classe explorada, tomaram como critério de classificação social a posição política ocupada por cada grupo relativamente ao Estado e reduziram as perspectivas de futuro a variações em torno do tema da nação. Talvez se explique deste modo a paradoxal ausência de lutas sociais em </w:t>
      </w:r>
      <w:r w:rsidRPr="00F95336">
        <w:rPr>
          <w:rFonts w:ascii="Arial Narrow" w:hAnsi="Arial Narrow"/>
          <w:i/>
        </w:rPr>
        <w:t>O Capital,</w:t>
      </w:r>
      <w:r w:rsidRPr="00F95336">
        <w:rPr>
          <w:rFonts w:ascii="Arial Narrow" w:hAnsi="Arial Narrow"/>
        </w:rPr>
        <w:t xml:space="preserve"> pois o carácter estritamente teórico e abstracto desta obra não deixava lugar para conflitos que o autor era incapaz de relatar a não ser em termos de jogos políticos estatais e de choques de interesses entre nações. A dualidade entre a economia e a geopolítica correspondeu, para os criadores do marxismo, à diferença entre a síntese abstracta e a análise concreta, e nunca resolveram a tensão entre o modelo económico, em que definiam a existência mundial do</w:t>
      </w:r>
      <w:r w:rsidR="00DA6359">
        <w:rPr>
          <w:rFonts w:ascii="Arial Narrow" w:hAnsi="Arial Narrow"/>
        </w:rPr>
        <w:t>s</w:t>
      </w:r>
      <w:r w:rsidRPr="00F95336">
        <w:rPr>
          <w:rFonts w:ascii="Arial Narrow" w:hAnsi="Arial Narrow"/>
        </w:rPr>
        <w:t xml:space="preserve"> </w:t>
      </w:r>
      <w:r w:rsidR="00DA6359">
        <w:rPr>
          <w:rFonts w:ascii="Arial Narrow" w:hAnsi="Arial Narrow"/>
        </w:rPr>
        <w:t xml:space="preserve">trabalhadores </w:t>
      </w:r>
      <w:r w:rsidRPr="00F95336">
        <w:rPr>
          <w:rFonts w:ascii="Arial Narrow" w:hAnsi="Arial Narrow"/>
        </w:rPr>
        <w:t xml:space="preserve">e dos capitalistas, e o </w:t>
      </w:r>
      <w:r w:rsidR="00430E1D">
        <w:rPr>
          <w:rFonts w:ascii="Arial Narrow" w:hAnsi="Arial Narrow"/>
        </w:rPr>
        <w:t>terreno</w:t>
      </w:r>
      <w:r w:rsidRPr="00F95336">
        <w:rPr>
          <w:rFonts w:ascii="Arial Narrow" w:hAnsi="Arial Narrow"/>
        </w:rPr>
        <w:t xml:space="preserve"> de referências empírico, que remetia exclusivamente para a problemática do Estado e da nação. Tomando-se por um especialista de estado-maior, Engels dedicou muitíssimo mais páginas a perorar sobre questões de táctica militar e a congeminar planos de organização de exércitos do que a analisar as condições efectivas de luta do</w:t>
      </w:r>
      <w:r w:rsidR="00DA6359">
        <w:rPr>
          <w:rFonts w:ascii="Arial Narrow" w:hAnsi="Arial Narrow"/>
        </w:rPr>
        <w:t>s</w:t>
      </w:r>
      <w:r w:rsidRPr="00F95336">
        <w:rPr>
          <w:rFonts w:ascii="Arial Narrow" w:hAnsi="Arial Narrow"/>
        </w:rPr>
        <w:t xml:space="preserve"> </w:t>
      </w:r>
      <w:r w:rsidR="00DA6359">
        <w:rPr>
          <w:rFonts w:ascii="Arial Narrow" w:hAnsi="Arial Narrow"/>
        </w:rPr>
        <w:t>trabalhadores</w:t>
      </w:r>
      <w:r w:rsidRPr="00F95336">
        <w:rPr>
          <w:rFonts w:ascii="Arial Narrow" w:hAnsi="Arial Narrow"/>
        </w:rPr>
        <w:t>. Nos seus textos de intervenção política, que lhes deveriam ter servido para ligar a teoria à prática, ele e o seu amigo Marx operaram na teoria uma alteração profunda e, afinal, converteram-na numa teoria contrária, dando ao antagonismo entre a classe revolucionária e a classe reaccionária a forma de uma «luta entre nações revolucionárias e nações contra-revolucionárias», consoante os termos inúmeras vezes repetidos. Esta transformação da luta de classes em luta de nações ou, talvez mais exactamente, esta conversão de cada um dos campos das lutas nacionais em representante de uma ou outra classe social abriu a brecha teórica e prática onde mais tarde o fascismo hav</w:t>
      </w:r>
      <w:r w:rsidR="00430E1D">
        <w:rPr>
          <w:rFonts w:ascii="Arial Narrow" w:hAnsi="Arial Narrow"/>
        </w:rPr>
        <w:t>er</w:t>
      </w:r>
      <w:r w:rsidRPr="00F95336">
        <w:rPr>
          <w:rFonts w:ascii="Arial Narrow" w:hAnsi="Arial Narrow"/>
        </w:rPr>
        <w:t xml:space="preserve">ia de se instalar. </w:t>
      </w:r>
    </w:p>
    <w:p w:rsidR="00CD12DC" w:rsidRPr="00F95336" w:rsidRDefault="00CD12DC" w:rsidP="00CD12DC">
      <w:pPr>
        <w:rPr>
          <w:rFonts w:ascii="Arial Narrow" w:hAnsi="Arial Narrow"/>
        </w:rPr>
      </w:pPr>
      <w:r w:rsidRPr="00F95336">
        <w:rPr>
          <w:rFonts w:ascii="Arial Narrow" w:hAnsi="Arial Narrow"/>
        </w:rPr>
        <w:t xml:space="preserve">A posição assumida por Marx e Engels relativamente ao movimento revolucionário que em 1848 e 1849 abalou os estados germânicos e o Império Austro-Húngaro foi inteiramente condicionada pela perspectiva geopolítica. É certo que as tendências retrógradas eram ainda muito fortes entre o incipiente proletariado urbano alemão e que grande parte dos seus membros procurava junto à burguesia progressista uma direcção política que não sabia encontrar na sua </w:t>
      </w:r>
      <w:r w:rsidRPr="00F95336">
        <w:rPr>
          <w:rFonts w:ascii="Arial Narrow" w:hAnsi="Arial Narrow"/>
        </w:rPr>
        <w:lastRenderedPageBreak/>
        <w:t>própria classe. Apesar disto, as organizações operárias autónomas proliferavam e, além de reivindicarem a melhoria das condições de vida, representavam a hostilidade dos trabalhadores à burguesia</w:t>
      </w:r>
      <w:r>
        <w:rPr>
          <w:rFonts w:ascii="Arial Narrow" w:hAnsi="Arial Narrow"/>
        </w:rPr>
        <w:t>.</w:t>
      </w:r>
      <w:r w:rsidRPr="00F95336">
        <w:rPr>
          <w:rFonts w:ascii="Arial Narrow" w:hAnsi="Arial Narrow"/>
        </w:rPr>
        <w:t xml:space="preserve"> Em Berlim o chefe de redacção do </w:t>
      </w:r>
      <w:r w:rsidRPr="00F95336">
        <w:rPr>
          <w:rFonts w:ascii="Arial Narrow" w:hAnsi="Arial Narrow"/>
          <w:i/>
        </w:rPr>
        <w:t>Zeitungshalle,</w:t>
      </w:r>
      <w:r w:rsidRPr="00F95336">
        <w:rPr>
          <w:rFonts w:ascii="Arial Narrow" w:hAnsi="Arial Narrow"/>
        </w:rPr>
        <w:t xml:space="preserve"> o socialista e hegeliano de esquerda Gustav Julius, escreve</w:t>
      </w:r>
      <w:r>
        <w:rPr>
          <w:rFonts w:ascii="Arial Narrow" w:hAnsi="Arial Narrow"/>
        </w:rPr>
        <w:t>u</w:t>
      </w:r>
      <w:r w:rsidRPr="00F95336">
        <w:rPr>
          <w:rFonts w:ascii="Arial Narrow" w:hAnsi="Arial Narrow"/>
        </w:rPr>
        <w:t xml:space="preserve"> em Março de 1848: «Entre nós, bem como em França e na Inglaterra, ocorreu a ruptura entre a classe burguesa e a classe operária. A luta prossegue não entre monarquia e república, mas entre proletários e proprietários»</w:t>
      </w:r>
      <w:r w:rsidRPr="00F95336">
        <w:rPr>
          <w:rStyle w:val="Refdenotaderodap"/>
          <w:rFonts w:ascii="Arial Narrow" w:hAnsi="Arial Narrow"/>
        </w:rPr>
        <w:footnoteReference w:id="24"/>
      </w:r>
      <w:r w:rsidRPr="00F95336">
        <w:rPr>
          <w:rFonts w:ascii="Arial Narrow" w:hAnsi="Arial Narrow"/>
        </w:rPr>
        <w:t xml:space="preserve">. </w:t>
      </w:r>
      <w:r w:rsidR="00A84259" w:rsidRPr="00F95336">
        <w:rPr>
          <w:rFonts w:ascii="Arial Narrow" w:hAnsi="Arial Narrow"/>
        </w:rPr>
        <w:t xml:space="preserve">Outros </w:t>
      </w:r>
      <w:r w:rsidRPr="00F95336">
        <w:rPr>
          <w:rFonts w:ascii="Arial Narrow" w:hAnsi="Arial Narrow"/>
        </w:rPr>
        <w:t>panfletários, noutros jornais, proclamaram igualmente que já não eram possíveis os compromissos entre patrões e trabalhadores</w:t>
      </w:r>
      <w:r w:rsidRPr="00F95336">
        <w:rPr>
          <w:rStyle w:val="Refdenotaderodap"/>
          <w:rFonts w:ascii="Arial Narrow" w:hAnsi="Arial Narrow"/>
        </w:rPr>
        <w:footnoteReference w:id="25"/>
      </w:r>
      <w:r w:rsidRPr="00F95336">
        <w:rPr>
          <w:rFonts w:ascii="Arial Narrow" w:hAnsi="Arial Narrow"/>
        </w:rPr>
        <w:t xml:space="preserve">. </w:t>
      </w:r>
      <w:r w:rsidR="00DA1EA0">
        <w:rPr>
          <w:rFonts w:ascii="Arial Narrow" w:hAnsi="Arial Narrow"/>
        </w:rPr>
        <w:t>E se o programa e a acção prática de Stephan Bor</w:t>
      </w:r>
      <w:r w:rsidR="00B20E33">
        <w:rPr>
          <w:rFonts w:ascii="Arial Narrow" w:hAnsi="Arial Narrow"/>
        </w:rPr>
        <w:t>n</w:t>
      </w:r>
      <w:r w:rsidR="00DA1EA0">
        <w:rPr>
          <w:rFonts w:ascii="Arial Narrow" w:hAnsi="Arial Narrow"/>
        </w:rPr>
        <w:t xml:space="preserve"> e dos seus amigos pode</w:t>
      </w:r>
      <w:r w:rsidR="009B1D0D">
        <w:rPr>
          <w:rFonts w:ascii="Arial Narrow" w:hAnsi="Arial Narrow"/>
        </w:rPr>
        <w:t>m</w:t>
      </w:r>
      <w:r w:rsidR="00DA1EA0">
        <w:rPr>
          <w:rFonts w:ascii="Arial Narrow" w:hAnsi="Arial Narrow"/>
        </w:rPr>
        <w:t xml:space="preserve"> hoje parecer reformista</w:t>
      </w:r>
      <w:r w:rsidR="009B1D0D">
        <w:rPr>
          <w:rFonts w:ascii="Arial Narrow" w:hAnsi="Arial Narrow"/>
        </w:rPr>
        <w:t>s</w:t>
      </w:r>
      <w:r w:rsidR="00DA1EA0">
        <w:rPr>
          <w:rFonts w:ascii="Arial Narrow" w:hAnsi="Arial Narrow"/>
        </w:rPr>
        <w:t xml:space="preserve">, nas condições da época eles </w:t>
      </w:r>
      <w:r w:rsidR="001B30F5">
        <w:rPr>
          <w:rFonts w:ascii="Arial Narrow" w:hAnsi="Arial Narrow"/>
        </w:rPr>
        <w:t xml:space="preserve">esforçaram-se por reunir o proletariado industrial em torno dos interesses económicos </w:t>
      </w:r>
      <w:r w:rsidR="00C20BD1">
        <w:rPr>
          <w:rFonts w:ascii="Arial Narrow" w:hAnsi="Arial Narrow"/>
        </w:rPr>
        <w:t>imediatos</w:t>
      </w:r>
      <w:r w:rsidR="001B30F5">
        <w:rPr>
          <w:rFonts w:ascii="Arial Narrow" w:hAnsi="Arial Narrow"/>
        </w:rPr>
        <w:t>, que precisamente o opunham à burguesia e lhe davam uma consciência de classe</w:t>
      </w:r>
      <w:r w:rsidR="00A00C2E">
        <w:rPr>
          <w:rStyle w:val="Refdenotaderodap"/>
          <w:rFonts w:ascii="Arial Narrow" w:hAnsi="Arial Narrow"/>
        </w:rPr>
        <w:footnoteReference w:id="26"/>
      </w:r>
      <w:r w:rsidR="001B30F5">
        <w:rPr>
          <w:rFonts w:ascii="Arial Narrow" w:hAnsi="Arial Narrow"/>
        </w:rPr>
        <w:t xml:space="preserve">. </w:t>
      </w:r>
      <w:r w:rsidRPr="00F95336">
        <w:rPr>
          <w:rFonts w:ascii="Arial Narrow" w:hAnsi="Arial Narrow"/>
        </w:rPr>
        <w:t xml:space="preserve">Mas Marx e Engels, embora se apresentassem como a única vanguarda coerente do socialismo, opuseram-se então com o denodo de que eram capazes </w:t>
      </w:r>
      <w:r w:rsidR="003F7872">
        <w:rPr>
          <w:rFonts w:ascii="Arial Narrow" w:hAnsi="Arial Narrow"/>
        </w:rPr>
        <w:t>—</w:t>
      </w:r>
      <w:r w:rsidRPr="00F95336">
        <w:rPr>
          <w:rFonts w:ascii="Arial Narrow" w:hAnsi="Arial Narrow"/>
        </w:rPr>
        <w:t xml:space="preserve"> e com a má-fé que sabiam empregar </w:t>
      </w:r>
      <w:r w:rsidR="003F7872">
        <w:rPr>
          <w:rFonts w:ascii="Arial Narrow" w:hAnsi="Arial Narrow"/>
        </w:rPr>
        <w:t>—</w:t>
      </w:r>
      <w:r w:rsidRPr="00F95336">
        <w:rPr>
          <w:rFonts w:ascii="Arial Narrow" w:hAnsi="Arial Narrow"/>
        </w:rPr>
        <w:t xml:space="preserve"> à orientação política que pretendia assegurar a rigorosa autonomia da classe operária através da criação de um partido próprio. Durante aqueles dois anos de guerra civil e agitação revolucionária os dois amigos defenderam a manutenção de uma aliança estreita entre os trabalhadores e os elementos das classes dominantes considerados democráticos, e para isso procuraram diluir a independência organizativa de que o proletariado mal havia começado a dotar-se</w:t>
      </w:r>
      <w:r w:rsidRPr="00F95336">
        <w:rPr>
          <w:rStyle w:val="Refdenotaderodap"/>
          <w:rFonts w:ascii="Arial Narrow" w:hAnsi="Arial Narrow"/>
        </w:rPr>
        <w:footnoteReference w:id="27"/>
      </w:r>
      <w:r w:rsidRPr="00F95336">
        <w:rPr>
          <w:rFonts w:ascii="Arial Narrow" w:hAnsi="Arial Narrow"/>
        </w:rPr>
        <w:t xml:space="preserve">. Para Marx e Engels tratou-se de muito mais do que uma questão de política interna, por importante que esta fosse, pois dela fizeram depender a estratégia internacional da revolução, e para justificá-la deram livre curso a uma peculiar teoria que restringia a história a certos povos, relegando os restantes para um limbo onde aparentemente não se moveria o tempo social. </w:t>
      </w:r>
    </w:p>
    <w:p w:rsidR="00CD12DC" w:rsidRPr="00F95336" w:rsidRDefault="00CD12DC" w:rsidP="00CD12DC">
      <w:pPr>
        <w:rPr>
          <w:rFonts w:ascii="Arial Narrow" w:hAnsi="Arial Narrow"/>
        </w:rPr>
      </w:pPr>
      <w:r w:rsidRPr="00F95336">
        <w:rPr>
          <w:rFonts w:ascii="Arial Narrow" w:hAnsi="Arial Narrow"/>
        </w:rPr>
        <w:t xml:space="preserve">As facções da burguesia e da nobreza que nas cidades da futura Alemanha e do Império Austro-Húngaro se erguiam contra o </w:t>
      </w:r>
      <w:r w:rsidRPr="00F95336">
        <w:rPr>
          <w:rFonts w:ascii="Arial Narrow" w:hAnsi="Arial Narrow"/>
          <w:i/>
        </w:rPr>
        <w:t>Ancien Régime</w:t>
      </w:r>
      <w:r w:rsidRPr="00F95336">
        <w:rPr>
          <w:rFonts w:ascii="Arial Narrow" w:hAnsi="Arial Narrow"/>
        </w:rPr>
        <w:t xml:space="preserve"> procuravam o apoio do proletariado urbano, igualmente desejoso de ver a queda de um sistema que entravava o progresso da indústria. Mas esses mesmos radicais, tanto aristocratas como burgueses, perdiam fora das cidades qualquer perspectiva revolucionária, ou sequer reformista, e não encontravam outro programa senão a opressão dos camponeses. É perfeitamente compreensível, então, que os camponeses não </w:t>
      </w:r>
      <w:r w:rsidR="006F2A59">
        <w:rPr>
          <w:rFonts w:ascii="Arial Narrow" w:hAnsi="Arial Narrow"/>
        </w:rPr>
        <w:t xml:space="preserve">se </w:t>
      </w:r>
      <w:r w:rsidRPr="00F95336">
        <w:rPr>
          <w:rFonts w:ascii="Arial Narrow" w:hAnsi="Arial Narrow"/>
        </w:rPr>
        <w:t>sentissem interess</w:t>
      </w:r>
      <w:r w:rsidR="006F2A59">
        <w:rPr>
          <w:rFonts w:ascii="Arial Narrow" w:hAnsi="Arial Narrow"/>
        </w:rPr>
        <w:t>ados</w:t>
      </w:r>
      <w:r w:rsidRPr="00F95336">
        <w:rPr>
          <w:rFonts w:ascii="Arial Narrow" w:hAnsi="Arial Narrow"/>
        </w:rPr>
        <w:t xml:space="preserve"> em apoiar a luta dos radicais contra as dinastias alemãs e austríaca e acabassem por fornecer ao despotismo uma base social para restaurar o seu poder e a carne de canhão necessária para impô-lo pelas armas. Esta clivagem social aparecia, contudo, disfarçada </w:t>
      </w:r>
      <w:r w:rsidRPr="00F95336">
        <w:rPr>
          <w:rFonts w:ascii="Arial Narrow" w:hAnsi="Arial Narrow"/>
        </w:rPr>
        <w:lastRenderedPageBreak/>
        <w:t>sob uma aparência étnica, porque enquanto nas cidades muitos trabalhadores partilhavam com os patrões a ascendência germânica e os outros, de origem eslava, haviam sido assimilados pelo meio cosmopolita e estavam em grande medida germanizados, a sociedade rural encontrava-se geralmente dividida entre o campesinato, de tradição eslava, e os senhores da terra, que formavam uma nobreza germânica ou inteiramente germanizada. O mesmo sucedia nos seus territórios com os senhores húngaros</w:t>
      </w:r>
      <w:r w:rsidRPr="00F95336">
        <w:rPr>
          <w:rStyle w:val="Refdenotaderodap"/>
          <w:rFonts w:ascii="Arial Narrow" w:hAnsi="Arial Narrow"/>
        </w:rPr>
        <w:footnoteReference w:id="28"/>
      </w:r>
      <w:r w:rsidRPr="00F95336">
        <w:rPr>
          <w:rFonts w:ascii="Arial Narrow" w:hAnsi="Arial Narrow"/>
        </w:rPr>
        <w:t>. Um autor que estudou lucidamente estas questões resum</w:t>
      </w:r>
      <w:r>
        <w:rPr>
          <w:rFonts w:ascii="Arial Narrow" w:hAnsi="Arial Narrow"/>
        </w:rPr>
        <w:t>iu</w:t>
      </w:r>
      <w:r w:rsidRPr="00F95336">
        <w:rPr>
          <w:rFonts w:ascii="Arial Narrow" w:hAnsi="Arial Narrow"/>
        </w:rPr>
        <w:t xml:space="preserve"> a situação afirmando que «as classes dominantes das chamadas nações históricas de 1848-1849 combatiam não só pelos seus Estados nacionais, mas também, e ao mesmo tempo, pelas suas </w:t>
      </w:r>
      <w:r w:rsidRPr="00F95336">
        <w:rPr>
          <w:rFonts w:ascii="Arial Narrow" w:hAnsi="Arial Narrow"/>
          <w:i/>
        </w:rPr>
        <w:t>“esferas de poder nacionais”,</w:t>
      </w:r>
      <w:r w:rsidRPr="00F95336">
        <w:rPr>
          <w:rFonts w:ascii="Arial Narrow" w:hAnsi="Arial Narrow"/>
        </w:rPr>
        <w:t xml:space="preserve"> quer dizer, pela continuidade da exploração e da opressão dos “povos servis” existentes até esse momento, enquanto por outro lado, e no essencial, o movimento dos eslavos, considerados exteriores ao curso da história, tinha precisamente origem numa sublevação contra o predomínio nacional e social das nobrezas feudais húngara, polaca e alemã, bem como da burguesia alemã [...]». E o mesmo autor acrescent</w:t>
      </w:r>
      <w:r>
        <w:rPr>
          <w:rFonts w:ascii="Arial Narrow" w:hAnsi="Arial Narrow"/>
        </w:rPr>
        <w:t>ou</w:t>
      </w:r>
      <w:r w:rsidRPr="00F95336">
        <w:rPr>
          <w:rFonts w:ascii="Arial Narrow" w:hAnsi="Arial Narrow"/>
        </w:rPr>
        <w:t xml:space="preserve"> que «esses eslavos (quer dizer, antes de mais, as massas camponesas eslavas) não actuavam em virtude de motivos </w:t>
      </w:r>
      <w:r w:rsidRPr="00F95336">
        <w:rPr>
          <w:rFonts w:ascii="Arial Narrow" w:hAnsi="Arial Narrow"/>
          <w:i/>
        </w:rPr>
        <w:t>nacionais,</w:t>
      </w:r>
      <w:r w:rsidRPr="00F95336">
        <w:rPr>
          <w:rFonts w:ascii="Arial Narrow" w:hAnsi="Arial Narrow"/>
        </w:rPr>
        <w:t xml:space="preserve"> mas </w:t>
      </w:r>
      <w:r w:rsidRPr="00F95336">
        <w:rPr>
          <w:rFonts w:ascii="Arial Narrow" w:hAnsi="Arial Narrow"/>
          <w:i/>
        </w:rPr>
        <w:t>sociais,</w:t>
      </w:r>
      <w:r w:rsidRPr="00F95336">
        <w:rPr>
          <w:rFonts w:ascii="Arial Narrow" w:hAnsi="Arial Narrow"/>
        </w:rPr>
        <w:t xml:space="preserve"> porque nos porta-vozes da revolução </w:t>
      </w:r>
      <w:r w:rsidR="00694309">
        <w:rPr>
          <w:rFonts w:ascii="Arial Narrow" w:hAnsi="Arial Narrow"/>
        </w:rPr>
        <w:t>—</w:t>
      </w:r>
      <w:r w:rsidRPr="00F95336">
        <w:rPr>
          <w:rFonts w:ascii="Arial Narrow" w:hAnsi="Arial Narrow"/>
        </w:rPr>
        <w:t xml:space="preserve"> e com razão em boa parte dos casos </w:t>
      </w:r>
      <w:r w:rsidR="00694309">
        <w:rPr>
          <w:rFonts w:ascii="Arial Narrow" w:hAnsi="Arial Narrow"/>
        </w:rPr>
        <w:t>—</w:t>
      </w:r>
      <w:r w:rsidRPr="00F95336">
        <w:rPr>
          <w:rFonts w:ascii="Arial Narrow" w:hAnsi="Arial Narrow"/>
        </w:rPr>
        <w:t xml:space="preserve"> </w:t>
      </w:r>
      <w:r w:rsidRPr="00F95336">
        <w:rPr>
          <w:rFonts w:ascii="Arial Narrow" w:hAnsi="Arial Narrow"/>
          <w:i/>
        </w:rPr>
        <w:t>reconheciam os seus opressores habituais</w:t>
      </w:r>
      <w:r w:rsidRPr="00F95336">
        <w:rPr>
          <w:rFonts w:ascii="Arial Narrow" w:hAnsi="Arial Narrow"/>
        </w:rPr>
        <w:t>»</w:t>
      </w:r>
      <w:r w:rsidRPr="00F95336">
        <w:rPr>
          <w:rStyle w:val="Refdenotaderodap"/>
          <w:rFonts w:ascii="Arial Narrow" w:hAnsi="Arial Narrow"/>
        </w:rPr>
        <w:footnoteReference w:id="29"/>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Os políticos democráticos, todavia, interpretaram esta situação como se ela decorresse do combate multissecular da</w:t>
      </w:r>
      <w:r>
        <w:rPr>
          <w:rFonts w:ascii="Arial Narrow" w:hAnsi="Arial Narrow"/>
        </w:rPr>
        <w:t>s</w:t>
      </w:r>
      <w:r w:rsidRPr="00F95336">
        <w:rPr>
          <w:rFonts w:ascii="Arial Narrow" w:hAnsi="Arial Narrow"/>
        </w:rPr>
        <w:t xml:space="preserve"> cultura</w:t>
      </w:r>
      <w:r>
        <w:rPr>
          <w:rFonts w:ascii="Arial Narrow" w:hAnsi="Arial Narrow"/>
        </w:rPr>
        <w:t>s</w:t>
      </w:r>
      <w:r w:rsidRPr="00F95336">
        <w:rPr>
          <w:rFonts w:ascii="Arial Narrow" w:hAnsi="Arial Narrow"/>
        </w:rPr>
        <w:t xml:space="preserve"> germânica </w:t>
      </w:r>
      <w:r>
        <w:rPr>
          <w:rFonts w:ascii="Arial Narrow" w:hAnsi="Arial Narrow"/>
        </w:rPr>
        <w:t>e</w:t>
      </w:r>
      <w:r w:rsidRPr="00F95336">
        <w:rPr>
          <w:rFonts w:ascii="Arial Narrow" w:hAnsi="Arial Narrow"/>
        </w:rPr>
        <w:t xml:space="preserve"> magiar contra os povos eslavos, e justificaram o seu próprio reaccionarismo nas questões rurais atribuindo aos camponeses eslavos um carácter intrinsecamente contra-revolucionário e negando-lhes qualquer direito à emancipação cultural e muito menos nacional. Em 1846, a sangrenta revolta do campesinato da Galícia contra os seus senhores fo</w:t>
      </w:r>
      <w:r>
        <w:rPr>
          <w:rFonts w:ascii="Arial Narrow" w:hAnsi="Arial Narrow"/>
        </w:rPr>
        <w:t>ra</w:t>
      </w:r>
      <w:r w:rsidRPr="00F95336">
        <w:rPr>
          <w:rFonts w:ascii="Arial Narrow" w:hAnsi="Arial Narrow"/>
        </w:rPr>
        <w:t xml:space="preserve"> apresentada pela nobreza independentista como uma acção de ucranianos politicamente retrógrados e imbuídos de fanatismo religioso, ao serviço do império dos Habsburgo, contra a Polónia democrática. Mas na realidade os rurais tinham deixado aos proprietários fundiários a política declamatória e eles próprios haviam tomado a iniciativa de uma reforma agrária. Ao trucidarem os seus senhores, ao </w:t>
      </w:r>
      <w:r w:rsidR="009D73BC">
        <w:rPr>
          <w:rFonts w:ascii="Arial Narrow" w:hAnsi="Arial Narrow"/>
        </w:rPr>
        <w:t xml:space="preserve">se </w:t>
      </w:r>
      <w:r w:rsidRPr="00F95336">
        <w:rPr>
          <w:rFonts w:ascii="Arial Narrow" w:hAnsi="Arial Narrow"/>
        </w:rPr>
        <w:t xml:space="preserve">recusarem a entregar os tributos e até, em alguns casos, ao repartirem entre si as terras senhoriais, os camponeses da Galícia puseram a nu, sem deixar ocasião para dúvidas, o efectivo conteúdo social da </w:t>
      </w:r>
      <w:r w:rsidRPr="00F95336">
        <w:rPr>
          <w:rFonts w:ascii="Arial Narrow" w:hAnsi="Arial Narrow"/>
        </w:rPr>
        <w:lastRenderedPageBreak/>
        <w:t>democracia tão propalada pela nobreza polaca</w:t>
      </w:r>
      <w:r w:rsidRPr="00F95336">
        <w:rPr>
          <w:rStyle w:val="Refdenotaderodap"/>
          <w:rFonts w:ascii="Arial Narrow" w:hAnsi="Arial Narrow"/>
        </w:rPr>
        <w:footnoteReference w:id="30"/>
      </w:r>
      <w:r w:rsidRPr="00F95336">
        <w:rPr>
          <w:rFonts w:ascii="Arial Narrow" w:hAnsi="Arial Narrow"/>
        </w:rPr>
        <w:t>. Mesmo os camponeses etnicamente polacos da Galícia ocidental nem sequer queriam ser chamados «polacos», reservando este nome à nobreza rural e à burguesia urbana, e insurgiram-se ao lado dos seus vizinhos ucranianos. Mas os fundadores do marxismo não quiseram, ou não puderam, aprender esta lição e Engels apodou francamente de reaccionários os revoltosos galicianos</w:t>
      </w:r>
      <w:r w:rsidRPr="00F95336">
        <w:rPr>
          <w:rStyle w:val="Refdenotaderodap"/>
          <w:rFonts w:ascii="Arial Narrow" w:hAnsi="Arial Narrow"/>
        </w:rPr>
        <w:footnoteReference w:id="31"/>
      </w:r>
      <w:r w:rsidRPr="00F95336">
        <w:rPr>
          <w:rFonts w:ascii="Arial Narrow" w:hAnsi="Arial Narrow"/>
        </w:rPr>
        <w:t xml:space="preserve">. Os dois amigos, que nas análises abstractas sabiam identificar com precisão e crueza as oposições de classe, negaram neste caso aos camponeses qualquer capacidade de </w:t>
      </w:r>
      <w:r>
        <w:rPr>
          <w:rFonts w:ascii="Arial Narrow" w:hAnsi="Arial Narrow"/>
        </w:rPr>
        <w:t>agirem</w:t>
      </w:r>
      <w:r w:rsidRPr="00F95336">
        <w:rPr>
          <w:rFonts w:ascii="Arial Narrow" w:hAnsi="Arial Narrow"/>
        </w:rPr>
        <w:t xml:space="preserve"> em defesa dos seus interesses próprios, ao mesmo tempo que fizeram a apologia da aristocracia fundiária polaca só porque ela se apresentava como democrática contra as autocracias. </w:t>
      </w:r>
    </w:p>
    <w:p w:rsidR="00CD12DC" w:rsidRPr="00F95336" w:rsidRDefault="00CD12DC" w:rsidP="00CD12DC">
      <w:pPr>
        <w:rPr>
          <w:rFonts w:ascii="Arial Narrow" w:hAnsi="Arial Narrow"/>
        </w:rPr>
      </w:pPr>
      <w:r w:rsidRPr="00F95336">
        <w:rPr>
          <w:rFonts w:ascii="Arial Narrow" w:hAnsi="Arial Narrow"/>
        </w:rPr>
        <w:t>Iludindo as circunstâncias históricas que levaram os radicais alemães e húngaros a deparar com as reivindicações sociais e nacionais dos outros povos, Engels formulou uma justificação ideológica para o programa de expansão da burguesia germânica e da nobreza magiar e transfigurou numa mitologia geopolítica as consequências decorrentes de clivagens complexas de classe. Ele aceitou a tese, comum entre os historiadores de língua alemã, que atribuía aos colonos germânicos a introdução da civilização entre os bárbaros do Leste</w:t>
      </w:r>
      <w:r w:rsidRPr="00F95336">
        <w:rPr>
          <w:rStyle w:val="Refdenotaderodap"/>
          <w:rFonts w:ascii="Arial Narrow" w:hAnsi="Arial Narrow"/>
        </w:rPr>
        <w:footnoteReference w:id="32"/>
      </w:r>
      <w:r w:rsidRPr="00F95336">
        <w:rPr>
          <w:rFonts w:ascii="Arial Narrow" w:hAnsi="Arial Narrow"/>
        </w:rPr>
        <w:t xml:space="preserve">. A historiografia da segunda metade do século XX mostrou que aquela tese não possui </w:t>
      </w:r>
      <w:r w:rsidR="00B04EE5">
        <w:rPr>
          <w:rFonts w:ascii="Arial Narrow" w:hAnsi="Arial Narrow"/>
        </w:rPr>
        <w:t xml:space="preserve"> nenhum</w:t>
      </w:r>
      <w:r w:rsidRPr="00F95336">
        <w:rPr>
          <w:rFonts w:ascii="Arial Narrow" w:hAnsi="Arial Narrow"/>
        </w:rPr>
        <w:t xml:space="preserve"> fundamento</w:t>
      </w:r>
      <w:r>
        <w:rPr>
          <w:rFonts w:ascii="Arial Narrow" w:hAnsi="Arial Narrow"/>
        </w:rPr>
        <w:t xml:space="preserve"> </w:t>
      </w:r>
      <w:r w:rsidRPr="00F95336">
        <w:rPr>
          <w:rFonts w:ascii="Arial Narrow" w:hAnsi="Arial Narrow"/>
        </w:rPr>
        <w:t>e avanç</w:t>
      </w:r>
      <w:r w:rsidR="00B04EE5">
        <w:rPr>
          <w:rFonts w:ascii="Arial Narrow" w:hAnsi="Arial Narrow"/>
        </w:rPr>
        <w:t>ou-se</w:t>
      </w:r>
      <w:r w:rsidRPr="00F95336">
        <w:rPr>
          <w:rFonts w:ascii="Arial Narrow" w:hAnsi="Arial Narrow"/>
        </w:rPr>
        <w:t xml:space="preserve"> muito no estudo dos processos de evolução próprios das sociedades eslavas ocidentais antes da chegada das migrações oriundas do império germânico. É claro que, escrevendo nos meados do século XIX, nem Engels nem Marx podiam ter acesso a pesquisas posteriores, mas não é menos certo que neste caso puseram de lado o seu notável espírito crítico, que em tantos outros contextos lhes permitiu duvidar das verdades vulgares e abrir caminhos de análise novos. Na justificação do expansionismo germânico de outrora Engels foi encontrar argumentos para legitimar as opressões da sua época e o programa imperialista futuro. Na sua opinião, os povos que no passado não </w:t>
      </w:r>
      <w:r w:rsidR="00B04EE5">
        <w:rPr>
          <w:rFonts w:ascii="Arial Narrow" w:hAnsi="Arial Narrow"/>
        </w:rPr>
        <w:t>tivessem</w:t>
      </w:r>
      <w:r w:rsidRPr="00F95336">
        <w:rPr>
          <w:rFonts w:ascii="Arial Narrow" w:hAnsi="Arial Narrow"/>
        </w:rPr>
        <w:t xml:space="preserve"> conseguido edificar um sistema estatal internamente </w:t>
      </w:r>
      <w:r>
        <w:rPr>
          <w:rFonts w:ascii="Arial Narrow" w:hAnsi="Arial Narrow"/>
        </w:rPr>
        <w:t>sólido</w:t>
      </w:r>
      <w:r w:rsidRPr="00F95336">
        <w:rPr>
          <w:rFonts w:ascii="Arial Narrow" w:hAnsi="Arial Narrow"/>
        </w:rPr>
        <w:t xml:space="preserve"> e ameaçador para os vizinhos não teriam viabilidade histórica e não poderiam, por isso, reivindicar o direito à autonomia, sendo inatamente contra-revolucionários</w:t>
      </w:r>
      <w:r w:rsidR="00E639D7">
        <w:rPr>
          <w:rFonts w:ascii="Arial Narrow" w:hAnsi="Arial Narrow"/>
        </w:rPr>
        <w:t>.</w:t>
      </w:r>
      <w:r w:rsidRPr="00F95336">
        <w:rPr>
          <w:rFonts w:ascii="Arial Narrow" w:hAnsi="Arial Narrow"/>
        </w:rPr>
        <w:t xml:space="preserve"> </w:t>
      </w:r>
      <w:r w:rsidRPr="00F95336">
        <w:rPr>
          <w:rFonts w:ascii="Arial Narrow" w:hAnsi="Arial Narrow"/>
        </w:rPr>
        <w:lastRenderedPageBreak/>
        <w:t>«De todas as nações e naçõezinhas da Áustria, só três foram portadoras de progresso e tiveram uma intervenção activa na história, mantendo a sua vitalidade: os alemães, os polacos e os magiares. Por isso são agora revolucionárias. Todas as outras tribos e todos os outros povos, grandes e pequenos, têm de imediato a missão de perecer na tempestade revolucionária mundial. Por isso são agora contra-revolucionários»</w:t>
      </w:r>
      <w:r w:rsidRPr="00F95336">
        <w:rPr>
          <w:rStyle w:val="Refdenotaderodap"/>
          <w:rFonts w:ascii="Arial Narrow" w:hAnsi="Arial Narrow"/>
        </w:rPr>
        <w:footnoteReference w:id="33"/>
      </w:r>
      <w:r w:rsidRPr="00F95336">
        <w:rPr>
          <w:rFonts w:ascii="Arial Narrow" w:hAnsi="Arial Narrow"/>
        </w:rPr>
        <w:t xml:space="preserve">. Ao considerar o desenvolvimento dos aparelhos de Estado como a única história possível, Engels presumia que povos sem uma tradição de formações estatais bem definidas seriam por isso povos sem história e, destituídos de passado, ficariam incapazes de construir um futuro próprio. Como a nação </w:t>
      </w:r>
      <w:r w:rsidR="00B04EE5">
        <w:rPr>
          <w:rFonts w:ascii="Arial Narrow" w:hAnsi="Arial Narrow"/>
        </w:rPr>
        <w:t>é</w:t>
      </w:r>
      <w:r w:rsidRPr="00F95336">
        <w:rPr>
          <w:rFonts w:ascii="Arial Narrow" w:hAnsi="Arial Narrow"/>
        </w:rPr>
        <w:t xml:space="preserve"> a área de poder do Estado e a existência do Estado </w:t>
      </w:r>
      <w:r w:rsidR="00B04EE5">
        <w:rPr>
          <w:rFonts w:ascii="Arial Narrow" w:hAnsi="Arial Narrow"/>
        </w:rPr>
        <w:t>é</w:t>
      </w:r>
      <w:r w:rsidRPr="00F95336">
        <w:rPr>
          <w:rFonts w:ascii="Arial Narrow" w:hAnsi="Arial Narrow"/>
        </w:rPr>
        <w:t xml:space="preserve"> justificada com o pretexto da aspiração nacional, os povos historicamente desprovidos de Estado, de acordo com as concepções dos dois amigos, não eram dignos de ser reconhecidos enquanto nações. Estavam em tal situação todos os eslavos submetidos à Áustria e à Hungria, salvo os polacos, a única excepção que Marx e Engels admitiam entre a população eslava, por os considerarem uma ponta de lança das sociedades estatizadas do Ocidente no meio da gente do Leste, estranha ao curso da civilização; e os romenos seriam do mesmo modo votados à tutela alheia</w:t>
      </w:r>
      <w:r w:rsidRPr="00F95336">
        <w:rPr>
          <w:rStyle w:val="Refdenotaderodap"/>
          <w:rFonts w:ascii="Arial Narrow" w:hAnsi="Arial Narrow"/>
        </w:rPr>
        <w:footnoteReference w:id="34"/>
      </w:r>
      <w:r w:rsidRPr="00F95336">
        <w:rPr>
          <w:rFonts w:ascii="Arial Narrow" w:hAnsi="Arial Narrow"/>
        </w:rPr>
        <w:t xml:space="preserve">. Na visão de Engels o destino destes povos consistia em serem dominados pelos germanos ou pelos húngaros, para não caírem presa da autocracia russa. Ou talvez o mecanismo fosse o inverso e a unificação da esfera política germânica se confundisse com uma assumida vocação de hegemonizar os eslavos. </w:t>
      </w:r>
    </w:p>
    <w:p w:rsidR="00CD12DC" w:rsidRPr="00F95336" w:rsidRDefault="00CD12DC" w:rsidP="00CD12DC">
      <w:pPr>
        <w:rPr>
          <w:rFonts w:ascii="Arial Narrow" w:hAnsi="Arial Narrow"/>
        </w:rPr>
      </w:pPr>
      <w:r>
        <w:rPr>
          <w:rFonts w:ascii="Arial Narrow" w:hAnsi="Arial Narrow"/>
        </w:rPr>
        <w:t>Foi</w:t>
      </w:r>
      <w:r w:rsidRPr="00F95336">
        <w:rPr>
          <w:rFonts w:ascii="Arial Narrow" w:hAnsi="Arial Narrow"/>
        </w:rPr>
        <w:t xml:space="preserve"> isto que Engels afirm</w:t>
      </w:r>
      <w:r>
        <w:rPr>
          <w:rFonts w:ascii="Arial Narrow" w:hAnsi="Arial Narrow"/>
        </w:rPr>
        <w:t>ou</w:t>
      </w:r>
      <w:r w:rsidRPr="00F95336">
        <w:rPr>
          <w:rFonts w:ascii="Arial Narrow" w:hAnsi="Arial Narrow"/>
        </w:rPr>
        <w:t xml:space="preserve"> num artigo de Abril de 1849, destinado a lançar o ridículo sobre as tentativas de formação de um Estado que reunisse a Croácia, a Eslovénia e o que então se denominava ainda Dalmácia. «[...] a Áustria única e centralizada que o governo pretende, e onde, evidentemente, a longo prazo os alemães teriam o predomínio moral, enquanto nação mais civilizada, infunde a essa trindade pan-eslavista mil vezes mais medo do que os magiares, que são já dados por vencidos»</w:t>
      </w:r>
      <w:r w:rsidRPr="00F95336">
        <w:rPr>
          <w:rStyle w:val="Refdenotaderodap"/>
          <w:rFonts w:ascii="Arial Narrow" w:hAnsi="Arial Narrow"/>
        </w:rPr>
        <w:footnoteReference w:id="35"/>
      </w:r>
      <w:r w:rsidRPr="00F95336">
        <w:rPr>
          <w:rFonts w:ascii="Arial Narrow" w:hAnsi="Arial Narrow"/>
        </w:rPr>
        <w:t xml:space="preserve">. Ao decretar, referindo-se à generalidade </w:t>
      </w:r>
      <w:r w:rsidRPr="00F95336">
        <w:rPr>
          <w:rFonts w:ascii="Arial Narrow" w:hAnsi="Arial Narrow"/>
        </w:rPr>
        <w:lastRenderedPageBreak/>
        <w:t>dos povos tradicionalmente desprovidos de Estado, que «essas nações minúsculas, desde há séculos rebocadas pela história contra a sua própria vontade, têm necessariamente de ser contra-revolucionárias»</w:t>
      </w:r>
      <w:r w:rsidRPr="00F95336">
        <w:rPr>
          <w:rStyle w:val="Refdenotaderodap"/>
          <w:rFonts w:ascii="Arial Narrow" w:hAnsi="Arial Narrow"/>
        </w:rPr>
        <w:footnoteReference w:id="36"/>
      </w:r>
      <w:r w:rsidRPr="00F95336">
        <w:rPr>
          <w:rFonts w:ascii="Arial Narrow" w:hAnsi="Arial Narrow"/>
        </w:rPr>
        <w:t xml:space="preserve">, Engels não estava apenas a fornecer ao imperialismo germânico uma legitimação de esquerda, mas estimulava-o até nos seus anseios mais profundos, com invectivas rancorosas em que </w:t>
      </w:r>
      <w:r w:rsidR="00E639D7">
        <w:rPr>
          <w:rFonts w:ascii="Arial Narrow" w:hAnsi="Arial Narrow"/>
        </w:rPr>
        <w:t>soa</w:t>
      </w:r>
      <w:r w:rsidRPr="00F95336">
        <w:rPr>
          <w:rFonts w:ascii="Arial Narrow" w:hAnsi="Arial Narrow"/>
        </w:rPr>
        <w:t xml:space="preserve"> o eco dos profetas do Antigo Testamento. «Naquela altura [em 1848] o destino da revolução na Europa oriental dependia da atitude dos checos e dos eslavos meridionais. Nunca esqueceremos que no momento decisivo eles atraiçoaram a revolução [...] por causa das suas mesquinhas esperanças nacionais! [...] E por esta cobarde e baixa traição à revolução exerceremos um dia uma vingança sangrenta contra os eslavos», a não ser os polacos, claro, a eterna excepção. «[...] dado que polaco e revolucionário se tornaram sinónimos, também a simpatia de toda a Europa para com os polacos e para com a restauração da sua nacionalidade é por isso tão certa como o ódio de toda a Europa para com os checos, croatas e russos, e como a mais sangrenta guerra revolucionária de todo o Ocidente contra eles». Que cruzada! Para verberar as facetas mais retrógradas dos nacionalismos eslavos Engels discorreu no quadro igualmente fechado dos nacionalismos antieslavos e não no plano da existência supranacional do proletariado. Enquanto no modelo socioeconómico marxista o internacionalismo decorre da definição genérica da classe trabalhadora, </w:t>
      </w:r>
      <w:r w:rsidR="00E639D7">
        <w:rPr>
          <w:rFonts w:ascii="Arial Narrow" w:hAnsi="Arial Narrow"/>
        </w:rPr>
        <w:t>n</w:t>
      </w:r>
      <w:r w:rsidRPr="00F95336">
        <w:rPr>
          <w:rFonts w:ascii="Arial Narrow" w:hAnsi="Arial Narrow"/>
        </w:rPr>
        <w:t xml:space="preserve">estes artigos de intervenção política o internacionalismo foi transformado no seu contrário, um imperialismo de nações que se pretendiam democráticas. Na realidade, bastava um tal desejo de expansão para revelar o carácter demagógico do programa de democratização prosseguido pela burguesia urbana e por alguma nobreza em crise. Mas continuemos a ler o artigo de Engels. «À verborreia sentimental sobre a fraternidade, que aqui nos é oferecida em nome das nações contra-revolucionárias da Europa, nós respondemos que o ódio à Rússia foi e continua a ser a primeira paixão revolucionária dos alemães; que desde a revolução se acrescentou o ódio aos checos e aos croatas; e que, em comum com os polacos e os magiares, nós só podemos assegurar a revolução se recorrermos ao mais decidido terrorismo contra esses povos eslavos». Como se tais palavras não fossem suficientemente claras, aquele que um ano antes, num conhecido </w:t>
      </w:r>
      <w:r w:rsidRPr="00F95336">
        <w:rPr>
          <w:rFonts w:ascii="Arial Narrow" w:hAnsi="Arial Narrow"/>
          <w:i/>
        </w:rPr>
        <w:t>Manifesto,</w:t>
      </w:r>
      <w:r w:rsidRPr="00F95336">
        <w:rPr>
          <w:rFonts w:ascii="Arial Narrow" w:hAnsi="Arial Narrow"/>
        </w:rPr>
        <w:t xml:space="preserve"> havia ajudado a invocar a união dos proletários de todos os países apel</w:t>
      </w:r>
      <w:r w:rsidR="00C57EEC">
        <w:rPr>
          <w:rFonts w:ascii="Arial Narrow" w:hAnsi="Arial Narrow"/>
        </w:rPr>
        <w:t>ou</w:t>
      </w:r>
      <w:r w:rsidRPr="00F95336">
        <w:rPr>
          <w:rFonts w:ascii="Arial Narrow" w:hAnsi="Arial Narrow"/>
        </w:rPr>
        <w:t xml:space="preserve"> agora: </w:t>
      </w:r>
      <w:r w:rsidRPr="00F95336">
        <w:rPr>
          <w:rFonts w:ascii="Arial Narrow" w:hAnsi="Arial Narrow"/>
        </w:rPr>
        <w:lastRenderedPageBreak/>
        <w:t>«Luta, “lu</w:t>
      </w:r>
      <w:r w:rsidR="003E5880">
        <w:rPr>
          <w:rFonts w:ascii="Arial Narrow" w:hAnsi="Arial Narrow"/>
        </w:rPr>
        <w:t>ta implacável de vida ou morte”</w:t>
      </w:r>
      <w:r w:rsidRPr="00F95336">
        <w:rPr>
          <w:rFonts w:ascii="Arial Narrow" w:hAnsi="Arial Narrow"/>
        </w:rPr>
        <w:t xml:space="preserve"> contra o eslavismo que atraiçoa a revolução, luta de aniquilamento e terrorismo sem contemplações, não no interesse da Alemanha, mas no interesse da revolução»</w:t>
      </w:r>
      <w:r w:rsidRPr="00F95336">
        <w:rPr>
          <w:rStyle w:val="Refdenotaderodap"/>
          <w:rFonts w:ascii="Arial Narrow" w:hAnsi="Arial Narrow"/>
        </w:rPr>
        <w:footnoteReference w:id="37"/>
      </w:r>
      <w:r w:rsidRPr="00F95336">
        <w:rPr>
          <w:rFonts w:ascii="Arial Narrow" w:hAnsi="Arial Narrow"/>
        </w:rPr>
        <w:t>. Os mesmos temas inspiraram, com o seu cruento vigor, outro artigo da mesma época. «Logo que ocorra uma insurreição vitoriosa do proletariado francês [...] os austro-alemães e os magiares libertar-se-ão e procederão a uma sangrenta vingança contra os bárbaros eslavos. A guerra generalizada que rapidamente se desencadeará há-de reduzir a pó essa liga particularista dos eslavos e há-de apagar até o nome de todas essas pequenas nações obstinadas. A próxima guerra mundial não só fará desaparecer do globo terrestre as classes e as dinastias reaccionárias, mas igualmente povos reaccionários inteiros. E também isto será um progresso»</w:t>
      </w:r>
      <w:r w:rsidRPr="00F95336">
        <w:rPr>
          <w:rStyle w:val="Refdenotaderodap"/>
          <w:rFonts w:ascii="Arial Narrow" w:hAnsi="Arial Narrow"/>
        </w:rPr>
        <w:footnoteReference w:id="38"/>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As concepções de Engels foram partilhadas por Marx</w:t>
      </w:r>
      <w:r w:rsidRPr="00F95336">
        <w:rPr>
          <w:rStyle w:val="Refdenotaderodap"/>
          <w:rFonts w:ascii="Arial Narrow" w:hAnsi="Arial Narrow"/>
        </w:rPr>
        <w:footnoteReference w:id="39"/>
      </w:r>
      <w:r w:rsidRPr="00F95336">
        <w:rPr>
          <w:rFonts w:ascii="Arial Narrow" w:hAnsi="Arial Narrow"/>
        </w:rPr>
        <w:t xml:space="preserve">, que, como </w:t>
      </w:r>
      <w:r>
        <w:rPr>
          <w:rFonts w:ascii="Arial Narrow" w:hAnsi="Arial Narrow"/>
        </w:rPr>
        <w:t>preveniu</w:t>
      </w:r>
      <w:r w:rsidRPr="00F95336">
        <w:rPr>
          <w:rFonts w:ascii="Arial Narrow" w:hAnsi="Arial Narrow"/>
        </w:rPr>
        <w:t xml:space="preserve"> uma especialista, só adoptou o princípio da autodeterminação nacional «rodeando-o de todo o tipo de restrições. Antes de mais, não reconhecia o “direito dos povos a dispor deles próprios” como um princípio </w:t>
      </w:r>
      <w:r w:rsidRPr="00F95336">
        <w:rPr>
          <w:rFonts w:ascii="Arial Narrow" w:hAnsi="Arial Narrow"/>
          <w:i/>
        </w:rPr>
        <w:t>socialista,</w:t>
      </w:r>
      <w:r w:rsidRPr="00F95336">
        <w:rPr>
          <w:rFonts w:ascii="Arial Narrow" w:hAnsi="Arial Narrow"/>
        </w:rPr>
        <w:t xml:space="preserve"> mas só como um princípio </w:t>
      </w:r>
      <w:r w:rsidRPr="00F95336">
        <w:rPr>
          <w:rFonts w:ascii="Arial Narrow" w:hAnsi="Arial Narrow"/>
          <w:i/>
        </w:rPr>
        <w:t>democrático,</w:t>
      </w:r>
      <w:r w:rsidRPr="00F95336">
        <w:rPr>
          <w:rFonts w:ascii="Arial Narrow" w:hAnsi="Arial Narrow"/>
        </w:rPr>
        <w:t xml:space="preserve"> que era necessário defender </w:t>
      </w:r>
      <w:r>
        <w:rPr>
          <w:rFonts w:ascii="Arial Narrow" w:hAnsi="Arial Narrow"/>
        </w:rPr>
        <w:t>como</w:t>
      </w:r>
      <w:r w:rsidRPr="00F95336">
        <w:rPr>
          <w:rFonts w:ascii="Arial Narrow" w:hAnsi="Arial Narrow"/>
        </w:rPr>
        <w:t xml:space="preserve"> tal na medida em que o proletariado combatesse ao lado da burguesia, “enquanto a democracia não tivesse vencido”. Além disso, mesmo o princípio democrático da autodeterminação das nações não devia ser aplicado a todas as </w:t>
      </w:r>
      <w:r w:rsidRPr="00F95336">
        <w:rPr>
          <w:rFonts w:ascii="Arial Narrow" w:hAnsi="Arial Narrow"/>
          <w:i/>
        </w:rPr>
        <w:t>nacionalidades</w:t>
      </w:r>
      <w:r w:rsidRPr="00F95336">
        <w:rPr>
          <w:rFonts w:ascii="Arial Narrow" w:hAnsi="Arial Narrow"/>
        </w:rPr>
        <w:t>. Era preciso distinguir entre as nações “históricas”, os povos “necessários” (por exemplo, os polacos, os húngaros) e os povos “não necessários” ([...] as nacionalidades que nunca se tornariam nações, como os escoceses, os galeses, os bretões, os suíços de língua alemã, os belgas de língua francesa, etc.) [...] Por fim, Marx e Engels introduziram [o] critério [...] da dimensão desejável das nações, insistindo na necessidade de “grandes unidades nacionais”»</w:t>
      </w:r>
      <w:r w:rsidRPr="00F95336">
        <w:rPr>
          <w:rStyle w:val="Refdenotaderodap"/>
          <w:rFonts w:ascii="Arial Narrow" w:hAnsi="Arial Narrow"/>
        </w:rPr>
        <w:footnoteReference w:id="40"/>
      </w:r>
      <w:r w:rsidRPr="00F95336">
        <w:rPr>
          <w:rFonts w:ascii="Arial Narrow" w:hAnsi="Arial Narrow"/>
        </w:rPr>
        <w:t xml:space="preserve">. Com efeito, Engels considerava que </w:t>
      </w:r>
      <w:r w:rsidR="002D309F" w:rsidRPr="00F95336">
        <w:rPr>
          <w:rFonts w:ascii="Arial Narrow" w:hAnsi="Arial Narrow"/>
        </w:rPr>
        <w:t xml:space="preserve">os povos eslavos </w:t>
      </w:r>
      <w:r w:rsidR="003E5880">
        <w:rPr>
          <w:rFonts w:ascii="Arial Narrow" w:hAnsi="Arial Narrow"/>
        </w:rPr>
        <w:t>—</w:t>
      </w:r>
      <w:r w:rsidRPr="00F95336">
        <w:rPr>
          <w:rFonts w:ascii="Arial Narrow" w:hAnsi="Arial Narrow"/>
        </w:rPr>
        <w:t xml:space="preserve"> exceptuando, como sempre, os polacos </w:t>
      </w:r>
      <w:r w:rsidR="003E5880">
        <w:rPr>
          <w:rFonts w:ascii="Arial Narrow" w:hAnsi="Arial Narrow"/>
        </w:rPr>
        <w:t>—</w:t>
      </w:r>
      <w:r w:rsidR="002D309F">
        <w:rPr>
          <w:rFonts w:ascii="Arial Narrow" w:hAnsi="Arial Narrow"/>
        </w:rPr>
        <w:t xml:space="preserve"> </w:t>
      </w:r>
      <w:r w:rsidRPr="00F95336">
        <w:rPr>
          <w:rFonts w:ascii="Arial Narrow" w:hAnsi="Arial Narrow"/>
        </w:rPr>
        <w:t>seriam incapazes de se sustentar economicamente enquanto nações independentes, o que os levaria a servir de peões do czarismo nas grandes partidas do xadrez geopolítico contra a Europa ocidental</w:t>
      </w:r>
      <w:r w:rsidRPr="00F95336">
        <w:rPr>
          <w:rStyle w:val="Refdenotaderodap"/>
          <w:rFonts w:ascii="Arial Narrow" w:hAnsi="Arial Narrow"/>
        </w:rPr>
        <w:footnoteReference w:id="41"/>
      </w:r>
      <w:r w:rsidRPr="00F95336">
        <w:rPr>
          <w:rFonts w:ascii="Arial Narrow" w:hAnsi="Arial Narrow"/>
        </w:rPr>
        <w:t xml:space="preserve">. </w:t>
      </w:r>
    </w:p>
    <w:p w:rsidR="00CD12DC" w:rsidRPr="00F95336" w:rsidRDefault="006659A1" w:rsidP="00CD12DC">
      <w:pPr>
        <w:rPr>
          <w:rFonts w:ascii="Arial Narrow" w:hAnsi="Arial Narrow"/>
        </w:rPr>
      </w:pPr>
      <w:r>
        <w:rPr>
          <w:rFonts w:ascii="Arial Narrow" w:hAnsi="Arial Narrow"/>
        </w:rPr>
        <w:t xml:space="preserve">A </w:t>
      </w:r>
      <w:r w:rsidRPr="00F95336">
        <w:rPr>
          <w:rFonts w:ascii="Arial Narrow" w:hAnsi="Arial Narrow"/>
          <w:i/>
        </w:rPr>
        <w:t>Neue Rheinische Zeitung,</w:t>
      </w:r>
      <w:r w:rsidRPr="00F95336">
        <w:rPr>
          <w:rFonts w:ascii="Arial Narrow" w:hAnsi="Arial Narrow"/>
        </w:rPr>
        <w:t xml:space="preserve"> que os dois amigos dirigiam</w:t>
      </w:r>
      <w:r>
        <w:rPr>
          <w:rFonts w:ascii="Arial Narrow" w:hAnsi="Arial Narrow"/>
        </w:rPr>
        <w:t xml:space="preserve">, era, nas palavras de um historiador que sabia do que falava, «absolutamente nacional e guerreira» e «mal se ocupava </w:t>
      </w:r>
      <w:r>
        <w:rPr>
          <w:rFonts w:ascii="Arial Narrow" w:hAnsi="Arial Narrow"/>
        </w:rPr>
        <w:lastRenderedPageBreak/>
        <w:t>dos interesses particulares dos operários, interesses profissionais e de classe»</w:t>
      </w:r>
      <w:r>
        <w:rPr>
          <w:rStyle w:val="Refdenotaderodap"/>
          <w:rFonts w:ascii="Arial Narrow" w:hAnsi="Arial Narrow"/>
        </w:rPr>
        <w:footnoteReference w:id="42"/>
      </w:r>
      <w:r>
        <w:rPr>
          <w:rFonts w:ascii="Arial Narrow" w:hAnsi="Arial Narrow"/>
        </w:rPr>
        <w:t xml:space="preserve">. </w:t>
      </w:r>
      <w:r w:rsidR="007A015D">
        <w:rPr>
          <w:rFonts w:ascii="Arial Narrow" w:hAnsi="Arial Narrow"/>
        </w:rPr>
        <w:t>Esta</w:t>
      </w:r>
      <w:r w:rsidR="00CD12DC" w:rsidRPr="00F95336">
        <w:rPr>
          <w:rFonts w:ascii="Arial Narrow" w:hAnsi="Arial Narrow"/>
        </w:rPr>
        <w:t xml:space="preserve"> perspectiva caracterizou os demais articulistas e correspondentes </w:t>
      </w:r>
      <w:r w:rsidR="007A015D">
        <w:rPr>
          <w:rFonts w:ascii="Arial Narrow" w:hAnsi="Arial Narrow"/>
        </w:rPr>
        <w:t xml:space="preserve">daquele </w:t>
      </w:r>
      <w:r w:rsidR="00CD12DC" w:rsidRPr="00F95336">
        <w:rPr>
          <w:rFonts w:ascii="Arial Narrow" w:hAnsi="Arial Narrow"/>
        </w:rPr>
        <w:t>jornal</w:t>
      </w:r>
      <w:r w:rsidR="00CD12DC" w:rsidRPr="00F95336">
        <w:rPr>
          <w:rStyle w:val="Refdenotaderodap"/>
          <w:rFonts w:ascii="Arial Narrow" w:hAnsi="Arial Narrow"/>
        </w:rPr>
        <w:footnoteReference w:id="43"/>
      </w:r>
      <w:r w:rsidR="00CD12DC" w:rsidRPr="00F95336">
        <w:rPr>
          <w:rFonts w:ascii="Arial Narrow" w:hAnsi="Arial Narrow"/>
        </w:rPr>
        <w:t>. Parece-me especialmente sugestivo que em Setembro de 1848 a redacção do periódico se tivesse pronunciado contra várias moções apresentadas na Dieta de Viena que pretendiam abolir a obrigatoriedade do emprego da língua alemã nos debates e fazer com que fossem aceites as outras línguas faladas pela população do império. Aquela atitude do órgão da extrema-esquerda germânica era tanto mais grave quanto haviam sido eleitos para o parlamento várias dezenas de camponeses polacos, ucranianos e romenos, desconhecedores da língua alemã e que só com grande dificuldade podiam orientar-se nas disputas entre bancadas. Um destes deputados, um camponês da Ucrânia, declar</w:t>
      </w:r>
      <w:r w:rsidR="00CD12DC">
        <w:rPr>
          <w:rFonts w:ascii="Arial Narrow" w:hAnsi="Arial Narrow"/>
        </w:rPr>
        <w:t>ou</w:t>
      </w:r>
      <w:r w:rsidR="00CD12DC" w:rsidRPr="00F95336">
        <w:rPr>
          <w:rFonts w:ascii="Arial Narrow" w:hAnsi="Arial Narrow"/>
        </w:rPr>
        <w:t xml:space="preserve"> na câmara, em péssimo alemão: «De quem é a culpa de que na Galícia o camponês não fale alemão? Apenas da opressão»</w:t>
      </w:r>
      <w:r w:rsidR="00CD12DC" w:rsidRPr="00F95336">
        <w:rPr>
          <w:rStyle w:val="Refdenotaderodap"/>
          <w:rFonts w:ascii="Arial Narrow" w:hAnsi="Arial Narrow"/>
        </w:rPr>
        <w:footnoteReference w:id="44"/>
      </w:r>
      <w:r w:rsidR="00CD12DC" w:rsidRPr="00F95336">
        <w:rPr>
          <w:rFonts w:ascii="Arial Narrow" w:hAnsi="Arial Narrow"/>
        </w:rPr>
        <w:t xml:space="preserve">. Este homem rude, que aliás seria em breve expulso da Dieta, entendera a conexão entre a opressão social e a subjugação nacional melhor do que os sofisticados porta-vozes do radicalismo germânico. </w:t>
      </w:r>
    </w:p>
    <w:p w:rsidR="00CD12DC" w:rsidRPr="00F95336" w:rsidRDefault="00CD12DC" w:rsidP="00CD12DC">
      <w:pPr>
        <w:rPr>
          <w:rFonts w:ascii="Arial Narrow" w:hAnsi="Arial Narrow"/>
        </w:rPr>
      </w:pPr>
      <w:r>
        <w:rPr>
          <w:rFonts w:ascii="Arial Narrow" w:hAnsi="Arial Narrow"/>
        </w:rPr>
        <w:t xml:space="preserve">No </w:t>
      </w:r>
      <w:r w:rsidRPr="00F95336">
        <w:rPr>
          <w:rFonts w:ascii="Arial Narrow" w:hAnsi="Arial Narrow"/>
        </w:rPr>
        <w:t xml:space="preserve">plano teórico, que significado </w:t>
      </w:r>
      <w:r w:rsidR="00BB58D8">
        <w:rPr>
          <w:rFonts w:ascii="Arial Narrow" w:hAnsi="Arial Narrow"/>
        </w:rPr>
        <w:t>devemos</w:t>
      </w:r>
      <w:r w:rsidRPr="00F95336">
        <w:rPr>
          <w:rFonts w:ascii="Arial Narrow" w:hAnsi="Arial Narrow"/>
        </w:rPr>
        <w:t xml:space="preserve"> atribuir à tese de que eram inviáveis os povos que a tradição deixara desprovidos de Estado? Se o Estado é </w:t>
      </w:r>
      <w:r w:rsidR="00BB58D8">
        <w:rPr>
          <w:rFonts w:ascii="Arial Narrow" w:hAnsi="Arial Narrow"/>
        </w:rPr>
        <w:t xml:space="preserve">um </w:t>
      </w:r>
      <w:r w:rsidRPr="00F95336">
        <w:rPr>
          <w:rFonts w:ascii="Arial Narrow" w:hAnsi="Arial Narrow"/>
        </w:rPr>
        <w:t xml:space="preserve">aparelho de dominação das classes exploradoras e constitui um princípio de organização geral das instituições, a vigência de um Estado no interior de um quadro nacional, onde se afirmam padrões de cultura homogéneos, nada mais pode representar do que um sistema de opressão legitimado pelo apoio activo dos oprimidos. Resumir a dinâmica da história às nações construtoras de Estados corresponde a fazer uma apologia da ordem das classes dominantes. E era exactamente esta perspectiva que presidia às apreciações de Engels e do seu amigo Marx a respeito da capacidade de um povo para assegurar uma sustentação económica independente. Como se no capitalismo a viabilidade económica, determinada pelas características da composição </w:t>
      </w:r>
      <w:r>
        <w:rPr>
          <w:rFonts w:ascii="Arial Narrow" w:hAnsi="Arial Narrow"/>
        </w:rPr>
        <w:t>das</w:t>
      </w:r>
      <w:r w:rsidRPr="00F95336">
        <w:rPr>
          <w:rFonts w:ascii="Arial Narrow" w:hAnsi="Arial Narrow"/>
        </w:rPr>
        <w:t xml:space="preserve"> classes, não significasse </w:t>
      </w:r>
      <w:r w:rsidR="002A4C02">
        <w:rPr>
          <w:rFonts w:ascii="Arial Narrow" w:hAnsi="Arial Narrow"/>
        </w:rPr>
        <w:t>—</w:t>
      </w:r>
      <w:r w:rsidRPr="00F95336">
        <w:rPr>
          <w:rFonts w:ascii="Arial Narrow" w:hAnsi="Arial Narrow"/>
        </w:rPr>
        <w:t xml:space="preserve"> e nos termos propostos pelo próprio marxismo </w:t>
      </w:r>
      <w:r w:rsidR="002A4C02">
        <w:rPr>
          <w:rFonts w:ascii="Arial Narrow" w:hAnsi="Arial Narrow"/>
        </w:rPr>
        <w:t>—</w:t>
      </w:r>
      <w:r w:rsidRPr="00F95336">
        <w:rPr>
          <w:rFonts w:ascii="Arial Narrow" w:hAnsi="Arial Narrow"/>
        </w:rPr>
        <w:t xml:space="preserve"> uma sucessão de ciclos de extorsão de mais-valia suficientemente rápidos e amplos para assegurarem bons lucros às classes superiores e um reinvestimento de capitais adequado! Depois de ter remetido para os quadros nacionais o processo insurreccional de 1848 e 1849, conferindo à burguesia e à facção democrática da nobreza a iniciativa no plano político, Engels, com a concordância de Marx, atribuiu ao capitalismo democrático a iniciativa também no plano económico, adoptando os critérios de eficácia do capital como bitola para avaliar a legitimidade da acção revolucionária. </w:t>
      </w:r>
      <w:r w:rsidRPr="00F95336">
        <w:rPr>
          <w:rFonts w:ascii="Arial Narrow" w:hAnsi="Arial Narrow"/>
        </w:rPr>
        <w:lastRenderedPageBreak/>
        <w:t xml:space="preserve">Compreendem-se agora melhor as razões profundas da oposição dos dois amigos à estratégia de autonomia política do proletariado prosseguida então por </w:t>
      </w:r>
      <w:r w:rsidR="00BB58D8">
        <w:rPr>
          <w:rFonts w:ascii="Arial Narrow" w:hAnsi="Arial Narrow"/>
        </w:rPr>
        <w:t>alguns</w:t>
      </w:r>
      <w:r w:rsidRPr="00F95336">
        <w:rPr>
          <w:rFonts w:ascii="Arial Narrow" w:hAnsi="Arial Narrow"/>
        </w:rPr>
        <w:t xml:space="preserve"> socialistas. A transferência da problemática de classe para os temas da nacionalidade atingiu uma expressão paroxís</w:t>
      </w:r>
      <w:r>
        <w:rPr>
          <w:rFonts w:ascii="Arial Narrow" w:hAnsi="Arial Narrow"/>
        </w:rPr>
        <w:t>m</w:t>
      </w:r>
      <w:r w:rsidRPr="00F95336">
        <w:rPr>
          <w:rFonts w:ascii="Arial Narrow" w:hAnsi="Arial Narrow"/>
        </w:rPr>
        <w:t xml:space="preserve">ica quando uns povos foram classificados de «revolucionários» e outros de «contra-revolucionários». Ao aplicar às nações um critério que só possui conteúdo rigoroso quando é usado para apreciar as posições históricas das classes, Engels inaugurou um tipo de distorção da problemática social a que mais tarde os fascismos recorreram amplamente, encontrando aí um dos seus fundamentos teóricos. </w:t>
      </w:r>
    </w:p>
    <w:p w:rsidR="00CD12DC" w:rsidRPr="00F95336" w:rsidRDefault="00CD12DC" w:rsidP="00CD12DC">
      <w:pPr>
        <w:rPr>
          <w:rFonts w:ascii="Arial Narrow" w:hAnsi="Arial Narrow"/>
        </w:rPr>
      </w:pPr>
      <w:r w:rsidRPr="00F95336">
        <w:rPr>
          <w:rFonts w:ascii="Arial Narrow" w:hAnsi="Arial Narrow"/>
        </w:rPr>
        <w:t>Bakunin, pelo contrário, apesar das fantasias líricas do seu pensamento, que se misturavam com os exageros declamatórios num estilo tão cansativo como difuso, compreende</w:t>
      </w:r>
      <w:r>
        <w:rPr>
          <w:rFonts w:ascii="Arial Narrow" w:hAnsi="Arial Narrow"/>
        </w:rPr>
        <w:t>u</w:t>
      </w:r>
      <w:r w:rsidRPr="00F95336">
        <w:rPr>
          <w:rFonts w:ascii="Arial Narrow" w:hAnsi="Arial Narrow"/>
        </w:rPr>
        <w:t xml:space="preserve"> as potencialidades revolucionárias do campesinato eslavo. «O grande erro dos democratas alemães», escreveu ele em 1851 nesse documento tão vil, astuto e perturbante que é a </w:t>
      </w:r>
      <w:r w:rsidRPr="00F95336">
        <w:rPr>
          <w:rFonts w:ascii="Arial Narrow" w:hAnsi="Arial Narrow"/>
          <w:i/>
        </w:rPr>
        <w:t>Confissão</w:t>
      </w:r>
      <w:r w:rsidRPr="00F95336">
        <w:rPr>
          <w:rFonts w:ascii="Arial Narrow" w:hAnsi="Arial Narrow"/>
        </w:rPr>
        <w:t xml:space="preserve"> endereçada ao czar, «consistiu, na minha opinião, no facto de a sua propaganda se ter limitado às cidades e não ter penetrado de modo algum nas aldeias»</w:t>
      </w:r>
      <w:r w:rsidRPr="00F95336">
        <w:rPr>
          <w:rStyle w:val="Refdenotaderodap"/>
          <w:rFonts w:ascii="Arial Narrow" w:hAnsi="Arial Narrow"/>
        </w:rPr>
        <w:footnoteReference w:id="45"/>
      </w:r>
      <w:r w:rsidRPr="00F95336">
        <w:rPr>
          <w:rFonts w:ascii="Arial Narrow" w:hAnsi="Arial Narrow"/>
        </w:rPr>
        <w:t xml:space="preserve">. Mas, apesar das pias intenções de Bakunin, era impossível aos senhores da terra </w:t>
      </w:r>
      <w:r w:rsidR="00C307A7">
        <w:rPr>
          <w:rFonts w:ascii="Arial Narrow" w:hAnsi="Arial Narrow"/>
        </w:rPr>
        <w:t>—</w:t>
      </w:r>
      <w:r w:rsidRPr="00F95336">
        <w:rPr>
          <w:rFonts w:ascii="Arial Narrow" w:hAnsi="Arial Narrow"/>
        </w:rPr>
        <w:t xml:space="preserve"> e aos seus aliados urbanos igualmente desejosos de preservar a propriedade </w:t>
      </w:r>
      <w:r w:rsidR="00C307A7">
        <w:rPr>
          <w:rFonts w:ascii="Arial Narrow" w:hAnsi="Arial Narrow"/>
        </w:rPr>
        <w:t>—</w:t>
      </w:r>
      <w:r w:rsidRPr="00F95336">
        <w:rPr>
          <w:rFonts w:ascii="Arial Narrow" w:hAnsi="Arial Narrow"/>
        </w:rPr>
        <w:t xml:space="preserve"> mobilizar o campesinato sem fazer concessões que lhes comprometeriam a supremacia de classe. De qualquer modo, o facto de não estarem unidos aos seus senhores em instituições estatais comuns e de não participarem nos mesmos movimentos deixou os rurais de origem eslava aptos a </w:t>
      </w:r>
      <w:r>
        <w:rPr>
          <w:rFonts w:ascii="Arial Narrow" w:hAnsi="Arial Narrow"/>
        </w:rPr>
        <w:t>oporem</w:t>
      </w:r>
      <w:r w:rsidRPr="00F95336">
        <w:rPr>
          <w:rFonts w:ascii="Arial Narrow" w:hAnsi="Arial Narrow"/>
        </w:rPr>
        <w:t xml:space="preserve">-se </w:t>
      </w:r>
      <w:r>
        <w:rPr>
          <w:rFonts w:ascii="Arial Narrow" w:hAnsi="Arial Narrow"/>
        </w:rPr>
        <w:t xml:space="preserve">à </w:t>
      </w:r>
      <w:r w:rsidRPr="00F95336">
        <w:rPr>
          <w:rFonts w:ascii="Arial Narrow" w:hAnsi="Arial Narrow"/>
        </w:rPr>
        <w:t xml:space="preserve">globalidade das classes dominantes por razões directamente económicas, e não políticas, </w:t>
      </w:r>
      <w:r>
        <w:rPr>
          <w:rFonts w:ascii="Arial Narrow" w:hAnsi="Arial Narrow"/>
        </w:rPr>
        <w:t xml:space="preserve">desprezando </w:t>
      </w:r>
      <w:r w:rsidRPr="00F95336">
        <w:rPr>
          <w:rFonts w:ascii="Arial Narrow" w:hAnsi="Arial Narrow"/>
        </w:rPr>
        <w:t xml:space="preserve">as distinções de partido que dividiam em facções os donos da terra e a gente rica das cidades, e envolvendo-os a todos nas labaredas do mesmo ódio. Na polémica vitalícia que confrontou Bakunin com Marx e Engels torna-se difícil discernir se o tema principal </w:t>
      </w:r>
      <w:r w:rsidR="00C307A7">
        <w:rPr>
          <w:rFonts w:ascii="Arial Narrow" w:hAnsi="Arial Narrow"/>
        </w:rPr>
        <w:t>é</w:t>
      </w:r>
      <w:r w:rsidRPr="00F95336">
        <w:rPr>
          <w:rFonts w:ascii="Arial Narrow" w:hAnsi="Arial Narrow"/>
        </w:rPr>
        <w:t xml:space="preserve"> </w:t>
      </w:r>
      <w:r w:rsidR="00941484" w:rsidRPr="00F95336">
        <w:rPr>
          <w:rFonts w:ascii="Arial Narrow" w:hAnsi="Arial Narrow"/>
        </w:rPr>
        <w:t xml:space="preserve">a hostilidade que opunha as versões libertária e autoritária do socialismo, </w:t>
      </w:r>
      <w:r w:rsidR="00941484">
        <w:rPr>
          <w:rFonts w:ascii="Arial Narrow" w:hAnsi="Arial Narrow"/>
        </w:rPr>
        <w:t xml:space="preserve">ou </w:t>
      </w:r>
      <w:r>
        <w:rPr>
          <w:rFonts w:ascii="Arial Narrow" w:hAnsi="Arial Narrow"/>
        </w:rPr>
        <w:t>o</w:t>
      </w:r>
      <w:r w:rsidRPr="00F95336">
        <w:rPr>
          <w:rFonts w:ascii="Arial Narrow" w:hAnsi="Arial Narrow"/>
        </w:rPr>
        <w:t xml:space="preserve"> </w:t>
      </w:r>
      <w:r>
        <w:rPr>
          <w:rFonts w:ascii="Arial Narrow" w:hAnsi="Arial Narrow"/>
        </w:rPr>
        <w:t>antagonismo</w:t>
      </w:r>
      <w:r w:rsidRPr="00F95336">
        <w:rPr>
          <w:rFonts w:ascii="Arial Narrow" w:hAnsi="Arial Narrow"/>
        </w:rPr>
        <w:t xml:space="preserve"> entre a eslavofilia de um e o germanismo dos outros, ou a </w:t>
      </w:r>
      <w:r>
        <w:rPr>
          <w:rFonts w:ascii="Arial Narrow" w:hAnsi="Arial Narrow"/>
        </w:rPr>
        <w:t>opção</w:t>
      </w:r>
      <w:r w:rsidRPr="00F95336">
        <w:rPr>
          <w:rFonts w:ascii="Arial Narrow" w:hAnsi="Arial Narrow"/>
        </w:rPr>
        <w:t xml:space="preserve"> entre o campesinato e o operariado urbano </w:t>
      </w:r>
      <w:r>
        <w:rPr>
          <w:rFonts w:ascii="Arial Narrow" w:hAnsi="Arial Narrow"/>
        </w:rPr>
        <w:t>como</w:t>
      </w:r>
      <w:r w:rsidRPr="00F95336">
        <w:rPr>
          <w:rFonts w:ascii="Arial Narrow" w:hAnsi="Arial Narrow"/>
        </w:rPr>
        <w:t xml:space="preserve"> base social dos processos revolucionários. Na realidade, o pan-eslavismo de Bakunin, assente necessariamente na população rural, dado o atraso industrial da Europa de leste naquela época, só podia supor uma política democrática e colectivista, de acordo com as características atribuídas às comunidades de aldeia. Os três aspectos eram inseparáveis. </w:t>
      </w:r>
    </w:p>
    <w:p w:rsidR="00CD12DC" w:rsidRPr="00F95336" w:rsidRDefault="00CD12DC" w:rsidP="00CD12DC">
      <w:pPr>
        <w:rPr>
          <w:rFonts w:ascii="Arial Narrow" w:hAnsi="Arial Narrow"/>
        </w:rPr>
      </w:pPr>
      <w:r w:rsidRPr="00F95336">
        <w:rPr>
          <w:rFonts w:ascii="Arial Narrow" w:hAnsi="Arial Narrow"/>
        </w:rPr>
        <w:t xml:space="preserve">Mas será que o desenvolvimento posterior da luta de classes e as contradições implícitas no quadro nacional inspiraram a Engels e a Marx uma visão diferente destes problemas? Bem pelo contrário, as experiências práticas e as oportunidades polémicas proporcionadas pelas vagas revolucionárias que de 1846 até 1849 sacudiram a Europa serviram </w:t>
      </w:r>
      <w:r w:rsidRPr="00F95336">
        <w:rPr>
          <w:rFonts w:ascii="Arial Narrow" w:hAnsi="Arial Narrow"/>
        </w:rPr>
        <w:lastRenderedPageBreak/>
        <w:t>aos dois companheiros de manancial que lhes aliment</w:t>
      </w:r>
      <w:r w:rsidR="00950545">
        <w:rPr>
          <w:rFonts w:ascii="Arial Narrow" w:hAnsi="Arial Narrow"/>
        </w:rPr>
        <w:t>ou</w:t>
      </w:r>
      <w:r w:rsidRPr="00F95336">
        <w:rPr>
          <w:rFonts w:ascii="Arial Narrow" w:hAnsi="Arial Narrow"/>
        </w:rPr>
        <w:t xml:space="preserve"> a reflexão durante o resto da vida. Como quer que se apresente, a teoria refere-se sempre a uma prática passada, congelando-a para o futuro. Em 1852 Engels invoc</w:t>
      </w:r>
      <w:r>
        <w:rPr>
          <w:rFonts w:ascii="Arial Narrow" w:hAnsi="Arial Narrow"/>
        </w:rPr>
        <w:t>ou</w:t>
      </w:r>
      <w:r w:rsidRPr="00F95336">
        <w:rPr>
          <w:rFonts w:ascii="Arial Narrow" w:hAnsi="Arial Narrow"/>
        </w:rPr>
        <w:t xml:space="preserve"> «a tendência histórica e, ao mesmo tempo, a força física e intelectual da nação germânica para subjugar e assimilar os antigos vizinhos. Esta tendência para a absorção por parte dos germanos foi sempre, e continua a ser, um dos meios mais poderosos que permitiram à civilização da Europa ocidental difundir-se a </w:t>
      </w:r>
      <w:r w:rsidR="00A859F8" w:rsidRPr="00F95336">
        <w:rPr>
          <w:rFonts w:ascii="Arial Narrow" w:hAnsi="Arial Narrow"/>
        </w:rPr>
        <w:t>Leste</w:t>
      </w:r>
      <w:r w:rsidRPr="00F95336">
        <w:rPr>
          <w:rFonts w:ascii="Arial Narrow" w:hAnsi="Arial Narrow"/>
        </w:rPr>
        <w:t xml:space="preserve"> deste continente, podendo cessar apenas quando o processo de germanização tiver alcançado os limites de uma grande nação, compacta e unitária, capaz de levar uma vida nacional independente, como os húngaros e, até certo ponto, os polacos. Portanto, o destino natural e inevitável destas nações moribundas [os povos eslavos ocidentais e meridionais] consiste em permitir que se complete este processo de dissolução e absorção pelos seus vizinhos mais fortes»</w:t>
      </w:r>
      <w:r w:rsidRPr="00F95336">
        <w:rPr>
          <w:rStyle w:val="Refdenotaderodap"/>
          <w:rFonts w:ascii="Arial Narrow" w:hAnsi="Arial Narrow"/>
        </w:rPr>
        <w:footnoteReference w:id="46"/>
      </w:r>
      <w:r w:rsidRPr="00F95336">
        <w:rPr>
          <w:rFonts w:ascii="Arial Narrow" w:hAnsi="Arial Narrow"/>
        </w:rPr>
        <w:t>. Num artigo de Abril do ano seguinte acerca das nacionalidades incluídas no império turco, Engels atribuiu aos eslavos meridionais a intenção única de ampliarem a esfera de poder do czar moscovita, o que seria um argumento decisivo para os relegar dos povos com direito à vida</w:t>
      </w:r>
      <w:r w:rsidRPr="00912101">
        <w:rPr>
          <w:rFonts w:ascii="Arial Narrow" w:hAnsi="Arial Narrow"/>
          <w:vertAlign w:val="superscript"/>
        </w:rPr>
        <w:footnoteReference w:id="47"/>
      </w:r>
      <w:r w:rsidRPr="00F95336">
        <w:rPr>
          <w:rFonts w:ascii="Arial Narrow" w:hAnsi="Arial Narrow"/>
        </w:rPr>
        <w:t xml:space="preserve">. Os temas da </w:t>
      </w:r>
      <w:r w:rsidRPr="00F95336">
        <w:rPr>
          <w:rFonts w:ascii="Arial Narrow" w:hAnsi="Arial Narrow"/>
          <w:i/>
        </w:rPr>
        <w:t>Neue Rheinische Zeitung</w:t>
      </w:r>
      <w:r w:rsidRPr="00F95336">
        <w:rPr>
          <w:rFonts w:ascii="Arial Narrow" w:hAnsi="Arial Narrow"/>
        </w:rPr>
        <w:t xml:space="preserve"> continua</w:t>
      </w:r>
      <w:r>
        <w:rPr>
          <w:rFonts w:ascii="Arial Narrow" w:hAnsi="Arial Narrow"/>
        </w:rPr>
        <w:t>r</w:t>
      </w:r>
      <w:r w:rsidRPr="00F95336">
        <w:rPr>
          <w:rFonts w:ascii="Arial Narrow" w:hAnsi="Arial Narrow"/>
        </w:rPr>
        <w:t>am a inspirar Engels quando escrev</w:t>
      </w:r>
      <w:r>
        <w:rPr>
          <w:rFonts w:ascii="Arial Narrow" w:hAnsi="Arial Narrow"/>
        </w:rPr>
        <w:t>eu</w:t>
      </w:r>
      <w:r w:rsidRPr="00F95336">
        <w:rPr>
          <w:rFonts w:ascii="Arial Narrow" w:hAnsi="Arial Narrow"/>
        </w:rPr>
        <w:t>, no final de uma brochura publicada anonimamente em 1859 e que o seu amigo considerou «um trabalho extremamente brilhante»</w:t>
      </w:r>
      <w:r w:rsidRPr="00F95336">
        <w:rPr>
          <w:rStyle w:val="Refdenotaderodap"/>
          <w:rFonts w:ascii="Arial Narrow" w:hAnsi="Arial Narrow"/>
        </w:rPr>
        <w:footnoteReference w:id="48"/>
      </w:r>
      <w:r w:rsidRPr="00F95336">
        <w:rPr>
          <w:rFonts w:ascii="Arial Narrow" w:hAnsi="Arial Narrow"/>
        </w:rPr>
        <w:t>: «Ninguém defenderá que o mapa da Europa fique traçado de maneira definitiva. Mas, para serem duradouras, todas as mudanças devem tender a restituir cada vez mais às grandes nações europeias, dotadas de vitalidade, as suas fronteiras naturais, fixadas consoante a língua e as afinidades. Entretanto, os fragmentos de povos, que ainda se encontram aqui e ali e são já incapazes de sustentar uma existência nacional, permanecem incorporados nas grandes nações, quer dissolvendo-se quer conservando-se como meras relíquias etnográficas desprovidas de importância política»</w:t>
      </w:r>
      <w:r w:rsidRPr="00F95336">
        <w:rPr>
          <w:rStyle w:val="Refdenotaderodap"/>
          <w:rFonts w:ascii="Arial Narrow" w:hAnsi="Arial Narrow"/>
        </w:rPr>
        <w:footnoteReference w:id="49"/>
      </w:r>
      <w:r w:rsidRPr="00F95336">
        <w:rPr>
          <w:rFonts w:ascii="Arial Narrow" w:hAnsi="Arial Narrow"/>
        </w:rPr>
        <w:t>. De igual modo, num artigo publicado em 1866 Engels sustentou que o destino dos «pequenos restos de povos» consist</w:t>
      </w:r>
      <w:r>
        <w:rPr>
          <w:rFonts w:ascii="Arial Narrow" w:hAnsi="Arial Narrow"/>
        </w:rPr>
        <w:t>ia</w:t>
      </w:r>
      <w:r w:rsidRPr="00F95336">
        <w:rPr>
          <w:rFonts w:ascii="Arial Narrow" w:hAnsi="Arial Narrow"/>
        </w:rPr>
        <w:t xml:space="preserve"> em serem «absorvidos como porções integrais de nações mais poderosas, cuja maior viabilidade lhes conferia a capacidade </w:t>
      </w:r>
      <w:r w:rsidRPr="00F95336">
        <w:rPr>
          <w:rFonts w:ascii="Arial Narrow" w:hAnsi="Arial Narrow"/>
        </w:rPr>
        <w:lastRenderedPageBreak/>
        <w:t>de superarem maiores obstáculos»</w:t>
      </w:r>
      <w:r w:rsidRPr="00F95336">
        <w:rPr>
          <w:rStyle w:val="Refdenotaderodap"/>
          <w:rFonts w:ascii="Arial Narrow" w:hAnsi="Arial Narrow"/>
        </w:rPr>
        <w:footnoteReference w:id="50"/>
      </w:r>
      <w:r w:rsidRPr="00F95336">
        <w:rPr>
          <w:rFonts w:ascii="Arial Narrow" w:hAnsi="Arial Narrow"/>
        </w:rPr>
        <w:t>, e em correspondência enviada para Marx em meados de 1876 vêmo-lo classificar de ladrões os sérvios em luta pela autonomia nacional</w:t>
      </w:r>
      <w:r w:rsidRPr="00F95336">
        <w:rPr>
          <w:rStyle w:val="Refdenotaderodap"/>
          <w:rFonts w:ascii="Arial Narrow" w:hAnsi="Arial Narrow"/>
        </w:rPr>
        <w:footnoteReference w:id="51"/>
      </w:r>
      <w:r w:rsidRPr="00F95336">
        <w:rPr>
          <w:rFonts w:ascii="Arial Narrow" w:hAnsi="Arial Narrow"/>
        </w:rPr>
        <w:t>, sendo os bósnios tratados da mesma maneira seis anos mais tarde</w:t>
      </w:r>
      <w:r w:rsidRPr="00F95336">
        <w:rPr>
          <w:rStyle w:val="Refdenotaderodap"/>
          <w:rFonts w:ascii="Arial Narrow" w:hAnsi="Arial Narrow"/>
        </w:rPr>
        <w:footnoteReference w:id="52"/>
      </w:r>
      <w:r w:rsidRPr="00F95336">
        <w:rPr>
          <w:rFonts w:ascii="Arial Narrow" w:hAnsi="Arial Narrow"/>
        </w:rPr>
        <w:t>. Em Fevereiro de 1882 Karl Kautsky l</w:t>
      </w:r>
      <w:r>
        <w:rPr>
          <w:rFonts w:ascii="Arial Narrow" w:hAnsi="Arial Narrow"/>
        </w:rPr>
        <w:t>eu</w:t>
      </w:r>
      <w:r w:rsidRPr="00F95336">
        <w:rPr>
          <w:rFonts w:ascii="Arial Narrow" w:hAnsi="Arial Narrow"/>
        </w:rPr>
        <w:t xml:space="preserve"> numa carta que havia recebido de Engels: «Podia perguntar-me agora se tenho pelo menos alguma simpatia pelos pequenos povos eslavos ou ruínas de povos, reduzidos a pó pelas três cunhas introduzidas no eslavismo, a alemã, a magiar e a turca. De facto, terrivelmente pouca»</w:t>
      </w:r>
      <w:r w:rsidRPr="00F95336">
        <w:rPr>
          <w:rStyle w:val="Refdenotaderodap"/>
          <w:rFonts w:ascii="Arial Narrow" w:hAnsi="Arial Narrow"/>
        </w:rPr>
        <w:footnoteReference w:id="53"/>
      </w:r>
      <w:r w:rsidRPr="00F95336">
        <w:rPr>
          <w:rFonts w:ascii="Arial Narrow" w:hAnsi="Arial Narrow"/>
        </w:rPr>
        <w:t>. Mais tarde ainda, em Novembro de 1885, numa carta dirigida a August Bebel, Engels qualificou como «miseráveis fragmentos de ex-nações» «os sérvios, os búlgaros, os gregos e outros cortadores de cabeças»</w:t>
      </w:r>
      <w:r w:rsidRPr="00F95336">
        <w:rPr>
          <w:rStyle w:val="Refdenotaderodap"/>
          <w:rFonts w:ascii="Arial Narrow" w:hAnsi="Arial Narrow"/>
        </w:rPr>
        <w:footnoteReference w:id="54"/>
      </w:r>
      <w:r w:rsidRPr="00F95336">
        <w:rPr>
          <w:rFonts w:ascii="Arial Narrow" w:hAnsi="Arial Narrow"/>
        </w:rPr>
        <w:t>. «No fundo», conclui</w:t>
      </w:r>
      <w:r>
        <w:rPr>
          <w:rFonts w:ascii="Arial Narrow" w:hAnsi="Arial Narrow"/>
        </w:rPr>
        <w:t>u</w:t>
      </w:r>
      <w:r w:rsidRPr="00F95336">
        <w:rPr>
          <w:rFonts w:ascii="Arial Narrow" w:hAnsi="Arial Narrow"/>
        </w:rPr>
        <w:t xml:space="preserve"> um autor que estudou minuciosamente estas concepções de Engels, «a ideia que ele tinha da almejada revolução na Europa central </w:t>
      </w:r>
      <w:r w:rsidR="00743B39">
        <w:rPr>
          <w:rFonts w:ascii="Arial Narrow" w:hAnsi="Arial Narrow"/>
        </w:rPr>
        <w:t>—</w:t>
      </w:r>
      <w:r w:rsidRPr="00F95336">
        <w:rPr>
          <w:rFonts w:ascii="Arial Narrow" w:hAnsi="Arial Narrow"/>
        </w:rPr>
        <w:t xml:space="preserve"> mesmo nas décadas de sessenta, setenta e oitenta </w:t>
      </w:r>
      <w:r w:rsidR="00743B39">
        <w:rPr>
          <w:rFonts w:ascii="Arial Narrow" w:hAnsi="Arial Narrow"/>
        </w:rPr>
        <w:t>—</w:t>
      </w:r>
      <w:r w:rsidRPr="00F95336">
        <w:rPr>
          <w:rFonts w:ascii="Arial Narrow" w:hAnsi="Arial Narrow"/>
        </w:rPr>
        <w:t xml:space="preserve"> continuou sendo </w:t>
      </w:r>
      <w:r w:rsidRPr="00F95336">
        <w:rPr>
          <w:rFonts w:ascii="Arial Narrow" w:hAnsi="Arial Narrow"/>
          <w:i/>
        </w:rPr>
        <w:t>a mesma que em 1848:</w:t>
      </w:r>
      <w:r w:rsidRPr="00F95336">
        <w:rPr>
          <w:rFonts w:ascii="Arial Narrow" w:hAnsi="Arial Narrow"/>
        </w:rPr>
        <w:t xml:space="preserve"> concebia-a como uma revolução essencialmente </w:t>
      </w:r>
      <w:r w:rsidRPr="00F95336">
        <w:rPr>
          <w:rFonts w:ascii="Arial Narrow" w:hAnsi="Arial Narrow"/>
          <w:i/>
        </w:rPr>
        <w:t>alemã,</w:t>
      </w:r>
      <w:r w:rsidRPr="00F95336">
        <w:rPr>
          <w:rFonts w:ascii="Arial Narrow" w:hAnsi="Arial Narrow"/>
        </w:rPr>
        <w:t xml:space="preserve"> que haveria de resolver os mesmos problemas e contaria, como então, com os mesmos aliados (Hungria, Polónia) e também com os mesmos inimigos (os eslavos exteriores à história, apoiados pelo czarismo)»</w:t>
      </w:r>
      <w:r w:rsidRPr="00F95336">
        <w:rPr>
          <w:rStyle w:val="Refdenotaderodap"/>
          <w:rFonts w:ascii="Arial Narrow" w:hAnsi="Arial Narrow"/>
        </w:rPr>
        <w:footnoteReference w:id="55"/>
      </w:r>
      <w:r w:rsidRPr="00F95336">
        <w:rPr>
          <w:rFonts w:ascii="Arial Narrow" w:hAnsi="Arial Narrow"/>
        </w:rPr>
        <w:t xml:space="preserve">. </w:t>
      </w:r>
    </w:p>
    <w:p w:rsidR="00CD12DC" w:rsidRDefault="00CD12DC" w:rsidP="00CD12DC">
      <w:pPr>
        <w:rPr>
          <w:rFonts w:ascii="Arial Narrow" w:hAnsi="Arial Narrow"/>
        </w:rPr>
      </w:pPr>
      <w:r>
        <w:rPr>
          <w:rFonts w:ascii="Arial Narrow" w:hAnsi="Arial Narrow"/>
        </w:rPr>
        <w:t xml:space="preserve">As perspectivas de Marx não diferiam das do seu amigo. Num livro de </w:t>
      </w:r>
      <w:r w:rsidRPr="00F95336">
        <w:rPr>
          <w:rFonts w:ascii="Arial Narrow" w:hAnsi="Arial Narrow"/>
        </w:rPr>
        <w:t xml:space="preserve">1857, </w:t>
      </w:r>
      <w:r w:rsidRPr="005C69AC">
        <w:rPr>
          <w:rFonts w:ascii="Arial Narrow" w:hAnsi="Arial Narrow"/>
          <w:i/>
        </w:rPr>
        <w:t>História Diplomática Secreta do Século XVIII,</w:t>
      </w:r>
      <w:r w:rsidRPr="00F95336">
        <w:rPr>
          <w:rFonts w:ascii="Arial Narrow" w:hAnsi="Arial Narrow"/>
        </w:rPr>
        <w:t xml:space="preserve"> Marx reduzi</w:t>
      </w:r>
      <w:r>
        <w:rPr>
          <w:rFonts w:ascii="Arial Narrow" w:hAnsi="Arial Narrow"/>
        </w:rPr>
        <w:t>u</w:t>
      </w:r>
      <w:r w:rsidRPr="00F95336">
        <w:rPr>
          <w:rFonts w:ascii="Arial Narrow" w:hAnsi="Arial Narrow"/>
        </w:rPr>
        <w:t xml:space="preserve"> as origens e o processo de desenvolvimento do Estado russo às habilidades pessoais dos soberanos, atribuindo do mesmo modo a explicação das disputas entre as potências europeias no século XVIII a ridículas manobras de bastidores</w:t>
      </w:r>
      <w:r w:rsidRPr="00F95336">
        <w:rPr>
          <w:rStyle w:val="Refdenotaderodap"/>
          <w:rFonts w:ascii="Arial Narrow" w:hAnsi="Arial Narrow"/>
        </w:rPr>
        <w:footnoteReference w:id="56"/>
      </w:r>
      <w:r w:rsidRPr="00F95336">
        <w:rPr>
          <w:rFonts w:ascii="Arial Narrow" w:hAnsi="Arial Narrow"/>
        </w:rPr>
        <w:t xml:space="preserve">. É deveras extraordinário que o fundador do materialismo histórico fosse encontrar nos </w:t>
      </w:r>
      <w:r w:rsidRPr="00F95336">
        <w:rPr>
          <w:rFonts w:ascii="Arial Narrow" w:hAnsi="Arial Narrow"/>
          <w:i/>
        </w:rPr>
        <w:t>potins de cour</w:t>
      </w:r>
      <w:r w:rsidRPr="00F95336">
        <w:rPr>
          <w:rFonts w:ascii="Arial Narrow" w:hAnsi="Arial Narrow"/>
        </w:rPr>
        <w:t xml:space="preserve"> o segredo de grandes conflitos de interesses económicos e territoriais, ocultando a história sob as máscaras carnavalescas da </w:t>
      </w:r>
      <w:r w:rsidRPr="00F95336">
        <w:rPr>
          <w:rFonts w:ascii="Arial Narrow" w:hAnsi="Arial Narrow"/>
          <w:i/>
        </w:rPr>
        <w:t>petite histoire</w:t>
      </w:r>
      <w:r w:rsidRPr="00F95336">
        <w:rPr>
          <w:rFonts w:ascii="Arial Narrow" w:hAnsi="Arial Narrow"/>
        </w:rPr>
        <w:t>. Mas aquele livro explica-se pela intenção de denunciar uma perversidade secular como linha condutora da política externa russa. A habilidade na defesa dos interesses de classe, que em geral Marx tanto apreciava, considerando-a o mais eficaz motor da história, foi apresentada no caso dos czares como uma conjugação repelente de cobardia e espírito sanguinário. E já que Marx pretendeu colocar sob esta luz a orientação prosseguida pelos governantes russos da sua época, e além disso redigiu a obra directamente em inglês e empregou apenas argumentos relativos à actividade diplomática, tão do agrado das chancelarias, podemos talvez deduzir que o livro se endereçava aos círculos governamentais britânicos, para preveni</w:t>
      </w:r>
      <w:r w:rsidR="00354654">
        <w:rPr>
          <w:rFonts w:ascii="Arial Narrow" w:hAnsi="Arial Narrow"/>
        </w:rPr>
        <w:t>-los</w:t>
      </w:r>
      <w:r w:rsidRPr="00F95336">
        <w:rPr>
          <w:rFonts w:ascii="Arial Narrow" w:hAnsi="Arial Narrow"/>
        </w:rPr>
        <w:t xml:space="preserve"> contra os malefícios </w:t>
      </w:r>
      <w:r w:rsidRPr="00F95336">
        <w:rPr>
          <w:rFonts w:ascii="Arial Narrow" w:hAnsi="Arial Narrow"/>
        </w:rPr>
        <w:lastRenderedPageBreak/>
        <w:t>eslavos. Que ingenuidade, da parte de um pobre exilado, acreditar que pudesse mover peões no jogo da geopolítica</w:t>
      </w:r>
      <w:r w:rsidR="00FA3CD4">
        <w:rPr>
          <w:rFonts w:ascii="Arial Narrow" w:hAnsi="Arial Narrow"/>
        </w:rPr>
        <w:t xml:space="preserve"> e influenciar de algum modo o </w:t>
      </w:r>
      <w:r w:rsidR="00FA3CD4" w:rsidRPr="00FA3CD4">
        <w:rPr>
          <w:rFonts w:ascii="Arial Narrow" w:hAnsi="Arial Narrow"/>
          <w:i/>
        </w:rPr>
        <w:t>Great Game</w:t>
      </w:r>
      <w:r w:rsidR="00ED61C8">
        <w:rPr>
          <w:rFonts w:ascii="Arial Narrow" w:hAnsi="Arial Narrow"/>
          <w:i/>
        </w:rPr>
        <w:t>,</w:t>
      </w:r>
      <w:r w:rsidR="00ED61C8" w:rsidRPr="00ED61C8">
        <w:rPr>
          <w:rFonts w:ascii="Arial Narrow" w:hAnsi="Arial Narrow"/>
        </w:rPr>
        <w:t xml:space="preserve"> </w:t>
      </w:r>
      <w:r w:rsidR="00ED61C8">
        <w:rPr>
          <w:rFonts w:ascii="Arial Narrow" w:hAnsi="Arial Narrow"/>
        </w:rPr>
        <w:t>que iniciava então uma das suas fases de recrudescimento.</w:t>
      </w:r>
      <w:r w:rsidRPr="00F95336">
        <w:rPr>
          <w:rFonts w:ascii="Arial Narrow" w:hAnsi="Arial Narrow"/>
        </w:rPr>
        <w:t xml:space="preserve"> </w:t>
      </w:r>
      <w:r w:rsidR="00ED61C8">
        <w:rPr>
          <w:rFonts w:ascii="Arial Narrow" w:hAnsi="Arial Narrow"/>
        </w:rPr>
        <w:t xml:space="preserve">Aquela </w:t>
      </w:r>
      <w:r w:rsidRPr="00517047">
        <w:rPr>
          <w:rFonts w:ascii="Arial Narrow" w:hAnsi="Arial Narrow"/>
        </w:rPr>
        <w:t>obra encontrou eco num ensaio publicado por Engels em 1890</w:t>
      </w:r>
      <w:r>
        <w:rPr>
          <w:rFonts w:ascii="Arial Narrow" w:hAnsi="Arial Narrow"/>
        </w:rPr>
        <w:t xml:space="preserve">, </w:t>
      </w:r>
      <w:r w:rsidRPr="00F95336">
        <w:rPr>
          <w:rFonts w:ascii="Arial Narrow" w:hAnsi="Arial Narrow"/>
          <w:i/>
        </w:rPr>
        <w:t>A Política Externa do Czarismo Russo</w:t>
      </w:r>
      <w:r w:rsidRPr="00517047">
        <w:rPr>
          <w:rFonts w:ascii="Arial Narrow" w:hAnsi="Arial Narrow"/>
        </w:rPr>
        <w:t xml:space="preserve">. Tal como fizera o seu amigo, Engels transformou a história em intrigas de corte e conspirações de gabinete, e a defesa eficaz dos interesses imperiais </w:t>
      </w:r>
      <w:r w:rsidR="00413878" w:rsidRPr="00517047">
        <w:rPr>
          <w:rFonts w:ascii="Arial Narrow" w:hAnsi="Arial Narrow"/>
        </w:rPr>
        <w:t xml:space="preserve">foi </w:t>
      </w:r>
      <w:r w:rsidRPr="00517047">
        <w:rPr>
          <w:rFonts w:ascii="Arial Narrow" w:hAnsi="Arial Narrow"/>
        </w:rPr>
        <w:t>também reduzida pejorativamente a um chorrilho de traições e falsidades</w:t>
      </w:r>
      <w:r w:rsidRPr="00517047">
        <w:rPr>
          <w:rFonts w:ascii="Arial Narrow" w:hAnsi="Arial Narrow"/>
          <w:vertAlign w:val="superscript"/>
        </w:rPr>
        <w:footnoteReference w:id="57"/>
      </w:r>
      <w:r w:rsidRPr="00517047">
        <w:rPr>
          <w:rFonts w:ascii="Arial Narrow" w:hAnsi="Arial Narrow"/>
        </w:rPr>
        <w:t xml:space="preserve">. Aliás, o desprezo pelas capacidades nativas dos eslavos levou-o </w:t>
      </w:r>
      <w:r>
        <w:rPr>
          <w:rFonts w:ascii="Arial Narrow" w:hAnsi="Arial Narrow"/>
        </w:rPr>
        <w:t xml:space="preserve">a </w:t>
      </w:r>
      <w:r w:rsidRPr="00517047">
        <w:rPr>
          <w:rFonts w:ascii="Arial Narrow" w:hAnsi="Arial Narrow"/>
        </w:rPr>
        <w:t>atribui</w:t>
      </w:r>
      <w:r>
        <w:rPr>
          <w:rFonts w:ascii="Arial Narrow" w:hAnsi="Arial Narrow"/>
        </w:rPr>
        <w:t>r</w:t>
      </w:r>
      <w:r w:rsidRPr="00517047">
        <w:rPr>
          <w:rFonts w:ascii="Arial Narrow" w:hAnsi="Arial Narrow"/>
        </w:rPr>
        <w:t xml:space="preserve"> toda a política externa russa a aventureiros de outros países que se haviam posto ao serviço dos czares</w:t>
      </w:r>
      <w:r w:rsidRPr="00517047">
        <w:rPr>
          <w:rFonts w:ascii="Arial Narrow" w:hAnsi="Arial Narrow"/>
          <w:vertAlign w:val="superscript"/>
        </w:rPr>
        <w:footnoteReference w:id="58"/>
      </w:r>
      <w:r w:rsidRPr="00517047">
        <w:rPr>
          <w:rFonts w:ascii="Arial Narrow" w:hAnsi="Arial Narrow"/>
        </w:rPr>
        <w:t xml:space="preserve">. </w:t>
      </w:r>
      <w:r w:rsidR="00413878">
        <w:rPr>
          <w:rFonts w:ascii="Arial Narrow" w:hAnsi="Arial Narrow"/>
        </w:rPr>
        <w:t>O</w:t>
      </w:r>
      <w:r>
        <w:rPr>
          <w:rFonts w:ascii="Arial Narrow" w:hAnsi="Arial Narrow"/>
        </w:rPr>
        <w:t xml:space="preserve"> antieslavismo </w:t>
      </w:r>
      <w:r w:rsidR="00413878">
        <w:rPr>
          <w:rFonts w:ascii="Arial Narrow" w:hAnsi="Arial Narrow"/>
        </w:rPr>
        <w:t xml:space="preserve">de Marx </w:t>
      </w:r>
      <w:r>
        <w:rPr>
          <w:rFonts w:ascii="Arial Narrow" w:hAnsi="Arial Narrow"/>
        </w:rPr>
        <w:t xml:space="preserve">não obedecia sequer aos limites da sensatez. </w:t>
      </w:r>
      <w:r w:rsidRPr="003C5F87">
        <w:rPr>
          <w:rFonts w:ascii="Arial Narrow" w:hAnsi="Arial Narrow"/>
        </w:rPr>
        <w:t>No Verão de 1865, entusiasmado ao ler num livro que afinal os russos seriam de origem mongol, pegou de imediato na caneta para traçar o plano de campanha em mais uma das inevitáveis cartas ao seu amigo</w:t>
      </w:r>
      <w:r w:rsidR="00413878">
        <w:rPr>
          <w:rFonts w:ascii="Arial Narrow" w:hAnsi="Arial Narrow"/>
        </w:rPr>
        <w:t>:</w:t>
      </w:r>
      <w:r w:rsidRPr="003C5F87">
        <w:rPr>
          <w:rFonts w:ascii="Arial Narrow" w:hAnsi="Arial Narrow"/>
        </w:rPr>
        <w:t xml:space="preserve"> «Eles não são eslavos, em suma, não pertencem à raça indo-germânica, são intrusos que é necessário repelir para além do Dniepre!»</w:t>
      </w:r>
      <w:r w:rsidRPr="003C5F87">
        <w:rPr>
          <w:rFonts w:ascii="Arial Narrow" w:hAnsi="Arial Narrow"/>
          <w:vertAlign w:val="superscript"/>
        </w:rPr>
        <w:footnoteReference w:id="59"/>
      </w:r>
      <w:r w:rsidRPr="003C5F87">
        <w:rPr>
          <w:rFonts w:ascii="Arial Narrow" w:hAnsi="Arial Narrow"/>
        </w:rPr>
        <w:t xml:space="preserve">. Qualquer argumento servia, eram tudo achas para a mesma fogueira. </w:t>
      </w:r>
      <w:r w:rsidRPr="004143A2">
        <w:rPr>
          <w:rFonts w:ascii="Arial Narrow" w:hAnsi="Arial Narrow"/>
        </w:rPr>
        <w:t xml:space="preserve">Numa carta endereçada a Wilhelm Liebknecht em 4 de Fevereiro de 1878 </w:t>
      </w:r>
      <w:r>
        <w:rPr>
          <w:rFonts w:ascii="Arial Narrow" w:hAnsi="Arial Narrow"/>
        </w:rPr>
        <w:t xml:space="preserve">Marx </w:t>
      </w:r>
      <w:r w:rsidRPr="004143A2">
        <w:rPr>
          <w:rFonts w:ascii="Arial Narrow" w:hAnsi="Arial Narrow"/>
        </w:rPr>
        <w:t>não viu por detrás dos sérvios senão a sinistra mão da Rússia e enalteceu o opressor turco, afirmando que «o camponês turco, e portanto a massa do povo turco» era «sem dúvida, o representante mais activo e mais moral do campesinato da Europa»</w:t>
      </w:r>
      <w:r w:rsidRPr="004143A2">
        <w:rPr>
          <w:rFonts w:ascii="Arial Narrow" w:hAnsi="Arial Narrow"/>
          <w:vertAlign w:val="superscript"/>
        </w:rPr>
        <w:footnoteReference w:id="60"/>
      </w:r>
      <w:r w:rsidRPr="004143A2">
        <w:rPr>
          <w:rFonts w:ascii="Arial Narrow" w:hAnsi="Arial Narrow"/>
        </w:rPr>
        <w:t xml:space="preserve">. </w:t>
      </w:r>
      <w:r w:rsidR="00E5321E">
        <w:rPr>
          <w:rFonts w:ascii="Arial Narrow" w:hAnsi="Arial Narrow"/>
        </w:rPr>
        <w:t xml:space="preserve">Estes termos só parecerão estranhos a quem não souber que na </w:t>
      </w:r>
      <w:r w:rsidR="002900FB">
        <w:rPr>
          <w:rFonts w:ascii="Arial Narrow" w:hAnsi="Arial Narrow"/>
        </w:rPr>
        <w:t>Grã</w:t>
      </w:r>
      <w:r w:rsidR="00EE48C2">
        <w:rPr>
          <w:rFonts w:ascii="Arial Narrow" w:hAnsi="Arial Narrow"/>
        </w:rPr>
        <w:t>-Bretanha</w:t>
      </w:r>
      <w:r w:rsidR="00E5321E">
        <w:rPr>
          <w:rFonts w:ascii="Arial Narrow" w:hAnsi="Arial Narrow"/>
        </w:rPr>
        <w:t xml:space="preserve"> daquela época a hostilidade à Rússia andava junta com a simpatia pela Turquia</w:t>
      </w:r>
      <w:r w:rsidR="00E5321E">
        <w:rPr>
          <w:rStyle w:val="Refdenotaderodap"/>
          <w:rFonts w:ascii="Arial Narrow" w:hAnsi="Arial Narrow"/>
        </w:rPr>
        <w:footnoteReference w:id="61"/>
      </w:r>
      <w:r w:rsidR="00E5321E">
        <w:rPr>
          <w:rFonts w:ascii="Arial Narrow" w:hAnsi="Arial Narrow"/>
        </w:rPr>
        <w:t xml:space="preserve">. </w:t>
      </w:r>
    </w:p>
    <w:p w:rsidR="00CD12DC" w:rsidRPr="00BE3B3D" w:rsidRDefault="00CD12DC" w:rsidP="00CD12DC">
      <w:pPr>
        <w:rPr>
          <w:rFonts w:ascii="Arial Narrow" w:hAnsi="Arial Narrow"/>
          <w:bCs/>
          <w:iCs/>
        </w:rPr>
      </w:pPr>
      <w:r>
        <w:rPr>
          <w:rFonts w:ascii="Arial Narrow" w:hAnsi="Arial Narrow"/>
        </w:rPr>
        <w:t xml:space="preserve">É indubitável o mal-estar que </w:t>
      </w:r>
      <w:r w:rsidR="00E5321E">
        <w:rPr>
          <w:rFonts w:ascii="Arial Narrow" w:hAnsi="Arial Narrow"/>
        </w:rPr>
        <w:t>tais</w:t>
      </w:r>
      <w:r>
        <w:rPr>
          <w:rFonts w:ascii="Arial Narrow" w:hAnsi="Arial Narrow"/>
        </w:rPr>
        <w:t xml:space="preserve"> concepções provocaram entre os discípulos. </w:t>
      </w:r>
      <w:r w:rsidRPr="00F95336">
        <w:rPr>
          <w:rFonts w:ascii="Arial Narrow" w:hAnsi="Arial Narrow"/>
        </w:rPr>
        <w:t xml:space="preserve">Quando uma das filhas de Marx, Eleanor, reeditou 1899 </w:t>
      </w:r>
      <w:r>
        <w:rPr>
          <w:rFonts w:ascii="Arial Narrow" w:hAnsi="Arial Narrow"/>
        </w:rPr>
        <w:t xml:space="preserve">a </w:t>
      </w:r>
      <w:r w:rsidRPr="005C69AC">
        <w:rPr>
          <w:rFonts w:ascii="Arial Narrow" w:hAnsi="Arial Narrow"/>
          <w:i/>
        </w:rPr>
        <w:t>História Diplomática Secreta do Século XVIII</w:t>
      </w:r>
      <w:r>
        <w:rPr>
          <w:rFonts w:ascii="Arial Narrow" w:hAnsi="Arial Narrow"/>
          <w:i/>
        </w:rPr>
        <w:t>,</w:t>
      </w:r>
      <w:r w:rsidRPr="00F95336">
        <w:rPr>
          <w:rFonts w:ascii="Arial Narrow" w:hAnsi="Arial Narrow"/>
        </w:rPr>
        <w:t xml:space="preserve"> tomou a iniciativa de cortar algumas passagens</w:t>
      </w:r>
      <w:r>
        <w:rPr>
          <w:rFonts w:ascii="Arial Narrow" w:hAnsi="Arial Narrow"/>
        </w:rPr>
        <w:t xml:space="preserve"> e </w:t>
      </w:r>
      <w:r w:rsidRPr="00F95336">
        <w:rPr>
          <w:rFonts w:ascii="Arial Narrow" w:hAnsi="Arial Narrow"/>
        </w:rPr>
        <w:t xml:space="preserve">de então em diante os marxistas esforçaram-se </w:t>
      </w:r>
      <w:r>
        <w:rPr>
          <w:rFonts w:ascii="Arial Narrow" w:hAnsi="Arial Narrow"/>
        </w:rPr>
        <w:t xml:space="preserve">com êxito </w:t>
      </w:r>
      <w:r w:rsidRPr="00F95336">
        <w:rPr>
          <w:rFonts w:ascii="Arial Narrow" w:hAnsi="Arial Narrow"/>
        </w:rPr>
        <w:t xml:space="preserve">por não divulgar </w:t>
      </w:r>
      <w:r>
        <w:rPr>
          <w:rFonts w:ascii="Arial Narrow" w:hAnsi="Arial Narrow"/>
        </w:rPr>
        <w:t xml:space="preserve">o livro </w:t>
      </w:r>
      <w:r w:rsidRPr="00F95336">
        <w:rPr>
          <w:rFonts w:ascii="Arial Narrow" w:hAnsi="Arial Narrow"/>
        </w:rPr>
        <w:t>e Stalin censurou-</w:t>
      </w:r>
      <w:r>
        <w:rPr>
          <w:rFonts w:ascii="Arial Narrow" w:hAnsi="Arial Narrow"/>
        </w:rPr>
        <w:t>o</w:t>
      </w:r>
      <w:r w:rsidRPr="00F95336">
        <w:rPr>
          <w:rFonts w:ascii="Arial Narrow" w:hAnsi="Arial Narrow"/>
        </w:rPr>
        <w:t xml:space="preserve"> definitivamente</w:t>
      </w:r>
      <w:r>
        <w:rPr>
          <w:rStyle w:val="Refdenotaderodap"/>
          <w:rFonts w:ascii="Arial Narrow" w:hAnsi="Arial Narrow"/>
        </w:rPr>
        <w:footnoteReference w:id="62"/>
      </w:r>
      <w:r>
        <w:rPr>
          <w:rFonts w:ascii="Arial Narrow" w:hAnsi="Arial Narrow"/>
        </w:rPr>
        <w:t>,</w:t>
      </w:r>
      <w:r w:rsidRPr="00F95336">
        <w:rPr>
          <w:rFonts w:ascii="Arial Narrow" w:hAnsi="Arial Narrow"/>
        </w:rPr>
        <w:t xml:space="preserve"> </w:t>
      </w:r>
      <w:r>
        <w:rPr>
          <w:rFonts w:ascii="Arial Narrow" w:hAnsi="Arial Narrow"/>
        </w:rPr>
        <w:t xml:space="preserve">assim como proibiu a circulação de </w:t>
      </w:r>
      <w:r w:rsidRPr="00F95336">
        <w:rPr>
          <w:rFonts w:ascii="Arial Narrow" w:hAnsi="Arial Narrow"/>
          <w:i/>
        </w:rPr>
        <w:t>A Política Externa do Czarismo Russo</w:t>
      </w:r>
      <w:r>
        <w:rPr>
          <w:rFonts w:ascii="Arial Narrow" w:hAnsi="Arial Narrow"/>
          <w:i/>
        </w:rPr>
        <w:t>,</w:t>
      </w:r>
      <w:r w:rsidRPr="00F95336">
        <w:rPr>
          <w:rFonts w:ascii="Arial Narrow" w:hAnsi="Arial Narrow"/>
        </w:rPr>
        <w:t xml:space="preserve"> </w:t>
      </w:r>
      <w:r>
        <w:rPr>
          <w:rFonts w:ascii="Arial Narrow" w:hAnsi="Arial Narrow"/>
        </w:rPr>
        <w:t>apesar de esta obra de Engels ter já sido abundantemente difundida e contar com uma tradução russa</w:t>
      </w:r>
      <w:r>
        <w:rPr>
          <w:rStyle w:val="Refdenotaderodap"/>
          <w:rFonts w:ascii="Arial Narrow" w:hAnsi="Arial Narrow"/>
        </w:rPr>
        <w:footnoteReference w:id="63"/>
      </w:r>
      <w:r>
        <w:rPr>
          <w:rFonts w:ascii="Arial Narrow" w:hAnsi="Arial Narrow"/>
        </w:rPr>
        <w:t xml:space="preserve">. </w:t>
      </w:r>
      <w:r w:rsidRPr="00F95336">
        <w:rPr>
          <w:rFonts w:ascii="Arial Narrow" w:hAnsi="Arial Narrow"/>
        </w:rPr>
        <w:t>Aliás, é interessante saber que</w:t>
      </w:r>
      <w:r>
        <w:rPr>
          <w:rFonts w:ascii="Arial Narrow" w:hAnsi="Arial Narrow"/>
        </w:rPr>
        <w:t xml:space="preserve"> </w:t>
      </w:r>
      <w:r w:rsidRPr="00F95336">
        <w:rPr>
          <w:rFonts w:ascii="Arial Narrow" w:hAnsi="Arial Narrow"/>
        </w:rPr>
        <w:t xml:space="preserve">o </w:t>
      </w:r>
      <w:r w:rsidRPr="00F95336">
        <w:rPr>
          <w:rFonts w:ascii="Arial Narrow" w:hAnsi="Arial Narrow"/>
        </w:rPr>
        <w:lastRenderedPageBreak/>
        <w:t>Instituto Marx-Engels-Lenin de Moscovo manteve inéditos vários manuscritos dos dois criadores do comunismo moderno dedicados às questões eslavas</w:t>
      </w:r>
      <w:r>
        <w:rPr>
          <w:rStyle w:val="Refdenotaderodap"/>
          <w:rFonts w:ascii="Arial Narrow" w:hAnsi="Arial Narrow"/>
        </w:rPr>
        <w:footnoteReference w:id="64"/>
      </w:r>
      <w:r w:rsidRPr="00F95336">
        <w:rPr>
          <w:rFonts w:ascii="Arial Narrow" w:hAnsi="Arial Narrow"/>
        </w:rPr>
        <w:t>. Chegou a dizer-se que Riazanov, bolchevista um tanto excêntrico e um dos maiores conhecedores dos textos de Marx e de Engels, encarregado pelo governo soviético de dirigir a edição das suas obras completas, fora preso em 1931 e condenado à deportação apenas por causa da sua relutância em aceitar a censura aos manuscritos dos pais fundadores.</w:t>
      </w:r>
      <w:r>
        <w:rPr>
          <w:rFonts w:ascii="Arial Narrow" w:hAnsi="Arial Narrow"/>
        </w:rPr>
        <w:t xml:space="preserve"> </w:t>
      </w:r>
    </w:p>
    <w:p w:rsidR="00CD12DC" w:rsidRPr="00F95336" w:rsidRDefault="00B01AC0" w:rsidP="00CD12DC">
      <w:pPr>
        <w:rPr>
          <w:rFonts w:ascii="Arial Narrow" w:hAnsi="Arial Narrow"/>
        </w:rPr>
      </w:pPr>
      <w:r>
        <w:rPr>
          <w:rFonts w:ascii="Arial Narrow" w:hAnsi="Arial Narrow"/>
        </w:rPr>
        <w:t xml:space="preserve">Não se deve </w:t>
      </w:r>
      <w:r w:rsidR="00CD12DC">
        <w:rPr>
          <w:rFonts w:ascii="Arial Narrow" w:hAnsi="Arial Narrow"/>
        </w:rPr>
        <w:t xml:space="preserve">esquecer que </w:t>
      </w:r>
      <w:r w:rsidR="00002CA0">
        <w:rPr>
          <w:rFonts w:ascii="Arial Narrow" w:hAnsi="Arial Narrow"/>
        </w:rPr>
        <w:t>a</w:t>
      </w:r>
      <w:r w:rsidR="00CD12DC">
        <w:rPr>
          <w:rFonts w:ascii="Arial Narrow" w:hAnsi="Arial Narrow"/>
        </w:rPr>
        <w:t xml:space="preserve"> hostilidade aos eslavos se inseria no quadro mais amplo de transposição da luta entre classes para confrontos nacionais, que levara a adoptar a noção de «</w:t>
      </w:r>
      <w:r w:rsidR="00CD12DC" w:rsidRPr="00F95336">
        <w:rPr>
          <w:rFonts w:ascii="Arial Narrow" w:hAnsi="Arial Narrow"/>
        </w:rPr>
        <w:t>nações revolucionárias e nações contra-revolucionárias»</w:t>
      </w:r>
      <w:r w:rsidR="00CD12DC">
        <w:rPr>
          <w:rFonts w:ascii="Arial Narrow" w:hAnsi="Arial Narrow"/>
        </w:rPr>
        <w:t xml:space="preserve">. Assim, </w:t>
      </w:r>
      <w:r w:rsidR="00CD12DC" w:rsidRPr="00F95336">
        <w:rPr>
          <w:rFonts w:ascii="Arial Narrow" w:hAnsi="Arial Narrow"/>
        </w:rPr>
        <w:t>quando voltou a sua atenção para o norte da América, Engels justificou o expansionismo dos Estados Unidos com a mesma argumentação que lhe servira para legitimar a opressão exercida pelos senhores germânicos, polacos e magiares sobre os camponeses eslavos. Referindo-se, em polémica com Bakunin, à guerra conduzida pelos Estados Unidos contra o México em 1846 e 1847, Engels pretendeu que ela «foi sustentada única e exclusivamente no interesse da civilização». A demonstração que ensaiou é muitíssimo curiosa</w:t>
      </w:r>
      <w:r>
        <w:rPr>
          <w:rFonts w:ascii="Arial Narrow" w:hAnsi="Arial Narrow"/>
        </w:rPr>
        <w:t>:</w:t>
      </w:r>
      <w:r w:rsidR="00CD12DC" w:rsidRPr="00F95336">
        <w:rPr>
          <w:rFonts w:ascii="Arial Narrow" w:hAnsi="Arial Narrow"/>
        </w:rPr>
        <w:t xml:space="preserve"> «Será porventura alguma desgraça que tenham tomado a magnífica Califórnia a esses mandriões mexicanos, que não souberam fazer nada com ela? Que os enérgicos </w:t>
      </w:r>
      <w:r w:rsidR="00CD12DC" w:rsidRPr="00F95336">
        <w:rPr>
          <w:rFonts w:ascii="Arial Narrow" w:hAnsi="Arial Narrow"/>
          <w:i/>
        </w:rPr>
        <w:t>yankees</w:t>
      </w:r>
      <w:r w:rsidR="00CD12DC" w:rsidRPr="00F95336">
        <w:rPr>
          <w:rFonts w:ascii="Arial Narrow" w:hAnsi="Arial Narrow"/>
        </w:rPr>
        <w:t xml:space="preserve"> multipliquem os meios de circulação graças à rápida exploração das minas de ouro ali existentes, concentrem em poucos anos uma população densa e um amplo comércio nas partes mais adequadas da costa do Pacífico, criem grandes cidades, inaugurem serviços de navios a vapor, construam uma via férrea de Nova Iorque até São Francisco, abrindo à civilização o Oceano Pacífico, e pela terceira vez na história dêem uma nova direcção ao comércio mundial? Talvez com isto fique prejudicada a “independência” de alguns californianos e texanos de origem espanhola e sejam violados aqui ou ali outros postulados morais, mas que peso tem isso em comparação com tais factos de transcendência histórica mundial?»</w:t>
      </w:r>
      <w:r w:rsidR="00CD12DC" w:rsidRPr="00F95336">
        <w:rPr>
          <w:rStyle w:val="Refdenotaderodap"/>
          <w:rFonts w:ascii="Arial Narrow" w:hAnsi="Arial Narrow"/>
        </w:rPr>
        <w:footnoteReference w:id="65"/>
      </w:r>
      <w:r w:rsidR="00CD12DC"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O fio dos raciocínios de Engels é tanto mais contorcido quanto se sabe que os imigrantes norte-americanos estabelecidos na província mexicana do Texas, que </w:t>
      </w:r>
      <w:r>
        <w:rPr>
          <w:rFonts w:ascii="Arial Narrow" w:hAnsi="Arial Narrow"/>
        </w:rPr>
        <w:t xml:space="preserve">se sublevaram </w:t>
      </w:r>
      <w:r w:rsidRPr="00F95336">
        <w:rPr>
          <w:rFonts w:ascii="Arial Narrow" w:hAnsi="Arial Narrow"/>
        </w:rPr>
        <w:t xml:space="preserve">em Outubro de 1835 </w:t>
      </w:r>
      <w:r>
        <w:rPr>
          <w:rFonts w:ascii="Arial Narrow" w:hAnsi="Arial Narrow"/>
        </w:rPr>
        <w:t xml:space="preserve">e </w:t>
      </w:r>
      <w:r w:rsidRPr="00F95336">
        <w:rPr>
          <w:rFonts w:ascii="Arial Narrow" w:hAnsi="Arial Narrow"/>
        </w:rPr>
        <w:t>mant</w:t>
      </w:r>
      <w:r>
        <w:rPr>
          <w:rFonts w:ascii="Arial Narrow" w:hAnsi="Arial Narrow"/>
        </w:rPr>
        <w:t xml:space="preserve">iveram </w:t>
      </w:r>
      <w:r w:rsidRPr="00F95336">
        <w:rPr>
          <w:rFonts w:ascii="Arial Narrow" w:hAnsi="Arial Narrow"/>
        </w:rPr>
        <w:t xml:space="preserve">o território independente durante uma década, não eram dinâmicos empresários </w:t>
      </w:r>
      <w:r w:rsidRPr="00F95336">
        <w:rPr>
          <w:rFonts w:ascii="Arial Narrow" w:hAnsi="Arial Narrow"/>
          <w:i/>
        </w:rPr>
        <w:t>yankees</w:t>
      </w:r>
      <w:r w:rsidRPr="00F95336">
        <w:rPr>
          <w:rFonts w:ascii="Arial Narrow" w:hAnsi="Arial Narrow"/>
        </w:rPr>
        <w:t xml:space="preserve"> mas proprietários de escravos, </w:t>
      </w:r>
      <w:r w:rsidR="00316F90">
        <w:rPr>
          <w:rFonts w:ascii="Arial Narrow" w:hAnsi="Arial Narrow"/>
        </w:rPr>
        <w:t>descontentes</w:t>
      </w:r>
      <w:r w:rsidRPr="00F95336">
        <w:rPr>
          <w:rFonts w:ascii="Arial Narrow" w:hAnsi="Arial Narrow"/>
        </w:rPr>
        <w:t xml:space="preserve"> com o facto de o México ter abolido o tráfico humano em 1829. A pedido dos colonizadores texanos, o governo </w:t>
      </w:r>
      <w:r>
        <w:rPr>
          <w:rFonts w:ascii="Arial Narrow" w:hAnsi="Arial Narrow"/>
        </w:rPr>
        <w:lastRenderedPageBreak/>
        <w:t xml:space="preserve">mexicano </w:t>
      </w:r>
      <w:r w:rsidRPr="00F95336">
        <w:rPr>
          <w:rFonts w:ascii="Arial Narrow" w:hAnsi="Arial Narrow"/>
        </w:rPr>
        <w:t>autorizara-os a manter os antigos escravos, mas, como os proibira de adquirir escravos novos, a insatisfação persistiu</w:t>
      </w:r>
      <w:r w:rsidRPr="00F95336">
        <w:rPr>
          <w:rStyle w:val="Refdenotaderodap"/>
          <w:rFonts w:ascii="Arial Narrow" w:hAnsi="Arial Narrow"/>
        </w:rPr>
        <w:footnoteReference w:id="66"/>
      </w:r>
      <w:r w:rsidRPr="00F95336">
        <w:rPr>
          <w:rFonts w:ascii="Arial Narrow" w:hAnsi="Arial Narrow"/>
        </w:rPr>
        <w:t xml:space="preserve">. Precisamente por isso o Texas independente foi visto com grande hostilidade pelos abolicionistas do norte dos Estados Unidos, que se opunham à sua entrada na união, e a guerra contra o México só foi desencadeada quando a facção sulista e escravocrata conseguiu, nas eleições de 1844, assegurar o triunfo do seu candidato à presidência. Tendo saído vitoriosos do conflito, os Estados Unidos apoderaram-se não só do Texas mas igualmente de outras vastíssimas províncias, apesar da oposição expressa pelos movimentos antiescravistas e da enorme controvérsia que a questão originara em todo o país, de tal modo que se pode sustentar que nestes acontecimentos reside uma das causas da guerra civil entre os estados do norte e os do sul, iniciada década e meia mais tarde. Engels encontrou-se aqui com estranhos aliados. Em seguida, o tão estimado país dos </w:t>
      </w:r>
      <w:r w:rsidRPr="00F95336">
        <w:rPr>
          <w:rFonts w:ascii="Arial Narrow" w:hAnsi="Arial Narrow"/>
          <w:i/>
        </w:rPr>
        <w:t>yankees</w:t>
      </w:r>
      <w:r w:rsidRPr="00F95336">
        <w:rPr>
          <w:rFonts w:ascii="Arial Narrow" w:hAnsi="Arial Narrow"/>
        </w:rPr>
        <w:t xml:space="preserve"> revel</w:t>
      </w:r>
      <w:r>
        <w:rPr>
          <w:rFonts w:ascii="Arial Narrow" w:hAnsi="Arial Narrow"/>
        </w:rPr>
        <w:t>ar</w:t>
      </w:r>
      <w:r w:rsidRPr="00F95336">
        <w:rPr>
          <w:rFonts w:ascii="Arial Narrow" w:hAnsi="Arial Narrow"/>
        </w:rPr>
        <w:t>-se</w:t>
      </w:r>
      <w:r>
        <w:rPr>
          <w:rFonts w:ascii="Arial Narrow" w:hAnsi="Arial Narrow"/>
        </w:rPr>
        <w:t>-ia</w:t>
      </w:r>
      <w:r w:rsidRPr="00F95336">
        <w:rPr>
          <w:rFonts w:ascii="Arial Narrow" w:hAnsi="Arial Narrow"/>
        </w:rPr>
        <w:t xml:space="preserve"> o terreno mais fértil do capitalismo e um dos mais áridos para a luta de classes, enquanto os «mandriões mexicanos» desencadear</w:t>
      </w:r>
      <w:r>
        <w:rPr>
          <w:rFonts w:ascii="Arial Narrow" w:hAnsi="Arial Narrow"/>
        </w:rPr>
        <w:t>i</w:t>
      </w:r>
      <w:r w:rsidRPr="00F95336">
        <w:rPr>
          <w:rFonts w:ascii="Arial Narrow" w:hAnsi="Arial Narrow"/>
        </w:rPr>
        <w:t xml:space="preserve">am um conjunto muito complexo </w:t>
      </w:r>
      <w:r w:rsidR="00FE6662">
        <w:rPr>
          <w:rFonts w:ascii="Arial Narrow" w:hAnsi="Arial Narrow"/>
        </w:rPr>
        <w:t xml:space="preserve">de </w:t>
      </w:r>
      <w:r w:rsidRPr="00F95336">
        <w:rPr>
          <w:rFonts w:ascii="Arial Narrow" w:hAnsi="Arial Narrow"/>
        </w:rPr>
        <w:t>insurre</w:t>
      </w:r>
      <w:r>
        <w:rPr>
          <w:rFonts w:ascii="Arial Narrow" w:hAnsi="Arial Narrow"/>
        </w:rPr>
        <w:t>ições</w:t>
      </w:r>
      <w:r w:rsidRPr="00F95336">
        <w:rPr>
          <w:rFonts w:ascii="Arial Narrow" w:hAnsi="Arial Narrow"/>
        </w:rPr>
        <w:t>, precursor</w:t>
      </w:r>
      <w:r>
        <w:rPr>
          <w:rFonts w:ascii="Arial Narrow" w:hAnsi="Arial Narrow"/>
        </w:rPr>
        <w:t>a</w:t>
      </w:r>
      <w:r w:rsidRPr="00F95336">
        <w:rPr>
          <w:rFonts w:ascii="Arial Narrow" w:hAnsi="Arial Narrow"/>
        </w:rPr>
        <w:t>s dos outros grandes movimentos camponeses da primeira metade do século XX e antecipador</w:t>
      </w:r>
      <w:r>
        <w:rPr>
          <w:rFonts w:ascii="Arial Narrow" w:hAnsi="Arial Narrow"/>
        </w:rPr>
        <w:t>a</w:t>
      </w:r>
      <w:r w:rsidRPr="00F95336">
        <w:rPr>
          <w:rFonts w:ascii="Arial Narrow" w:hAnsi="Arial Narrow"/>
        </w:rPr>
        <w:t xml:space="preserve">s também da burocratização da revolução, da institucionalização </w:t>
      </w:r>
      <w:r>
        <w:rPr>
          <w:rFonts w:ascii="Arial Narrow" w:hAnsi="Arial Narrow"/>
        </w:rPr>
        <w:t xml:space="preserve">do </w:t>
      </w:r>
      <w:r w:rsidRPr="00F95336">
        <w:rPr>
          <w:rFonts w:ascii="Arial Narrow" w:hAnsi="Arial Narrow"/>
        </w:rPr>
        <w:t xml:space="preserve">sindicalismo governamental e da instauração do capitalismo de Estado. </w:t>
      </w:r>
    </w:p>
    <w:p w:rsidR="00CD12DC" w:rsidRPr="00F95336" w:rsidRDefault="00CD12DC" w:rsidP="00CD12DC">
      <w:pPr>
        <w:rPr>
          <w:rFonts w:ascii="Arial Narrow" w:hAnsi="Arial Narrow"/>
        </w:rPr>
      </w:pPr>
      <w:r w:rsidRPr="00F95336">
        <w:rPr>
          <w:rFonts w:ascii="Arial Narrow" w:hAnsi="Arial Narrow"/>
        </w:rPr>
        <w:t xml:space="preserve">Uma idêntica infelicidade atingiu os dois fundadores do comunismo moderno quando tentaram prever os outros destinos nacionais. Foram os camponeses eslavos supostamente «contra-revolucionários» a animar o processo revolucionário russo de 1917, assim como foi a sua mobilização durante a guerra civil a garantir a vitória dos bolchevistas. E se o grande drama geopolítico que defrontara os «povos revolucionários» germânico e magiar com os «povos eslavos contra-revolucionários» teve algum desfecho, foi na tragédia de uma Rússia soviética incapaz de se prolongar vitoriosamente através das revoluções frustradas húngara e alemã. </w:t>
      </w:r>
      <w:r>
        <w:rPr>
          <w:rFonts w:ascii="Arial Narrow" w:hAnsi="Arial Narrow"/>
        </w:rPr>
        <w:t>Por seu lado,</w:t>
      </w:r>
      <w:r w:rsidRPr="00F95336">
        <w:rPr>
          <w:rFonts w:ascii="Arial Narrow" w:hAnsi="Arial Narrow"/>
        </w:rPr>
        <w:t xml:space="preserve"> a Polónia, única excepção que Marx e Engels admitiam entre os eslavos, constituiu precisamente o primeiro obstáculo a impedir o avanço do Exército Vermelho. Liquidando as aspirações revolucionárias de uma parte do proletariado, o regime fascista, ou fascizante, inaugurado por Piłsudski fez da Polónia uma das peças princip</w:t>
      </w:r>
      <w:r>
        <w:rPr>
          <w:rFonts w:ascii="Arial Narrow" w:hAnsi="Arial Narrow"/>
        </w:rPr>
        <w:t>ais da coligação anti-soviética</w:t>
      </w:r>
      <w:r w:rsidRPr="00F95336">
        <w:rPr>
          <w:rFonts w:ascii="Arial Narrow" w:hAnsi="Arial Narrow"/>
        </w:rPr>
        <w:t xml:space="preserve"> e esta posição cegou a tal ponto os governantes de Varsóvia que até ao último instante </w:t>
      </w:r>
      <w:r>
        <w:rPr>
          <w:rFonts w:ascii="Arial Narrow" w:hAnsi="Arial Narrow"/>
        </w:rPr>
        <w:t xml:space="preserve">esperaram </w:t>
      </w:r>
      <w:r w:rsidRPr="00F95336">
        <w:rPr>
          <w:rFonts w:ascii="Arial Narrow" w:hAnsi="Arial Narrow"/>
        </w:rPr>
        <w:t xml:space="preserve">contar com as boas graças de Hitler. Além disso, decerto o fanático anti-semitismo professado pelas autoridades polacas as iludiu quanto às possibilidades de uma convivência duradoura com </w:t>
      </w:r>
      <w:r w:rsidR="002653BC">
        <w:rPr>
          <w:rFonts w:ascii="Arial Narrow" w:hAnsi="Arial Narrow"/>
        </w:rPr>
        <w:t xml:space="preserve">o Reich </w:t>
      </w:r>
      <w:r w:rsidRPr="00F95336">
        <w:rPr>
          <w:rFonts w:ascii="Arial Narrow" w:hAnsi="Arial Narrow"/>
        </w:rPr>
        <w:t xml:space="preserve">nacional-socialista, fazendo-as esquecer que entre o Führer e os seus seguidores o desprezo pelos eslavos não era menor do que o ódio aos judeus. O facto de a revolução não se ter expandido à Polónia e ter fracassado na Hungria e na Alemanha contribuiu para a liquidação </w:t>
      </w:r>
      <w:r w:rsidRPr="00F95336">
        <w:rPr>
          <w:rFonts w:ascii="Arial Narrow" w:hAnsi="Arial Narrow"/>
        </w:rPr>
        <w:lastRenderedPageBreak/>
        <w:t xml:space="preserve">final de quaisquer restos de aspirações revolucionárias na própria União Soviética, aquando da proclamação oficial do socialismo num só país. Em seguida, a mais perigosa ameaça que </w:t>
      </w:r>
      <w:r w:rsidR="00184EF5">
        <w:rPr>
          <w:rFonts w:ascii="Arial Narrow" w:hAnsi="Arial Narrow"/>
        </w:rPr>
        <w:t>a</w:t>
      </w:r>
      <w:r w:rsidRPr="00F95336">
        <w:rPr>
          <w:rFonts w:ascii="Arial Narrow" w:hAnsi="Arial Narrow"/>
        </w:rPr>
        <w:t xml:space="preserve"> </w:t>
      </w:r>
      <w:r w:rsidR="00184EF5">
        <w:rPr>
          <w:rFonts w:ascii="Arial Narrow" w:hAnsi="Arial Narrow"/>
        </w:rPr>
        <w:t xml:space="preserve">URSS </w:t>
      </w:r>
      <w:r w:rsidR="002653BC">
        <w:rPr>
          <w:rFonts w:ascii="Arial Narrow" w:hAnsi="Arial Narrow"/>
        </w:rPr>
        <w:t xml:space="preserve">enfrentou </w:t>
      </w:r>
      <w:r w:rsidRPr="00F95336">
        <w:rPr>
          <w:rFonts w:ascii="Arial Narrow" w:hAnsi="Arial Narrow"/>
        </w:rPr>
        <w:t>proveio da contra-revolução alemã aliada ao fascismo magiar, após a liquidação total de uma Polónia vítima das suas ilusões reaccionárias. Se levar</w:t>
      </w:r>
      <w:r>
        <w:rPr>
          <w:rFonts w:ascii="Arial Narrow" w:hAnsi="Arial Narrow"/>
        </w:rPr>
        <w:t>mos</w:t>
      </w:r>
      <w:r w:rsidRPr="00F95336">
        <w:rPr>
          <w:rFonts w:ascii="Arial Narrow" w:hAnsi="Arial Narrow"/>
        </w:rPr>
        <w:t xml:space="preserve"> à letra os grandes jogos da geopolítica, a reacção foi encabeçada pelos «povos revolucionários» de Marx e Engels, enquanto a revolução havia sido promovida pelo «povo contra-revolucionário», que apesar de não ter direitos históricos abrira na história uma colossal ruptura. Na obra de Marx e Engels é o modelo teórico e abstracto a longo prazo que mantém a validade, pela capacidade de prever a dinâmica do capitalismo, assente nos mecanismos da mais-valia relativa. E as descrições a curto prazo, presas ao xadrez das nações e aos interesses políticos imediatos, foram impiedosamente desaprovadas pelos acontecimentos. </w:t>
      </w:r>
    </w:p>
    <w:p w:rsidR="006F5AF7" w:rsidRDefault="006F5AF7" w:rsidP="006F5AF7">
      <w:pPr>
        <w:keepNext/>
        <w:spacing w:before="240" w:after="120"/>
        <w:ind w:firstLine="0"/>
        <w:jc w:val="center"/>
        <w:rPr>
          <w:rFonts w:ascii="Arial Narrow" w:hAnsi="Arial Narrow"/>
        </w:rPr>
      </w:pPr>
      <w:r>
        <w:rPr>
          <w:rFonts w:ascii="Arial Narrow" w:hAnsi="Arial Narrow"/>
          <w:b/>
          <w:sz w:val="28"/>
          <w:szCs w:val="28"/>
        </w:rPr>
        <w:t>2</w:t>
      </w:r>
    </w:p>
    <w:p w:rsidR="00CD12DC" w:rsidRPr="00F95336" w:rsidRDefault="00CD12DC" w:rsidP="00CD12DC">
      <w:pPr>
        <w:rPr>
          <w:rFonts w:ascii="Arial Narrow" w:hAnsi="Arial Narrow"/>
        </w:rPr>
      </w:pPr>
      <w:r w:rsidRPr="00F95336">
        <w:rPr>
          <w:rFonts w:ascii="Arial Narrow" w:hAnsi="Arial Narrow"/>
        </w:rPr>
        <w:t xml:space="preserve">O ponto de vista em que se situaram os criadores do marxismo não se alterou quando passaram a assumir uma posição proeminente </w:t>
      </w:r>
      <w:r>
        <w:rPr>
          <w:rFonts w:ascii="Arial Narrow" w:hAnsi="Arial Narrow"/>
        </w:rPr>
        <w:t>na</w:t>
      </w:r>
      <w:r w:rsidRPr="00F95336">
        <w:rPr>
          <w:rFonts w:ascii="Arial Narrow" w:hAnsi="Arial Narrow"/>
        </w:rPr>
        <w:t xml:space="preserve"> Associação Internacional dos Trabalhadores</w:t>
      </w:r>
      <w:r>
        <w:rPr>
          <w:rFonts w:ascii="Arial Narrow" w:hAnsi="Arial Narrow"/>
        </w:rPr>
        <w:t>,</w:t>
      </w:r>
      <w:r w:rsidRPr="00F95336">
        <w:rPr>
          <w:rFonts w:ascii="Arial Narrow" w:hAnsi="Arial Narrow"/>
        </w:rPr>
        <w:t xml:space="preserve"> que poderíamos supor vocacionada apenas para a acção proletária e antinacionalista. </w:t>
      </w:r>
      <w:r>
        <w:rPr>
          <w:rFonts w:ascii="Arial Narrow" w:hAnsi="Arial Narrow"/>
        </w:rPr>
        <w:t xml:space="preserve">«Basta espreitar um pouco o que se passava nos bastidores», escreveu Henri </w:t>
      </w:r>
      <w:r w:rsidR="009626C1">
        <w:rPr>
          <w:rFonts w:ascii="Arial Narrow" w:hAnsi="Arial Narrow"/>
        </w:rPr>
        <w:t xml:space="preserve">de </w:t>
      </w:r>
      <w:r>
        <w:rPr>
          <w:rFonts w:ascii="Arial Narrow" w:hAnsi="Arial Narrow"/>
        </w:rPr>
        <w:t xml:space="preserve">Man numa obra que o destacou como um dos principais </w:t>
      </w:r>
      <w:r w:rsidR="00BA6A98">
        <w:rPr>
          <w:rFonts w:ascii="Arial Narrow" w:hAnsi="Arial Narrow"/>
        </w:rPr>
        <w:t>teóricos</w:t>
      </w:r>
      <w:r>
        <w:rPr>
          <w:rFonts w:ascii="Arial Narrow" w:hAnsi="Arial Narrow"/>
        </w:rPr>
        <w:t xml:space="preserve"> não marxistas da II Internacional, «para concluir que já a actividade de Marx na Primeira Internacional revelava uma fé vigorosa na própria nação eleita e um desejo correspondente de a ver desempenhar um papel preponderante; ainda que, por motivos evidentes, este móbil não fosse formulado explicitamente, ele pode ser lido com bastante clareza entre as linhas da sua correspondência»</w:t>
      </w:r>
      <w:r>
        <w:rPr>
          <w:rStyle w:val="Refdenotaderodap"/>
          <w:rFonts w:ascii="Arial Narrow" w:hAnsi="Arial Narrow"/>
        </w:rPr>
        <w:footnoteReference w:id="67"/>
      </w:r>
      <w:r>
        <w:rPr>
          <w:rFonts w:ascii="Arial Narrow" w:hAnsi="Arial Narrow"/>
        </w:rPr>
        <w:t xml:space="preserve">. </w:t>
      </w:r>
      <w:r w:rsidRPr="00F95336">
        <w:rPr>
          <w:rFonts w:ascii="Arial Narrow" w:hAnsi="Arial Narrow"/>
        </w:rPr>
        <w:t xml:space="preserve">Numa série de artigos publicada em 1866, Engels afirmou, com a total concordância de Marx, que a orientação estratégica </w:t>
      </w:r>
      <w:r w:rsidR="00C276F1">
        <w:rPr>
          <w:rFonts w:ascii="Arial Narrow" w:hAnsi="Arial Narrow"/>
        </w:rPr>
        <w:t>da</w:t>
      </w:r>
      <w:r w:rsidRPr="00F95336">
        <w:rPr>
          <w:rFonts w:ascii="Arial Narrow" w:hAnsi="Arial Narrow"/>
        </w:rPr>
        <w:t xml:space="preserve"> A</w:t>
      </w:r>
      <w:r w:rsidR="00C276F1">
        <w:rPr>
          <w:rFonts w:ascii="Arial Narrow" w:hAnsi="Arial Narrow"/>
        </w:rPr>
        <w:t xml:space="preserve">IT </w:t>
      </w:r>
      <w:r w:rsidRPr="00F95336">
        <w:rPr>
          <w:rFonts w:ascii="Arial Narrow" w:hAnsi="Arial Narrow"/>
        </w:rPr>
        <w:t>relativamente às grandes nações europeias que não estavam ainda unificadas ou não gozavam de autonomia política, como sucedia especialmente com a Polónia, consistia em mobilizar os operários dos vários países numa guerra contra a Rússia, a principal opressora dos polacos</w:t>
      </w:r>
      <w:r w:rsidRPr="00F95336">
        <w:rPr>
          <w:rStyle w:val="Refdenotaderodap"/>
          <w:rFonts w:ascii="Arial Narrow" w:hAnsi="Arial Narrow"/>
        </w:rPr>
        <w:footnoteReference w:id="68"/>
      </w:r>
      <w:r w:rsidRPr="00F95336">
        <w:rPr>
          <w:rFonts w:ascii="Arial Narrow" w:hAnsi="Arial Narrow"/>
        </w:rPr>
        <w:t xml:space="preserve">. Ora, isto implicaria necessariamente o adiamento dos antagonismos que dentro de cada nação opunham os explorados aos exploradores e provocaria a conglomeração de todos os sectores da sociedade. Segundo um tão peculiar internacionalismo, a emancipação de classe dos trabalhadores confundir-se-ia com a emancipação das nações relativamente ao perigo russo. Marx desenvolveu esta tese num discurso pronunciado no ano seguinte. Qualquer actuação </w:t>
      </w:r>
      <w:r w:rsidRPr="00F95336">
        <w:rPr>
          <w:rFonts w:ascii="Arial Narrow" w:hAnsi="Arial Narrow"/>
        </w:rPr>
        <w:lastRenderedPageBreak/>
        <w:t>decisiva do proletariado, afirmou ele, defrontar-se-ia com a intervenção russa, e só a independência da Polónia permitiria erguer uma barreira militar intransponível entre a Europa e a barbárie eslava, dando oportunidades de realização à emancipação social europeia</w:t>
      </w:r>
      <w:r w:rsidRPr="00F95336">
        <w:rPr>
          <w:rStyle w:val="Refdenotaderodap"/>
          <w:rFonts w:ascii="Arial Narrow" w:hAnsi="Arial Narrow"/>
        </w:rPr>
        <w:footnoteReference w:id="69"/>
      </w:r>
      <w:r w:rsidRPr="00F95336">
        <w:rPr>
          <w:rFonts w:ascii="Arial Narrow" w:hAnsi="Arial Narrow"/>
        </w:rPr>
        <w:t xml:space="preserve">. Para Marx e Engels o destino da revolução proletária dependia de uma guerra nacional prévia contra a Rússia, e foi nesta perspectiva geopolítica que encararam os acontecimentos europeus de 1870 e 1871. </w:t>
      </w:r>
    </w:p>
    <w:p w:rsidR="00CD12DC" w:rsidRPr="00F95336" w:rsidRDefault="00CD12DC" w:rsidP="00CD12DC">
      <w:pPr>
        <w:rPr>
          <w:rFonts w:ascii="Arial Narrow" w:hAnsi="Arial Narrow"/>
        </w:rPr>
      </w:pPr>
      <w:r w:rsidRPr="00F95336">
        <w:rPr>
          <w:rFonts w:ascii="Arial Narrow" w:hAnsi="Arial Narrow"/>
        </w:rPr>
        <w:t>Na guerra franco-prussiana os favores dos dois amigos dirigiram-se de início para a Prússia, que cumpri</w:t>
      </w:r>
      <w:r>
        <w:rPr>
          <w:rFonts w:ascii="Arial Narrow" w:hAnsi="Arial Narrow"/>
        </w:rPr>
        <w:t>a</w:t>
      </w:r>
      <w:r w:rsidRPr="00F95336">
        <w:rPr>
          <w:rFonts w:ascii="Arial Narrow" w:hAnsi="Arial Narrow"/>
        </w:rPr>
        <w:t xml:space="preserve"> o papel histórico de unificadora da Alemanha</w:t>
      </w:r>
      <w:r>
        <w:rPr>
          <w:rFonts w:ascii="Arial Narrow" w:hAnsi="Arial Narrow"/>
        </w:rPr>
        <w:t>.</w:t>
      </w:r>
      <w:r w:rsidRPr="00F95336">
        <w:rPr>
          <w:rFonts w:ascii="Arial Narrow" w:hAnsi="Arial Narrow"/>
        </w:rPr>
        <w:t xml:space="preserve"> Mas quando os exércitos germânicos se converteram em invasores e a derrocada das tropas de Napoleão III libertou as energias do proletariado francês Marx e Engels transferiram as suas simpatias para a França</w:t>
      </w:r>
      <w:r>
        <w:rPr>
          <w:rFonts w:ascii="Arial Narrow" w:hAnsi="Arial Narrow"/>
        </w:rPr>
        <w:t>,</w:t>
      </w:r>
      <w:r w:rsidRPr="00F95336">
        <w:rPr>
          <w:rFonts w:ascii="Arial Narrow" w:hAnsi="Arial Narrow"/>
        </w:rPr>
        <w:t xml:space="preserve"> sem abandonar</w:t>
      </w:r>
      <w:r>
        <w:rPr>
          <w:rFonts w:ascii="Arial Narrow" w:hAnsi="Arial Narrow"/>
        </w:rPr>
        <w:t>em,</w:t>
      </w:r>
      <w:r w:rsidRPr="00F95336">
        <w:rPr>
          <w:rFonts w:ascii="Arial Narrow" w:hAnsi="Arial Narrow"/>
        </w:rPr>
        <w:t xml:space="preserve"> </w:t>
      </w:r>
      <w:r>
        <w:rPr>
          <w:rFonts w:ascii="Arial Narrow" w:hAnsi="Arial Narrow"/>
        </w:rPr>
        <w:t xml:space="preserve">porém, </w:t>
      </w:r>
      <w:r w:rsidRPr="00F95336">
        <w:rPr>
          <w:rFonts w:ascii="Arial Narrow" w:hAnsi="Arial Narrow"/>
        </w:rPr>
        <w:t xml:space="preserve">o quadro geopolítico. </w:t>
      </w:r>
      <w:r>
        <w:rPr>
          <w:rFonts w:ascii="Arial Narrow" w:hAnsi="Arial Narrow"/>
        </w:rPr>
        <w:t xml:space="preserve">Foi Marx quem redigiu a </w:t>
      </w:r>
      <w:r w:rsidRPr="00F95336">
        <w:rPr>
          <w:rFonts w:ascii="Arial Narrow" w:hAnsi="Arial Narrow"/>
        </w:rPr>
        <w:t>proclamação emanada do conselho geral da AIT em 23 de Julho de 1870, quatro dias apenas após a declaração de guerra, remet</w:t>
      </w:r>
      <w:r>
        <w:rPr>
          <w:rFonts w:ascii="Arial Narrow" w:hAnsi="Arial Narrow"/>
        </w:rPr>
        <w:t xml:space="preserve">endo </w:t>
      </w:r>
      <w:r w:rsidRPr="00F95336">
        <w:rPr>
          <w:rFonts w:ascii="Arial Narrow" w:hAnsi="Arial Narrow"/>
        </w:rPr>
        <w:t>para um plano subalterno</w:t>
      </w:r>
      <w:r>
        <w:rPr>
          <w:rFonts w:ascii="Arial Narrow" w:hAnsi="Arial Narrow"/>
        </w:rPr>
        <w:t xml:space="preserve"> </w:t>
      </w:r>
      <w:r w:rsidRPr="00F95336">
        <w:rPr>
          <w:rFonts w:ascii="Arial Narrow" w:hAnsi="Arial Narrow"/>
        </w:rPr>
        <w:t xml:space="preserve">os problemas relativos à situação da classe trabalhadora de ambas as nações no contexto das hostilidades </w:t>
      </w:r>
      <w:r>
        <w:rPr>
          <w:rFonts w:ascii="Arial Narrow" w:hAnsi="Arial Narrow"/>
        </w:rPr>
        <w:t xml:space="preserve">e </w:t>
      </w:r>
      <w:r w:rsidRPr="00F95336">
        <w:rPr>
          <w:rFonts w:ascii="Arial Narrow" w:hAnsi="Arial Narrow"/>
        </w:rPr>
        <w:t xml:space="preserve">atribuindo maior relevo à análise crítica dos aspectos dinásticos e geopolíticos do conflito. Marx </w:t>
      </w:r>
      <w:r>
        <w:rPr>
          <w:rFonts w:ascii="Arial Narrow" w:hAnsi="Arial Narrow"/>
        </w:rPr>
        <w:t xml:space="preserve">deu </w:t>
      </w:r>
      <w:r w:rsidRPr="00F95336">
        <w:rPr>
          <w:rFonts w:ascii="Arial Narrow" w:hAnsi="Arial Narrow"/>
        </w:rPr>
        <w:t xml:space="preserve">então livre curso à sua obsessão, o ódio aos eslavos. «Na sombra desta guerra suicida», escreveu ele, «espreita a figura sinistra da Rússia». Depois de citar três excertos de resoluções </w:t>
      </w:r>
      <w:r w:rsidR="0051162E">
        <w:rPr>
          <w:rFonts w:ascii="Arial Narrow" w:hAnsi="Arial Narrow"/>
        </w:rPr>
        <w:t>aprovadas</w:t>
      </w:r>
      <w:r w:rsidRPr="00F95336">
        <w:rPr>
          <w:rFonts w:ascii="Arial Narrow" w:hAnsi="Arial Narrow"/>
        </w:rPr>
        <w:t xml:space="preserve"> em comícios de trabalhadores alemães, e em contraste flagrante com o espírito destas declarações, onde o repúdio da guerra se exprimira nos termos exclusivamente proletários de uma afirmação de solidariedade para com os trabalhadores da França, Marx lançou-se uma vez mais em considerações geoestratégicas acerca das fatalidades da política externa prussiana</w:t>
      </w:r>
      <w:r w:rsidRPr="00F95336">
        <w:rPr>
          <w:rStyle w:val="Refdenotaderodap"/>
          <w:rFonts w:ascii="Arial Narrow" w:hAnsi="Arial Narrow"/>
        </w:rPr>
        <w:footnoteReference w:id="70"/>
      </w:r>
      <w:r w:rsidRPr="00F95336">
        <w:rPr>
          <w:rFonts w:ascii="Arial Narrow" w:hAnsi="Arial Narrow"/>
        </w:rPr>
        <w:t xml:space="preserve">. </w:t>
      </w:r>
      <w:r w:rsidR="0051162E">
        <w:rPr>
          <w:rFonts w:ascii="Arial Narrow" w:hAnsi="Arial Narrow"/>
        </w:rPr>
        <w:t xml:space="preserve">Não espanta </w:t>
      </w:r>
      <w:r w:rsidRPr="00F95336">
        <w:rPr>
          <w:rFonts w:ascii="Arial Narrow" w:hAnsi="Arial Narrow"/>
        </w:rPr>
        <w:t xml:space="preserve">que o fizesse </w:t>
      </w:r>
      <w:r w:rsidR="0051162E">
        <w:rPr>
          <w:rFonts w:ascii="Arial Narrow" w:hAnsi="Arial Narrow"/>
        </w:rPr>
        <w:t xml:space="preserve">ao </w:t>
      </w:r>
      <w:r w:rsidRPr="00F95336">
        <w:rPr>
          <w:rFonts w:ascii="Arial Narrow" w:hAnsi="Arial Narrow"/>
        </w:rPr>
        <w:t>sabe</w:t>
      </w:r>
      <w:r w:rsidR="0051162E">
        <w:rPr>
          <w:rFonts w:ascii="Arial Narrow" w:hAnsi="Arial Narrow"/>
        </w:rPr>
        <w:t>r</w:t>
      </w:r>
      <w:r w:rsidRPr="00F95336">
        <w:rPr>
          <w:rFonts w:ascii="Arial Narrow" w:hAnsi="Arial Narrow"/>
        </w:rPr>
        <w:t xml:space="preserve">mos, através de uma carta de 15 de Agosto de 1870, que Engels </w:t>
      </w:r>
      <w:r>
        <w:rPr>
          <w:rFonts w:ascii="Arial Narrow" w:hAnsi="Arial Narrow"/>
        </w:rPr>
        <w:t xml:space="preserve">encarou </w:t>
      </w:r>
      <w:r w:rsidRPr="00F95336">
        <w:rPr>
          <w:rFonts w:ascii="Arial Narrow" w:hAnsi="Arial Narrow"/>
        </w:rPr>
        <w:t>com simpatia a adesão à política agressiva do governo prussiano manifestada por «toda a massa do povo alemão e por todas as classes» e se op</w:t>
      </w:r>
      <w:r>
        <w:rPr>
          <w:rFonts w:ascii="Arial Narrow" w:hAnsi="Arial Narrow"/>
        </w:rPr>
        <w:t>ôs</w:t>
      </w:r>
      <w:r w:rsidRPr="00F95336">
        <w:rPr>
          <w:rFonts w:ascii="Arial Narrow" w:hAnsi="Arial Narrow"/>
        </w:rPr>
        <w:t xml:space="preserve"> à «obstrução total» do esforço de guerra defendida por Wilhelm Liebknecht, o principal representante do marxismo na Alemanha</w:t>
      </w:r>
      <w:r w:rsidRPr="00F95336">
        <w:rPr>
          <w:rStyle w:val="Refdenotaderodap"/>
          <w:rFonts w:ascii="Arial Narrow" w:hAnsi="Arial Narrow"/>
        </w:rPr>
        <w:footnoteReference w:id="71"/>
      </w:r>
      <w:r w:rsidRPr="00F95336">
        <w:rPr>
          <w:rFonts w:ascii="Arial Narrow" w:hAnsi="Arial Narrow"/>
        </w:rPr>
        <w:t xml:space="preserve">. </w:t>
      </w:r>
      <w:r w:rsidRPr="00F95336">
        <w:rPr>
          <w:rFonts w:ascii="Arial Narrow" w:hAnsi="Arial Narrow"/>
        </w:rPr>
        <w:lastRenderedPageBreak/>
        <w:t xml:space="preserve">O que se anunciava como um confronto de classes foi transposto pelos fundadores do comunismo moderno para o quadro da diplomacia das grandes potências. A atitude de Marx tornou-se </w:t>
      </w:r>
      <w:r w:rsidRPr="002D5AFF">
        <w:rPr>
          <w:rFonts w:ascii="Arial Narrow" w:hAnsi="Arial Narrow"/>
        </w:rPr>
        <w:t xml:space="preserve">ainda </w:t>
      </w:r>
      <w:r w:rsidRPr="00F95336">
        <w:rPr>
          <w:rFonts w:ascii="Arial Narrow" w:hAnsi="Arial Narrow"/>
        </w:rPr>
        <w:t xml:space="preserve">mais explícita </w:t>
      </w:r>
      <w:r w:rsidR="00E22E58">
        <w:rPr>
          <w:rFonts w:ascii="Arial Narrow" w:hAnsi="Arial Narrow"/>
        </w:rPr>
        <w:t xml:space="preserve">quando escreveu </w:t>
      </w:r>
      <w:r w:rsidRPr="00F95336">
        <w:rPr>
          <w:rFonts w:ascii="Arial Narrow" w:hAnsi="Arial Narrow"/>
        </w:rPr>
        <w:t>a proclamação da AIT com data de 9 de Setembro</w:t>
      </w:r>
      <w:r>
        <w:rPr>
          <w:rFonts w:ascii="Arial Narrow" w:hAnsi="Arial Narrow"/>
        </w:rPr>
        <w:t xml:space="preserve"> de</w:t>
      </w:r>
      <w:r w:rsidRPr="00F95336">
        <w:rPr>
          <w:rFonts w:ascii="Arial Narrow" w:hAnsi="Arial Narrow"/>
        </w:rPr>
        <w:t xml:space="preserve"> 1870. Ao lermos este documento ficamos sem saber se na opinião do autor era mais criticável a posição de força tomada pela Prússia perante a França derrotada ou a sua alegada posição de fraqueza face ao império russo. Num ridículo afã de se intrometer na alta política, Marx procurou explicar a Bismarck que seria do seu interesse aliar-se a uma França republicana contra a autocracia dos czares. E tudo isto no comunicado de uma associação que era internacional e dos trabalhadores! A paz entre a Alemanha e a França não foi ali defendida em função de objectivos especificamente proletários, mas como um factor necessário para conter a ameaça russa. Sempre que se referiram aos acontecimentos concretos, nem Marx nem Engels conseguiram desenredar a posição própria da classe trabalhadora da teia de interesses supraclassistas que caracteriza a política internacional. Num ensaio publicado em 1890 Engels recordou a guerra franco-prussiana exclusivamente </w:t>
      </w:r>
      <w:r>
        <w:rPr>
          <w:rFonts w:ascii="Arial Narrow" w:hAnsi="Arial Narrow"/>
        </w:rPr>
        <w:t>pelas</w:t>
      </w:r>
      <w:r w:rsidRPr="00F95336">
        <w:rPr>
          <w:rFonts w:ascii="Arial Narrow" w:hAnsi="Arial Narrow"/>
        </w:rPr>
        <w:t xml:space="preserve"> suas repercussões sobre a política russa na Europa, esquecendo-se de dedicar uma linha sequer às lutas operárias desencadeadas pelo conflito, e foi no plano da diplomacia que citou o manifesto da AIT de 9 de Setembro de 1870, o que esclarece as preocupações de Marx quando </w:t>
      </w:r>
      <w:r w:rsidR="00E22E58">
        <w:rPr>
          <w:rFonts w:ascii="Arial Narrow" w:hAnsi="Arial Narrow"/>
        </w:rPr>
        <w:t>redigiu</w:t>
      </w:r>
      <w:r w:rsidRPr="00F95336">
        <w:rPr>
          <w:rFonts w:ascii="Arial Narrow" w:hAnsi="Arial Narrow"/>
        </w:rPr>
        <w:t xml:space="preserve"> esse documento</w:t>
      </w:r>
      <w:r w:rsidRPr="00F95336">
        <w:rPr>
          <w:rStyle w:val="Refdenotaderodap"/>
          <w:rFonts w:ascii="Arial Narrow" w:hAnsi="Arial Narrow"/>
        </w:rPr>
        <w:footnoteReference w:id="72"/>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Fica assim explicada a insatisfação de Marx perante a opç</w:t>
      </w:r>
      <w:r>
        <w:rPr>
          <w:rFonts w:ascii="Arial Narrow" w:hAnsi="Arial Narrow"/>
        </w:rPr>
        <w:t>ão</w:t>
      </w:r>
      <w:r w:rsidRPr="00F95336">
        <w:rPr>
          <w:rFonts w:ascii="Arial Narrow" w:hAnsi="Arial Narrow"/>
        </w:rPr>
        <w:t xml:space="preserve"> estratégica tomada pelos trabalhadores franceses mais combativos ao longo dos nove meses que decorreram entre a queda do Império e o esmagamento da Comuna. Já em 18 de Julho de 1870, evocando numa carta ao seu amigo Kugelmann a possibilidade de uma insurreição do operariado francês, Marx considerara que, se tal sucedesse, isso seria uma «desgraça»</w:t>
      </w:r>
      <w:r w:rsidRPr="00F95336">
        <w:rPr>
          <w:rStyle w:val="Refdenotaderodap"/>
          <w:rFonts w:ascii="Arial Narrow" w:hAnsi="Arial Narrow"/>
        </w:rPr>
        <w:footnoteReference w:id="73"/>
      </w:r>
      <w:r w:rsidRPr="00F95336">
        <w:rPr>
          <w:rFonts w:ascii="Arial Narrow" w:hAnsi="Arial Narrow"/>
        </w:rPr>
        <w:t xml:space="preserve">, e manteve em seguida a mesma atitude, com repercussões muito mais amplas, pois fê-lo enquanto representante oficial da única organização proletária internacional. Mal o regime de Luís-Napoleão se desagregara a meio da catástrofe militar e fora instaurada a república, o conselho geral da AIT, na proclamação de 9 de Setembro de 1870, redigida por Marx, aconselhou o proletariado da França a acomodar-se às instituições burguesas e a procurar, através de meios legais, reforçar as suas organizações de classe, pondo de parte quaisquer veleidades revolucionárias imediatas. «A </w:t>
      </w:r>
      <w:r w:rsidRPr="00F95336">
        <w:rPr>
          <w:rFonts w:ascii="Arial Narrow" w:hAnsi="Arial Narrow"/>
        </w:rPr>
        <w:lastRenderedPageBreak/>
        <w:t>classe operária francesa depara [...] com circunstâncias extremamente difíceis. Qualquer tentativa para derrubar o novo governo, com o inimigo quase às portas de Paris, seria uma loucura desesperada. [...] Que calma e resolutamente [os operários] aproveitem as liberdades republicanas para proceder metodicamente à sua própria organização de classe»</w:t>
      </w:r>
      <w:r w:rsidRPr="00F95336">
        <w:rPr>
          <w:rStyle w:val="Refdenotaderodap"/>
          <w:rFonts w:ascii="Arial Narrow" w:hAnsi="Arial Narrow"/>
        </w:rPr>
        <w:footnoteReference w:id="74"/>
      </w:r>
      <w:r w:rsidRPr="00F95336">
        <w:rPr>
          <w:rFonts w:ascii="Arial Narrow" w:hAnsi="Arial Narrow"/>
        </w:rPr>
        <w:t xml:space="preserve">. De Março a Maio de 1871 foi desrespeitando a opinião do fundador do comunismo moderno que o proletariado parisiense abriu perspectivas novas à luta contra o capitalismo e forneceu a demonstração prática de vários processos destinados a assegurar a emancipação económica e política da classe trabalhadora. Só quando viu que a história não seguira os seus conselhos Marx se resignou a aceitar a Comuna. Numa carta endereçada a Kugelmann em 17 de Abril de 1871, exactamente um mês após a conquista do poder pelo operariado de Paris, Marx </w:t>
      </w:r>
      <w:r>
        <w:rPr>
          <w:rFonts w:ascii="Arial Narrow" w:hAnsi="Arial Narrow"/>
        </w:rPr>
        <w:t>admitiu</w:t>
      </w:r>
      <w:r w:rsidRPr="00F95336">
        <w:rPr>
          <w:rFonts w:ascii="Arial Narrow" w:hAnsi="Arial Narrow"/>
        </w:rPr>
        <w:t xml:space="preserve"> pela primeira vez claramente a oportunidade da revolução, embora já cinco dias antes, escrevendo ao mesmo correspondente, tivesse expressado simpatia pela iniciativa</w:t>
      </w:r>
      <w:r w:rsidRPr="00F95336">
        <w:rPr>
          <w:rStyle w:val="Refdenotaderodap"/>
          <w:rFonts w:ascii="Arial Narrow" w:hAnsi="Arial Narrow"/>
        </w:rPr>
        <w:footnoteReference w:id="75"/>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O mesmo cuidado que tivera em desaconselhar a insurreição, Marx empregou-o depois a redigir-lhe o necrológio, reconstruindo a história </w:t>
      </w:r>
      <w:r w:rsidRPr="00F95336">
        <w:rPr>
          <w:rFonts w:ascii="Arial Narrow" w:hAnsi="Arial Narrow"/>
          <w:i/>
        </w:rPr>
        <w:t>a posteriori,</w:t>
      </w:r>
      <w:r w:rsidRPr="00F95336">
        <w:rPr>
          <w:rFonts w:ascii="Arial Narrow" w:hAnsi="Arial Narrow"/>
        </w:rPr>
        <w:t xml:space="preserve"> já que não fora capaz de lhe determinar antecipadamente os rumos</w:t>
      </w:r>
      <w:r w:rsidR="006A7EA1">
        <w:rPr>
          <w:rStyle w:val="Refdenotaderodap"/>
          <w:rFonts w:ascii="Arial Narrow" w:hAnsi="Arial Narrow"/>
        </w:rPr>
        <w:footnoteReference w:id="76"/>
      </w:r>
      <w:r w:rsidRPr="00F95336">
        <w:rPr>
          <w:rFonts w:ascii="Arial Narrow" w:hAnsi="Arial Narrow"/>
        </w:rPr>
        <w:t>. «Se a Comuna tivesse escutado os meus conselhos!»</w:t>
      </w:r>
      <w:r w:rsidR="00896795">
        <w:rPr>
          <w:rFonts w:ascii="Arial Narrow" w:hAnsi="Arial Narrow"/>
        </w:rPr>
        <w:t>,</w:t>
      </w:r>
      <w:r w:rsidRPr="00F95336">
        <w:rPr>
          <w:rFonts w:ascii="Arial Narrow" w:hAnsi="Arial Narrow"/>
        </w:rPr>
        <w:t xml:space="preserve"> lastim</w:t>
      </w:r>
      <w:r>
        <w:rPr>
          <w:rFonts w:ascii="Arial Narrow" w:hAnsi="Arial Narrow"/>
        </w:rPr>
        <w:t>ou</w:t>
      </w:r>
      <w:r w:rsidRPr="00F95336">
        <w:rPr>
          <w:rFonts w:ascii="Arial Narrow" w:hAnsi="Arial Narrow"/>
        </w:rPr>
        <w:t>-se ele candidamente numa carta de 12 de Junho de 1871</w:t>
      </w:r>
      <w:r w:rsidRPr="00F95336">
        <w:rPr>
          <w:rStyle w:val="Refdenotaderodap"/>
          <w:rFonts w:ascii="Arial Narrow" w:hAnsi="Arial Narrow"/>
        </w:rPr>
        <w:footnoteReference w:id="77"/>
      </w:r>
      <w:r w:rsidRPr="00F95336">
        <w:rPr>
          <w:rFonts w:ascii="Arial Narrow" w:hAnsi="Arial Narrow"/>
        </w:rPr>
        <w:t>. Desde as primeiras páginas do seu conhecido panfleto acerca da Comuna de Paris, publicado enquanto proclamação do conselho geral da AIT, com data de 30 de Maio de 1871, mal a Comuna acabara de ser esmagada, Marx presumiu que a guerra franco-prussiana tivesse sido pelo menos tão marcante como o conflito fundamental entre as classes para determinar os acontecimentos e justificar a derrota final do proletariado. Só nesta óptica podemos considerar os motivos da célebre crítica de Marx à pretensa incapacidade manifestada pelos insurrectos para ocupar o Banco de França, retomada por Engels, por exemplo num texto de 1891, onde escreveu: «O mais difícil de compreender é sem dúvida o respeito sagrado com que pararam perante as portas do Banco de França»</w:t>
      </w:r>
      <w:r w:rsidRPr="00F95336">
        <w:rPr>
          <w:rStyle w:val="Refdenotaderodap"/>
          <w:rFonts w:ascii="Arial Narrow" w:hAnsi="Arial Narrow"/>
        </w:rPr>
        <w:footnoteReference w:id="78"/>
      </w:r>
      <w:r w:rsidRPr="00F95336">
        <w:rPr>
          <w:rFonts w:ascii="Arial Narrow" w:hAnsi="Arial Narrow"/>
        </w:rPr>
        <w:t>. E também para Lenin o facto de a Comuna não se ter apoderado do banco central fora um dos principais motivos da sua derrota</w:t>
      </w:r>
      <w:r w:rsidRPr="00F95336">
        <w:rPr>
          <w:rStyle w:val="Refdenotaderodap"/>
          <w:rFonts w:ascii="Arial Narrow" w:hAnsi="Arial Narrow"/>
        </w:rPr>
        <w:footnoteReference w:id="79"/>
      </w:r>
      <w:r w:rsidRPr="00F95336">
        <w:rPr>
          <w:rFonts w:ascii="Arial Narrow" w:hAnsi="Arial Narrow"/>
        </w:rPr>
        <w:t xml:space="preserve">. É possível que a veneração pelas contas bancárias tivesse pesado entre os jacobinos que participaram no movimento. Da parte dos operários mais conscientes, porém, as razões que ditaram aquela atitude foram decerto outras. A importância do problema exige que o vejamos com certo recuo. </w:t>
      </w:r>
    </w:p>
    <w:p w:rsidR="00CD12DC" w:rsidRPr="00F95336" w:rsidRDefault="00CD12DC" w:rsidP="00CD12DC">
      <w:pPr>
        <w:rPr>
          <w:rFonts w:ascii="Arial Narrow" w:hAnsi="Arial Narrow"/>
        </w:rPr>
      </w:pPr>
      <w:r w:rsidRPr="00F95336">
        <w:rPr>
          <w:rFonts w:ascii="Arial Narrow" w:hAnsi="Arial Narrow"/>
        </w:rPr>
        <w:lastRenderedPageBreak/>
        <w:t xml:space="preserve">Saint-Simon, num livro publicado em 1821, considerara que o movimento do capital comercial ligava os empresários industriais e agrícolas numa teia única, </w:t>
      </w:r>
      <w:r>
        <w:rPr>
          <w:rFonts w:ascii="Arial Narrow" w:hAnsi="Arial Narrow"/>
        </w:rPr>
        <w:t xml:space="preserve">impedindo-os de se dispersarem </w:t>
      </w:r>
      <w:r w:rsidRPr="00F95336">
        <w:rPr>
          <w:rFonts w:ascii="Arial Narrow" w:hAnsi="Arial Narrow"/>
        </w:rPr>
        <w:t>pelos negócios privados. Por sua vez, o capital bancário reforçava aquela rede</w:t>
      </w:r>
      <w:r>
        <w:rPr>
          <w:rFonts w:ascii="Arial Narrow" w:hAnsi="Arial Narrow"/>
        </w:rPr>
        <w:t xml:space="preserve"> e </w:t>
      </w:r>
      <w:r w:rsidRPr="00F95336">
        <w:rPr>
          <w:rFonts w:ascii="Arial Narrow" w:hAnsi="Arial Narrow"/>
        </w:rPr>
        <w:t>uni</w:t>
      </w:r>
      <w:r>
        <w:rPr>
          <w:rFonts w:ascii="Arial Narrow" w:hAnsi="Arial Narrow"/>
        </w:rPr>
        <w:t>a</w:t>
      </w:r>
      <w:r w:rsidRPr="00F95336">
        <w:rPr>
          <w:rFonts w:ascii="Arial Narrow" w:hAnsi="Arial Narrow"/>
        </w:rPr>
        <w:t xml:space="preserve"> ainda mais estreitamente a multiplicidade dos interesses. «Os trabalhos a que se dedicam os industriais</w:t>
      </w:r>
      <w:r w:rsidRPr="00F95336">
        <w:rPr>
          <w:rStyle w:val="Refdenotaderodap"/>
          <w:rFonts w:ascii="Arial Narrow" w:hAnsi="Arial Narrow"/>
        </w:rPr>
        <w:footnoteReference w:id="80"/>
      </w:r>
      <w:r w:rsidRPr="00F95336">
        <w:rPr>
          <w:rFonts w:ascii="Arial Narrow" w:hAnsi="Arial Narrow"/>
        </w:rPr>
        <w:t xml:space="preserve"> têm diferentes graus de generalidade, e desta disposição fundamental resulta uma espécie de hierarquia entre as diferentes classes que compõem essa massa enorme de cidadãos activos na produção. Assim, os industriais podem e devem ser considerados como tendo uma organização e formando uma corporação. Com efeito, todos os cultivadores e os demais fabricantes estão ligados entre si pela classe dos comerciantes, e todos os negociantes encontram nos banqueiros agentes que lhes são comuns, de modo que os banqueiros podem e devem ser considerados como os agentes gerais da indústria. [...] As principais casas bancárias de Paris têm o seu lugar à frente da acção política dos industriais»</w:t>
      </w:r>
      <w:r w:rsidRPr="00F95336">
        <w:rPr>
          <w:rStyle w:val="Refdenotaderodap"/>
          <w:rFonts w:ascii="Arial Narrow" w:hAnsi="Arial Narrow"/>
        </w:rPr>
        <w:footnoteReference w:id="81"/>
      </w:r>
      <w:r w:rsidRPr="00F95336">
        <w:rPr>
          <w:rFonts w:ascii="Arial Narrow" w:hAnsi="Arial Narrow"/>
        </w:rPr>
        <w:t>. Dois ou três anos mais tarde, Saint-Simon reflectir</w:t>
      </w:r>
      <w:r w:rsidR="0009170C">
        <w:rPr>
          <w:rFonts w:ascii="Arial Narrow" w:hAnsi="Arial Narrow"/>
        </w:rPr>
        <w:t>i</w:t>
      </w:r>
      <w:r w:rsidRPr="00F95336">
        <w:rPr>
          <w:rFonts w:ascii="Arial Narrow" w:hAnsi="Arial Narrow"/>
        </w:rPr>
        <w:t xml:space="preserve">a sobre as implicações </w:t>
      </w:r>
      <w:r>
        <w:rPr>
          <w:rFonts w:ascii="Arial Narrow" w:hAnsi="Arial Narrow"/>
        </w:rPr>
        <w:t>políticas decorrentes d</w:t>
      </w:r>
      <w:r w:rsidRPr="00F95336">
        <w:rPr>
          <w:rFonts w:ascii="Arial Narrow" w:hAnsi="Arial Narrow"/>
        </w:rPr>
        <w:t xml:space="preserve">o lugar ocupado pelos banqueiros. «A classe industrial [...] encontra-se inteiramente organizada por meio da actividade bancária, que inter-relaciona todos os ramos da indústria, por meio dos banqueiros, que inter-relacionam os industriais de todos os géneros, de modo que todos os esforços dos industriais podem facilmente conjugar-se para atingir os interesses que lhes são comuns. Os chefes da indústria, quer dizer, os industriais mais importantes, ainda não souberam aproveitar, na política, </w:t>
      </w:r>
      <w:r w:rsidRPr="00F95336">
        <w:rPr>
          <w:rFonts w:ascii="Arial Narrow" w:hAnsi="Arial Narrow"/>
        </w:rPr>
        <w:lastRenderedPageBreak/>
        <w:t>as vantagens decorrentes da organização da classe industrial»</w:t>
      </w:r>
      <w:r w:rsidRPr="00F95336">
        <w:rPr>
          <w:rStyle w:val="Refdenotaderodap"/>
          <w:rFonts w:ascii="Arial Narrow" w:hAnsi="Arial Narrow"/>
        </w:rPr>
        <w:footnoteReference w:id="82"/>
      </w:r>
      <w:r w:rsidRPr="00F95336">
        <w:rPr>
          <w:rFonts w:ascii="Arial Narrow" w:hAnsi="Arial Narrow"/>
        </w:rPr>
        <w:t xml:space="preserve">. Naturalmente, pode supor-se que </w:t>
      </w:r>
      <w:r>
        <w:rPr>
          <w:rFonts w:ascii="Arial Narrow" w:hAnsi="Arial Narrow"/>
        </w:rPr>
        <w:t>um</w:t>
      </w:r>
      <w:r w:rsidRPr="00F95336">
        <w:rPr>
          <w:rFonts w:ascii="Arial Narrow" w:hAnsi="Arial Narrow"/>
        </w:rPr>
        <w:t xml:space="preserve"> banco central </w:t>
      </w:r>
      <w:r>
        <w:rPr>
          <w:rFonts w:ascii="Arial Narrow" w:hAnsi="Arial Narrow"/>
        </w:rPr>
        <w:t xml:space="preserve">viria a </w:t>
      </w:r>
      <w:r w:rsidRPr="00F95336">
        <w:rPr>
          <w:rFonts w:ascii="Arial Narrow" w:hAnsi="Arial Narrow"/>
        </w:rPr>
        <w:t xml:space="preserve">coroar </w:t>
      </w:r>
      <w:r>
        <w:rPr>
          <w:rFonts w:ascii="Arial Narrow" w:hAnsi="Arial Narrow"/>
        </w:rPr>
        <w:t>aquela</w:t>
      </w:r>
      <w:r w:rsidRPr="00F95336">
        <w:rPr>
          <w:rFonts w:ascii="Arial Narrow" w:hAnsi="Arial Narrow"/>
        </w:rPr>
        <w:t xml:space="preserve"> estrutura. Escrev</w:t>
      </w:r>
      <w:r>
        <w:rPr>
          <w:rFonts w:ascii="Arial Narrow" w:hAnsi="Arial Narrow"/>
        </w:rPr>
        <w:t>eu</w:t>
      </w:r>
      <w:r w:rsidRPr="00F95336">
        <w:rPr>
          <w:rFonts w:ascii="Arial Narrow" w:hAnsi="Arial Narrow"/>
        </w:rPr>
        <w:t xml:space="preserve"> Bazar</w:t>
      </w:r>
      <w:r w:rsidR="00A64498">
        <w:rPr>
          <w:rFonts w:ascii="Arial Narrow" w:hAnsi="Arial Narrow"/>
        </w:rPr>
        <w:t>d</w:t>
      </w:r>
      <w:r w:rsidRPr="00F95336">
        <w:rPr>
          <w:rFonts w:ascii="Arial Narrow" w:hAnsi="Arial Narrow"/>
        </w:rPr>
        <w:t xml:space="preserve"> numa obra colectiva publicada em 1830 e 1831 </w:t>
      </w:r>
      <w:r>
        <w:rPr>
          <w:rFonts w:ascii="Arial Narrow" w:hAnsi="Arial Narrow"/>
        </w:rPr>
        <w:t xml:space="preserve">pelos discípulos </w:t>
      </w:r>
      <w:r w:rsidRPr="00F95336">
        <w:rPr>
          <w:rFonts w:ascii="Arial Narrow" w:hAnsi="Arial Narrow"/>
        </w:rPr>
        <w:t>de Saint-Simon: «Se, tal como proclamamos, a humanidade caminha para um estado em que todos os indivíduos serão classificados de acordo com as suas capacidades e remunerados de acordo com o seu trabalho, é evidente que o direito de propriedade, tal como existe, deverá ser abolido, porque dá a uma certa classe de pessoas a possibilidade de viverem do trabalho alheio e em completa ociosidade, mantendo a exploração de uma parte da população, que é a mais útil, aquela que trabalha e produz, em benefício daqueles que só destroem [...] Uma instituição social fica encarregada dessas funções que são hoje tão mal desempenhadas, reúne todos os instrumentos de produção, preside à exploração de todos os recursos materiais, e a sua posição de destaque permite-lhe apreciar o panorama global, vendo simultaneamente todas as partes da oficina industrial [...] A instituição social do futuro dirigirá todas as indústrias no interesse da globalidade da sociedade e especialmente dos pacíficos trabalhadores. Chamamos provisoriamente a esta instituição o sistema bancário geral, com todas as reservas que se devem fazer quanto a uma interpretação demasiado restrita do termo. O sistema incluirá inicialmente um banco central, que constitui o governo na esfera material. Este banco reunirá toda a riqueza, a totalidade do fundo produtivo, todos os instrumentos de produção, em suma, tudo o que hoje compõe a massa da propriedade privada»</w:t>
      </w:r>
      <w:r w:rsidRPr="00F95336">
        <w:rPr>
          <w:rStyle w:val="Refdenotaderodap"/>
          <w:rFonts w:ascii="Arial Narrow" w:hAnsi="Arial Narrow"/>
        </w:rPr>
        <w:footnoteReference w:id="83"/>
      </w:r>
      <w:r w:rsidRPr="00F95336">
        <w:rPr>
          <w:rFonts w:ascii="Arial Narrow" w:hAnsi="Arial Narrow"/>
        </w:rPr>
        <w:t xml:space="preserve">. O socialismo autoritário, de que Marx e Engels </w:t>
      </w:r>
      <w:r>
        <w:rPr>
          <w:rFonts w:ascii="Arial Narrow" w:hAnsi="Arial Narrow"/>
        </w:rPr>
        <w:t xml:space="preserve">foram </w:t>
      </w:r>
      <w:r w:rsidRPr="00F95336">
        <w:rPr>
          <w:rFonts w:ascii="Arial Narrow" w:hAnsi="Arial Narrow"/>
        </w:rPr>
        <w:t xml:space="preserve">os chefes incontestados, inspirou-se nesta visão saint-simoniana. E no programa marxista o despotismo político do Estado encontrou a sua forma gémea na ditadura económica exercida a partir do banco central. O marxismo conseguiu a proeza de conjugar num sistema coerente duas tradições autoritárias antagónicas, o culto do governo central, herdado do radicalismo jacobino de Babeuf, e o poder empresarial, que Saint-Simon teorizara e se esforçara por expandir como alternativa ao jacobinismo que execrava. </w:t>
      </w:r>
    </w:p>
    <w:p w:rsidR="00CD12DC" w:rsidRPr="00F95336" w:rsidRDefault="00CD12DC" w:rsidP="00CD12DC">
      <w:pPr>
        <w:rPr>
          <w:rFonts w:ascii="Arial Narrow" w:hAnsi="Arial Narrow"/>
        </w:rPr>
      </w:pPr>
      <w:r w:rsidRPr="00F95336">
        <w:rPr>
          <w:rFonts w:ascii="Arial Narrow" w:hAnsi="Arial Narrow"/>
        </w:rPr>
        <w:t>Nas vésperas da Comuna, todavia, eram muito diferentes as concepções que animavam a principal corrente da secção francesa da AIT. Marx e Engels empenharam-se mais tarde em propalar que as duas grandes influências exerci</w:t>
      </w:r>
      <w:r>
        <w:rPr>
          <w:rFonts w:ascii="Arial Narrow" w:hAnsi="Arial Narrow"/>
        </w:rPr>
        <w:t>das</w:t>
      </w:r>
      <w:r w:rsidRPr="00F95336">
        <w:rPr>
          <w:rFonts w:ascii="Arial Narrow" w:hAnsi="Arial Narrow"/>
        </w:rPr>
        <w:t xml:space="preserve"> em 1871 sobre o proletariado francês vinham de Blanqui e dos discípulos de Proudhon. Porém, os proudhonianos haviam já sido marginalizados durante os últimos anos da década de 1860 e o predomínio passara a caber a uma orientação que se definia como «comunista antiautoritária» e encontrava em Varlin um destacado representante. Foi esta corrente que os marxistas procuraram depois esquecer, </w:t>
      </w:r>
      <w:r w:rsidRPr="00F95336">
        <w:rPr>
          <w:rFonts w:ascii="Arial Narrow" w:hAnsi="Arial Narrow"/>
        </w:rPr>
        <w:lastRenderedPageBreak/>
        <w:t xml:space="preserve">quando não a confundiram erradamente com o anarquismo. Louis-Eugène Varlin, uma das figuras mais luminosas da história do movimento operário, destacou-se no combate à vertente centralista do socialismo, defendendo e prosseguindo na prática uma estratégia de luta que estimulava os trabalhadores a controlarem as suas organizações de classe e os preparava para gerirem mais tarde a economia e exercerem o controlo sobre toda a sociedade. Num artigo publicado </w:t>
      </w:r>
      <w:r>
        <w:rPr>
          <w:rFonts w:ascii="Arial Narrow" w:hAnsi="Arial Narrow"/>
        </w:rPr>
        <w:t xml:space="preserve">um ano </w:t>
      </w:r>
      <w:r w:rsidRPr="00F95336">
        <w:rPr>
          <w:rFonts w:ascii="Arial Narrow" w:hAnsi="Arial Narrow"/>
        </w:rPr>
        <w:t>antes da instauração da Comuna, Varlin explic</w:t>
      </w:r>
      <w:r>
        <w:rPr>
          <w:rFonts w:ascii="Arial Narrow" w:hAnsi="Arial Narrow"/>
        </w:rPr>
        <w:t>ou</w:t>
      </w:r>
      <w:r w:rsidRPr="00F95336">
        <w:rPr>
          <w:rFonts w:ascii="Arial Narrow" w:hAnsi="Arial Narrow"/>
        </w:rPr>
        <w:t xml:space="preserve"> que uma política socialista que não começasse por transformar as relações de trabalho só podia dar lugar a novas modalidades de opressão e conclu</w:t>
      </w:r>
      <w:r>
        <w:rPr>
          <w:rFonts w:ascii="Arial Narrow" w:hAnsi="Arial Narrow"/>
        </w:rPr>
        <w:t>iu</w:t>
      </w:r>
      <w:r w:rsidRPr="00F95336">
        <w:rPr>
          <w:rFonts w:ascii="Arial Narrow" w:hAnsi="Arial Narrow"/>
        </w:rPr>
        <w:t xml:space="preserve"> com outra das teses fundamentais da autonomia operária, a de que as formas de solidariedade desenvolvidas na luta constituem o modelo das futuras relações de produção. «[...] devemo</w:t>
      </w:r>
      <w:r w:rsidR="00721377">
        <w:rPr>
          <w:rFonts w:ascii="Arial Narrow" w:hAnsi="Arial Narrow"/>
        </w:rPr>
        <w:t>s</w:t>
      </w:r>
      <w:r w:rsidRPr="00F95336">
        <w:rPr>
          <w:rFonts w:ascii="Arial Narrow" w:hAnsi="Arial Narrow"/>
        </w:rPr>
        <w:t xml:space="preserve"> [...] aplicar</w:t>
      </w:r>
      <w:r w:rsidR="00721377" w:rsidRPr="00F95336">
        <w:rPr>
          <w:rFonts w:ascii="Arial Narrow" w:hAnsi="Arial Narrow"/>
        </w:rPr>
        <w:t>-nos</w:t>
      </w:r>
      <w:r w:rsidRPr="00F95336">
        <w:rPr>
          <w:rFonts w:ascii="Arial Narrow" w:hAnsi="Arial Narrow"/>
        </w:rPr>
        <w:t xml:space="preserve"> activamente na preparação dos elementos organizativos da sociedade futura, para facilitar e tornar mais segura a obra de transformação social que a Revolução tem de levar a cabo</w:t>
      </w:r>
      <w:r>
        <w:rPr>
          <w:rFonts w:ascii="Arial Narrow" w:hAnsi="Arial Narrow"/>
        </w:rPr>
        <w:t>», e</w:t>
      </w:r>
      <w:r w:rsidRPr="00F95336">
        <w:rPr>
          <w:rFonts w:ascii="Arial Narrow" w:hAnsi="Arial Narrow"/>
        </w:rPr>
        <w:t>screv</w:t>
      </w:r>
      <w:r>
        <w:rPr>
          <w:rFonts w:ascii="Arial Narrow" w:hAnsi="Arial Narrow"/>
        </w:rPr>
        <w:t>eu</w:t>
      </w:r>
      <w:r w:rsidRPr="00F95336">
        <w:rPr>
          <w:rFonts w:ascii="Arial Narrow" w:hAnsi="Arial Narrow"/>
        </w:rPr>
        <w:t xml:space="preserve"> ele</w:t>
      </w:r>
      <w:r>
        <w:rPr>
          <w:rFonts w:ascii="Arial Narrow" w:hAnsi="Arial Narrow"/>
        </w:rPr>
        <w:t>.</w:t>
      </w:r>
      <w:r w:rsidRPr="00F95336">
        <w:rPr>
          <w:rFonts w:ascii="Arial Narrow" w:hAnsi="Arial Narrow"/>
        </w:rPr>
        <w:t xml:space="preserve"> </w:t>
      </w:r>
      <w:r>
        <w:rPr>
          <w:rFonts w:ascii="Arial Narrow" w:hAnsi="Arial Narrow"/>
        </w:rPr>
        <w:t>«</w:t>
      </w:r>
      <w:r w:rsidRPr="00F95336">
        <w:rPr>
          <w:rFonts w:ascii="Arial Narrow" w:hAnsi="Arial Narrow"/>
        </w:rPr>
        <w:t xml:space="preserve">Se o capitalista, industrial ou comercial, deve deixar de dispor arbitrariamente dos capitais colectivos, quem os fará frutificar em benefício de todos? A não ser que queiramos </w:t>
      </w:r>
      <w:r>
        <w:rPr>
          <w:rFonts w:ascii="Arial Narrow" w:hAnsi="Arial Narrow"/>
        </w:rPr>
        <w:t xml:space="preserve">reduzir </w:t>
      </w:r>
      <w:r w:rsidRPr="00F95336">
        <w:rPr>
          <w:rFonts w:ascii="Arial Narrow" w:hAnsi="Arial Narrow"/>
        </w:rPr>
        <w:t xml:space="preserve">tudo a um Estado centralizador e autoritário, que nomearia os directores das fábricas, das manufacturas e das agências de </w:t>
      </w:r>
      <w:r>
        <w:rPr>
          <w:rFonts w:ascii="Arial Narrow" w:hAnsi="Arial Narrow"/>
        </w:rPr>
        <w:t>distribuição</w:t>
      </w:r>
      <w:r w:rsidRPr="00F95336">
        <w:rPr>
          <w:rFonts w:ascii="Arial Narrow" w:hAnsi="Arial Narrow"/>
        </w:rPr>
        <w:t xml:space="preserve">, os quais por sua vez </w:t>
      </w:r>
      <w:r w:rsidRPr="00296275">
        <w:rPr>
          <w:rFonts w:ascii="Arial Narrow" w:hAnsi="Arial Narrow"/>
        </w:rPr>
        <w:t xml:space="preserve">nomeariam </w:t>
      </w:r>
      <w:r w:rsidRPr="00F95336">
        <w:rPr>
          <w:rFonts w:ascii="Arial Narrow" w:hAnsi="Arial Narrow"/>
        </w:rPr>
        <w:t xml:space="preserve">os subdirectores, os contramestres, etc., </w:t>
      </w:r>
      <w:r>
        <w:rPr>
          <w:rFonts w:ascii="Arial Narrow" w:hAnsi="Arial Narrow"/>
        </w:rPr>
        <w:t xml:space="preserve">acabando </w:t>
      </w:r>
      <w:r w:rsidRPr="00F95336">
        <w:rPr>
          <w:rFonts w:ascii="Arial Narrow" w:hAnsi="Arial Narrow"/>
        </w:rPr>
        <w:t xml:space="preserve">assim </w:t>
      </w:r>
      <w:r>
        <w:rPr>
          <w:rFonts w:ascii="Arial Narrow" w:hAnsi="Arial Narrow"/>
        </w:rPr>
        <w:t xml:space="preserve">por se organizar hierarquicamente o trabalho </w:t>
      </w:r>
      <w:r w:rsidRPr="00F95336">
        <w:rPr>
          <w:rFonts w:ascii="Arial Narrow" w:hAnsi="Arial Narrow"/>
        </w:rPr>
        <w:t>de cima a baixo</w:t>
      </w:r>
      <w:r>
        <w:rPr>
          <w:rFonts w:ascii="Arial Narrow" w:hAnsi="Arial Narrow"/>
        </w:rPr>
        <w:t xml:space="preserve"> e deixando-se </w:t>
      </w:r>
      <w:r w:rsidRPr="00F95336">
        <w:rPr>
          <w:rFonts w:ascii="Arial Narrow" w:hAnsi="Arial Narrow"/>
        </w:rPr>
        <w:t xml:space="preserve">o trabalhador </w:t>
      </w:r>
      <w:r>
        <w:rPr>
          <w:rFonts w:ascii="Arial Narrow" w:hAnsi="Arial Narrow"/>
        </w:rPr>
        <w:t xml:space="preserve">como </w:t>
      </w:r>
      <w:r w:rsidRPr="00F95336">
        <w:rPr>
          <w:rFonts w:ascii="Arial Narrow" w:hAnsi="Arial Narrow"/>
        </w:rPr>
        <w:t>uma mera engrenagem inconsciente, sem liberdade nem iniciativa, a não ser que queiramos is</w:t>
      </w:r>
      <w:r>
        <w:rPr>
          <w:rFonts w:ascii="Arial Narrow" w:hAnsi="Arial Narrow"/>
        </w:rPr>
        <w:t>t</w:t>
      </w:r>
      <w:r w:rsidRPr="00F95336">
        <w:rPr>
          <w:rFonts w:ascii="Arial Narrow" w:hAnsi="Arial Narrow"/>
        </w:rPr>
        <w:t xml:space="preserve">o </w:t>
      </w:r>
      <w:r>
        <w:rPr>
          <w:rFonts w:ascii="Arial Narrow" w:hAnsi="Arial Narrow"/>
        </w:rPr>
        <w:t xml:space="preserve">temos de </w:t>
      </w:r>
      <w:r w:rsidRPr="00F95336">
        <w:rPr>
          <w:rFonts w:ascii="Arial Narrow" w:hAnsi="Arial Narrow"/>
        </w:rPr>
        <w:t xml:space="preserve">admitir que os próprios trabalhadores devem </w:t>
      </w:r>
      <w:r>
        <w:rPr>
          <w:rFonts w:ascii="Arial Narrow" w:hAnsi="Arial Narrow"/>
        </w:rPr>
        <w:t xml:space="preserve">dispor livremente </w:t>
      </w:r>
      <w:r w:rsidRPr="00F95336">
        <w:rPr>
          <w:rFonts w:ascii="Arial Narrow" w:hAnsi="Arial Narrow"/>
        </w:rPr>
        <w:t xml:space="preserve">dos seus instrumentos de trabalho, </w:t>
      </w:r>
      <w:r>
        <w:rPr>
          <w:rFonts w:ascii="Arial Narrow" w:hAnsi="Arial Narrow"/>
        </w:rPr>
        <w:t xml:space="preserve">possuí-los, </w:t>
      </w:r>
      <w:r w:rsidRPr="00F95336">
        <w:rPr>
          <w:rFonts w:ascii="Arial Narrow" w:hAnsi="Arial Narrow"/>
        </w:rPr>
        <w:t xml:space="preserve">com a condição de </w:t>
      </w:r>
      <w:r>
        <w:rPr>
          <w:rFonts w:ascii="Arial Narrow" w:hAnsi="Arial Narrow"/>
        </w:rPr>
        <w:t xml:space="preserve">trocarem </w:t>
      </w:r>
      <w:r w:rsidRPr="00F95336">
        <w:rPr>
          <w:rFonts w:ascii="Arial Narrow" w:hAnsi="Arial Narrow"/>
        </w:rPr>
        <w:t xml:space="preserve">os seus produtos ao preço de custo, para que haja reciprocidade de serviço entre os trabalhadores das diferentes especialidades. É a esta ideia que tende a aderir a maior parte dos trabalhadores que desde há alguns anos prosseguem energicamente a emancipação da sua classe. Foi ela que prevaleceu nos diferentes congressos da AIT. Mas não </w:t>
      </w:r>
      <w:r>
        <w:rPr>
          <w:rFonts w:ascii="Arial Narrow" w:hAnsi="Arial Narrow"/>
        </w:rPr>
        <w:t xml:space="preserve">se imagine </w:t>
      </w:r>
      <w:r w:rsidRPr="00F95336">
        <w:rPr>
          <w:rFonts w:ascii="Arial Narrow" w:hAnsi="Arial Narrow"/>
        </w:rPr>
        <w:t xml:space="preserve">que uma organização deste tipo possa improvisar-se facilmente. [...] Uma das maiores dificuldades com que </w:t>
      </w:r>
      <w:r>
        <w:rPr>
          <w:rFonts w:ascii="Arial Narrow" w:hAnsi="Arial Narrow"/>
        </w:rPr>
        <w:t xml:space="preserve">se têm debatido </w:t>
      </w:r>
      <w:r w:rsidRPr="00F95336">
        <w:rPr>
          <w:rFonts w:ascii="Arial Narrow" w:hAnsi="Arial Narrow"/>
        </w:rPr>
        <w:t xml:space="preserve">os fundadores </w:t>
      </w:r>
      <w:r>
        <w:rPr>
          <w:rFonts w:ascii="Arial Narrow" w:hAnsi="Arial Narrow"/>
        </w:rPr>
        <w:t xml:space="preserve">dos mais variados </w:t>
      </w:r>
      <w:r w:rsidRPr="00F95336">
        <w:rPr>
          <w:rFonts w:ascii="Arial Narrow" w:hAnsi="Arial Narrow"/>
        </w:rPr>
        <w:t xml:space="preserve">tipos de sociedades, </w:t>
      </w:r>
      <w:r>
        <w:rPr>
          <w:rFonts w:ascii="Arial Narrow" w:hAnsi="Arial Narrow"/>
        </w:rPr>
        <w:t xml:space="preserve">esboçadas nos últimos </w:t>
      </w:r>
      <w:r w:rsidRPr="00F95336">
        <w:rPr>
          <w:rFonts w:ascii="Arial Narrow" w:hAnsi="Arial Narrow"/>
        </w:rPr>
        <w:t>anos, é o espírito individualista [...] Pois bem, as sociedades operárias, qua</w:t>
      </w:r>
      <w:r>
        <w:rPr>
          <w:rFonts w:ascii="Arial Narrow" w:hAnsi="Arial Narrow"/>
        </w:rPr>
        <w:t>is</w:t>
      </w:r>
      <w:r w:rsidRPr="00F95336">
        <w:rPr>
          <w:rFonts w:ascii="Arial Narrow" w:hAnsi="Arial Narrow"/>
        </w:rPr>
        <w:t>quer que seja</w:t>
      </w:r>
      <w:r>
        <w:rPr>
          <w:rFonts w:ascii="Arial Narrow" w:hAnsi="Arial Narrow"/>
        </w:rPr>
        <w:t>m</w:t>
      </w:r>
      <w:r w:rsidRPr="00F95336">
        <w:rPr>
          <w:rFonts w:ascii="Arial Narrow" w:hAnsi="Arial Narrow"/>
        </w:rPr>
        <w:t xml:space="preserve"> </w:t>
      </w:r>
      <w:r>
        <w:rPr>
          <w:rFonts w:ascii="Arial Narrow" w:hAnsi="Arial Narrow"/>
        </w:rPr>
        <w:t xml:space="preserve">as </w:t>
      </w:r>
      <w:r w:rsidRPr="00F95336">
        <w:rPr>
          <w:rFonts w:ascii="Arial Narrow" w:hAnsi="Arial Narrow"/>
        </w:rPr>
        <w:t>forma</w:t>
      </w:r>
      <w:r>
        <w:rPr>
          <w:rFonts w:ascii="Arial Narrow" w:hAnsi="Arial Narrow"/>
        </w:rPr>
        <w:t>s</w:t>
      </w:r>
      <w:r w:rsidRPr="00F95336">
        <w:rPr>
          <w:rFonts w:ascii="Arial Narrow" w:hAnsi="Arial Narrow"/>
        </w:rPr>
        <w:t xml:space="preserve"> </w:t>
      </w:r>
      <w:r>
        <w:rPr>
          <w:rFonts w:ascii="Arial Narrow" w:hAnsi="Arial Narrow"/>
        </w:rPr>
        <w:t>em que hoje existam</w:t>
      </w:r>
      <w:r w:rsidRPr="00F95336">
        <w:rPr>
          <w:rFonts w:ascii="Arial Narrow" w:hAnsi="Arial Narrow"/>
        </w:rPr>
        <w:t xml:space="preserve">, têm já </w:t>
      </w:r>
      <w:r>
        <w:rPr>
          <w:rFonts w:ascii="Arial Narrow" w:hAnsi="Arial Narrow"/>
        </w:rPr>
        <w:t xml:space="preserve">o imenso mérito </w:t>
      </w:r>
      <w:r w:rsidRPr="00F95336">
        <w:rPr>
          <w:rFonts w:ascii="Arial Narrow" w:hAnsi="Arial Narrow"/>
        </w:rPr>
        <w:t>de habituar os homens à vida em sociedade</w:t>
      </w:r>
      <w:r>
        <w:rPr>
          <w:rFonts w:ascii="Arial Narrow" w:hAnsi="Arial Narrow"/>
        </w:rPr>
        <w:t xml:space="preserve"> e de os preparar </w:t>
      </w:r>
      <w:r w:rsidRPr="00F95336">
        <w:rPr>
          <w:rFonts w:ascii="Arial Narrow" w:hAnsi="Arial Narrow"/>
        </w:rPr>
        <w:t>assim para uma organização social mais ampla. [...]</w:t>
      </w:r>
      <w:r>
        <w:rPr>
          <w:rFonts w:ascii="Arial Narrow" w:hAnsi="Arial Narrow"/>
        </w:rPr>
        <w:t xml:space="preserve"> </w:t>
      </w:r>
      <w:r w:rsidRPr="00F95336">
        <w:rPr>
          <w:rFonts w:ascii="Arial Narrow" w:hAnsi="Arial Narrow"/>
        </w:rPr>
        <w:t xml:space="preserve">as sociedades corporativas (de resistência, de solidariedade, sindicatos) </w:t>
      </w:r>
      <w:r>
        <w:rPr>
          <w:rFonts w:ascii="Arial Narrow" w:hAnsi="Arial Narrow"/>
        </w:rPr>
        <w:t>são dignas sobretudo d</w:t>
      </w:r>
      <w:r w:rsidRPr="00F95336">
        <w:rPr>
          <w:rFonts w:ascii="Arial Narrow" w:hAnsi="Arial Narrow"/>
        </w:rPr>
        <w:t xml:space="preserve">o nosso encorajamento e </w:t>
      </w:r>
      <w:r>
        <w:rPr>
          <w:rFonts w:ascii="Arial Narrow" w:hAnsi="Arial Narrow"/>
        </w:rPr>
        <w:t>d</w:t>
      </w:r>
      <w:r w:rsidRPr="00F95336">
        <w:rPr>
          <w:rFonts w:ascii="Arial Narrow" w:hAnsi="Arial Narrow"/>
        </w:rPr>
        <w:t xml:space="preserve">a nossa simpatia porque são elas que formam os elementos naturais da </w:t>
      </w:r>
      <w:r>
        <w:rPr>
          <w:rFonts w:ascii="Arial Narrow" w:hAnsi="Arial Narrow"/>
        </w:rPr>
        <w:t xml:space="preserve">edificação </w:t>
      </w:r>
      <w:r w:rsidRPr="00F95336">
        <w:rPr>
          <w:rFonts w:ascii="Arial Narrow" w:hAnsi="Arial Narrow"/>
        </w:rPr>
        <w:t>social do futuro</w:t>
      </w:r>
      <w:r>
        <w:rPr>
          <w:rFonts w:ascii="Arial Narrow" w:hAnsi="Arial Narrow"/>
        </w:rPr>
        <w:t>.</w:t>
      </w:r>
      <w:r w:rsidRPr="00F95336">
        <w:rPr>
          <w:rFonts w:ascii="Arial Narrow" w:hAnsi="Arial Narrow"/>
        </w:rPr>
        <w:t xml:space="preserve"> São elas que poderão facilmente transformar</w:t>
      </w:r>
      <w:r>
        <w:rPr>
          <w:rFonts w:ascii="Arial Narrow" w:hAnsi="Arial Narrow"/>
        </w:rPr>
        <w:t>-se</w:t>
      </w:r>
      <w:r w:rsidRPr="00F95336">
        <w:rPr>
          <w:rFonts w:ascii="Arial Narrow" w:hAnsi="Arial Narrow"/>
        </w:rPr>
        <w:t xml:space="preserve"> em associaç</w:t>
      </w:r>
      <w:r>
        <w:rPr>
          <w:rFonts w:ascii="Arial Narrow" w:hAnsi="Arial Narrow"/>
        </w:rPr>
        <w:t>ão</w:t>
      </w:r>
      <w:r w:rsidRPr="00F95336">
        <w:rPr>
          <w:rFonts w:ascii="Arial Narrow" w:hAnsi="Arial Narrow"/>
        </w:rPr>
        <w:t xml:space="preserve"> de produtores</w:t>
      </w:r>
      <w:r>
        <w:rPr>
          <w:rFonts w:ascii="Arial Narrow" w:hAnsi="Arial Narrow"/>
        </w:rPr>
        <w:t>.</w:t>
      </w:r>
      <w:r w:rsidRPr="00F95336">
        <w:rPr>
          <w:rFonts w:ascii="Arial Narrow" w:hAnsi="Arial Narrow"/>
        </w:rPr>
        <w:t xml:space="preserve"> São elas que poderão pôr em funcionamento </w:t>
      </w:r>
      <w:r>
        <w:rPr>
          <w:rFonts w:ascii="Arial Narrow" w:hAnsi="Arial Narrow"/>
        </w:rPr>
        <w:t xml:space="preserve">a utensilagem </w:t>
      </w:r>
      <w:r w:rsidRPr="00F95336">
        <w:rPr>
          <w:rFonts w:ascii="Arial Narrow" w:hAnsi="Arial Narrow"/>
        </w:rPr>
        <w:t>socia</w:t>
      </w:r>
      <w:r>
        <w:rPr>
          <w:rFonts w:ascii="Arial Narrow" w:hAnsi="Arial Narrow"/>
        </w:rPr>
        <w:t>l</w:t>
      </w:r>
      <w:r w:rsidRPr="00F95336">
        <w:rPr>
          <w:rFonts w:ascii="Arial Narrow" w:hAnsi="Arial Narrow"/>
        </w:rPr>
        <w:t xml:space="preserve"> e a organização da produção»</w:t>
      </w:r>
      <w:r w:rsidRPr="00F95336">
        <w:rPr>
          <w:rStyle w:val="Refdenotaderodap"/>
          <w:rFonts w:ascii="Arial Narrow" w:hAnsi="Arial Narrow"/>
        </w:rPr>
        <w:footnoteReference w:id="84"/>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lastRenderedPageBreak/>
        <w:t>Delegado às Finanças na Comuna e depois, a partir de Abril, aos Abastecimentos e à Intendência, Varlin estava bem situado para favorecer a entrega da propriedade e da gestão das unidades de produção aos trabalhadores. O decreto de 16 de Abril de 1871 estipulou que as oficinas abandonadas pelos patrões fossem confiscadas pelos sindicatos e concedidas aos seus operários, e sabe-se hoje que</w:t>
      </w:r>
      <w:r w:rsidRPr="00540524">
        <w:rPr>
          <w:rFonts w:ascii="Arial Narrow" w:hAnsi="Arial Narrow"/>
        </w:rPr>
        <w:t xml:space="preserve"> </w:t>
      </w:r>
      <w:r w:rsidRPr="00F95336">
        <w:rPr>
          <w:rFonts w:ascii="Arial Narrow" w:hAnsi="Arial Narrow"/>
        </w:rPr>
        <w:t>a partir do começo de Maio</w:t>
      </w:r>
      <w:r>
        <w:rPr>
          <w:rFonts w:ascii="Arial Narrow" w:hAnsi="Arial Narrow"/>
        </w:rPr>
        <w:t xml:space="preserve"> </w:t>
      </w:r>
      <w:r w:rsidRPr="00F95336">
        <w:rPr>
          <w:rFonts w:ascii="Arial Narrow" w:hAnsi="Arial Narrow"/>
        </w:rPr>
        <w:t>a Comissão do Trabalho e das Trocas</w:t>
      </w:r>
      <w:r>
        <w:rPr>
          <w:rFonts w:ascii="Arial Narrow" w:hAnsi="Arial Narrow"/>
        </w:rPr>
        <w:t xml:space="preserve"> previu </w:t>
      </w:r>
      <w:r w:rsidRPr="00F95336">
        <w:rPr>
          <w:rFonts w:ascii="Arial Narrow" w:hAnsi="Arial Narrow"/>
        </w:rPr>
        <w:t xml:space="preserve">igualmente a expropriação completa das manufacturas pertencentes aos grandes capitalistas e a generalização da gestão operária, que em todos os casos </w:t>
      </w:r>
      <w:r>
        <w:rPr>
          <w:rFonts w:ascii="Arial Narrow" w:hAnsi="Arial Narrow"/>
        </w:rPr>
        <w:t xml:space="preserve">devia </w:t>
      </w:r>
      <w:r w:rsidRPr="00F95336">
        <w:rPr>
          <w:rFonts w:ascii="Arial Narrow" w:hAnsi="Arial Narrow"/>
        </w:rPr>
        <w:t xml:space="preserve">assumir a forma cooperativa. Era esta a solução proposta por Varlin, </w:t>
      </w:r>
      <w:r>
        <w:rPr>
          <w:rFonts w:ascii="Arial Narrow" w:hAnsi="Arial Narrow"/>
        </w:rPr>
        <w:t xml:space="preserve">a quem se deveram </w:t>
      </w:r>
      <w:r w:rsidRPr="00F95336">
        <w:rPr>
          <w:rFonts w:ascii="Arial Narrow" w:hAnsi="Arial Narrow"/>
        </w:rPr>
        <w:t>os contactos regulares estabelecidos entre as associações operárias e a Comissão do Trabalho e das Trocas</w:t>
      </w:r>
      <w:r w:rsidRPr="00F95336">
        <w:rPr>
          <w:rStyle w:val="Refdenotaderodap"/>
          <w:rFonts w:ascii="Arial Narrow" w:hAnsi="Arial Narrow"/>
        </w:rPr>
        <w:footnoteReference w:id="85"/>
      </w:r>
      <w:r w:rsidRPr="00F95336">
        <w:rPr>
          <w:rFonts w:ascii="Arial Narrow" w:hAnsi="Arial Narrow"/>
        </w:rPr>
        <w:t xml:space="preserve">. Estavam portanto em jogo duas concepções de socialismo </w:t>
      </w:r>
      <w:r>
        <w:rPr>
          <w:rFonts w:ascii="Arial Narrow" w:hAnsi="Arial Narrow"/>
        </w:rPr>
        <w:t>muito</w:t>
      </w:r>
      <w:r w:rsidRPr="00F95336">
        <w:rPr>
          <w:rFonts w:ascii="Arial Narrow" w:hAnsi="Arial Narrow"/>
        </w:rPr>
        <w:t xml:space="preserve"> diferentes. Uma delas, que animou as experiências mais audaciosas da Comuna, pugnava por uma gestão descentralizada das empresas, a cargo dos próprios trabalhadores. A outra, que serviu a Marx e a Engels para pintarem com algumas tonalidades sombrias a memória da insurreição parisiense, considerava o banco central como uma das engrenagens necessárias à planificação centralizada e </w:t>
      </w:r>
      <w:r w:rsidR="00A0542F">
        <w:rPr>
          <w:rFonts w:ascii="Arial Narrow" w:hAnsi="Arial Narrow"/>
        </w:rPr>
        <w:t>autoritária</w:t>
      </w:r>
      <w:r w:rsidRPr="00F95336">
        <w:rPr>
          <w:rFonts w:ascii="Arial Narrow" w:hAnsi="Arial Narrow"/>
        </w:rPr>
        <w:t xml:space="preserve"> de toda a economia. Foi nesta oposição entre as duas correntes do socialismo revolucionário que se inseriu a questão do Banco de França. </w:t>
      </w:r>
    </w:p>
    <w:p w:rsidR="00CD12DC" w:rsidRPr="00F95336" w:rsidRDefault="00CD12DC" w:rsidP="00CD12DC">
      <w:pPr>
        <w:rPr>
          <w:rFonts w:ascii="Arial Narrow" w:hAnsi="Arial Narrow"/>
        </w:rPr>
      </w:pPr>
      <w:r w:rsidRPr="00F95336">
        <w:rPr>
          <w:rFonts w:ascii="Arial Narrow" w:hAnsi="Arial Narrow"/>
        </w:rPr>
        <w:t>N</w:t>
      </w:r>
      <w:r>
        <w:rPr>
          <w:rFonts w:ascii="Arial Narrow" w:hAnsi="Arial Narrow"/>
        </w:rPr>
        <w:t>um</w:t>
      </w:r>
      <w:r w:rsidRPr="00F95336">
        <w:rPr>
          <w:rFonts w:ascii="Arial Narrow" w:hAnsi="Arial Narrow"/>
        </w:rPr>
        <w:t xml:space="preserve"> panfleto publicado logo após a aniquilação da Comuna, ao referir as medidas económicas tomadas pelos insurrectos, Marx relegou para último lugar o decreto de 16 de Abril, citando-o depois da abolição do trabalho nocturno dos padeiros. Dificilmente se acreditará que, tão bem informado acerca de tudo o que se passara em Paris através das centenas de cartas que recebe</w:t>
      </w:r>
      <w:r>
        <w:rPr>
          <w:rFonts w:ascii="Arial Narrow" w:hAnsi="Arial Narrow"/>
        </w:rPr>
        <w:t>ra</w:t>
      </w:r>
      <w:r w:rsidRPr="00F95336">
        <w:rPr>
          <w:rFonts w:ascii="Arial Narrow" w:hAnsi="Arial Narrow"/>
        </w:rPr>
        <w:t xml:space="preserve"> dos seus partidários e mantendo naquelas semanas febris uma correspondência com o próprio Varlin</w:t>
      </w:r>
      <w:r w:rsidRPr="00F95336">
        <w:rPr>
          <w:rStyle w:val="Refdenotaderodap"/>
          <w:rFonts w:ascii="Arial Narrow" w:hAnsi="Arial Narrow"/>
        </w:rPr>
        <w:footnoteReference w:id="86"/>
      </w:r>
      <w:r w:rsidRPr="00F95336">
        <w:rPr>
          <w:rFonts w:ascii="Arial Narrow" w:hAnsi="Arial Narrow"/>
        </w:rPr>
        <w:t>, Marx ignorasse a amplitude dos projectos e dos esboços de realização prática promovidos pela Comissão do Trabalho e das Trocas. Mas ele estava em Londres, onde podia tranquilamente escrever a sua versão dos acontecimentos, e os outros estavam mortos</w:t>
      </w:r>
      <w:r w:rsidRPr="00F95336">
        <w:rPr>
          <w:rStyle w:val="Refdenotaderodap"/>
          <w:rFonts w:ascii="Arial Narrow" w:hAnsi="Arial Narrow"/>
        </w:rPr>
        <w:footnoteReference w:id="87"/>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Será que Engels e Marx não vi</w:t>
      </w:r>
      <w:r>
        <w:rPr>
          <w:rFonts w:ascii="Arial Narrow" w:hAnsi="Arial Narrow"/>
        </w:rPr>
        <w:t>r</w:t>
      </w:r>
      <w:r w:rsidRPr="00F95336">
        <w:rPr>
          <w:rFonts w:ascii="Arial Narrow" w:hAnsi="Arial Narrow"/>
        </w:rPr>
        <w:t xml:space="preserve">am, ou não </w:t>
      </w:r>
      <w:r>
        <w:rPr>
          <w:rFonts w:ascii="Arial Narrow" w:hAnsi="Arial Narrow"/>
        </w:rPr>
        <w:t xml:space="preserve">quiseram </w:t>
      </w:r>
      <w:r w:rsidRPr="00F95336">
        <w:rPr>
          <w:rFonts w:ascii="Arial Narrow" w:hAnsi="Arial Narrow"/>
        </w:rPr>
        <w:t xml:space="preserve">ver, a coerência entre a decisão de confiscar as oficinas e a decisão de não ocupar o Banco de França? Encontramos a solução do enigma se observarmos que Engels, ao referir-se à expropriação dos meios de produção </w:t>
      </w:r>
      <w:r w:rsidRPr="00F95336">
        <w:rPr>
          <w:rFonts w:ascii="Arial Narrow" w:hAnsi="Arial Narrow"/>
        </w:rPr>
        <w:lastRenderedPageBreak/>
        <w:t xml:space="preserve">decretada pela Comissão do Trabalho e das Trocas, deu menos destaque ao facto de as oficinas deverem ser exploradas e administradas directamente pelos seus próprios trabalhadores do que às disposições necessárias para coordenar esta actividade, que ele apresentou erroneamente como se tivessem por objectivo instaurar uma direcção centralizada da economia. «A 16 de Abril, a Comuna ordenou que se efectuasse um recenseamento das oficinas encerradas pelos fabricantes e se elaborassem planos para entregar a gestão dessas empresas aos operários que até então aí trabalhavam, os quais deviam reunir-se em associações cooperativas, bem como para organizar estas associações </w:t>
      </w:r>
      <w:r w:rsidRPr="00F95336">
        <w:rPr>
          <w:rFonts w:ascii="Arial Narrow" w:hAnsi="Arial Narrow"/>
          <w:i/>
        </w:rPr>
        <w:t>numa única</w:t>
      </w:r>
      <w:r w:rsidRPr="00F95336">
        <w:rPr>
          <w:rFonts w:ascii="Arial Narrow" w:hAnsi="Arial Narrow"/>
        </w:rPr>
        <w:t xml:space="preserve"> grande federação</w:t>
      </w:r>
      <w:r>
        <w:rPr>
          <w:rFonts w:ascii="Arial Narrow" w:hAnsi="Arial Narrow"/>
        </w:rPr>
        <w:t>», escreveu Engels e adiante afirmou que «</w:t>
      </w:r>
      <w:r w:rsidRPr="00F95336">
        <w:rPr>
          <w:rFonts w:ascii="Arial Narrow" w:hAnsi="Arial Narrow"/>
        </w:rPr>
        <w:t>o mais importante de todos os decretos promulgados pela Comuna instituía uma organização da grande indústria, e mesmo da manufactura, que não só devia basear-se na associação dos trabalhadores de cada fábrica, mas também reunir todas estas associações numa grande federação [...]»</w:t>
      </w:r>
      <w:r w:rsidRPr="00F95336">
        <w:rPr>
          <w:rStyle w:val="Refdenotaderodap"/>
          <w:rFonts w:ascii="Arial Narrow" w:hAnsi="Arial Narrow"/>
        </w:rPr>
        <w:footnoteReference w:id="88"/>
      </w:r>
      <w:r w:rsidRPr="00F95336">
        <w:rPr>
          <w:rFonts w:ascii="Arial Narrow" w:hAnsi="Arial Narrow"/>
        </w:rPr>
        <w:t xml:space="preserve">. Ora, Engels conhecia bem demais qual fora a este respeito a posição de Varlin e daquela que havia sido a maioria da secção francesa da AIT. As medidas que para uns deviam servir de estímulo à iniciativa da base eram apresentadas pelo outro como se se tivessem destinado a reforçar o poder de decisão central. </w:t>
      </w:r>
    </w:p>
    <w:p w:rsidR="00CD12DC" w:rsidRPr="00F95336" w:rsidRDefault="00CD12DC" w:rsidP="00CD12DC">
      <w:pPr>
        <w:rPr>
          <w:rFonts w:ascii="Arial Narrow" w:hAnsi="Arial Narrow"/>
        </w:rPr>
      </w:pPr>
      <w:r w:rsidRPr="00F95336">
        <w:rPr>
          <w:rFonts w:ascii="Arial Narrow" w:hAnsi="Arial Narrow"/>
        </w:rPr>
        <w:t>No seu célebre relato da Comuna Marx escamote</w:t>
      </w:r>
      <w:r>
        <w:rPr>
          <w:rFonts w:ascii="Arial Narrow" w:hAnsi="Arial Narrow"/>
        </w:rPr>
        <w:t>ou</w:t>
      </w:r>
      <w:r w:rsidRPr="00F95336">
        <w:rPr>
          <w:rFonts w:ascii="Arial Narrow" w:hAnsi="Arial Narrow"/>
        </w:rPr>
        <w:t xml:space="preserve"> os planos de transformação das relações sociais de trabalho</w:t>
      </w:r>
      <w:r>
        <w:rPr>
          <w:rFonts w:ascii="Arial Narrow" w:hAnsi="Arial Narrow"/>
        </w:rPr>
        <w:t>,</w:t>
      </w:r>
      <w:r w:rsidRPr="00F95336">
        <w:rPr>
          <w:rFonts w:ascii="Arial Narrow" w:hAnsi="Arial Narrow"/>
        </w:rPr>
        <w:t xml:space="preserve"> </w:t>
      </w:r>
      <w:r>
        <w:rPr>
          <w:rFonts w:ascii="Arial Narrow" w:hAnsi="Arial Narrow"/>
        </w:rPr>
        <w:t xml:space="preserve">o que </w:t>
      </w:r>
      <w:r w:rsidRPr="00F95336">
        <w:rPr>
          <w:rFonts w:ascii="Arial Narrow" w:hAnsi="Arial Narrow"/>
        </w:rPr>
        <w:t xml:space="preserve">é esclarecedor dos métodos de polémica a que sempre recorria. E o facto de ele e Engels </w:t>
      </w:r>
      <w:r>
        <w:rPr>
          <w:rFonts w:ascii="Arial Narrow" w:hAnsi="Arial Narrow"/>
        </w:rPr>
        <w:t xml:space="preserve">terem </w:t>
      </w:r>
      <w:r w:rsidRPr="00F95336">
        <w:rPr>
          <w:rFonts w:ascii="Arial Narrow" w:hAnsi="Arial Narrow"/>
        </w:rPr>
        <w:t>usa</w:t>
      </w:r>
      <w:r>
        <w:rPr>
          <w:rFonts w:ascii="Arial Narrow" w:hAnsi="Arial Narrow"/>
        </w:rPr>
        <w:t>do</w:t>
      </w:r>
      <w:r w:rsidRPr="00F95336">
        <w:rPr>
          <w:rFonts w:ascii="Arial Narrow" w:hAnsi="Arial Narrow"/>
        </w:rPr>
        <w:t xml:space="preserve"> a questão do banco central para apreciar criticamente as orientações económicas do proletariado insurrecto levou-os a desnaturar a acção social da Comuna. Todavia, foi Marx quem escreveu, naquele mesmo panfleto, que «a classe operária não se pode contentar em apoderar-se do aparelho de Estado existente e em fazê-lo funcionar por sua conta»</w:t>
      </w:r>
      <w:r w:rsidRPr="00F95336">
        <w:rPr>
          <w:rStyle w:val="Refdenotaderodap"/>
          <w:rFonts w:ascii="Arial Narrow" w:hAnsi="Arial Narrow"/>
        </w:rPr>
        <w:footnoteReference w:id="89"/>
      </w:r>
      <w:r w:rsidRPr="00F95336">
        <w:rPr>
          <w:rFonts w:ascii="Arial Narrow" w:hAnsi="Arial Narrow"/>
        </w:rPr>
        <w:t xml:space="preserve">. Por um lado, ao observar as medidas que haviam substituído o exército pelas milícias populares e </w:t>
      </w:r>
      <w:r w:rsidRPr="00326251">
        <w:rPr>
          <w:rFonts w:ascii="Arial Narrow" w:hAnsi="Arial Narrow"/>
        </w:rPr>
        <w:t xml:space="preserve">que haviam </w:t>
      </w:r>
      <w:r w:rsidRPr="00F95336">
        <w:rPr>
          <w:rFonts w:ascii="Arial Narrow" w:hAnsi="Arial Narrow"/>
        </w:rPr>
        <w:t>estipulado a responsabilização de todos os representantes perante os eleitores e a sua revo</w:t>
      </w:r>
      <w:r w:rsidR="00ED1A85">
        <w:rPr>
          <w:rFonts w:ascii="Arial Narrow" w:hAnsi="Arial Narrow"/>
        </w:rPr>
        <w:t>g</w:t>
      </w:r>
      <w:r w:rsidRPr="00F95336">
        <w:rPr>
          <w:rFonts w:ascii="Arial Narrow" w:hAnsi="Arial Narrow"/>
        </w:rPr>
        <w:t>abilidade permanente, Marx mostrou que os trabalhadores parisienses tinham destruído os órgãos estatais e instaurado «um governo da classe operária»</w:t>
      </w:r>
      <w:r w:rsidRPr="00F95336">
        <w:rPr>
          <w:rStyle w:val="Refdenotaderodap"/>
          <w:rFonts w:ascii="Arial Narrow" w:hAnsi="Arial Narrow"/>
        </w:rPr>
        <w:footnoteReference w:id="90"/>
      </w:r>
      <w:r>
        <w:rPr>
          <w:rFonts w:ascii="Arial Narrow" w:hAnsi="Arial Narrow"/>
        </w:rPr>
        <w:t>.</w:t>
      </w:r>
      <w:r w:rsidRPr="00F95336">
        <w:rPr>
          <w:rFonts w:ascii="Arial Narrow" w:hAnsi="Arial Narrow"/>
        </w:rPr>
        <w:t xml:space="preserve"> </w:t>
      </w:r>
      <w:r>
        <w:rPr>
          <w:rFonts w:ascii="Arial Narrow" w:hAnsi="Arial Narrow"/>
        </w:rPr>
        <w:t xml:space="preserve">Mas, </w:t>
      </w:r>
      <w:r w:rsidRPr="00F95336">
        <w:rPr>
          <w:rFonts w:ascii="Arial Narrow" w:hAnsi="Arial Narrow"/>
        </w:rPr>
        <w:t xml:space="preserve">por outro lado, revelou-se incapaz de prescindir dos paradigmas sugeridos pelo próprio Estado. Este paradoxo </w:t>
      </w:r>
      <w:r>
        <w:rPr>
          <w:rFonts w:ascii="Arial Narrow" w:hAnsi="Arial Narrow"/>
        </w:rPr>
        <w:t xml:space="preserve">não </w:t>
      </w:r>
      <w:r w:rsidRPr="00F95336">
        <w:rPr>
          <w:rFonts w:ascii="Arial Narrow" w:hAnsi="Arial Narrow"/>
        </w:rPr>
        <w:t xml:space="preserve">nos deve surpreender, pois </w:t>
      </w:r>
      <w:r w:rsidR="00261593">
        <w:rPr>
          <w:rFonts w:ascii="Arial Narrow" w:hAnsi="Arial Narrow"/>
        </w:rPr>
        <w:t>é</w:t>
      </w:r>
      <w:r w:rsidRPr="00F95336">
        <w:rPr>
          <w:rFonts w:ascii="Arial Narrow" w:hAnsi="Arial Narrow"/>
        </w:rPr>
        <w:t xml:space="preserve"> indissolúvel a relação entre o quadro nacional e a entidade estatal e</w:t>
      </w:r>
      <w:r>
        <w:rPr>
          <w:rFonts w:ascii="Arial Narrow" w:hAnsi="Arial Narrow"/>
        </w:rPr>
        <w:t>,</w:t>
      </w:r>
      <w:r w:rsidRPr="00F95336">
        <w:rPr>
          <w:rFonts w:ascii="Arial Narrow" w:hAnsi="Arial Narrow"/>
        </w:rPr>
        <w:t xml:space="preserve"> sem ultrapassarem os horizontes da geopolítica</w:t>
      </w:r>
      <w:r>
        <w:rPr>
          <w:rFonts w:ascii="Arial Narrow" w:hAnsi="Arial Narrow"/>
        </w:rPr>
        <w:t>,</w:t>
      </w:r>
      <w:r w:rsidRPr="00F95336">
        <w:rPr>
          <w:rFonts w:ascii="Arial Narrow" w:hAnsi="Arial Narrow"/>
        </w:rPr>
        <w:t xml:space="preserve"> as descrições históricas de Marx e de Engels fica</w:t>
      </w:r>
      <w:r>
        <w:rPr>
          <w:rFonts w:ascii="Arial Narrow" w:hAnsi="Arial Narrow"/>
        </w:rPr>
        <w:t>r</w:t>
      </w:r>
      <w:r w:rsidRPr="00F95336">
        <w:rPr>
          <w:rFonts w:ascii="Arial Narrow" w:hAnsi="Arial Narrow"/>
        </w:rPr>
        <w:t xml:space="preserve">am subordinadas aos temas da nacionalidade e, portanto, do Estado. Chegamos assim ao cerne </w:t>
      </w:r>
      <w:r>
        <w:rPr>
          <w:rFonts w:ascii="Arial Narrow" w:hAnsi="Arial Narrow"/>
        </w:rPr>
        <w:t>do</w:t>
      </w:r>
      <w:r w:rsidRPr="00F95336">
        <w:rPr>
          <w:rFonts w:ascii="Arial Narrow" w:hAnsi="Arial Narrow"/>
        </w:rPr>
        <w:t xml:space="preserve"> problema. A insistência com que Marx invocou a trama da diplomacia a respeito dos acontecimentos de 1870 e 1871 e a </w:t>
      </w:r>
      <w:r w:rsidRPr="00F95336">
        <w:rPr>
          <w:rFonts w:ascii="Arial Narrow" w:hAnsi="Arial Narrow"/>
        </w:rPr>
        <w:lastRenderedPageBreak/>
        <w:t xml:space="preserve">crítica feita à Comuna por não ter usado o Banco de França como órgão central da reestruturação económica são duas facetas da tendência para </w:t>
      </w:r>
      <w:r>
        <w:rPr>
          <w:rFonts w:ascii="Arial Narrow" w:hAnsi="Arial Narrow"/>
        </w:rPr>
        <w:t>situar</w:t>
      </w:r>
      <w:r w:rsidRPr="00F95336">
        <w:rPr>
          <w:rFonts w:ascii="Arial Narrow" w:hAnsi="Arial Narrow"/>
        </w:rPr>
        <w:t xml:space="preserve"> </w:t>
      </w:r>
      <w:r>
        <w:rPr>
          <w:rFonts w:ascii="Arial Narrow" w:hAnsi="Arial Narrow"/>
        </w:rPr>
        <w:t xml:space="preserve">a luta entre </w:t>
      </w:r>
      <w:r w:rsidRPr="00F95336">
        <w:rPr>
          <w:rFonts w:ascii="Arial Narrow" w:hAnsi="Arial Narrow"/>
        </w:rPr>
        <w:t>classe</w:t>
      </w:r>
      <w:r>
        <w:rPr>
          <w:rFonts w:ascii="Arial Narrow" w:hAnsi="Arial Narrow"/>
        </w:rPr>
        <w:t>s</w:t>
      </w:r>
      <w:r w:rsidRPr="00F95336">
        <w:rPr>
          <w:rFonts w:ascii="Arial Narrow" w:hAnsi="Arial Narrow"/>
        </w:rPr>
        <w:t xml:space="preserve"> </w:t>
      </w:r>
      <w:r>
        <w:rPr>
          <w:rFonts w:ascii="Arial Narrow" w:hAnsi="Arial Narrow"/>
        </w:rPr>
        <w:t xml:space="preserve">no plano das rivalidades </w:t>
      </w:r>
      <w:r w:rsidRPr="00F95336">
        <w:rPr>
          <w:rFonts w:ascii="Arial Narrow" w:hAnsi="Arial Narrow"/>
        </w:rPr>
        <w:t xml:space="preserve">nacionais. </w:t>
      </w:r>
      <w:r w:rsidR="00513142">
        <w:rPr>
          <w:rFonts w:ascii="Arial Narrow" w:hAnsi="Arial Narrow"/>
        </w:rPr>
        <w:t>Foi nesta perspectiv</w:t>
      </w:r>
      <w:r>
        <w:rPr>
          <w:rFonts w:ascii="Arial Narrow" w:hAnsi="Arial Narrow"/>
        </w:rPr>
        <w:t xml:space="preserve">a que </w:t>
      </w:r>
      <w:r w:rsidRPr="00F95336">
        <w:rPr>
          <w:rFonts w:ascii="Arial Narrow" w:hAnsi="Arial Narrow"/>
        </w:rPr>
        <w:t xml:space="preserve">Marx e Engels </w:t>
      </w:r>
      <w:r>
        <w:rPr>
          <w:rFonts w:ascii="Arial Narrow" w:hAnsi="Arial Narrow"/>
        </w:rPr>
        <w:t xml:space="preserve">encararam </w:t>
      </w:r>
      <w:r w:rsidRPr="00F95336">
        <w:rPr>
          <w:rFonts w:ascii="Arial Narrow" w:hAnsi="Arial Narrow"/>
        </w:rPr>
        <w:t xml:space="preserve">a maior epopeia operária do seu tempo. </w:t>
      </w:r>
    </w:p>
    <w:p w:rsidR="006F5AF7" w:rsidRDefault="006F5AF7" w:rsidP="006F5AF7">
      <w:pPr>
        <w:keepNext/>
        <w:spacing w:before="240" w:after="120"/>
        <w:ind w:firstLine="0"/>
        <w:jc w:val="center"/>
        <w:rPr>
          <w:rFonts w:ascii="Arial Narrow" w:hAnsi="Arial Narrow"/>
        </w:rPr>
      </w:pPr>
      <w:r>
        <w:rPr>
          <w:rFonts w:ascii="Arial Narrow" w:hAnsi="Arial Narrow"/>
          <w:b/>
          <w:sz w:val="28"/>
          <w:szCs w:val="28"/>
        </w:rPr>
        <w:t>3</w:t>
      </w:r>
    </w:p>
    <w:p w:rsidR="00CD12DC" w:rsidRPr="00F95336" w:rsidRDefault="006F5AF7" w:rsidP="00CD12DC">
      <w:pPr>
        <w:rPr>
          <w:rFonts w:ascii="Arial Narrow" w:hAnsi="Arial Narrow"/>
        </w:rPr>
      </w:pPr>
      <w:r w:rsidRPr="00F95336">
        <w:rPr>
          <w:rFonts w:ascii="Arial Narrow" w:hAnsi="Arial Narrow"/>
        </w:rPr>
        <w:t xml:space="preserve">A </w:t>
      </w:r>
      <w:r w:rsidR="00CD12DC" w:rsidRPr="00F95336">
        <w:rPr>
          <w:rFonts w:ascii="Arial Narrow" w:hAnsi="Arial Narrow"/>
        </w:rPr>
        <w:t>precipitação da crise social no império russo e, de uma maneira mais imediata, o aparecimento de um núcleo de marxistas na Rússia obrigaram os dois fundadores do comunismo moderno a depararem com os verdadeiros termos do dilema, e tiveram de admitir que o czarismo não contava apenas com um grande inimigo exterior, a nação polaca, mas também com um grande inimigo interior, o proletariado</w:t>
      </w:r>
      <w:r w:rsidR="00CD12DC" w:rsidRPr="00F95336">
        <w:rPr>
          <w:rStyle w:val="Refdenotaderodap"/>
          <w:rFonts w:ascii="Arial Narrow" w:hAnsi="Arial Narrow"/>
        </w:rPr>
        <w:footnoteReference w:id="91"/>
      </w:r>
      <w:r w:rsidR="00CD12DC" w:rsidRPr="00F95336">
        <w:rPr>
          <w:rFonts w:ascii="Arial Narrow" w:hAnsi="Arial Narrow"/>
        </w:rPr>
        <w:t>. A perspectiva nacional começou a levar em consideração o fenómeno social. Surgia, porém, a questão de saber que proletariado era aquele. Para os populistas, herdeiros e modernizadores das teses que na geração anterior haviam sido propostas por Bakunin, o carácter arcaico da economia russa facilitaria o derrube do czarismo por uma classe social exterior ao capitalismo, o campesinato, apoia</w:t>
      </w:r>
      <w:r w:rsidR="00CD12DC">
        <w:rPr>
          <w:rFonts w:ascii="Arial Narrow" w:hAnsi="Arial Narrow"/>
        </w:rPr>
        <w:t>d</w:t>
      </w:r>
      <w:r w:rsidR="00CD12DC" w:rsidRPr="00F95336">
        <w:rPr>
          <w:rFonts w:ascii="Arial Narrow" w:hAnsi="Arial Narrow"/>
        </w:rPr>
        <w:t>a numa instituição própria, a colectividade rural. Contra este tipo de teses ergueram-se vigorosamente os marxistas, argumentando que só o desenvolvimento da burguesia permitiria levar o crescimento das forças produtivas a um ponto tal que sustentasse a revolução social. «Afirmar que a revolução é mais fácil num país onde não existe proletariado nem burguesia é demonstrar que ainda não se aprendeu o bê-á-bá do socialismo», ironizava Engels em 1875</w:t>
      </w:r>
      <w:r w:rsidR="00CD12DC" w:rsidRPr="00F95336">
        <w:rPr>
          <w:rStyle w:val="Refdenotaderodap"/>
          <w:rFonts w:ascii="Arial Narrow" w:hAnsi="Arial Narrow"/>
        </w:rPr>
        <w:footnoteReference w:id="92"/>
      </w:r>
      <w:r w:rsidR="00CD12DC" w:rsidRPr="00F95336">
        <w:rPr>
          <w:rFonts w:ascii="Arial Narrow" w:hAnsi="Arial Narrow"/>
        </w:rPr>
        <w:t xml:space="preserve">. Em suma, perante o atraso do capitalismo na Rússia, tratava-se de saber se a revolução podia iniciar-se fora do quadro capitalista, </w:t>
      </w:r>
      <w:r w:rsidR="00CD12DC">
        <w:rPr>
          <w:rFonts w:ascii="Arial Narrow" w:hAnsi="Arial Narrow"/>
        </w:rPr>
        <w:t xml:space="preserve">sendo </w:t>
      </w:r>
      <w:r w:rsidR="00CD12DC" w:rsidRPr="00F95336">
        <w:rPr>
          <w:rFonts w:ascii="Arial Narrow" w:hAnsi="Arial Narrow"/>
        </w:rPr>
        <w:t xml:space="preserve">possível neste caso desencadeá-la rapidamente, ou se tinha de processar-se na sequência do desenvolvimento capitalista, </w:t>
      </w:r>
      <w:r w:rsidR="00CD12DC">
        <w:rPr>
          <w:rFonts w:ascii="Arial Narrow" w:hAnsi="Arial Narrow"/>
        </w:rPr>
        <w:t>sendo</w:t>
      </w:r>
      <w:r w:rsidR="00CD12DC" w:rsidRPr="00F95336">
        <w:rPr>
          <w:rFonts w:ascii="Arial Narrow" w:hAnsi="Arial Narrow"/>
        </w:rPr>
        <w:t xml:space="preserve"> </w:t>
      </w:r>
      <w:r w:rsidR="0055303C">
        <w:rPr>
          <w:rFonts w:ascii="Arial Narrow" w:hAnsi="Arial Narrow"/>
        </w:rPr>
        <w:t xml:space="preserve">então </w:t>
      </w:r>
      <w:r w:rsidR="00CD12DC" w:rsidRPr="00F95336">
        <w:rPr>
          <w:rFonts w:ascii="Arial Narrow" w:hAnsi="Arial Narrow"/>
        </w:rPr>
        <w:t>obrigatoriamente tardia. Se é certo que Engels não exclu</w:t>
      </w:r>
      <w:r w:rsidR="00CD12DC">
        <w:rPr>
          <w:rFonts w:ascii="Arial Narrow" w:hAnsi="Arial Narrow"/>
        </w:rPr>
        <w:t>iu</w:t>
      </w:r>
      <w:r w:rsidR="00CD12DC" w:rsidRPr="00F95336">
        <w:rPr>
          <w:rFonts w:ascii="Arial Narrow" w:hAnsi="Arial Narrow"/>
        </w:rPr>
        <w:t xml:space="preserve"> inteiramente a possibilidade de as colectividades camponesas russas virem um dia a converter</w:t>
      </w:r>
      <w:r w:rsidR="00CD12DC">
        <w:rPr>
          <w:rFonts w:ascii="Arial Narrow" w:hAnsi="Arial Narrow"/>
        </w:rPr>
        <w:t>-</w:t>
      </w:r>
      <w:r w:rsidR="00CD12DC" w:rsidRPr="00F95336">
        <w:rPr>
          <w:rFonts w:ascii="Arial Narrow" w:hAnsi="Arial Narrow"/>
        </w:rPr>
        <w:t>se numa forma de organização socialista, ele consider</w:t>
      </w:r>
      <w:r w:rsidR="00CD12DC">
        <w:rPr>
          <w:rFonts w:ascii="Arial Narrow" w:hAnsi="Arial Narrow"/>
        </w:rPr>
        <w:t>ou</w:t>
      </w:r>
      <w:r w:rsidR="00CD12DC" w:rsidRPr="00F95336">
        <w:rPr>
          <w:rFonts w:ascii="Arial Narrow" w:hAnsi="Arial Narrow"/>
        </w:rPr>
        <w:t xml:space="preserve"> que para isso era necessária uma condição prévia, o auxílio material prestado pelo proletariado da Europa ocidental depois de ter conseguido desencadear uma revolução triunfante</w:t>
      </w:r>
      <w:r w:rsidR="00CD12DC" w:rsidRPr="00F95336">
        <w:rPr>
          <w:rStyle w:val="Refdenotaderodap"/>
          <w:rFonts w:ascii="Arial Narrow" w:hAnsi="Arial Narrow"/>
        </w:rPr>
        <w:footnoteReference w:id="93"/>
      </w:r>
      <w:r w:rsidR="00CD12DC" w:rsidRPr="00F95336">
        <w:rPr>
          <w:rFonts w:ascii="Arial Narrow" w:hAnsi="Arial Narrow"/>
        </w:rPr>
        <w:t>. Foi neste contexto que Engels adiantou novos argumentos a favor da prioridade da questão nacional polaca. Admitindo que em virtude do atraso do capitalismo na Rússia uma revolução social naquele país só podia ocorrer depois de uma vitória do</w:t>
      </w:r>
      <w:r w:rsidR="006410F5">
        <w:rPr>
          <w:rFonts w:ascii="Arial Narrow" w:hAnsi="Arial Narrow"/>
        </w:rPr>
        <w:t>s</w:t>
      </w:r>
      <w:r w:rsidR="00CD12DC" w:rsidRPr="00F95336">
        <w:rPr>
          <w:rFonts w:ascii="Arial Narrow" w:hAnsi="Arial Narrow"/>
        </w:rPr>
        <w:t xml:space="preserve"> </w:t>
      </w:r>
      <w:r w:rsidR="006410F5">
        <w:rPr>
          <w:rFonts w:ascii="Arial Narrow" w:hAnsi="Arial Narrow"/>
        </w:rPr>
        <w:t xml:space="preserve">trabalhadores </w:t>
      </w:r>
      <w:r w:rsidR="00CD12DC" w:rsidRPr="00F95336">
        <w:rPr>
          <w:rFonts w:ascii="Arial Narrow" w:hAnsi="Arial Narrow"/>
        </w:rPr>
        <w:t xml:space="preserve">na Europa ocidental, Engels </w:t>
      </w:r>
      <w:r w:rsidR="00CD12DC" w:rsidRPr="00F95336">
        <w:rPr>
          <w:rFonts w:ascii="Arial Narrow" w:hAnsi="Arial Narrow"/>
        </w:rPr>
        <w:lastRenderedPageBreak/>
        <w:t>consider</w:t>
      </w:r>
      <w:r w:rsidR="00CD12DC">
        <w:rPr>
          <w:rFonts w:ascii="Arial Narrow" w:hAnsi="Arial Narrow"/>
        </w:rPr>
        <w:t>ou</w:t>
      </w:r>
      <w:r w:rsidR="00CD12DC" w:rsidRPr="00F95336">
        <w:rPr>
          <w:rFonts w:ascii="Arial Narrow" w:hAnsi="Arial Narrow"/>
        </w:rPr>
        <w:t xml:space="preserve"> absolutamente certo, por outro lado, que a ameaça que a Rússia fazia pesar sobre as experiências de emancipação social nos outros países impedia a revolução no Ocidente de triunfar antes de estar derrubado o czarismo. Como resolver o dilema? A Polónia continuava a deter a chave da situação, porque a luta nacional dos polacos seria o principal perigo para o czarismo. Uma vitória dos independentistas polacos provocaria no interior da Rússia uma vaga revolucionária que derrubaria o czarismo e, sem poder mais contar com o auxílio do exército russo, a burguesia europeia seria por si só incapaz de opor uma resistência efectiva ao seu próprio proletariado e a revolução alastraria na Europa</w:t>
      </w:r>
      <w:r w:rsidR="00CD12DC" w:rsidRPr="00F95336">
        <w:rPr>
          <w:rStyle w:val="Refdenotaderodap"/>
          <w:rFonts w:ascii="Arial Narrow" w:hAnsi="Arial Narrow"/>
        </w:rPr>
        <w:footnoteReference w:id="94"/>
      </w:r>
      <w:r w:rsidR="00CD12DC"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Também a este respeito os problemas se complica</w:t>
      </w:r>
      <w:r>
        <w:rPr>
          <w:rFonts w:ascii="Arial Narrow" w:hAnsi="Arial Narrow"/>
        </w:rPr>
        <w:t>r</w:t>
      </w:r>
      <w:r w:rsidRPr="00F95336">
        <w:rPr>
          <w:rFonts w:ascii="Arial Narrow" w:hAnsi="Arial Narrow"/>
        </w:rPr>
        <w:t xml:space="preserve">am. A perspectiva adoptada pelos fundadores do marxismo começou a deparar com a oposição de </w:t>
      </w:r>
      <w:r>
        <w:rPr>
          <w:rFonts w:ascii="Arial Narrow" w:hAnsi="Arial Narrow"/>
        </w:rPr>
        <w:t xml:space="preserve">alguns </w:t>
      </w:r>
      <w:r w:rsidRPr="00F95336">
        <w:rPr>
          <w:rFonts w:ascii="Arial Narrow" w:hAnsi="Arial Narrow"/>
        </w:rPr>
        <w:t>socialista</w:t>
      </w:r>
      <w:r>
        <w:rPr>
          <w:rFonts w:ascii="Arial Narrow" w:hAnsi="Arial Narrow"/>
        </w:rPr>
        <w:t>s</w:t>
      </w:r>
      <w:r w:rsidRPr="00F95336">
        <w:rPr>
          <w:rFonts w:ascii="Arial Narrow" w:hAnsi="Arial Narrow"/>
        </w:rPr>
        <w:t xml:space="preserve"> polaco</w:t>
      </w:r>
      <w:r>
        <w:rPr>
          <w:rFonts w:ascii="Arial Narrow" w:hAnsi="Arial Narrow"/>
        </w:rPr>
        <w:t>s</w:t>
      </w:r>
      <w:r w:rsidRPr="00F95336">
        <w:rPr>
          <w:rFonts w:ascii="Arial Narrow" w:hAnsi="Arial Narrow"/>
        </w:rPr>
        <w:t>, para quem a questão nacional só poderia ser solucionada por uma revolução proletária internacional. Fundado em 1882, o primeiro partido socialista polaco, o Partido Social-Revolucionário do Proletariado, atribu</w:t>
      </w:r>
      <w:r w:rsidR="00FF6EAF">
        <w:rPr>
          <w:rFonts w:ascii="Arial Narrow" w:hAnsi="Arial Narrow"/>
        </w:rPr>
        <w:t>í</w:t>
      </w:r>
      <w:r w:rsidR="00525ADA">
        <w:rPr>
          <w:rFonts w:ascii="Arial Narrow" w:hAnsi="Arial Narrow"/>
        </w:rPr>
        <w:t>a</w:t>
      </w:r>
      <w:r w:rsidRPr="00F95336">
        <w:rPr>
          <w:rFonts w:ascii="Arial Narrow" w:hAnsi="Arial Narrow"/>
        </w:rPr>
        <w:t xml:space="preserve"> a prioridade aos conflitos sociais, rejeitando o patriotismo e a luta pela independência e proclamando o carácter internacional da luta de classe</w:t>
      </w:r>
      <w:r w:rsidRPr="00F95336">
        <w:rPr>
          <w:rStyle w:val="Refdenotaderodap"/>
          <w:rFonts w:ascii="Arial Narrow" w:hAnsi="Arial Narrow"/>
        </w:rPr>
        <w:footnoteReference w:id="95"/>
      </w:r>
      <w:r w:rsidRPr="00F95336">
        <w:rPr>
          <w:rFonts w:ascii="Arial Narrow" w:hAnsi="Arial Narrow"/>
        </w:rPr>
        <w:t xml:space="preserve">. No entanto, Engels manteve-se fiel às suas </w:t>
      </w:r>
      <w:r>
        <w:rPr>
          <w:rFonts w:ascii="Arial Narrow" w:hAnsi="Arial Narrow"/>
        </w:rPr>
        <w:t xml:space="preserve">opiniões e continuou a </w:t>
      </w:r>
      <w:r w:rsidR="00525ADA">
        <w:rPr>
          <w:rFonts w:ascii="Arial Narrow" w:hAnsi="Arial Narrow"/>
        </w:rPr>
        <w:t xml:space="preserve">priorizar </w:t>
      </w:r>
      <w:r w:rsidRPr="00F95336">
        <w:rPr>
          <w:rFonts w:ascii="Arial Narrow" w:hAnsi="Arial Narrow"/>
        </w:rPr>
        <w:t>a questão nacional</w:t>
      </w:r>
      <w:r>
        <w:rPr>
          <w:rFonts w:ascii="Arial Narrow" w:hAnsi="Arial Narrow"/>
        </w:rPr>
        <w:t>.</w:t>
      </w:r>
      <w:r w:rsidRPr="00F95336">
        <w:rPr>
          <w:rFonts w:ascii="Arial Narrow" w:hAnsi="Arial Narrow"/>
        </w:rPr>
        <w:t xml:space="preserve"> Numa carta endereçada a Kautsky, em Fevereiro de 1882, escrev</w:t>
      </w:r>
      <w:r>
        <w:rPr>
          <w:rFonts w:ascii="Arial Narrow" w:hAnsi="Arial Narrow"/>
        </w:rPr>
        <w:t>eu</w:t>
      </w:r>
      <w:r w:rsidRPr="00F95336">
        <w:rPr>
          <w:rFonts w:ascii="Arial Narrow" w:hAnsi="Arial Narrow"/>
        </w:rPr>
        <w:t xml:space="preserve"> que os socialistas polacos dev</w:t>
      </w:r>
      <w:r>
        <w:rPr>
          <w:rFonts w:ascii="Arial Narrow" w:hAnsi="Arial Narrow"/>
        </w:rPr>
        <w:t>ia</w:t>
      </w:r>
      <w:r w:rsidRPr="00F95336">
        <w:rPr>
          <w:rFonts w:ascii="Arial Narrow" w:hAnsi="Arial Narrow"/>
        </w:rPr>
        <w:t>m «colocar a libertação do seu país na primeira linha do seu programa» e que «a independência é a base de qualquer acção internacional comum»</w:t>
      </w:r>
      <w:r w:rsidRPr="00F95336">
        <w:rPr>
          <w:rStyle w:val="Refdenotaderodap"/>
          <w:rFonts w:ascii="Arial Narrow" w:hAnsi="Arial Narrow"/>
        </w:rPr>
        <w:footnoteReference w:id="96"/>
      </w:r>
      <w:r w:rsidRPr="00F95336">
        <w:rPr>
          <w:rFonts w:ascii="Arial Narrow" w:hAnsi="Arial Narrow"/>
        </w:rPr>
        <w:t xml:space="preserve">. Enquanto denegria os socialistas internacionalistas polacos, que algum tempo depois haveriam de encontrar em Rosa Luxemburg a sua melhor intérprete, Engels dava o aval à tendência nacionalista do socialismo, que dez anos mais tarde iria ser encabeçada por Piłsudski e esteve na origem da extrema-direita polaca. </w:t>
      </w:r>
    </w:p>
    <w:p w:rsidR="00CD12DC" w:rsidRPr="00F95336" w:rsidRDefault="00CD12DC" w:rsidP="00CD12DC">
      <w:pPr>
        <w:rPr>
          <w:rFonts w:ascii="Arial Narrow" w:hAnsi="Arial Narrow"/>
        </w:rPr>
      </w:pPr>
      <w:r w:rsidRPr="00F95336">
        <w:rPr>
          <w:rFonts w:ascii="Arial Narrow" w:hAnsi="Arial Narrow"/>
        </w:rPr>
        <w:t xml:space="preserve">A pressão dos acontecimentos, porém, levava os discípulos a tornarem-se mais insistentes, confrontando os mestres com os limites da sua própria teoria. Talvez isto explique as hesitações de Marx </w:t>
      </w:r>
      <w:r>
        <w:rPr>
          <w:rFonts w:ascii="Arial Narrow" w:hAnsi="Arial Narrow"/>
        </w:rPr>
        <w:t xml:space="preserve">na </w:t>
      </w:r>
      <w:r w:rsidRPr="00F95336">
        <w:rPr>
          <w:rFonts w:ascii="Arial Narrow" w:hAnsi="Arial Narrow"/>
        </w:rPr>
        <w:t xml:space="preserve">resposta à carta de Vera Zassulitch. </w:t>
      </w:r>
      <w:r w:rsidR="00E62E51">
        <w:rPr>
          <w:rFonts w:ascii="Arial Narrow" w:hAnsi="Arial Narrow"/>
        </w:rPr>
        <w:t>A</w:t>
      </w:r>
      <w:r w:rsidRPr="00F95336">
        <w:rPr>
          <w:rFonts w:ascii="Arial Narrow" w:hAnsi="Arial Narrow"/>
        </w:rPr>
        <w:t xml:space="preserve"> revolucionária russa, exilada na Suíça, </w:t>
      </w:r>
      <w:r w:rsidR="006B4FC8">
        <w:rPr>
          <w:rFonts w:ascii="Arial Narrow" w:hAnsi="Arial Narrow"/>
        </w:rPr>
        <w:t xml:space="preserve">perguntava </w:t>
      </w:r>
      <w:r w:rsidRPr="00F95336">
        <w:rPr>
          <w:rFonts w:ascii="Arial Narrow" w:hAnsi="Arial Narrow"/>
        </w:rPr>
        <w:t>em Fevereiro de 1881</w:t>
      </w:r>
      <w:r w:rsidR="006B4FC8">
        <w:rPr>
          <w:rFonts w:ascii="Arial Narrow" w:hAnsi="Arial Narrow"/>
        </w:rPr>
        <w:t xml:space="preserve"> se</w:t>
      </w:r>
      <w:r w:rsidRPr="00F95336">
        <w:rPr>
          <w:rFonts w:ascii="Arial Narrow" w:hAnsi="Arial Narrow"/>
        </w:rPr>
        <w:t xml:space="preserve"> as colectividades rurais eslavas, o </w:t>
      </w:r>
      <w:r w:rsidRPr="00F95336">
        <w:rPr>
          <w:rFonts w:ascii="Arial Narrow" w:hAnsi="Arial Narrow"/>
          <w:i/>
        </w:rPr>
        <w:t>mir,</w:t>
      </w:r>
      <w:r w:rsidRPr="00F95336">
        <w:rPr>
          <w:rFonts w:ascii="Arial Narrow" w:hAnsi="Arial Narrow"/>
        </w:rPr>
        <w:t xml:space="preserve"> poderiam servir de quadro para a solidariedade humana e para o comunitarismo de produção e distribuição que devem caracterizar o socialismo? Ou estariam es</w:t>
      </w:r>
      <w:r w:rsidR="00E62E51">
        <w:rPr>
          <w:rFonts w:ascii="Arial Narrow" w:hAnsi="Arial Narrow"/>
        </w:rPr>
        <w:t>s</w:t>
      </w:r>
      <w:r w:rsidRPr="00F95336">
        <w:rPr>
          <w:rFonts w:ascii="Arial Narrow" w:hAnsi="Arial Narrow"/>
        </w:rPr>
        <w:t>as colectividades inevitavelmente condenadas pela evolução do capitalismo e seria a proletarização o único destino dos camponeses? N</w:t>
      </w:r>
      <w:r w:rsidR="00E62E51">
        <w:rPr>
          <w:rFonts w:ascii="Arial Narrow" w:hAnsi="Arial Narrow"/>
        </w:rPr>
        <w:t>est</w:t>
      </w:r>
      <w:r w:rsidRPr="00F95336">
        <w:rPr>
          <w:rFonts w:ascii="Arial Narrow" w:hAnsi="Arial Narrow"/>
        </w:rPr>
        <w:t xml:space="preserve">a dúvida reflectia-se a inquietação perante a estratégia de promoção da revolução rural que em décadas anteriores havia sido defendida tanto por muitos eslavófilos </w:t>
      </w:r>
      <w:r w:rsidRPr="00F95336">
        <w:rPr>
          <w:rFonts w:ascii="Arial Narrow" w:hAnsi="Arial Narrow"/>
        </w:rPr>
        <w:lastRenderedPageBreak/>
        <w:t xml:space="preserve">como por alguns dos mais importantes partidários do Ocidente, e que os populistas prosseguiam </w:t>
      </w:r>
      <w:r w:rsidR="00E62E51">
        <w:rPr>
          <w:rFonts w:ascii="Arial Narrow" w:hAnsi="Arial Narrow"/>
        </w:rPr>
        <w:t>agora</w:t>
      </w:r>
      <w:r w:rsidRPr="00F95336">
        <w:rPr>
          <w:rFonts w:ascii="Arial Narrow" w:hAnsi="Arial Narrow"/>
        </w:rPr>
        <w:t xml:space="preserve"> com redobrada energia. Deveriam os discípulos de Marx competir com os populistas e esforçar-se por emancipar as colectividades rústicas da opressão fiscal e administrativa de que eram vítimas ou, pelo contrário, deveriam concentrar a acção política exclusivamente nas cidades? Mas as inquietações de Vera Zassulitch não se limitaram à Rússia e, ao encerrar a carta, colocou o problema na verdadeira dimensão, pedindo ao mestre que lhe desse uma opinião acerca «da necessidade histórica de que todos os países do mundo atravessem todas as fases da produção capitalista»</w:t>
      </w:r>
      <w:r w:rsidRPr="00F95336">
        <w:rPr>
          <w:rStyle w:val="Refdenotaderodap"/>
          <w:rFonts w:ascii="Arial Narrow" w:hAnsi="Arial Narrow"/>
        </w:rPr>
        <w:footnoteReference w:id="97"/>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Marx ensaiou três versões do que se destinava a ser uma longa resposta. No segundo esboço chamou a atenção para o facto de ter analisado em </w:t>
      </w:r>
      <w:r w:rsidRPr="00F95336">
        <w:rPr>
          <w:rFonts w:ascii="Arial Narrow" w:hAnsi="Arial Narrow"/>
          <w:i/>
        </w:rPr>
        <w:t>O Capital</w:t>
      </w:r>
      <w:r w:rsidRPr="00F95336">
        <w:rPr>
          <w:rFonts w:ascii="Arial Narrow" w:hAnsi="Arial Narrow"/>
        </w:rPr>
        <w:t xml:space="preserve"> a expropriação de camponeses que eram já proprietários privados da terra, enquanto na Rússia a situação de partida era muito diferente, pois o capitalismo, para se desenvolver a</w:t>
      </w:r>
      <w:r w:rsidR="0031521B">
        <w:rPr>
          <w:rFonts w:ascii="Arial Narrow" w:hAnsi="Arial Narrow"/>
        </w:rPr>
        <w:t>li</w:t>
      </w:r>
      <w:r w:rsidRPr="00F95336">
        <w:rPr>
          <w:rFonts w:ascii="Arial Narrow" w:hAnsi="Arial Narrow"/>
        </w:rPr>
        <w:t xml:space="preserve"> no meio rural, deveria abolir primeiro a propriedade colectiva. Marx concluiu, assim, que o rumo de evolução traça</w:t>
      </w:r>
      <w:r w:rsidR="0031521B">
        <w:rPr>
          <w:rFonts w:ascii="Arial Narrow" w:hAnsi="Arial Narrow"/>
        </w:rPr>
        <w:t>do</w:t>
      </w:r>
      <w:r w:rsidRPr="00F95336">
        <w:rPr>
          <w:rFonts w:ascii="Arial Narrow" w:hAnsi="Arial Narrow"/>
        </w:rPr>
        <w:t xml:space="preserve"> na sua grande obra não podia servir de argumento para defender qualquer fatalidade histórica do processo de expropriação das massas rurais. O mestre confessou até que, dos russos que conhecia, nenhum sustentava que as colectividades camponesas estivessem necessariamente condenadas à extinção e, pelo contrário, todos viam nelas um rumo específico de desenvolvimento da Rússia para o socialismo. No terceiro rascunho Marx explicou que só na Europa ocidental os cultivadores estavam inelutavelmente sujeitos à expropriação dos meios de produção, sendo errado, portanto, remeter para </w:t>
      </w:r>
      <w:r w:rsidRPr="00F95336">
        <w:rPr>
          <w:rFonts w:ascii="Arial Narrow" w:hAnsi="Arial Narrow"/>
          <w:i/>
        </w:rPr>
        <w:t>O Capital</w:t>
      </w:r>
      <w:r w:rsidRPr="00F95336">
        <w:rPr>
          <w:rFonts w:ascii="Arial Narrow" w:hAnsi="Arial Narrow"/>
        </w:rPr>
        <w:t xml:space="preserve"> a solução do dilema prático das colectividades rurais russas. Aliás, como recordou no primeiro e no segundo esboços, a Rússia também não necessitara de reproduzir o longo processo histórico ocorrido na Europa ocidental para dispor de uma indústria moderna e de instituições financeiras evoluídas. Além disso, e volta</w:t>
      </w:r>
      <w:r w:rsidR="0058349D">
        <w:rPr>
          <w:rFonts w:ascii="Arial Narrow" w:hAnsi="Arial Narrow"/>
        </w:rPr>
        <w:t>ndo</w:t>
      </w:r>
      <w:r w:rsidRPr="00F95336">
        <w:rPr>
          <w:rFonts w:ascii="Arial Narrow" w:hAnsi="Arial Narrow"/>
        </w:rPr>
        <w:t xml:space="preserve"> à terceira versão da carta, se na Europa ocidental as antigas colectividades haviam desaparecido, na Índia, pelo contrário, tinham mantido o vigor, só se extinguindo devido à intervenção brutal do colonialismo inglês e não por condicionalismos históricos próprios. Com efeito, depois de analisar no segundo e no terceiro manuscritos as contradições internas das colectividades </w:t>
      </w:r>
      <w:r w:rsidR="0031521B">
        <w:rPr>
          <w:rFonts w:ascii="Arial Narrow" w:hAnsi="Arial Narrow"/>
        </w:rPr>
        <w:t>—</w:t>
      </w:r>
      <w:r w:rsidRPr="00F95336">
        <w:rPr>
          <w:rFonts w:ascii="Arial Narrow" w:hAnsi="Arial Narrow"/>
        </w:rPr>
        <w:t xml:space="preserve"> que se por um lado constituíam um quadro comunitário, por outro lado aceitavam no seu interior formas de propriedade privada </w:t>
      </w:r>
      <w:r w:rsidR="0031521B">
        <w:rPr>
          <w:rFonts w:ascii="Arial Narrow" w:hAnsi="Arial Narrow"/>
        </w:rPr>
        <w:t>—</w:t>
      </w:r>
      <w:r w:rsidRPr="00F95336">
        <w:rPr>
          <w:rFonts w:ascii="Arial Narrow" w:hAnsi="Arial Narrow"/>
        </w:rPr>
        <w:t xml:space="preserve"> Marx deixou claro, na terceira versão, que tal como a apropriação privada podia prevalecer e decompor a colectividade, era igualmente possível que se seguisse o percurso oposto e o comunitarismo prevalecesse sobre </w:t>
      </w:r>
      <w:r w:rsidRPr="00F95336">
        <w:rPr>
          <w:rFonts w:ascii="Arial Narrow" w:hAnsi="Arial Narrow"/>
        </w:rPr>
        <w:lastRenderedPageBreak/>
        <w:t>os factores de privatização. Assim, escreveu ele no primeiro rascunho, podia admitir-se teoricamente que a colectividade rural russa não se dissolvesse e, sem passar pela fase capitalista, viesse a sustentar uma transição mais rápida para o socialismo, embora só as condições concretas permitissem a efectivação prática desta possibilidade. «O que ameaça a vida da comuna russa», registou Marx no segundo manuscrito, sintetizando numa fórmula concisa uma ideia que havia já detalhado no esboço anterior, «não é uma fatalidade histórica nem uma teoria social; é a opressão [fiscal] pelo Estado e a exploração por intrusos capitalistas, que graças ao Estado se tornaram poderosos a expensas dos camponeses». Neste contexto, o isolamento em que cada colectividade russa se mantinha relativamente às demais constituía um factor de enfraquecimento, observou Marx na primeira versão, mas nos três manuscritos admitiu que uma situação revolucionária generalizada, com as subsequentes remodelações administrativas, superasse sem dificuldade aquele isolamento. Na perspectiva de Marx, como se vê pela leitura do primeiro rascunho, o facto de nos países mais evoluídos o capitalismo deparar com forças produtivas cujo desenvolvimento o ultrapassava e ter, ao mesmo tempo, de enfrentar um movimento operário forte podia contribuir para ajudar as colectividades rurais russas a converterem-se gradualmente em elementos de uma passagem directa para o socialismo. No balanço dos factores positivos e dos desfavoráveis parece, portanto, ter prevalecido o optimismo, e Marx consider</w:t>
      </w:r>
      <w:r>
        <w:rPr>
          <w:rFonts w:ascii="Arial Narrow" w:hAnsi="Arial Narrow"/>
        </w:rPr>
        <w:t>ou</w:t>
      </w:r>
      <w:r w:rsidRPr="00F95336">
        <w:rPr>
          <w:rFonts w:ascii="Arial Narrow" w:hAnsi="Arial Narrow"/>
        </w:rPr>
        <w:t xml:space="preserve"> verosímil que a colectividade rural continuasse a desempenhar um papel importante na Rússia. Tanto no primeiro manuscrito como no terceiro insistiu na possibilidade prática de as colectividades se desenvolverem até chegarem ao socialismo, sem atravessarem o capitalismo. Graças às relações de cooperação, admitiu </w:t>
      </w:r>
      <w:r w:rsidR="0031521B">
        <w:rPr>
          <w:rFonts w:ascii="Arial Narrow" w:hAnsi="Arial Narrow"/>
        </w:rPr>
        <w:t>ele</w:t>
      </w:r>
      <w:r w:rsidRPr="00F95336">
        <w:rPr>
          <w:rFonts w:ascii="Arial Narrow" w:hAnsi="Arial Narrow"/>
        </w:rPr>
        <w:t xml:space="preserve"> no primeiro esboço, a colectividade tornar-se-ia um quadro do socialismo. Afinal, como deixou claro naquela mesma versão, o destino da colectividade camponesa russa não estava inscrito em </w:t>
      </w:r>
      <w:r w:rsidRPr="00F95336">
        <w:rPr>
          <w:rFonts w:ascii="Arial Narrow" w:hAnsi="Arial Narrow"/>
          <w:i/>
        </w:rPr>
        <w:t>O Capital</w:t>
      </w:r>
      <w:r w:rsidRPr="00F95336">
        <w:rPr>
          <w:rFonts w:ascii="Arial Narrow" w:hAnsi="Arial Narrow"/>
        </w:rPr>
        <w:t xml:space="preserve"> nem em qualquer fatalidade histórica, mas nas lutas sociais. Para Marx não eram as contradições internas da colectividade a pô-la em perigo na Rússia, mas o assalto dos inimigos exteriores, o Estado e o capital. «Para salvar a comuna russa é necessária uma Revolução russa», escreveu lapidarmente no primeiro rascunho, o que correspondia a dizer que um dos objectivos dos revolucionários russos devia ser o de salvar as colectividades rurais e que esta era uma questão urgente</w:t>
      </w:r>
      <w:r w:rsidRPr="00F95336">
        <w:rPr>
          <w:rStyle w:val="Refdenotaderodap"/>
          <w:rFonts w:ascii="Arial Narrow" w:hAnsi="Arial Narrow"/>
        </w:rPr>
        <w:footnoteReference w:id="98"/>
      </w:r>
      <w:r w:rsidRPr="00F95336">
        <w:rPr>
          <w:rFonts w:ascii="Arial Narrow" w:hAnsi="Arial Narrow"/>
        </w:rPr>
        <w:t xml:space="preserve">. Por que motivo, então, Marx não deu esta resposta a Vera Zassulitch? </w:t>
      </w:r>
    </w:p>
    <w:p w:rsidR="00CD12DC" w:rsidRPr="00F95336" w:rsidRDefault="00CD12DC" w:rsidP="00CD12DC">
      <w:pPr>
        <w:rPr>
          <w:rFonts w:ascii="Arial Narrow" w:hAnsi="Arial Narrow"/>
        </w:rPr>
      </w:pPr>
      <w:r w:rsidRPr="00F95336">
        <w:rPr>
          <w:rFonts w:ascii="Arial Narrow" w:hAnsi="Arial Narrow"/>
        </w:rPr>
        <w:t xml:space="preserve">Marx optou por uma carta curta e evasiva, limitando-se a escrever que apenas na Europa ocidental os camponeses eram inevitavelmente vítimas da expropriação dos meios de </w:t>
      </w:r>
      <w:r w:rsidRPr="00F95336">
        <w:rPr>
          <w:rFonts w:ascii="Arial Narrow" w:hAnsi="Arial Narrow"/>
        </w:rPr>
        <w:lastRenderedPageBreak/>
        <w:t>produção e que na Rússia as possibilidades históricas se mantinham em aberto</w:t>
      </w:r>
      <w:r w:rsidRPr="00F95336">
        <w:rPr>
          <w:rStyle w:val="Refdenotaderodap"/>
          <w:rFonts w:ascii="Arial Narrow" w:hAnsi="Arial Narrow"/>
        </w:rPr>
        <w:footnoteReference w:id="99"/>
      </w:r>
      <w:r w:rsidRPr="00F95336">
        <w:rPr>
          <w:rFonts w:ascii="Arial Narrow" w:hAnsi="Arial Narrow"/>
        </w:rPr>
        <w:t xml:space="preserve">. Foi uma missiva tão anódina que saiu da lembrança dos discípulos e só a perspicácia </w:t>
      </w:r>
      <w:r>
        <w:rPr>
          <w:rFonts w:ascii="Arial Narrow" w:hAnsi="Arial Narrow"/>
        </w:rPr>
        <w:t>do</w:t>
      </w:r>
      <w:r w:rsidRPr="00F95336">
        <w:rPr>
          <w:rFonts w:ascii="Arial Narrow" w:hAnsi="Arial Narrow"/>
        </w:rPr>
        <w:t xml:space="preserve"> infatigável </w:t>
      </w:r>
      <w:r w:rsidRPr="00906915">
        <w:rPr>
          <w:rFonts w:ascii="Arial Narrow" w:hAnsi="Arial Narrow"/>
        </w:rPr>
        <w:t>Riazanov</w:t>
      </w:r>
      <w:r w:rsidRPr="00F95336">
        <w:rPr>
          <w:rFonts w:ascii="Arial Narrow" w:hAnsi="Arial Narrow"/>
        </w:rPr>
        <w:t>, bolchevista tão erudito quanto indisciplinado, a</w:t>
      </w:r>
      <w:r w:rsidR="007E5471">
        <w:rPr>
          <w:rFonts w:ascii="Arial Narrow" w:hAnsi="Arial Narrow"/>
        </w:rPr>
        <w:t xml:space="preserve"> </w:t>
      </w:r>
      <w:r w:rsidRPr="00F95336">
        <w:rPr>
          <w:rFonts w:ascii="Arial Narrow" w:hAnsi="Arial Narrow"/>
        </w:rPr>
        <w:t>recuper</w:t>
      </w:r>
      <w:r w:rsidR="007E5471">
        <w:rPr>
          <w:rFonts w:ascii="Arial Narrow" w:hAnsi="Arial Narrow"/>
        </w:rPr>
        <w:t>ou</w:t>
      </w:r>
      <w:r w:rsidRPr="00F95336">
        <w:rPr>
          <w:rFonts w:ascii="Arial Narrow" w:hAnsi="Arial Narrow"/>
        </w:rPr>
        <w:t xml:space="preserve"> do esquecimento</w:t>
      </w:r>
      <w:r w:rsidRPr="00F95336">
        <w:rPr>
          <w:rStyle w:val="Refdenotaderodap"/>
          <w:rFonts w:ascii="Arial Narrow" w:hAnsi="Arial Narrow"/>
        </w:rPr>
        <w:footnoteReference w:id="100"/>
      </w:r>
      <w:r w:rsidRPr="00F95336">
        <w:rPr>
          <w:rFonts w:ascii="Arial Narrow" w:hAnsi="Arial Narrow"/>
        </w:rPr>
        <w:t xml:space="preserve">. A verdadeira resposta deram-na Marx e Engels um ano depois, no prefácio com que abriram a nova edição russa do </w:t>
      </w:r>
      <w:r w:rsidRPr="00F95336">
        <w:rPr>
          <w:rFonts w:ascii="Arial Narrow" w:hAnsi="Arial Narrow"/>
          <w:i/>
        </w:rPr>
        <w:t>Manifesto</w:t>
      </w:r>
      <w:r w:rsidR="008C7A8C">
        <w:rPr>
          <w:rFonts w:ascii="Arial Narrow" w:hAnsi="Arial Narrow"/>
        </w:rPr>
        <w:t>:</w:t>
      </w:r>
      <w:r w:rsidRPr="00F95336">
        <w:rPr>
          <w:rFonts w:ascii="Arial Narrow" w:hAnsi="Arial Narrow"/>
        </w:rPr>
        <w:t xml:space="preserve"> «A questão vital consiste em saber se a comunidade rural russa, apesar de estar já seriamente minada enquanto forma arcaica de propriedade colectiva do solo, pode ser directamente transformada na forma superior de propriedade comunista da terra ou se terá de percorrer o mesmo processo de decomposição que mostra os seus resultados na evolução histórica do Ocidente. Para esta questão existe hoje uma única resposta. Se a revolução russa der o sinal para uma revolução proletária no Ocidente, de maneira que ambas se completem uma à outra, a forma predominante de propriedade colectiva da terra na Rússia poderá converter-se no ponto de partida de um processo de desenvolvimento comunista»</w:t>
      </w:r>
      <w:r w:rsidRPr="00F95336">
        <w:rPr>
          <w:rStyle w:val="Refdenotaderodap"/>
          <w:rFonts w:ascii="Arial Narrow" w:hAnsi="Arial Narrow"/>
        </w:rPr>
        <w:footnoteReference w:id="101"/>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Para os leitores de estatísticas o crescimento do capitalismo na agricultura russa durante as últimas décadas do século XIX e o começo do século XX parecia ter liquidado o </w:t>
      </w:r>
      <w:r w:rsidRPr="00F95336">
        <w:rPr>
          <w:rFonts w:ascii="Arial Narrow" w:hAnsi="Arial Narrow"/>
          <w:i/>
        </w:rPr>
        <w:t>mir</w:t>
      </w:r>
      <w:r w:rsidRPr="00F95336">
        <w:rPr>
          <w:rFonts w:ascii="Arial Narrow" w:hAnsi="Arial Narrow"/>
        </w:rPr>
        <w:t xml:space="preserve"> e, com ele, as ilusões dos populistas. Os marxistas sossegaram e tiveram mais em que pensar. «Todavia», advert</w:t>
      </w:r>
      <w:r>
        <w:rPr>
          <w:rFonts w:ascii="Arial Narrow" w:hAnsi="Arial Narrow"/>
        </w:rPr>
        <w:t>iu</w:t>
      </w:r>
      <w:r w:rsidRPr="00F95336">
        <w:rPr>
          <w:rFonts w:ascii="Arial Narrow" w:hAnsi="Arial Narrow"/>
        </w:rPr>
        <w:t xml:space="preserve"> um especialista sabedor e atento, «é curioso que o </w:t>
      </w:r>
      <w:r w:rsidRPr="00F95336">
        <w:rPr>
          <w:rFonts w:ascii="Arial Narrow" w:hAnsi="Arial Narrow"/>
          <w:i/>
        </w:rPr>
        <w:t>mir</w:t>
      </w:r>
      <w:r w:rsidRPr="00F95336">
        <w:rPr>
          <w:rFonts w:ascii="Arial Narrow" w:hAnsi="Arial Narrow"/>
        </w:rPr>
        <w:t xml:space="preserve"> tivesse beneficiado de um renascimento durante e depois da revolução [de 1917]. Foi ele que efectuou o confisco e a repartição das terras da nobreza. Durante a NEP era uma instituição rural cheia de vida, perante a qual o </w:t>
      </w:r>
      <w:r w:rsidRPr="00F95336">
        <w:rPr>
          <w:rFonts w:ascii="Arial Narrow" w:hAnsi="Arial Narrow"/>
          <w:i/>
        </w:rPr>
        <w:t>sel’sovet</w:t>
      </w:r>
      <w:r w:rsidRPr="00F95336">
        <w:rPr>
          <w:rFonts w:ascii="Arial Narrow" w:hAnsi="Arial Narrow"/>
        </w:rPr>
        <w:t xml:space="preserve"> [soviete de aldeia] apresentava o aspecto de um parente pobre»</w:t>
      </w:r>
      <w:r w:rsidRPr="00F95336">
        <w:rPr>
          <w:rStyle w:val="Refdenotaderodap"/>
          <w:rFonts w:ascii="Arial Narrow" w:hAnsi="Arial Narrow"/>
        </w:rPr>
        <w:footnoteReference w:id="102"/>
      </w:r>
      <w:r w:rsidRPr="00F95336">
        <w:rPr>
          <w:rFonts w:ascii="Arial Narrow" w:hAnsi="Arial Narrow"/>
        </w:rPr>
        <w:t xml:space="preserve">. A tal ponto que em 1926, segundo o comissário para a Agricultura, nove décimos dos camponeses estavam integrados no </w:t>
      </w:r>
      <w:r w:rsidRPr="00F95336">
        <w:rPr>
          <w:rFonts w:ascii="Arial Narrow" w:hAnsi="Arial Narrow"/>
          <w:i/>
        </w:rPr>
        <w:t>mir</w:t>
      </w:r>
      <w:r w:rsidRPr="00F95336">
        <w:rPr>
          <w:rStyle w:val="Refdenotaderodap"/>
          <w:rFonts w:ascii="Arial Narrow" w:hAnsi="Arial Narrow"/>
        </w:rPr>
        <w:footnoteReference w:id="103"/>
      </w:r>
      <w:r w:rsidRPr="00F95336">
        <w:rPr>
          <w:rFonts w:ascii="Arial Narrow" w:hAnsi="Arial Narrow"/>
        </w:rPr>
        <w:t xml:space="preserve">. Ainda aqui a dinâmica da história, se </w:t>
      </w:r>
      <w:r w:rsidR="008C7A8C">
        <w:rPr>
          <w:rFonts w:ascii="Arial Narrow" w:hAnsi="Arial Narrow"/>
        </w:rPr>
        <w:t>confirmou</w:t>
      </w:r>
      <w:r w:rsidR="008C7A8C">
        <w:t xml:space="preserve"> </w:t>
      </w:r>
      <w:r w:rsidRPr="00F95336">
        <w:rPr>
          <w:rFonts w:ascii="Arial Narrow" w:hAnsi="Arial Narrow"/>
        </w:rPr>
        <w:t xml:space="preserve">a perspectiva económica abstracta formulada a longo prazo pelos criadores do marxismo, desmentiu os preconceitos geopolíticos a que eles </w:t>
      </w:r>
      <w:r>
        <w:rPr>
          <w:rFonts w:ascii="Arial Narrow" w:hAnsi="Arial Narrow"/>
        </w:rPr>
        <w:t xml:space="preserve">haviam recorrido </w:t>
      </w:r>
      <w:r w:rsidRPr="00F95336">
        <w:rPr>
          <w:rFonts w:ascii="Arial Narrow" w:hAnsi="Arial Narrow"/>
        </w:rPr>
        <w:t>nas análises concretas a curto prazo. «Que esta derradeira mensagem do russófobo se tivesse destinado à Rússia camponesa poderia facilmente passar por uma ironia da história», comentou outro especialista</w:t>
      </w:r>
      <w:r w:rsidRPr="00F95336">
        <w:rPr>
          <w:rStyle w:val="Refdenotaderodap"/>
          <w:rFonts w:ascii="Arial Narrow" w:hAnsi="Arial Narrow"/>
        </w:rPr>
        <w:footnoteReference w:id="104"/>
      </w:r>
      <w:r w:rsidRPr="00F95336">
        <w:rPr>
          <w:rFonts w:ascii="Arial Narrow" w:hAnsi="Arial Narrow"/>
        </w:rPr>
        <w:t xml:space="preserve">. Afinal, o </w:t>
      </w:r>
      <w:r w:rsidRPr="00F95336">
        <w:rPr>
          <w:rFonts w:ascii="Arial Narrow" w:hAnsi="Arial Narrow"/>
          <w:i/>
        </w:rPr>
        <w:t>mir</w:t>
      </w:r>
      <w:r w:rsidRPr="00F95336">
        <w:rPr>
          <w:rFonts w:ascii="Arial Narrow" w:hAnsi="Arial Narrow"/>
        </w:rPr>
        <w:t xml:space="preserve"> só foi destroçado quando Stalin</w:t>
      </w:r>
      <w:r w:rsidR="0002746E">
        <w:rPr>
          <w:rFonts w:ascii="Arial Narrow" w:hAnsi="Arial Narrow"/>
        </w:rPr>
        <w:t xml:space="preserve"> e o seu </w:t>
      </w:r>
      <w:r w:rsidR="0002746E" w:rsidRPr="0002746E">
        <w:rPr>
          <w:rFonts w:ascii="Arial Narrow" w:hAnsi="Arial Narrow"/>
          <w:i/>
        </w:rPr>
        <w:t>bureau</w:t>
      </w:r>
      <w:r w:rsidR="0002746E">
        <w:rPr>
          <w:rFonts w:ascii="Arial Narrow" w:hAnsi="Arial Narrow"/>
        </w:rPr>
        <w:t xml:space="preserve"> político</w:t>
      </w:r>
      <w:r w:rsidRPr="00F95336">
        <w:rPr>
          <w:rFonts w:ascii="Arial Narrow" w:hAnsi="Arial Narrow"/>
        </w:rPr>
        <w:t xml:space="preserve">, apoiando-se nos factores de conflito </w:t>
      </w:r>
      <w:r w:rsidRPr="00F95336">
        <w:rPr>
          <w:rFonts w:ascii="Arial Narrow" w:hAnsi="Arial Narrow"/>
        </w:rPr>
        <w:lastRenderedPageBreak/>
        <w:t>social existentes no interior do campesinato, ao invés dos factores de cooperação, como Marx havia proposto, desencade</w:t>
      </w:r>
      <w:r w:rsidR="0002746E">
        <w:rPr>
          <w:rFonts w:ascii="Arial Narrow" w:hAnsi="Arial Narrow"/>
        </w:rPr>
        <w:t>aram</w:t>
      </w:r>
      <w:r w:rsidRPr="00F95336">
        <w:rPr>
          <w:rFonts w:ascii="Arial Narrow" w:hAnsi="Arial Narrow"/>
        </w:rPr>
        <w:t xml:space="preserve"> com a conhecida brutalidade a colectivização da agricultura, que constituiu de facto uma segunda guerra civil</w:t>
      </w:r>
      <w:r w:rsidR="00E27552">
        <w:rPr>
          <w:rFonts w:ascii="Arial Narrow" w:hAnsi="Arial Narrow"/>
        </w:rPr>
        <w:t>,</w:t>
      </w:r>
      <w:r w:rsidRPr="00F95336">
        <w:rPr>
          <w:rFonts w:ascii="Arial Narrow" w:hAnsi="Arial Narrow"/>
        </w:rPr>
        <w:t xml:space="preserve"> </w:t>
      </w:r>
      <w:r w:rsidR="00E27552" w:rsidRPr="00E27552">
        <w:rPr>
          <w:rFonts w:ascii="Arial Narrow" w:hAnsi="Arial Narrow"/>
        </w:rPr>
        <w:t>e acab</w:t>
      </w:r>
      <w:r w:rsidR="0002746E">
        <w:rPr>
          <w:rFonts w:ascii="Arial Narrow" w:hAnsi="Arial Narrow"/>
        </w:rPr>
        <w:t>aram</w:t>
      </w:r>
      <w:r w:rsidR="00E27552" w:rsidRPr="00E27552">
        <w:rPr>
          <w:rFonts w:ascii="Arial Narrow" w:hAnsi="Arial Narrow"/>
        </w:rPr>
        <w:t xml:space="preserve"> de implantar aquilo que </w:t>
      </w:r>
      <w:r w:rsidR="00E27552">
        <w:rPr>
          <w:rFonts w:ascii="Arial Narrow" w:hAnsi="Arial Narrow"/>
        </w:rPr>
        <w:t xml:space="preserve">um historiador arguto </w:t>
      </w:r>
      <w:r w:rsidR="00E27552" w:rsidRPr="00E27552">
        <w:rPr>
          <w:rFonts w:ascii="Arial Narrow" w:hAnsi="Arial Narrow"/>
        </w:rPr>
        <w:t>denominou «a variante saint-simoniana do marxismo»</w:t>
      </w:r>
      <w:r w:rsidR="00E27552">
        <w:rPr>
          <w:rStyle w:val="Refdenotaderodap"/>
          <w:rFonts w:ascii="Arial Narrow" w:hAnsi="Arial Narrow"/>
        </w:rPr>
        <w:footnoteReference w:id="105"/>
      </w:r>
      <w:r w:rsidR="00E27552" w:rsidRPr="00E27552">
        <w:rPr>
          <w:rFonts w:ascii="Arial Narrow" w:hAnsi="Arial Narrow"/>
        </w:rPr>
        <w:t>.</w:t>
      </w:r>
      <w:r w:rsidR="00E27552">
        <w:rPr>
          <w:rFonts w:ascii="Arial Narrow" w:hAnsi="Arial Narrow"/>
        </w:rPr>
        <w:t xml:space="preserve"> </w:t>
      </w:r>
    </w:p>
    <w:p w:rsidR="006F5AF7" w:rsidRDefault="006F5AF7" w:rsidP="006F5AF7">
      <w:pPr>
        <w:keepNext/>
        <w:spacing w:before="240" w:after="120"/>
        <w:ind w:firstLine="0"/>
        <w:jc w:val="center"/>
        <w:rPr>
          <w:rFonts w:ascii="Arial Narrow" w:hAnsi="Arial Narrow"/>
        </w:rPr>
      </w:pPr>
      <w:r>
        <w:rPr>
          <w:rFonts w:ascii="Arial Narrow" w:hAnsi="Arial Narrow"/>
          <w:b/>
          <w:sz w:val="28"/>
          <w:szCs w:val="28"/>
        </w:rPr>
        <w:t>4</w:t>
      </w:r>
    </w:p>
    <w:p w:rsidR="00CD12DC" w:rsidRPr="00F95336" w:rsidRDefault="00CD12DC" w:rsidP="00CD12DC">
      <w:pPr>
        <w:rPr>
          <w:rFonts w:ascii="Arial Narrow" w:hAnsi="Arial Narrow"/>
        </w:rPr>
      </w:pPr>
      <w:r w:rsidRPr="00F95336">
        <w:rPr>
          <w:rFonts w:ascii="Arial Narrow" w:hAnsi="Arial Narrow"/>
        </w:rPr>
        <w:t xml:space="preserve">A contradição entre a política prática de carácter nacionalista e a teoria económica de carácter supranacional encontrou justificação no próprio modelo teórico, através da diferença entre as funções que Marx atribuiu na estrutura hierarquizada da sociedade às categorias </w:t>
      </w:r>
      <w:r w:rsidRPr="00F95336">
        <w:rPr>
          <w:rFonts w:ascii="Arial Narrow" w:hAnsi="Arial Narrow"/>
          <w:i/>
        </w:rPr>
        <w:t>forças produtivas</w:t>
      </w:r>
      <w:r w:rsidRPr="00F95336">
        <w:rPr>
          <w:rFonts w:ascii="Arial Narrow" w:hAnsi="Arial Narrow"/>
        </w:rPr>
        <w:t xml:space="preserve"> e </w:t>
      </w:r>
      <w:r w:rsidRPr="00F95336">
        <w:rPr>
          <w:rFonts w:ascii="Arial Narrow" w:hAnsi="Arial Narrow"/>
          <w:i/>
        </w:rPr>
        <w:t>relações sociais de produção</w:t>
      </w:r>
      <w:r w:rsidRPr="00F95336">
        <w:rPr>
          <w:rFonts w:ascii="Arial Narrow" w:hAnsi="Arial Narrow"/>
        </w:rPr>
        <w:t xml:space="preserve">. Quando dava o aval </w:t>
      </w:r>
      <w:r w:rsidR="00415C71">
        <w:rPr>
          <w:rFonts w:ascii="Arial Narrow" w:hAnsi="Arial Narrow"/>
        </w:rPr>
        <w:t>a uma</w:t>
      </w:r>
      <w:r w:rsidRPr="00F95336">
        <w:rPr>
          <w:rFonts w:ascii="Arial Narrow" w:hAnsi="Arial Narrow"/>
        </w:rPr>
        <w:t xml:space="preserve"> concepção de materialismo </w:t>
      </w:r>
      <w:r w:rsidR="00415C71">
        <w:rPr>
          <w:rFonts w:ascii="Arial Narrow" w:hAnsi="Arial Narrow"/>
        </w:rPr>
        <w:t xml:space="preserve">divulgada na </w:t>
      </w:r>
      <w:r w:rsidRPr="00F95336">
        <w:rPr>
          <w:rFonts w:ascii="Arial Narrow" w:hAnsi="Arial Narrow"/>
        </w:rPr>
        <w:t xml:space="preserve">época, Marx </w:t>
      </w:r>
      <w:r w:rsidR="007C3B09">
        <w:rPr>
          <w:rFonts w:ascii="Arial Narrow" w:hAnsi="Arial Narrow"/>
        </w:rPr>
        <w:t>—</w:t>
      </w:r>
      <w:r w:rsidRPr="00F95336">
        <w:rPr>
          <w:rFonts w:ascii="Arial Narrow" w:hAnsi="Arial Narrow"/>
        </w:rPr>
        <w:t xml:space="preserve"> e com ele a ortodoxia dos discípulos </w:t>
      </w:r>
      <w:r w:rsidR="007C3B09">
        <w:rPr>
          <w:rFonts w:ascii="Arial Narrow" w:hAnsi="Arial Narrow"/>
        </w:rPr>
        <w:t>—</w:t>
      </w:r>
      <w:r w:rsidRPr="00F95336">
        <w:rPr>
          <w:rFonts w:ascii="Arial Narrow" w:hAnsi="Arial Narrow"/>
        </w:rPr>
        <w:t xml:space="preserve"> considerava que a dinâmica histórica residia no progresso das forças produtivas, encarado como uma acumulação de meios de produção materiais. Assim, seriam obviamente os países dotados das instituições de Estado mais completas que possuiriam as forças produtivas mais desenvolvidas e, por conseguinte, mais próximos se encontrariam da transformação socialista. O fim do capitalismo não decorreria, segundo tal ponto de vista, de uma ruptura social, mas de uma evolução estritamente material. A mesma concepção de desenvolvimento evolutivo das forças produtivas que inspirava a apologia da civilização emanada dos povos com Estado e justificava o colonialismo permitia, além disso, que a concentração da actividade económica e a superação jurídica da propriedade privada se confundissem com o socialismo. </w:t>
      </w:r>
      <w:r w:rsidR="007C3B09" w:rsidRPr="00F95336">
        <w:rPr>
          <w:rFonts w:ascii="Arial Narrow" w:hAnsi="Arial Narrow"/>
        </w:rPr>
        <w:t xml:space="preserve">Se </w:t>
      </w:r>
      <w:r w:rsidRPr="00F95336">
        <w:rPr>
          <w:rFonts w:ascii="Arial Narrow" w:hAnsi="Arial Narrow"/>
        </w:rPr>
        <w:t xml:space="preserve">fosse certo que o acréscimo gradual das forças produtivas levava ao socialismo, entendido como mera estatização da propriedade, ficava resolvido o paradoxo que consistia em enaltecer o desenvolvimento das instituições capitalistas em nome do messianismo de uma sociedade sem classes. Os interesses geopolíticos dos «povos civilizados» eram legitimados pela pretensão de trazerem rapidamente o socialismo no seu cortejo histórico. Que agradável perspectiva! </w:t>
      </w:r>
    </w:p>
    <w:p w:rsidR="00CD12DC" w:rsidRPr="00F95336" w:rsidRDefault="00CD12DC" w:rsidP="00CD12DC">
      <w:pPr>
        <w:rPr>
          <w:rFonts w:ascii="Arial Narrow" w:hAnsi="Arial Narrow"/>
        </w:rPr>
      </w:pPr>
      <w:r w:rsidRPr="00F95336">
        <w:rPr>
          <w:rFonts w:ascii="Arial Narrow" w:hAnsi="Arial Narrow"/>
        </w:rPr>
        <w:t xml:space="preserve">Noutras ocasiões, todavia, Marx atribuiu às contradições existentes nas relações sociais de produção a responsabilidade pela dinâmica da história </w:t>
      </w:r>
      <w:r w:rsidR="007C3B09">
        <w:rPr>
          <w:rFonts w:ascii="Arial Narrow" w:hAnsi="Arial Narrow"/>
        </w:rPr>
        <w:t>—</w:t>
      </w:r>
      <w:r w:rsidRPr="00F95336">
        <w:rPr>
          <w:rFonts w:ascii="Arial Narrow" w:hAnsi="Arial Narrow"/>
        </w:rPr>
        <w:t xml:space="preserve"> e nestas passagens têm, até hoje, procurado inspiração as heterodoxias radicais. Numa perspectiva deste tipo as forças produtivas, enquanto tecnologia, são a materialização de dadas relações sociais, e por isso as forças produtivas do capitalismo</w:t>
      </w:r>
      <w:r w:rsidR="000735E5">
        <w:rPr>
          <w:rFonts w:ascii="Arial Narrow" w:hAnsi="Arial Narrow"/>
        </w:rPr>
        <w:t>,</w:t>
      </w:r>
      <w:r w:rsidRPr="00F95336">
        <w:rPr>
          <w:rFonts w:ascii="Arial Narrow" w:hAnsi="Arial Narrow"/>
        </w:rPr>
        <w:t xml:space="preserve"> </w:t>
      </w:r>
      <w:r w:rsidR="000735E5">
        <w:rPr>
          <w:rFonts w:ascii="Arial Narrow" w:hAnsi="Arial Narrow"/>
        </w:rPr>
        <w:t xml:space="preserve">enquanto conjunto e estrutura sistemática, </w:t>
      </w:r>
      <w:r w:rsidRPr="00F95336">
        <w:rPr>
          <w:rFonts w:ascii="Arial Narrow" w:hAnsi="Arial Narrow"/>
        </w:rPr>
        <w:t xml:space="preserve">não podem </w:t>
      </w:r>
      <w:r w:rsidR="00B05D98">
        <w:rPr>
          <w:rFonts w:ascii="Arial Narrow" w:hAnsi="Arial Narrow"/>
        </w:rPr>
        <w:t xml:space="preserve">constituir o gérmen de </w:t>
      </w:r>
      <w:r w:rsidRPr="00F95336">
        <w:rPr>
          <w:rFonts w:ascii="Arial Narrow" w:hAnsi="Arial Narrow"/>
        </w:rPr>
        <w:t xml:space="preserve">qualquer modo de produção futuro. Os confrontos da geopolítica e a esfera dos Estados e das nações são redes em que se enleiam os trabalhadores, e a única base possível </w:t>
      </w:r>
      <w:r w:rsidRPr="00F95336">
        <w:rPr>
          <w:rFonts w:ascii="Arial Narrow" w:hAnsi="Arial Narrow"/>
        </w:rPr>
        <w:lastRenderedPageBreak/>
        <w:t>do socialismo consiste no desenvolvimento da solidariedade e do colectivismo a partir das relações de novo tipo originadas na luta contra o capital. Em conclusão, a ambiguidade que perpass</w:t>
      </w:r>
      <w:r>
        <w:rPr>
          <w:rFonts w:ascii="Arial Narrow" w:hAnsi="Arial Narrow"/>
        </w:rPr>
        <w:t>ou</w:t>
      </w:r>
      <w:r w:rsidRPr="00F95336">
        <w:rPr>
          <w:rFonts w:ascii="Arial Narrow" w:hAnsi="Arial Narrow"/>
        </w:rPr>
        <w:t xml:space="preserve"> na obra de Engels e de Marx, quando confer</w:t>
      </w:r>
      <w:r>
        <w:rPr>
          <w:rFonts w:ascii="Arial Narrow" w:hAnsi="Arial Narrow"/>
        </w:rPr>
        <w:t>ira</w:t>
      </w:r>
      <w:r w:rsidRPr="00F95336">
        <w:rPr>
          <w:rFonts w:ascii="Arial Narrow" w:hAnsi="Arial Narrow"/>
        </w:rPr>
        <w:t xml:space="preserve">m à geopolítica um lugar central nos conflitos práticos, foi justificada teoricamente pela atribuição do papel decisivo às forças produtivas materiais e pela redução da história das forças produtivas a um processo evolutivo. </w:t>
      </w:r>
    </w:p>
    <w:p w:rsidR="00CD12DC" w:rsidRPr="00F95336" w:rsidRDefault="00CD12DC" w:rsidP="00CD12DC">
      <w:pPr>
        <w:rPr>
          <w:rFonts w:ascii="Arial Narrow" w:hAnsi="Arial Narrow"/>
        </w:rPr>
      </w:pPr>
      <w:r w:rsidRPr="00F95336">
        <w:rPr>
          <w:rFonts w:ascii="Arial Narrow" w:hAnsi="Arial Narrow"/>
        </w:rPr>
        <w:t xml:space="preserve">É necessária uma grande presença de espírito ou, mais exactamente, uma grande ausência de espírito da parte dos discípulos e comentadores encartados de Marx e de Engels para discorrerem interminavelmente sobre a política de classe dos mestres, apagando tudo o que eles pensaram </w:t>
      </w:r>
      <w:r w:rsidR="007C3B09">
        <w:rPr>
          <w:rFonts w:ascii="Arial Narrow" w:hAnsi="Arial Narrow"/>
        </w:rPr>
        <w:t>—</w:t>
      </w:r>
      <w:r w:rsidRPr="00F95336">
        <w:rPr>
          <w:rFonts w:ascii="Arial Narrow" w:hAnsi="Arial Narrow"/>
        </w:rPr>
        <w:t xml:space="preserve"> e fizeram </w:t>
      </w:r>
      <w:r w:rsidR="007C3B09">
        <w:rPr>
          <w:rFonts w:ascii="Arial Narrow" w:hAnsi="Arial Narrow"/>
        </w:rPr>
        <w:t>—</w:t>
      </w:r>
      <w:r w:rsidRPr="00F95336">
        <w:rPr>
          <w:rFonts w:ascii="Arial Narrow" w:hAnsi="Arial Narrow"/>
        </w:rPr>
        <w:t xml:space="preserve"> em termos de política das nacionalidades. Os discursos das várias ortodoxias sobre, e a partir de, o </w:t>
      </w:r>
      <w:r w:rsidRPr="00F95336">
        <w:rPr>
          <w:rFonts w:ascii="Arial Narrow" w:hAnsi="Arial Narrow"/>
          <w:i/>
        </w:rPr>
        <w:t>Manifesto</w:t>
      </w:r>
      <w:r w:rsidRPr="00F95336">
        <w:rPr>
          <w:rFonts w:ascii="Arial Narrow" w:hAnsi="Arial Narrow"/>
        </w:rPr>
        <w:t xml:space="preserve"> e </w:t>
      </w:r>
      <w:r w:rsidRPr="00F95336">
        <w:rPr>
          <w:rFonts w:ascii="Arial Narrow" w:hAnsi="Arial Narrow"/>
          <w:i/>
        </w:rPr>
        <w:t>O Capital</w:t>
      </w:r>
      <w:r w:rsidRPr="00F95336">
        <w:rPr>
          <w:rFonts w:ascii="Arial Narrow" w:hAnsi="Arial Narrow"/>
        </w:rPr>
        <w:t xml:space="preserve"> esquecem a transposição da luta de classes para o conflito entre nações executada pelos fundadores do comunismo moderno. Nada disto seria muito importante se fossem só as contradições do marxismo a estar em causa. Mas a questão é urgente porque revela as contradições da própria classe trabalhadora. </w:t>
      </w:r>
    </w:p>
    <w:p w:rsidR="00CD12DC" w:rsidRPr="00F95336" w:rsidRDefault="00CD12DC" w:rsidP="00CD12DC">
      <w:pPr>
        <w:rPr>
          <w:rFonts w:ascii="Arial Narrow" w:hAnsi="Arial Narrow"/>
        </w:rPr>
      </w:pPr>
      <w:r w:rsidRPr="00F95336">
        <w:rPr>
          <w:rFonts w:ascii="Arial Narrow" w:hAnsi="Arial Narrow"/>
        </w:rPr>
        <w:t xml:space="preserve">A </w:t>
      </w:r>
      <w:r w:rsidR="006146A1">
        <w:rPr>
          <w:rFonts w:ascii="Arial Narrow" w:hAnsi="Arial Narrow"/>
        </w:rPr>
        <w:t>oscilação</w:t>
      </w:r>
      <w:r w:rsidRPr="00F95336">
        <w:rPr>
          <w:rFonts w:ascii="Arial Narrow" w:hAnsi="Arial Narrow"/>
        </w:rPr>
        <w:t xml:space="preserve"> </w:t>
      </w:r>
      <w:r w:rsidR="006146A1">
        <w:rPr>
          <w:rFonts w:ascii="Arial Narrow" w:hAnsi="Arial Narrow"/>
        </w:rPr>
        <w:t xml:space="preserve">perceptível </w:t>
      </w:r>
      <w:r w:rsidRPr="00F95336">
        <w:rPr>
          <w:rFonts w:ascii="Arial Narrow" w:hAnsi="Arial Narrow"/>
        </w:rPr>
        <w:t xml:space="preserve">na obra de Marx e Engels entre as aspirações de classe a longo prazo e o quadro nacionalista e estatal em que </w:t>
      </w:r>
      <w:r>
        <w:rPr>
          <w:rFonts w:ascii="Arial Narrow" w:hAnsi="Arial Narrow"/>
        </w:rPr>
        <w:t xml:space="preserve">conceberam </w:t>
      </w:r>
      <w:r w:rsidRPr="00F95336">
        <w:rPr>
          <w:rFonts w:ascii="Arial Narrow" w:hAnsi="Arial Narrow"/>
        </w:rPr>
        <w:t>a actividade política imediata reflectia a existência da mesma ambiguidade no seio do movimento operário. Pois quer-se algo mais absurdo do que o facto de a Internacional dos Trabalhadores ter sido fundada não no contexto de qualquer acção de solidariedade entre os explorados de vários países, mas por ocasião de uma reunião de apoio à luta nacional dos polacos</w:t>
      </w:r>
      <w:r w:rsidRPr="00F95336">
        <w:rPr>
          <w:rStyle w:val="Refdenotaderodap"/>
          <w:rFonts w:ascii="Arial Narrow" w:hAnsi="Arial Narrow"/>
        </w:rPr>
        <w:footnoteReference w:id="106"/>
      </w:r>
      <w:r w:rsidRPr="00F95336">
        <w:rPr>
          <w:rFonts w:ascii="Arial Narrow" w:hAnsi="Arial Narrow"/>
        </w:rPr>
        <w:t>? Este paradoxo foi sentido por alguns dos membros mais influentes</w:t>
      </w:r>
      <w:r w:rsidR="00167AF5">
        <w:rPr>
          <w:rFonts w:ascii="Arial Narrow" w:hAnsi="Arial Narrow"/>
        </w:rPr>
        <w:t xml:space="preserve"> </w:t>
      </w:r>
      <w:r w:rsidR="00167AF5" w:rsidRPr="00F95336">
        <w:rPr>
          <w:rFonts w:ascii="Arial Narrow" w:hAnsi="Arial Narrow"/>
        </w:rPr>
        <w:t>da AIT</w:t>
      </w:r>
      <w:r w:rsidRPr="00F95336">
        <w:rPr>
          <w:rFonts w:ascii="Arial Narrow" w:hAnsi="Arial Narrow"/>
        </w:rPr>
        <w:t>, como se observa em intervenções da delegação francesa e da delegação belga. «Já em 1865», relat</w:t>
      </w:r>
      <w:r>
        <w:rPr>
          <w:rFonts w:ascii="Arial Narrow" w:hAnsi="Arial Narrow"/>
        </w:rPr>
        <w:t>ou</w:t>
      </w:r>
      <w:r w:rsidRPr="00F95336">
        <w:rPr>
          <w:rFonts w:ascii="Arial Narrow" w:hAnsi="Arial Narrow"/>
        </w:rPr>
        <w:t xml:space="preserve"> uma historiadora, «quando Marx, com o apoio dos ingleses, pretendeu discutir a questão da Polónia, apresentando à Conferência de Londres uma resolução-programa que dizia “É imperioso aniquilar a influência crescente da Rússia na Europa aplicando à Polónia ‘o direito de qualquer povo a dispor de si próprio’ e restaurando esse país sobre uma base social e democrática”, ele foi violentamente combatido pelos franceses Le Lubez e Vésinier. Esta polémica deu ao belga de Paepe uma oportunidade para expor a sua própria posição, que de certo modo antecipa a que Rosa Luxemburg haveria de tomar três décadas depois: “O cidadão de Paepe diz que na sua opinião não nos devemos ocupar com tal questão. A restauração da Polónia só pode beneficiar três classes: a alta nobreza, a baixa nobreza e o clero [...] Pretendeis pôr cobro à influência russa [...] Então eu reclamo que se ponha cobro à influência de todos os governos da Europa [...] São tantos os </w:t>
      </w:r>
      <w:r w:rsidRPr="00F95336">
        <w:rPr>
          <w:rFonts w:ascii="Arial Narrow" w:hAnsi="Arial Narrow"/>
        </w:rPr>
        <w:lastRenderedPageBreak/>
        <w:t>povos que sofrem, que é profundamente injusto citar apenas um”. No ano seguinte, no Congresso de Genebra, reproduz-se a mesma cena. Foi adoptado o ponto 9 do programa, onde se lia: “Acerca da necessidade de destruir a influência russa na Europa mediante a aplicação do princípio do direito dos povos a disporem de si próprios e mediante a reconstituição da Polónia sobre bases democráticas e sociais”. Mas os delegados franceses exprimiram publicamente o seu desacordo: “Partidários da liberdade, manifestamos o nosso protesto contra todos os despotismos, a nossa condenação e enérgica reprovação da organização e das tendências sociais do despotismo russo, que conduzirá infalivelmente ao comunismo mais embrutecedor. Mas, enquanto delegados a um congresso económico, consideramos que nada temos a dizer a respeito da reconstituição política da Polónia”»</w:t>
      </w:r>
      <w:r w:rsidRPr="00F95336">
        <w:rPr>
          <w:rStyle w:val="Refdenotaderodap"/>
          <w:rFonts w:ascii="Arial Narrow" w:hAnsi="Arial Narrow"/>
        </w:rPr>
        <w:footnoteReference w:id="107"/>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O carácter pertinente destas declarações confirma-se quando sabemos que o movimento pela independência da Polónia, a cujo apoio era concitado o operariado de todos os países, previa a sujeição forçada à entidade polaca de uma multiplicidade de povos, que viam assim recusado o seu próprio direito à autodeterminação</w:t>
      </w:r>
      <w:r w:rsidRPr="00F95336">
        <w:rPr>
          <w:rStyle w:val="Refdenotaderodap"/>
          <w:rFonts w:ascii="Arial Narrow" w:hAnsi="Arial Narrow"/>
        </w:rPr>
        <w:footnoteReference w:id="108"/>
      </w:r>
      <w:r w:rsidRPr="00F95336">
        <w:rPr>
          <w:rFonts w:ascii="Arial Narrow" w:hAnsi="Arial Narrow"/>
        </w:rPr>
        <w:t xml:space="preserve">. </w:t>
      </w:r>
      <w:r>
        <w:rPr>
          <w:rFonts w:ascii="Arial Narrow" w:hAnsi="Arial Narrow"/>
        </w:rPr>
        <w:t xml:space="preserve">Num artigo de </w:t>
      </w:r>
      <w:r w:rsidRPr="00F95336">
        <w:rPr>
          <w:rFonts w:ascii="Arial Narrow" w:hAnsi="Arial Narrow"/>
        </w:rPr>
        <w:t>1848 Engels declar</w:t>
      </w:r>
      <w:r>
        <w:rPr>
          <w:rFonts w:ascii="Arial Narrow" w:hAnsi="Arial Narrow"/>
        </w:rPr>
        <w:t xml:space="preserve">ara </w:t>
      </w:r>
      <w:r w:rsidRPr="00F95336">
        <w:rPr>
          <w:rFonts w:ascii="Arial Narrow" w:hAnsi="Arial Narrow"/>
        </w:rPr>
        <w:t>que uma Polónia soberana «deve ter pelo menos a área que tinha em 1772»</w:t>
      </w:r>
      <w:r>
        <w:rPr>
          <w:rFonts w:ascii="Arial Narrow" w:hAnsi="Arial Narrow"/>
        </w:rPr>
        <w:t>,</w:t>
      </w:r>
      <w:r w:rsidRPr="00F95336">
        <w:rPr>
          <w:rFonts w:ascii="Arial Narrow" w:hAnsi="Arial Narrow"/>
        </w:rPr>
        <w:t xml:space="preserve"> </w:t>
      </w:r>
      <w:r>
        <w:rPr>
          <w:rFonts w:ascii="Arial Narrow" w:hAnsi="Arial Narrow"/>
        </w:rPr>
        <w:t xml:space="preserve">dando o </w:t>
      </w:r>
      <w:r w:rsidRPr="00F95336">
        <w:rPr>
          <w:rFonts w:ascii="Arial Narrow" w:hAnsi="Arial Narrow"/>
        </w:rPr>
        <w:t>aval à futura anexação de outros povos</w:t>
      </w:r>
      <w:r>
        <w:rPr>
          <w:rStyle w:val="Refdenotaderodap"/>
          <w:rFonts w:ascii="Arial Narrow" w:hAnsi="Arial Narrow"/>
        </w:rPr>
        <w:footnoteReference w:id="109"/>
      </w:r>
      <w:r w:rsidRPr="00F95336">
        <w:rPr>
          <w:rFonts w:ascii="Arial Narrow" w:hAnsi="Arial Narrow"/>
        </w:rPr>
        <w:t xml:space="preserve">. </w:t>
      </w:r>
      <w:r>
        <w:rPr>
          <w:rFonts w:ascii="Arial Narrow" w:hAnsi="Arial Narrow"/>
        </w:rPr>
        <w:t>Quatro anos depois</w:t>
      </w:r>
      <w:r w:rsidRPr="00F95336">
        <w:rPr>
          <w:rFonts w:ascii="Arial Narrow" w:hAnsi="Arial Narrow"/>
        </w:rPr>
        <w:t xml:space="preserve"> </w:t>
      </w:r>
      <w:r>
        <w:rPr>
          <w:rFonts w:ascii="Arial Narrow" w:hAnsi="Arial Narrow"/>
        </w:rPr>
        <w:t>ele</w:t>
      </w:r>
      <w:r w:rsidRPr="00F95336">
        <w:rPr>
          <w:rFonts w:ascii="Arial Narrow" w:hAnsi="Arial Narrow"/>
        </w:rPr>
        <w:t xml:space="preserve"> </w:t>
      </w:r>
      <w:r>
        <w:rPr>
          <w:rFonts w:ascii="Arial Narrow" w:hAnsi="Arial Narrow"/>
        </w:rPr>
        <w:t>dedic</w:t>
      </w:r>
      <w:r w:rsidR="00167AF5">
        <w:rPr>
          <w:rFonts w:ascii="Arial Narrow" w:hAnsi="Arial Narrow"/>
        </w:rPr>
        <w:t>ou</w:t>
      </w:r>
      <w:r>
        <w:rPr>
          <w:rFonts w:ascii="Arial Narrow" w:hAnsi="Arial Narrow"/>
        </w:rPr>
        <w:t>-se à costura étnica e prop</w:t>
      </w:r>
      <w:r w:rsidR="00167AF5">
        <w:rPr>
          <w:rFonts w:ascii="Arial Narrow" w:hAnsi="Arial Narrow"/>
        </w:rPr>
        <w:t>ôs</w:t>
      </w:r>
      <w:r>
        <w:rPr>
          <w:rFonts w:ascii="Arial Narrow" w:hAnsi="Arial Narrow"/>
        </w:rPr>
        <w:t xml:space="preserve"> num </w:t>
      </w:r>
      <w:r w:rsidRPr="00F95336">
        <w:rPr>
          <w:rFonts w:ascii="Arial Narrow" w:hAnsi="Arial Narrow"/>
        </w:rPr>
        <w:t xml:space="preserve">artigo que uma futura Polónia independente cedesse à Alemanha os territórios ocidentais mais germanizados, </w:t>
      </w:r>
      <w:r>
        <w:rPr>
          <w:rFonts w:ascii="Arial Narrow" w:hAnsi="Arial Narrow"/>
        </w:rPr>
        <w:t xml:space="preserve">obtendo </w:t>
      </w:r>
      <w:r w:rsidRPr="00F95336">
        <w:rPr>
          <w:rFonts w:ascii="Arial Narrow" w:hAnsi="Arial Narrow"/>
        </w:rPr>
        <w:t>em compensação</w:t>
      </w:r>
      <w:r>
        <w:rPr>
          <w:rFonts w:ascii="Arial Narrow" w:hAnsi="Arial Narrow"/>
        </w:rPr>
        <w:t xml:space="preserve"> </w:t>
      </w:r>
      <w:r w:rsidRPr="00F95336">
        <w:rPr>
          <w:rFonts w:ascii="Arial Narrow" w:hAnsi="Arial Narrow"/>
        </w:rPr>
        <w:t xml:space="preserve">vastos espaços a </w:t>
      </w:r>
      <w:r w:rsidR="00A859F8" w:rsidRPr="00F95336">
        <w:rPr>
          <w:rFonts w:ascii="Arial Narrow" w:hAnsi="Arial Narrow"/>
        </w:rPr>
        <w:t>Leste</w:t>
      </w:r>
      <w:r w:rsidRPr="00F95336">
        <w:rPr>
          <w:rFonts w:ascii="Arial Narrow" w:hAnsi="Arial Narrow"/>
        </w:rPr>
        <w:t>, através de uma guerra contra a Rússia</w:t>
      </w:r>
      <w:r>
        <w:rPr>
          <w:rStyle w:val="Refdenotaderodap"/>
          <w:rFonts w:ascii="Arial Narrow" w:hAnsi="Arial Narrow"/>
        </w:rPr>
        <w:footnoteReference w:id="110"/>
      </w:r>
      <w:r>
        <w:rPr>
          <w:rFonts w:ascii="Arial Narrow" w:hAnsi="Arial Narrow"/>
        </w:rPr>
        <w:t xml:space="preserve">, e num texto de </w:t>
      </w:r>
      <w:r w:rsidRPr="00F95336">
        <w:rPr>
          <w:rFonts w:ascii="Arial Narrow" w:hAnsi="Arial Narrow"/>
        </w:rPr>
        <w:t xml:space="preserve">1866 defendeu a </w:t>
      </w:r>
      <w:r>
        <w:rPr>
          <w:rFonts w:ascii="Arial Narrow" w:hAnsi="Arial Narrow"/>
        </w:rPr>
        <w:t xml:space="preserve">restauração da </w:t>
      </w:r>
      <w:r w:rsidRPr="00F95336">
        <w:rPr>
          <w:rFonts w:ascii="Arial Narrow" w:hAnsi="Arial Narrow"/>
        </w:rPr>
        <w:t xml:space="preserve">Polónia </w:t>
      </w:r>
      <w:r>
        <w:rPr>
          <w:rFonts w:ascii="Arial Narrow" w:hAnsi="Arial Narrow"/>
        </w:rPr>
        <w:t xml:space="preserve">em </w:t>
      </w:r>
      <w:r w:rsidRPr="00F95336">
        <w:rPr>
          <w:rFonts w:ascii="Arial Narrow" w:hAnsi="Arial Narrow"/>
        </w:rPr>
        <w:t xml:space="preserve">fronteiras que incluíssem, além dos polacos propriamente ditos, outras nacionalidades menores, dessas a que ele e o seu amigo Marx recusavam o </w:t>
      </w:r>
      <w:r>
        <w:rPr>
          <w:rFonts w:ascii="Arial Narrow" w:hAnsi="Arial Narrow"/>
        </w:rPr>
        <w:t>direito à existência histórica</w:t>
      </w:r>
      <w:r>
        <w:rPr>
          <w:rStyle w:val="Refdenotaderodap"/>
          <w:rFonts w:ascii="Arial Narrow" w:hAnsi="Arial Narrow"/>
        </w:rPr>
        <w:footnoteReference w:id="111"/>
      </w:r>
      <w:r>
        <w:rPr>
          <w:rFonts w:ascii="Arial Narrow" w:hAnsi="Arial Narrow"/>
        </w:rPr>
        <w:t xml:space="preserve">. Na guerra que a Polónia haveria de conduzir em 1920 contra a jovem Rússia soviética com a intenção de restabelecer as fronteiras de 1772, não eram os bolchevistas mas o fascista Piłsudski quem poderia invocar o aval de Engels. </w:t>
      </w:r>
      <w:r w:rsidRPr="009520E3">
        <w:rPr>
          <w:rFonts w:ascii="Arial Narrow" w:hAnsi="Arial Narrow"/>
        </w:rPr>
        <w:t xml:space="preserve">A noção de que qualquer nacionalismo é um imperialismo potencial, que </w:t>
      </w:r>
      <w:r>
        <w:rPr>
          <w:rFonts w:ascii="Arial Narrow" w:hAnsi="Arial Narrow"/>
        </w:rPr>
        <w:t>resume</w:t>
      </w:r>
      <w:r w:rsidRPr="009520E3">
        <w:rPr>
          <w:rFonts w:ascii="Arial Narrow" w:hAnsi="Arial Narrow"/>
        </w:rPr>
        <w:t xml:space="preserve"> a conclusão lógica das intervenções dos delegados franceses e belgas na Conferência da AIT </w:t>
      </w:r>
      <w:r>
        <w:rPr>
          <w:rFonts w:ascii="Arial Narrow" w:hAnsi="Arial Narrow"/>
        </w:rPr>
        <w:t xml:space="preserve">em </w:t>
      </w:r>
      <w:r w:rsidRPr="009520E3">
        <w:rPr>
          <w:rFonts w:ascii="Arial Narrow" w:hAnsi="Arial Narrow"/>
        </w:rPr>
        <w:t>Londres em 1865</w:t>
      </w:r>
      <w:r>
        <w:rPr>
          <w:rFonts w:ascii="Arial Narrow" w:hAnsi="Arial Narrow"/>
        </w:rPr>
        <w:t xml:space="preserve"> e no </w:t>
      </w:r>
      <w:r w:rsidRPr="00F95336">
        <w:rPr>
          <w:rFonts w:ascii="Arial Narrow" w:hAnsi="Arial Narrow"/>
        </w:rPr>
        <w:t>Congresso de Genebra</w:t>
      </w:r>
      <w:r>
        <w:rPr>
          <w:rFonts w:ascii="Arial Narrow" w:hAnsi="Arial Narrow"/>
        </w:rPr>
        <w:t xml:space="preserve"> em 1866</w:t>
      </w:r>
      <w:r w:rsidRPr="009520E3">
        <w:rPr>
          <w:rFonts w:ascii="Arial Narrow" w:hAnsi="Arial Narrow"/>
        </w:rPr>
        <w:t xml:space="preserve">, </w:t>
      </w:r>
      <w:r>
        <w:rPr>
          <w:rFonts w:ascii="Arial Narrow" w:hAnsi="Arial Narrow"/>
        </w:rPr>
        <w:t xml:space="preserve">foi uma vez mais comprovada ao vermos os fundadores do comunismo moderno proporem a criação de um novo foco de conflitos nacionais. </w:t>
      </w:r>
      <w:r w:rsidRPr="00F95336">
        <w:rPr>
          <w:rFonts w:ascii="Arial Narrow" w:hAnsi="Arial Narrow"/>
        </w:rPr>
        <w:t>Mas o certo é que não se ultrapassou a contradição entre</w:t>
      </w:r>
      <w:r>
        <w:rPr>
          <w:rFonts w:ascii="Arial Narrow" w:hAnsi="Arial Narrow"/>
        </w:rPr>
        <w:t xml:space="preserve"> </w:t>
      </w:r>
      <w:r w:rsidRPr="00F95336">
        <w:rPr>
          <w:rFonts w:ascii="Arial Narrow" w:hAnsi="Arial Narrow"/>
        </w:rPr>
        <w:t xml:space="preserve">o anseio de criar ou desenvolver o internacionalismo e a necessidade de prosseguir a actividade </w:t>
      </w:r>
      <w:r w:rsidRPr="00F95336">
        <w:rPr>
          <w:rFonts w:ascii="Arial Narrow" w:hAnsi="Arial Narrow"/>
        </w:rPr>
        <w:lastRenderedPageBreak/>
        <w:t xml:space="preserve">prática nos quadros existentes, que eram obrigatoriamente nacionais. Talvez fosse </w:t>
      </w:r>
      <w:r>
        <w:rPr>
          <w:rFonts w:ascii="Arial Narrow" w:hAnsi="Arial Narrow"/>
        </w:rPr>
        <w:t>est</w:t>
      </w:r>
      <w:r w:rsidRPr="00F95336">
        <w:rPr>
          <w:rFonts w:ascii="Arial Narrow" w:hAnsi="Arial Narrow"/>
        </w:rPr>
        <w:t>a ambiguidade a condenar a AIT à extinção</w:t>
      </w:r>
      <w:r w:rsidRPr="00F95336">
        <w:rPr>
          <w:rStyle w:val="Refdenotaderodap"/>
          <w:rFonts w:ascii="Arial Narrow" w:hAnsi="Arial Narrow"/>
        </w:rPr>
        <w:footnoteReference w:id="112"/>
      </w:r>
      <w:r w:rsidRPr="00F95336">
        <w:rPr>
          <w:rFonts w:ascii="Arial Narrow" w:hAnsi="Arial Narrow"/>
        </w:rPr>
        <w:t xml:space="preserve"> </w:t>
      </w:r>
      <w:r>
        <w:rPr>
          <w:rFonts w:ascii="Arial Narrow" w:hAnsi="Arial Narrow"/>
        </w:rPr>
        <w:t xml:space="preserve">e </w:t>
      </w:r>
      <w:r w:rsidRPr="00F95336">
        <w:rPr>
          <w:rFonts w:ascii="Arial Narrow" w:hAnsi="Arial Narrow"/>
        </w:rPr>
        <w:t>o mesmo dilema levou mais tarde</w:t>
      </w:r>
      <w:r w:rsidR="00924007" w:rsidRPr="00924007">
        <w:rPr>
          <w:rFonts w:ascii="Arial Narrow" w:hAnsi="Arial Narrow"/>
        </w:rPr>
        <w:t xml:space="preserve"> </w:t>
      </w:r>
      <w:r w:rsidR="00924007" w:rsidRPr="00F95336">
        <w:rPr>
          <w:rFonts w:ascii="Arial Narrow" w:hAnsi="Arial Narrow"/>
        </w:rPr>
        <w:t>à desagregação da Segunda Internacional</w:t>
      </w:r>
      <w:r w:rsidR="00924007">
        <w:rPr>
          <w:rFonts w:ascii="Arial Narrow" w:hAnsi="Arial Narrow"/>
        </w:rPr>
        <w:t xml:space="preserve"> em condições dramáticas</w:t>
      </w:r>
      <w:r w:rsidRPr="00F95336">
        <w:rPr>
          <w:rFonts w:ascii="Arial Narrow" w:hAnsi="Arial Narrow"/>
        </w:rPr>
        <w:t xml:space="preserve"> e, depois, à rápida degenerescência da Terceira. </w:t>
      </w:r>
    </w:p>
    <w:p w:rsidR="00CD12DC" w:rsidRPr="00F95336" w:rsidRDefault="00CD12DC" w:rsidP="00CD12DC">
      <w:pPr>
        <w:rPr>
          <w:rFonts w:ascii="Arial Narrow" w:hAnsi="Arial Narrow"/>
        </w:rPr>
      </w:pPr>
      <w:r w:rsidRPr="00F95336">
        <w:rPr>
          <w:rFonts w:ascii="Arial Narrow" w:hAnsi="Arial Narrow"/>
        </w:rPr>
        <w:t xml:space="preserve">Será que não se erguiam limites à derrapagem nacionalista do movimento operário? Quando se sabe como a assimilação entre capitalismo e judaísmo permeou a obra de alguns dos mais importantes pioneiros do socialismo, em especial Proudhon e Blanqui, e quando se conhece a continuidade que este anti-semitismo de esquerda obteve no pensamento e na prática socialistas, apercebemo-nos de que a contradição entre a teoria económica de Marx e as suas orientações políticas concretas </w:t>
      </w:r>
      <w:r>
        <w:rPr>
          <w:rFonts w:ascii="Arial Narrow" w:hAnsi="Arial Narrow"/>
        </w:rPr>
        <w:t>era</w:t>
      </w:r>
      <w:r w:rsidRPr="00F95336">
        <w:rPr>
          <w:rFonts w:ascii="Arial Narrow" w:hAnsi="Arial Narrow"/>
        </w:rPr>
        <w:t xml:space="preserve"> um sintoma de outra contradição, mais ampla e </w:t>
      </w:r>
      <w:r>
        <w:rPr>
          <w:rFonts w:ascii="Arial Narrow" w:hAnsi="Arial Narrow"/>
        </w:rPr>
        <w:t>enraizada</w:t>
      </w:r>
      <w:r w:rsidRPr="00F95336">
        <w:rPr>
          <w:rFonts w:ascii="Arial Narrow" w:hAnsi="Arial Narrow"/>
        </w:rPr>
        <w:t xml:space="preserve">, que desde a sua génese tem viciado o campo do anticapitalismo. Em vez de enfrentar </w:t>
      </w:r>
      <w:r w:rsidR="00682676">
        <w:rPr>
          <w:rFonts w:ascii="Arial Narrow" w:hAnsi="Arial Narrow"/>
        </w:rPr>
        <w:t xml:space="preserve">francamente </w:t>
      </w:r>
      <w:r w:rsidRPr="00F95336">
        <w:rPr>
          <w:rFonts w:ascii="Arial Narrow" w:hAnsi="Arial Narrow"/>
        </w:rPr>
        <w:t xml:space="preserve">este problema, o marxismo dissimulou-o e deu-lhe novo fôlego. </w:t>
      </w:r>
      <w:r w:rsidR="009735E1">
        <w:rPr>
          <w:rFonts w:ascii="Arial Narrow" w:hAnsi="Arial Narrow"/>
        </w:rPr>
        <w:t xml:space="preserve">O </w:t>
      </w:r>
      <w:r w:rsidR="001A24F9" w:rsidRPr="009735E1">
        <w:rPr>
          <w:rFonts w:ascii="Arial Narrow" w:hAnsi="Arial Narrow"/>
          <w:i/>
        </w:rPr>
        <w:t>Anti-Dühring,</w:t>
      </w:r>
      <w:r w:rsidR="001A24F9">
        <w:rPr>
          <w:rFonts w:ascii="Arial Narrow" w:hAnsi="Arial Narrow"/>
        </w:rPr>
        <w:t xml:space="preserve"> que se conta entre as obras mais conhecidas de Engels, é também das mais estranhas, pois para quê </w:t>
      </w:r>
      <w:r w:rsidR="009735E1">
        <w:rPr>
          <w:rFonts w:ascii="Arial Narrow" w:hAnsi="Arial Narrow"/>
        </w:rPr>
        <w:t>dedicar</w:t>
      </w:r>
      <w:r w:rsidR="001A24F9">
        <w:rPr>
          <w:rFonts w:ascii="Arial Narrow" w:hAnsi="Arial Narrow"/>
        </w:rPr>
        <w:t xml:space="preserve"> tantas páginas </w:t>
      </w:r>
      <w:r w:rsidR="00FC453F">
        <w:rPr>
          <w:rFonts w:ascii="Arial Narrow" w:hAnsi="Arial Narrow"/>
        </w:rPr>
        <w:t xml:space="preserve">a </w:t>
      </w:r>
      <w:r w:rsidR="001A24F9">
        <w:rPr>
          <w:rFonts w:ascii="Arial Narrow" w:hAnsi="Arial Narrow"/>
        </w:rPr>
        <w:t xml:space="preserve">uma figura intelectual medíocre? </w:t>
      </w:r>
      <w:r w:rsidR="009735E1">
        <w:rPr>
          <w:rFonts w:ascii="Arial Narrow" w:hAnsi="Arial Narrow"/>
        </w:rPr>
        <w:t xml:space="preserve">Verdadeiramente paradoxal é que </w:t>
      </w:r>
      <w:r w:rsidR="001A24F9">
        <w:rPr>
          <w:rFonts w:ascii="Arial Narrow" w:hAnsi="Arial Narrow"/>
        </w:rPr>
        <w:t xml:space="preserve">Dühring </w:t>
      </w:r>
      <w:r w:rsidR="00E932A0">
        <w:rPr>
          <w:rFonts w:ascii="Arial Narrow" w:hAnsi="Arial Narrow"/>
        </w:rPr>
        <w:t>seja</w:t>
      </w:r>
      <w:r w:rsidR="001A24F9">
        <w:rPr>
          <w:rFonts w:ascii="Arial Narrow" w:hAnsi="Arial Narrow"/>
        </w:rPr>
        <w:t xml:space="preserve"> </w:t>
      </w:r>
      <w:r w:rsidR="00D959AE">
        <w:rPr>
          <w:rFonts w:ascii="Arial Narrow" w:hAnsi="Arial Narrow"/>
        </w:rPr>
        <w:t>mencionado</w:t>
      </w:r>
      <w:r w:rsidR="001A24F9">
        <w:rPr>
          <w:rFonts w:ascii="Arial Narrow" w:hAnsi="Arial Narrow"/>
        </w:rPr>
        <w:t xml:space="preserve"> hoje apenas </w:t>
      </w:r>
      <w:r w:rsidR="00E932A0">
        <w:rPr>
          <w:rFonts w:ascii="Arial Narrow" w:hAnsi="Arial Narrow"/>
        </w:rPr>
        <w:t xml:space="preserve">pelo seu </w:t>
      </w:r>
      <w:r w:rsidR="001A24F9">
        <w:rPr>
          <w:rFonts w:ascii="Arial Narrow" w:hAnsi="Arial Narrow"/>
        </w:rPr>
        <w:t xml:space="preserve">anti-semitismo, </w:t>
      </w:r>
      <w:r w:rsidR="00E932A0">
        <w:rPr>
          <w:rFonts w:ascii="Arial Narrow" w:hAnsi="Arial Narrow"/>
        </w:rPr>
        <w:t xml:space="preserve">sem que </w:t>
      </w:r>
      <w:r w:rsidR="00E64EEB">
        <w:rPr>
          <w:rFonts w:ascii="Arial Narrow" w:hAnsi="Arial Narrow"/>
        </w:rPr>
        <w:t xml:space="preserve">Engels </w:t>
      </w:r>
      <w:r w:rsidR="00DD3409">
        <w:rPr>
          <w:rFonts w:ascii="Arial Narrow" w:hAnsi="Arial Narrow"/>
        </w:rPr>
        <w:t>tivesse dado</w:t>
      </w:r>
      <w:r w:rsidR="00E932A0">
        <w:rPr>
          <w:rFonts w:ascii="Arial Narrow" w:hAnsi="Arial Narrow"/>
        </w:rPr>
        <w:t xml:space="preserve"> relevo a esta </w:t>
      </w:r>
      <w:r w:rsidR="00E64EEB">
        <w:rPr>
          <w:rFonts w:ascii="Arial Narrow" w:hAnsi="Arial Narrow"/>
        </w:rPr>
        <w:t xml:space="preserve">questão, </w:t>
      </w:r>
      <w:r w:rsidR="00E932A0">
        <w:rPr>
          <w:rFonts w:ascii="Arial Narrow" w:hAnsi="Arial Narrow"/>
        </w:rPr>
        <w:t xml:space="preserve">a ponto de colocar </w:t>
      </w:r>
      <w:r w:rsidR="00BB7A7E">
        <w:rPr>
          <w:rFonts w:ascii="Arial Narrow" w:hAnsi="Arial Narrow"/>
        </w:rPr>
        <w:t xml:space="preserve">a aversão de Dühring aos judeus </w:t>
      </w:r>
      <w:r w:rsidR="00E64EEB">
        <w:rPr>
          <w:rFonts w:ascii="Arial Narrow" w:hAnsi="Arial Narrow"/>
        </w:rPr>
        <w:t xml:space="preserve">a par da repugnância que sentia </w:t>
      </w:r>
      <w:r w:rsidR="000525C7">
        <w:rPr>
          <w:rFonts w:ascii="Arial Narrow" w:hAnsi="Arial Narrow"/>
        </w:rPr>
        <w:t xml:space="preserve">igualmente </w:t>
      </w:r>
      <w:r w:rsidR="00E64EEB">
        <w:rPr>
          <w:rFonts w:ascii="Arial Narrow" w:hAnsi="Arial Narrow"/>
        </w:rPr>
        <w:t>pelo tabaco e pelos gatos</w:t>
      </w:r>
      <w:r w:rsidR="00D959AE">
        <w:rPr>
          <w:rStyle w:val="Refdenotaderodap"/>
          <w:rFonts w:ascii="Arial Narrow" w:hAnsi="Arial Narrow"/>
        </w:rPr>
        <w:footnoteReference w:id="113"/>
      </w:r>
      <w:r w:rsidR="00E64EEB">
        <w:rPr>
          <w:rFonts w:ascii="Arial Narrow" w:hAnsi="Arial Narrow"/>
        </w:rPr>
        <w:t xml:space="preserve">. </w:t>
      </w:r>
      <w:r w:rsidR="009C0941">
        <w:rPr>
          <w:rFonts w:ascii="Arial Narrow" w:hAnsi="Arial Narrow"/>
        </w:rPr>
        <w:t xml:space="preserve">Até nas duas vezes </w:t>
      </w:r>
      <w:r w:rsidR="00E932A0">
        <w:rPr>
          <w:rFonts w:ascii="Arial Narrow" w:hAnsi="Arial Narrow"/>
        </w:rPr>
        <w:t xml:space="preserve">em </w:t>
      </w:r>
      <w:r w:rsidR="009C0941">
        <w:rPr>
          <w:rFonts w:ascii="Arial Narrow" w:hAnsi="Arial Narrow"/>
        </w:rPr>
        <w:t xml:space="preserve">que citou Wagner a </w:t>
      </w:r>
      <w:r w:rsidR="00D959AE">
        <w:rPr>
          <w:rFonts w:ascii="Arial Narrow" w:hAnsi="Arial Narrow"/>
        </w:rPr>
        <w:t>respeito</w:t>
      </w:r>
      <w:r w:rsidR="009C0941">
        <w:rPr>
          <w:rFonts w:ascii="Arial Narrow" w:hAnsi="Arial Narrow"/>
        </w:rPr>
        <w:t xml:space="preserve"> de Dühring, </w:t>
      </w:r>
      <w:r w:rsidR="00BB7A7E">
        <w:rPr>
          <w:rFonts w:ascii="Arial Narrow" w:hAnsi="Arial Narrow"/>
        </w:rPr>
        <w:t>Engels desprezou aquele traço que unia</w:t>
      </w:r>
      <w:r w:rsidR="006773D6">
        <w:rPr>
          <w:rFonts w:ascii="Arial Narrow" w:hAnsi="Arial Narrow"/>
        </w:rPr>
        <w:t xml:space="preserve"> duas figuras tão díspares</w:t>
      </w:r>
      <w:r w:rsidR="00D959AE">
        <w:rPr>
          <w:rStyle w:val="Refdenotaderodap"/>
          <w:rFonts w:ascii="Arial Narrow" w:hAnsi="Arial Narrow"/>
        </w:rPr>
        <w:footnoteReference w:id="114"/>
      </w:r>
      <w:r w:rsidR="00BB7A7E">
        <w:rPr>
          <w:rFonts w:ascii="Arial Narrow" w:hAnsi="Arial Narrow"/>
        </w:rPr>
        <w:t xml:space="preserve">. </w:t>
      </w:r>
      <w:r w:rsidR="004C1C09">
        <w:rPr>
          <w:rFonts w:ascii="Arial Narrow" w:hAnsi="Arial Narrow"/>
        </w:rPr>
        <w:t xml:space="preserve">Ora, </w:t>
      </w:r>
      <w:r w:rsidR="00FE296A">
        <w:rPr>
          <w:rFonts w:ascii="Arial Narrow" w:hAnsi="Arial Narrow"/>
        </w:rPr>
        <w:t xml:space="preserve">graças a </w:t>
      </w:r>
      <w:r w:rsidR="004C1C09">
        <w:rPr>
          <w:rFonts w:ascii="Arial Narrow" w:hAnsi="Arial Narrow"/>
        </w:rPr>
        <w:t xml:space="preserve">Theodor Fritsch, incansável </w:t>
      </w:r>
      <w:r w:rsidR="00BB7A7E">
        <w:rPr>
          <w:rFonts w:ascii="Arial Narrow" w:hAnsi="Arial Narrow"/>
        </w:rPr>
        <w:t>propagandista</w:t>
      </w:r>
      <w:r w:rsidR="004C1C09">
        <w:rPr>
          <w:rFonts w:ascii="Arial Narrow" w:hAnsi="Arial Narrow"/>
        </w:rPr>
        <w:t xml:space="preserve"> do anti-semitismo, </w:t>
      </w:r>
      <w:r w:rsidR="00FE296A">
        <w:rPr>
          <w:rFonts w:ascii="Arial Narrow" w:hAnsi="Arial Narrow"/>
        </w:rPr>
        <w:t xml:space="preserve">viria a </w:t>
      </w:r>
      <w:r w:rsidR="00833FB7">
        <w:rPr>
          <w:rFonts w:ascii="Arial Narrow" w:hAnsi="Arial Narrow"/>
        </w:rPr>
        <w:t>estabelec</w:t>
      </w:r>
      <w:r w:rsidR="00FE296A">
        <w:rPr>
          <w:rFonts w:ascii="Arial Narrow" w:hAnsi="Arial Narrow"/>
        </w:rPr>
        <w:t>er-se</w:t>
      </w:r>
      <w:r w:rsidR="00833FB7">
        <w:rPr>
          <w:rFonts w:ascii="Arial Narrow" w:hAnsi="Arial Narrow"/>
        </w:rPr>
        <w:t xml:space="preserve"> </w:t>
      </w:r>
      <w:r w:rsidR="004C1C09">
        <w:rPr>
          <w:rFonts w:ascii="Arial Narrow" w:hAnsi="Arial Narrow"/>
        </w:rPr>
        <w:t xml:space="preserve">uma linha de continuidade entre </w:t>
      </w:r>
      <w:r w:rsidR="00833FB7">
        <w:rPr>
          <w:rFonts w:ascii="Arial Narrow" w:hAnsi="Arial Narrow"/>
        </w:rPr>
        <w:t>Dühring e os doutrinadores do Terceiro Reich</w:t>
      </w:r>
      <w:r w:rsidR="00FE296A">
        <w:rPr>
          <w:rStyle w:val="Refdenotaderodap"/>
          <w:rFonts w:ascii="Arial Narrow" w:hAnsi="Arial Narrow"/>
        </w:rPr>
        <w:footnoteReference w:id="115"/>
      </w:r>
      <w:r w:rsidR="00833FB7">
        <w:rPr>
          <w:rFonts w:ascii="Arial Narrow" w:hAnsi="Arial Narrow"/>
        </w:rPr>
        <w:t xml:space="preserve">. Mesmo a primazia atribuída por Dühring à instância política relativamente à económica, que </w:t>
      </w:r>
      <w:r w:rsidR="00E932A0">
        <w:rPr>
          <w:rFonts w:ascii="Arial Narrow" w:hAnsi="Arial Narrow"/>
        </w:rPr>
        <w:t xml:space="preserve">haveria </w:t>
      </w:r>
      <w:r w:rsidR="00B7187B">
        <w:rPr>
          <w:rFonts w:ascii="Arial Narrow" w:hAnsi="Arial Narrow"/>
        </w:rPr>
        <w:t xml:space="preserve">mais tarde </w:t>
      </w:r>
      <w:r w:rsidR="00E932A0">
        <w:rPr>
          <w:rFonts w:ascii="Arial Narrow" w:hAnsi="Arial Narrow"/>
        </w:rPr>
        <w:t xml:space="preserve">de constituir </w:t>
      </w:r>
      <w:r w:rsidR="00833FB7">
        <w:rPr>
          <w:rFonts w:ascii="Arial Narrow" w:hAnsi="Arial Narrow"/>
        </w:rPr>
        <w:t xml:space="preserve">uma das facetas definidoras dos fascismos, </w:t>
      </w:r>
      <w:r w:rsidR="00D042CF">
        <w:rPr>
          <w:rFonts w:ascii="Arial Narrow" w:hAnsi="Arial Narrow"/>
        </w:rPr>
        <w:t>não serviu de pretexto a nenhuma das antecipações de que noutras obras Engels se revelou capaz</w:t>
      </w:r>
      <w:r w:rsidR="00B7187B">
        <w:rPr>
          <w:rStyle w:val="Refdenotaderodap"/>
          <w:rFonts w:ascii="Arial Narrow" w:hAnsi="Arial Narrow"/>
        </w:rPr>
        <w:footnoteReference w:id="116"/>
      </w:r>
      <w:r w:rsidR="00D042CF">
        <w:rPr>
          <w:rFonts w:ascii="Arial Narrow" w:hAnsi="Arial Narrow"/>
        </w:rPr>
        <w:t xml:space="preserve">. </w:t>
      </w:r>
      <w:r w:rsidR="00037AAB">
        <w:rPr>
          <w:rFonts w:ascii="Arial Narrow" w:hAnsi="Arial Narrow"/>
        </w:rPr>
        <w:t>Irei lon</w:t>
      </w:r>
      <w:r w:rsidR="00BB7A7E">
        <w:rPr>
          <w:rFonts w:ascii="Arial Narrow" w:hAnsi="Arial Narrow"/>
        </w:rPr>
        <w:t>g</w:t>
      </w:r>
      <w:r w:rsidR="00037AAB">
        <w:rPr>
          <w:rFonts w:ascii="Arial Narrow" w:hAnsi="Arial Narrow"/>
        </w:rPr>
        <w:t xml:space="preserve">e demais </w:t>
      </w:r>
      <w:r w:rsidR="00720A51">
        <w:rPr>
          <w:rFonts w:ascii="Arial Narrow" w:hAnsi="Arial Narrow"/>
        </w:rPr>
        <w:t>ao</w:t>
      </w:r>
      <w:r w:rsidR="006B16E0">
        <w:rPr>
          <w:rFonts w:ascii="Arial Narrow" w:hAnsi="Arial Narrow"/>
        </w:rPr>
        <w:t xml:space="preserve"> admitir </w:t>
      </w:r>
      <w:r w:rsidR="00CB7D46">
        <w:rPr>
          <w:rFonts w:ascii="Arial Narrow" w:hAnsi="Arial Narrow"/>
        </w:rPr>
        <w:t xml:space="preserve">que a contradição entre </w:t>
      </w:r>
      <w:r w:rsidR="00B7187B">
        <w:rPr>
          <w:rFonts w:ascii="Arial Narrow" w:hAnsi="Arial Narrow"/>
        </w:rPr>
        <w:t xml:space="preserve">a teoria económica e </w:t>
      </w:r>
      <w:r w:rsidR="00CB7D46">
        <w:rPr>
          <w:rFonts w:ascii="Arial Narrow" w:hAnsi="Arial Narrow"/>
        </w:rPr>
        <w:t xml:space="preserve">a prática política, que </w:t>
      </w:r>
      <w:r w:rsidR="00432CA3">
        <w:rPr>
          <w:rFonts w:ascii="Arial Narrow" w:hAnsi="Arial Narrow"/>
        </w:rPr>
        <w:t xml:space="preserve">introduziu </w:t>
      </w:r>
      <w:r w:rsidR="00B7187B">
        <w:rPr>
          <w:rFonts w:ascii="Arial Narrow" w:hAnsi="Arial Narrow"/>
        </w:rPr>
        <w:t>no marxismo</w:t>
      </w:r>
      <w:r w:rsidR="00B7187B" w:rsidRPr="00BB7A7E">
        <w:rPr>
          <w:rFonts w:ascii="Arial Narrow" w:hAnsi="Arial Narrow"/>
        </w:rPr>
        <w:t xml:space="preserve"> </w:t>
      </w:r>
      <w:r w:rsidR="00432CA3">
        <w:rPr>
          <w:rFonts w:ascii="Arial Narrow" w:hAnsi="Arial Narrow"/>
        </w:rPr>
        <w:t xml:space="preserve">uma </w:t>
      </w:r>
      <w:r w:rsidR="00720A51">
        <w:rPr>
          <w:rFonts w:ascii="Arial Narrow" w:hAnsi="Arial Narrow"/>
        </w:rPr>
        <w:lastRenderedPageBreak/>
        <w:t xml:space="preserve">grave </w:t>
      </w:r>
      <w:r w:rsidR="00432CA3">
        <w:rPr>
          <w:rFonts w:ascii="Arial Narrow" w:hAnsi="Arial Narrow"/>
        </w:rPr>
        <w:t xml:space="preserve">ambiguidade, foi responsável </w:t>
      </w:r>
      <w:r w:rsidR="00E87F68">
        <w:rPr>
          <w:rFonts w:ascii="Arial Narrow" w:hAnsi="Arial Narrow"/>
        </w:rPr>
        <w:t xml:space="preserve">pelo facto de Engels ter deixado escapar o único aspecto que </w:t>
      </w:r>
      <w:r w:rsidR="00B7187B">
        <w:rPr>
          <w:rFonts w:ascii="Arial Narrow" w:hAnsi="Arial Narrow"/>
        </w:rPr>
        <w:t xml:space="preserve">haveria de </w:t>
      </w:r>
      <w:r w:rsidR="00E87F68">
        <w:rPr>
          <w:rFonts w:ascii="Arial Narrow" w:hAnsi="Arial Narrow"/>
        </w:rPr>
        <w:t>conferi</w:t>
      </w:r>
      <w:r w:rsidR="00B7187B">
        <w:rPr>
          <w:rFonts w:ascii="Arial Narrow" w:hAnsi="Arial Narrow"/>
        </w:rPr>
        <w:t>r</w:t>
      </w:r>
      <w:r w:rsidR="00E87F68">
        <w:rPr>
          <w:rFonts w:ascii="Arial Narrow" w:hAnsi="Arial Narrow"/>
        </w:rPr>
        <w:t xml:space="preserve"> a Dühring alguma importância histórica? </w:t>
      </w:r>
    </w:p>
    <w:p w:rsidR="00CD12DC" w:rsidRPr="00F95336" w:rsidRDefault="00CD12DC" w:rsidP="00CD12DC">
      <w:pPr>
        <w:rPr>
          <w:rFonts w:ascii="Arial Narrow" w:hAnsi="Arial Narrow"/>
        </w:rPr>
      </w:pPr>
      <w:r>
        <w:rPr>
          <w:rFonts w:ascii="Arial Narrow" w:hAnsi="Arial Narrow"/>
        </w:rPr>
        <w:t xml:space="preserve">Nesta perspectiva, </w:t>
      </w:r>
      <w:r w:rsidR="00F360AC">
        <w:rPr>
          <w:rFonts w:ascii="Arial Narrow" w:hAnsi="Arial Narrow"/>
        </w:rPr>
        <w:t xml:space="preserve">não devemos considerar como simples aberrações </w:t>
      </w:r>
      <w:r w:rsidR="00DD3409">
        <w:rPr>
          <w:rFonts w:ascii="Arial Narrow" w:hAnsi="Arial Narrow"/>
        </w:rPr>
        <w:t>certos</w:t>
      </w:r>
      <w:r w:rsidR="00F360AC">
        <w:rPr>
          <w:rFonts w:ascii="Arial Narrow" w:hAnsi="Arial Narrow"/>
        </w:rPr>
        <w:t xml:space="preserve"> casos extremos, </w:t>
      </w:r>
      <w:r w:rsidR="00A23B90">
        <w:rPr>
          <w:rFonts w:ascii="Arial Narrow" w:hAnsi="Arial Narrow"/>
        </w:rPr>
        <w:t xml:space="preserve">pois sinalizam </w:t>
      </w:r>
      <w:r>
        <w:rPr>
          <w:rFonts w:ascii="Arial Narrow" w:hAnsi="Arial Narrow"/>
        </w:rPr>
        <w:t xml:space="preserve">um mal mais profundo. Foi o que sucedeu com o </w:t>
      </w:r>
      <w:r w:rsidRPr="00F95336">
        <w:rPr>
          <w:rFonts w:ascii="Arial Narrow" w:hAnsi="Arial Narrow"/>
        </w:rPr>
        <w:t xml:space="preserve">renomado matemático e cientista britânico Karl Pearson, criador da biometria e principal discípulo do fundador da eugenia, </w:t>
      </w:r>
      <w:r>
        <w:rPr>
          <w:rFonts w:ascii="Arial Narrow" w:hAnsi="Arial Narrow"/>
        </w:rPr>
        <w:t xml:space="preserve">cujo </w:t>
      </w:r>
      <w:r w:rsidRPr="00F95336">
        <w:rPr>
          <w:rFonts w:ascii="Arial Narrow" w:hAnsi="Arial Narrow"/>
        </w:rPr>
        <w:t>grande entusiasmo pelo marxismo</w:t>
      </w:r>
      <w:r>
        <w:rPr>
          <w:rFonts w:ascii="Arial Narrow" w:hAnsi="Arial Narrow"/>
        </w:rPr>
        <w:t xml:space="preserve"> se devia ao facto de ver nele </w:t>
      </w:r>
      <w:r w:rsidRPr="00F95336">
        <w:rPr>
          <w:rFonts w:ascii="Arial Narrow" w:hAnsi="Arial Narrow"/>
        </w:rPr>
        <w:t xml:space="preserve">um </w:t>
      </w:r>
      <w:r>
        <w:rPr>
          <w:rFonts w:ascii="Arial Narrow" w:hAnsi="Arial Narrow"/>
        </w:rPr>
        <w:t xml:space="preserve">instrumento de reforço do </w:t>
      </w:r>
      <w:r w:rsidRPr="00F95336">
        <w:rPr>
          <w:rFonts w:ascii="Arial Narrow" w:hAnsi="Arial Narrow"/>
        </w:rPr>
        <w:t xml:space="preserve">Estado, </w:t>
      </w:r>
      <w:r>
        <w:rPr>
          <w:rFonts w:ascii="Arial Narrow" w:hAnsi="Arial Narrow"/>
        </w:rPr>
        <w:t xml:space="preserve">capaz </w:t>
      </w:r>
      <w:r w:rsidRPr="00F95336">
        <w:rPr>
          <w:rFonts w:ascii="Arial Narrow" w:hAnsi="Arial Narrow"/>
        </w:rPr>
        <w:t xml:space="preserve">de criar condições para impor uma legislação racial. Pearson defendia uma intervenção conjugada no plano biológico, estimulando a procriação entre os elementos considerados superiores e limitando ou impedindo a reprodução dos elementos </w:t>
      </w:r>
      <w:r w:rsidR="0009783C" w:rsidRPr="00F95336">
        <w:rPr>
          <w:rFonts w:ascii="Arial Narrow" w:hAnsi="Arial Narrow"/>
        </w:rPr>
        <w:t xml:space="preserve">considerados </w:t>
      </w:r>
      <w:r w:rsidRPr="00F95336">
        <w:rPr>
          <w:rFonts w:ascii="Arial Narrow" w:hAnsi="Arial Narrow"/>
        </w:rPr>
        <w:t xml:space="preserve">inferiores, e no plano social, limitando ou abolindo as medidas de auxílio económico e sanitário às camadas mais pobres, tidas como degeneradas, e restringindo a imigração de pessoas etnicamente indesejáveis. De arma política e económica do proletariado na luta de classes, </w:t>
      </w:r>
      <w:r w:rsidR="00DE4F52">
        <w:rPr>
          <w:rFonts w:ascii="Arial Narrow" w:hAnsi="Arial Narrow"/>
        </w:rPr>
        <w:t>a</w:t>
      </w:r>
      <w:r w:rsidRPr="00F95336">
        <w:rPr>
          <w:rFonts w:ascii="Arial Narrow" w:hAnsi="Arial Narrow"/>
        </w:rPr>
        <w:t xml:space="preserve"> </w:t>
      </w:r>
      <w:r w:rsidR="00DE4F52">
        <w:rPr>
          <w:rFonts w:ascii="Arial Narrow" w:hAnsi="Arial Narrow"/>
        </w:rPr>
        <w:t xml:space="preserve">conquista do </w:t>
      </w:r>
      <w:r w:rsidRPr="00F95336">
        <w:rPr>
          <w:rFonts w:ascii="Arial Narrow" w:hAnsi="Arial Narrow"/>
        </w:rPr>
        <w:t>Estado fic</w:t>
      </w:r>
      <w:r>
        <w:rPr>
          <w:rFonts w:ascii="Arial Narrow" w:hAnsi="Arial Narrow"/>
        </w:rPr>
        <w:t>ou</w:t>
      </w:r>
      <w:r w:rsidRPr="00F95336">
        <w:rPr>
          <w:rFonts w:ascii="Arial Narrow" w:hAnsi="Arial Narrow"/>
        </w:rPr>
        <w:t xml:space="preserve"> convertid</w:t>
      </w:r>
      <w:r w:rsidR="00DE4F52">
        <w:rPr>
          <w:rFonts w:ascii="Arial Narrow" w:hAnsi="Arial Narrow"/>
        </w:rPr>
        <w:t>a</w:t>
      </w:r>
      <w:r w:rsidRPr="00F95336">
        <w:rPr>
          <w:rFonts w:ascii="Arial Narrow" w:hAnsi="Arial Narrow"/>
        </w:rPr>
        <w:t xml:space="preserve"> por este simpatizante do marxismo em arma racial de uma nação na luta pela hegemonia biológica</w:t>
      </w:r>
      <w:r w:rsidRPr="00F95336">
        <w:rPr>
          <w:rStyle w:val="Refdenotaderodap"/>
          <w:rFonts w:ascii="Arial Narrow" w:hAnsi="Arial Narrow"/>
        </w:rPr>
        <w:footnoteReference w:id="117"/>
      </w:r>
      <w:r w:rsidRPr="00F95336">
        <w:rPr>
          <w:rFonts w:ascii="Arial Narrow" w:hAnsi="Arial Narrow"/>
        </w:rPr>
        <w:t xml:space="preserve">. Não se tratou de uma anomalia, e se passarmos para o nível rasteiro da literatura de divulgação pretensamente científica, um dos publicistas que alcançou maior </w:t>
      </w:r>
      <w:r>
        <w:rPr>
          <w:rFonts w:ascii="Arial Narrow" w:hAnsi="Arial Narrow"/>
        </w:rPr>
        <w:t>celebridade</w:t>
      </w:r>
      <w:r w:rsidRPr="00F95336">
        <w:rPr>
          <w:rFonts w:ascii="Arial Narrow" w:hAnsi="Arial Narrow"/>
        </w:rPr>
        <w:t xml:space="preserve"> no racismo europeu, Vacher de Lapouge, inici</w:t>
      </w:r>
      <w:r>
        <w:rPr>
          <w:rFonts w:ascii="Arial Narrow" w:hAnsi="Arial Narrow"/>
        </w:rPr>
        <w:t>ara</w:t>
      </w:r>
      <w:r w:rsidRPr="00F95336">
        <w:rPr>
          <w:rFonts w:ascii="Arial Narrow" w:hAnsi="Arial Narrow"/>
        </w:rPr>
        <w:t xml:space="preserve"> a carreira política no partido de Jules Guesde e Paul Lafargue, precisamente o bastião da ortodoxia marxista em França, e fo</w:t>
      </w:r>
      <w:r>
        <w:rPr>
          <w:rFonts w:ascii="Arial Narrow" w:hAnsi="Arial Narrow"/>
        </w:rPr>
        <w:t>ra</w:t>
      </w:r>
      <w:r w:rsidRPr="00F95336">
        <w:rPr>
          <w:rFonts w:ascii="Arial Narrow" w:hAnsi="Arial Narrow"/>
        </w:rPr>
        <w:t xml:space="preserve"> ainda durante a sua fase de activo militante socialista que começ</w:t>
      </w:r>
      <w:r>
        <w:rPr>
          <w:rFonts w:ascii="Arial Narrow" w:hAnsi="Arial Narrow"/>
        </w:rPr>
        <w:t>ara</w:t>
      </w:r>
      <w:r w:rsidRPr="00F95336">
        <w:rPr>
          <w:rFonts w:ascii="Arial Narrow" w:hAnsi="Arial Narrow"/>
        </w:rPr>
        <w:t xml:space="preserve"> a interessar-se pelas teorias raciais</w:t>
      </w:r>
      <w:r w:rsidRPr="00F95336">
        <w:rPr>
          <w:rStyle w:val="Refdenotaderodap"/>
          <w:rFonts w:ascii="Arial Narrow" w:hAnsi="Arial Narrow"/>
        </w:rPr>
        <w:footnoteReference w:id="118"/>
      </w:r>
      <w:r w:rsidRPr="00F95336">
        <w:rPr>
          <w:rFonts w:ascii="Arial Narrow" w:hAnsi="Arial Narrow"/>
        </w:rPr>
        <w:t>. Do outro lado da fronteira apresentou um percurso idêntico o alemão Ludwig Woltmann, também ele marxista e racista, que viria a exercer uma grande influência sobre o movimento eugenista do seu país</w:t>
      </w:r>
      <w:r w:rsidRPr="00F95336">
        <w:rPr>
          <w:rStyle w:val="Refdenotaderodap"/>
          <w:rFonts w:ascii="Arial Narrow" w:hAnsi="Arial Narrow"/>
        </w:rPr>
        <w:footnoteReference w:id="119"/>
      </w:r>
      <w:r w:rsidRPr="00F95336">
        <w:rPr>
          <w:rFonts w:ascii="Arial Narrow" w:hAnsi="Arial Narrow"/>
        </w:rPr>
        <w:t xml:space="preserve">. Dando uma conotação biológica às categorias marxistas, Woltmann procurou conjugar o princípio da luta entre classes e o princípio da luta entre raças. O modelo darwiniano da selecção natural serviu-lhe para </w:t>
      </w:r>
      <w:r>
        <w:rPr>
          <w:rFonts w:ascii="Arial Narrow" w:hAnsi="Arial Narrow"/>
        </w:rPr>
        <w:t xml:space="preserve">justificar </w:t>
      </w:r>
      <w:r w:rsidRPr="00F95336">
        <w:rPr>
          <w:rFonts w:ascii="Arial Narrow" w:hAnsi="Arial Narrow"/>
        </w:rPr>
        <w:t xml:space="preserve">uma perspectiva que considerava o proletariado, ou pelo menos a burocracia social-democrata, </w:t>
      </w:r>
      <w:r>
        <w:rPr>
          <w:rFonts w:ascii="Arial Narrow" w:hAnsi="Arial Narrow"/>
        </w:rPr>
        <w:t>como uma</w:t>
      </w:r>
      <w:r w:rsidRPr="00F95336">
        <w:rPr>
          <w:rFonts w:ascii="Arial Narrow" w:hAnsi="Arial Narrow"/>
        </w:rPr>
        <w:t xml:space="preserve"> nova elite racial, destinada pela história a substituir a elite burguesa decadente</w:t>
      </w:r>
      <w:r w:rsidRPr="00F95336">
        <w:rPr>
          <w:rStyle w:val="Refdenotaderodap"/>
          <w:rFonts w:ascii="Arial Narrow" w:hAnsi="Arial Narrow"/>
        </w:rPr>
        <w:footnoteReference w:id="120"/>
      </w:r>
      <w:r w:rsidRPr="00F95336">
        <w:rPr>
          <w:rFonts w:ascii="Arial Narrow" w:hAnsi="Arial Narrow"/>
        </w:rPr>
        <w:t xml:space="preserve">. Quando sabemos que as doutrinas de Woltmann influenciaram Lanz von Liebenfels, a mais estranha das figuras de um universo ideológico onde no entanto não rareavam singularidades, autor de uma </w:t>
      </w:r>
      <w:r w:rsidRPr="00F95336">
        <w:rPr>
          <w:rFonts w:ascii="Arial Narrow" w:hAnsi="Arial Narrow"/>
          <w:i/>
        </w:rPr>
        <w:t>Teozoologia</w:t>
      </w:r>
      <w:r w:rsidRPr="00F95336">
        <w:rPr>
          <w:rFonts w:ascii="Arial Narrow" w:hAnsi="Arial Narrow"/>
        </w:rPr>
        <w:t xml:space="preserve"> em que a Bíblia se confundia com a eugenia num projecto de criação de uma raça de super-homens e fundador de uma associação esotérica que contou </w:t>
      </w:r>
      <w:r>
        <w:rPr>
          <w:rFonts w:ascii="Arial Narrow" w:hAnsi="Arial Narrow"/>
        </w:rPr>
        <w:t>com as simpatias d</w:t>
      </w:r>
      <w:r w:rsidRPr="00F95336">
        <w:rPr>
          <w:rFonts w:ascii="Arial Narrow" w:hAnsi="Arial Narrow"/>
        </w:rPr>
        <w:t xml:space="preserve">o jovem </w:t>
      </w:r>
      <w:r w:rsidRPr="00F95336">
        <w:rPr>
          <w:rFonts w:ascii="Arial Narrow" w:hAnsi="Arial Narrow"/>
        </w:rPr>
        <w:lastRenderedPageBreak/>
        <w:t>Hitler</w:t>
      </w:r>
      <w:r w:rsidRPr="00F95336">
        <w:rPr>
          <w:rStyle w:val="Refdenotaderodap"/>
          <w:rFonts w:ascii="Arial Narrow" w:hAnsi="Arial Narrow"/>
        </w:rPr>
        <w:footnoteReference w:id="121"/>
      </w:r>
      <w:r w:rsidRPr="00F95336">
        <w:rPr>
          <w:rFonts w:ascii="Arial Narrow" w:hAnsi="Arial Narrow"/>
        </w:rPr>
        <w:t xml:space="preserve">, concluímos que na primeira geração dos discípulos de Marx não nos limitamos a encontrar uma sinistra </w:t>
      </w:r>
      <w:r w:rsidR="003C0599">
        <w:rPr>
          <w:rFonts w:ascii="Arial Narrow" w:hAnsi="Arial Narrow"/>
        </w:rPr>
        <w:t>antecipação</w:t>
      </w:r>
      <w:r w:rsidRPr="00F95336">
        <w:rPr>
          <w:rFonts w:ascii="Arial Narrow" w:hAnsi="Arial Narrow"/>
        </w:rPr>
        <w:t xml:space="preserve"> de certas perversões futuras, mas pelo menos num caso detectamos o começo de um eixo de continuidade que levou ao racismo </w:t>
      </w:r>
      <w:r w:rsidR="003C0599">
        <w:rPr>
          <w:rFonts w:ascii="Arial Narrow" w:hAnsi="Arial Narrow"/>
        </w:rPr>
        <w:t>nacional-socialista</w:t>
      </w:r>
      <w:r w:rsidRPr="00F95336">
        <w:rPr>
          <w:rFonts w:ascii="Arial Narrow" w:hAnsi="Arial Narrow"/>
        </w:rPr>
        <w:t xml:space="preserve">. E seria realmente necessário invocar Darwin, se em textos incontáveis Engels e Marx transpuseram a luta das classes para </w:t>
      </w:r>
      <w:r>
        <w:rPr>
          <w:rFonts w:ascii="Arial Narrow" w:hAnsi="Arial Narrow"/>
        </w:rPr>
        <w:t xml:space="preserve">um confronto de </w:t>
      </w:r>
      <w:r w:rsidRPr="00F95336">
        <w:rPr>
          <w:rFonts w:ascii="Arial Narrow" w:hAnsi="Arial Narrow"/>
        </w:rPr>
        <w:t>nações entendid</w:t>
      </w:r>
      <w:r>
        <w:rPr>
          <w:rFonts w:ascii="Arial Narrow" w:hAnsi="Arial Narrow"/>
        </w:rPr>
        <w:t>o</w:t>
      </w:r>
      <w:r w:rsidRPr="00F95336">
        <w:rPr>
          <w:rFonts w:ascii="Arial Narrow" w:hAnsi="Arial Narrow"/>
        </w:rPr>
        <w:t xml:space="preserve"> como luta entre etnias, fundindo de maneira espúria duas abordagens inconciliáveis? Os darwinianos e os eugenistas ajudaram apenas a transferir para o plano biológico a pretensa homogeneidade de cada cultura nacional, convertendo as </w:t>
      </w:r>
      <w:r>
        <w:rPr>
          <w:rFonts w:ascii="Arial Narrow" w:hAnsi="Arial Narrow"/>
        </w:rPr>
        <w:t>etnias</w:t>
      </w:r>
      <w:r w:rsidRPr="00F95336">
        <w:rPr>
          <w:rFonts w:ascii="Arial Narrow" w:hAnsi="Arial Narrow"/>
        </w:rPr>
        <w:t xml:space="preserve"> em raças. </w:t>
      </w:r>
    </w:p>
    <w:p w:rsidR="00CD12DC" w:rsidRPr="00F95336" w:rsidRDefault="00CD12DC" w:rsidP="00CD12DC">
      <w:pPr>
        <w:rPr>
          <w:rFonts w:ascii="Arial Narrow" w:hAnsi="Arial Narrow"/>
        </w:rPr>
      </w:pPr>
      <w:r w:rsidRPr="00F95336">
        <w:rPr>
          <w:rFonts w:ascii="Arial Narrow" w:hAnsi="Arial Narrow"/>
        </w:rPr>
        <w:t xml:space="preserve">As lutas da classe trabalhadora têm ocorrido em territórios repartidos por Estados e em esferas culturais divididas por nações. Mas não é menos exacto que, simultaneamente, sob o verniz da coesão institucional e cultural se reproduzem os antagonismos de classe. Por um lado, a classe trabalhadora, apesar de a sua existência económica se definir </w:t>
      </w:r>
      <w:r>
        <w:rPr>
          <w:rFonts w:ascii="Arial Narrow" w:hAnsi="Arial Narrow"/>
        </w:rPr>
        <w:t>no</w:t>
      </w:r>
      <w:r w:rsidRPr="00F95336">
        <w:rPr>
          <w:rFonts w:ascii="Arial Narrow" w:hAnsi="Arial Narrow"/>
        </w:rPr>
        <w:t xml:space="preserve"> plano mundial, só raramente conseguiu atingir um inter-relacionamento social que ultrapassasse as fronteiras nacionais. Por outro lado, porém, as lutas de nações, embora tendam a promover a solidariedade entre as várias classes representadas em cada país ou suscitem activamente esta solidariedade em defesa da independência do Estado, processam-se de maneiras distintas consoante as classes. O patriotismo é um factor de conciliação interna, mas é vivido, tanto política como culturalmente, de maneira diferente pelos exploradores e pelos explorados. Esta clivagem, </w:t>
      </w:r>
      <w:r w:rsidR="005B78A9">
        <w:rPr>
          <w:rFonts w:ascii="Arial Narrow" w:hAnsi="Arial Narrow"/>
        </w:rPr>
        <w:t>todavia</w:t>
      </w:r>
      <w:r w:rsidR="00DC5631">
        <w:rPr>
          <w:rFonts w:ascii="Arial Narrow" w:hAnsi="Arial Narrow"/>
        </w:rPr>
        <w:t xml:space="preserve">, </w:t>
      </w:r>
      <w:r w:rsidRPr="00F95336">
        <w:rPr>
          <w:rFonts w:ascii="Arial Narrow" w:hAnsi="Arial Narrow"/>
        </w:rPr>
        <w:t xml:space="preserve">em vez de fornecer uma solução, representa propriamente o problema. Encontrando algumas possibilidades de exercício na esfera das rivalidades nacionais, através de uma modalidade proletária de patriotismo que se distingue do patriotismo dos capitalistas, a vontade de emancipação da classe trabalhadora tem-se prendido nestes limites, sem os ultrapassar no único terreno que lhe garantiria uma acção autónoma, ou seja, sem se pronunciar contra os Estados, por cima das fronteiras e de todo o tipo de divisões. O facto de o nacionalismo se reproduzir em versões diferentes, consoante as classes sociais, constitui a mais poderosa armadilha, protelando o desenvolvimento do internacionalismo. </w:t>
      </w:r>
    </w:p>
    <w:p w:rsidR="00CD12DC" w:rsidRPr="00F95336" w:rsidRDefault="00CD12DC" w:rsidP="00CD12DC">
      <w:pPr>
        <w:rPr>
          <w:rFonts w:ascii="Arial Narrow" w:hAnsi="Arial Narrow"/>
        </w:rPr>
      </w:pPr>
      <w:r>
        <w:rPr>
          <w:rFonts w:ascii="Arial Narrow" w:hAnsi="Arial Narrow"/>
        </w:rPr>
        <w:t>A questão é prática</w:t>
      </w:r>
      <w:r w:rsidRPr="00F95336">
        <w:rPr>
          <w:rFonts w:ascii="Arial Narrow" w:hAnsi="Arial Narrow"/>
        </w:rPr>
        <w:t xml:space="preserve"> antes de ser teórica. A dialéctica entre a existência internacional da classe trabalhadora e o quadro nacional em que se tem processado a esmagadora maioria das suas lutas, expressa no paradoxo das clivagens de classe internas aos nacionalismos, só poderá esclarecer-se quando os explorados tiverem unificado ambos os campos de actuação num mesmo processo de ruptura social. Até então continuar-se-á a oscilar entre os anseios </w:t>
      </w:r>
      <w:r w:rsidRPr="00F95336">
        <w:rPr>
          <w:rFonts w:ascii="Arial Narrow" w:hAnsi="Arial Narrow"/>
        </w:rPr>
        <w:lastRenderedPageBreak/>
        <w:t>revolucionários do internacionalismo, utópicos n</w:t>
      </w:r>
      <w:r w:rsidR="003C0599">
        <w:rPr>
          <w:rFonts w:ascii="Arial Narrow" w:hAnsi="Arial Narrow"/>
        </w:rPr>
        <w:t>o imediato</w:t>
      </w:r>
      <w:r w:rsidRPr="00F95336">
        <w:rPr>
          <w:rFonts w:ascii="Arial Narrow" w:hAnsi="Arial Narrow"/>
        </w:rPr>
        <w:t xml:space="preserve">, e o realismo da inclusão em fronteiras, condenado a reproduzir e reforçar a ordem capitalista. </w:t>
      </w:r>
    </w:p>
    <w:p w:rsidR="00CD12DC" w:rsidRPr="00F95336" w:rsidRDefault="00CD12DC" w:rsidP="0027740E">
      <w:pPr>
        <w:keepNext/>
        <w:spacing w:before="720" w:after="360"/>
        <w:ind w:firstLine="0"/>
        <w:jc w:val="center"/>
        <w:rPr>
          <w:rFonts w:ascii="Arial Narrow" w:hAnsi="Arial Narrow"/>
          <w:b/>
          <w:sz w:val="28"/>
        </w:rPr>
      </w:pPr>
      <w:r w:rsidRPr="00F95336">
        <w:rPr>
          <w:rFonts w:ascii="Arial Narrow" w:hAnsi="Arial Narrow"/>
          <w:b/>
          <w:sz w:val="28"/>
        </w:rPr>
        <w:t>3. O colonialismo socialista da Segunda Internacional</w:t>
      </w:r>
    </w:p>
    <w:p w:rsidR="00CD12DC" w:rsidRPr="00F95336" w:rsidRDefault="00CD12DC" w:rsidP="00CD12DC">
      <w:pPr>
        <w:rPr>
          <w:rFonts w:ascii="Arial Narrow" w:hAnsi="Arial Narrow"/>
        </w:rPr>
      </w:pPr>
      <w:r w:rsidRPr="00F95336">
        <w:rPr>
          <w:rFonts w:ascii="Arial Narrow" w:hAnsi="Arial Narrow"/>
        </w:rPr>
        <w:t xml:space="preserve">No Congresso de Amsterdão da Segunda Internacional, reunido em 1904, foram designados dois relatores para a questão colonial. Um deles, </w:t>
      </w:r>
      <w:r w:rsidR="007C35FD" w:rsidRPr="00F95336">
        <w:rPr>
          <w:rFonts w:ascii="Arial Narrow" w:hAnsi="Arial Narrow"/>
        </w:rPr>
        <w:t xml:space="preserve">Henry Mayers </w:t>
      </w:r>
      <w:r w:rsidRPr="00F95336">
        <w:rPr>
          <w:rFonts w:ascii="Arial Narrow" w:hAnsi="Arial Narrow"/>
        </w:rPr>
        <w:t>Hyndman, promovera sempre apaixonadamente a posição anti-imperialista, até que o começo da Grande Guerra, em 1914, o precipit</w:t>
      </w:r>
      <w:r>
        <w:rPr>
          <w:rFonts w:ascii="Arial Narrow" w:hAnsi="Arial Narrow"/>
        </w:rPr>
        <w:t>ou</w:t>
      </w:r>
      <w:r w:rsidRPr="00F95336">
        <w:rPr>
          <w:rFonts w:ascii="Arial Narrow" w:hAnsi="Arial Narrow"/>
        </w:rPr>
        <w:t xml:space="preserve">, </w:t>
      </w:r>
      <w:r w:rsidR="00F248E6">
        <w:rPr>
          <w:rFonts w:ascii="Arial Narrow" w:hAnsi="Arial Narrow"/>
        </w:rPr>
        <w:t xml:space="preserve">como </w:t>
      </w:r>
      <w:r w:rsidRPr="00F95336">
        <w:rPr>
          <w:rFonts w:ascii="Arial Narrow" w:hAnsi="Arial Narrow"/>
        </w:rPr>
        <w:t>a tantos outros, para o campo do patriotismo e a defesa de um socialismo nacionalista</w:t>
      </w:r>
      <w:r w:rsidRPr="00F95336">
        <w:rPr>
          <w:rStyle w:val="Refdenotaderodap"/>
          <w:rFonts w:ascii="Arial Narrow" w:hAnsi="Arial Narrow"/>
        </w:rPr>
        <w:footnoteReference w:id="122"/>
      </w:r>
      <w:r w:rsidRPr="00F95336">
        <w:rPr>
          <w:rFonts w:ascii="Arial Narrow" w:hAnsi="Arial Narrow"/>
        </w:rPr>
        <w:t xml:space="preserve">. Era um personagem curioso, Hyndman, o primeiro britânico a escrever obras marxistas de reconhecido interesse teórico e que apesar disto </w:t>
      </w:r>
      <w:r w:rsidR="007C35FD">
        <w:rPr>
          <w:rFonts w:ascii="Arial Narrow" w:hAnsi="Arial Narrow"/>
        </w:rPr>
        <w:t>—</w:t>
      </w:r>
      <w:r w:rsidRPr="00F95336">
        <w:rPr>
          <w:rFonts w:ascii="Arial Narrow" w:hAnsi="Arial Narrow"/>
        </w:rPr>
        <w:t xml:space="preserve"> ou talvez por isto mesmo </w:t>
      </w:r>
      <w:r w:rsidR="007C35FD">
        <w:rPr>
          <w:rFonts w:ascii="Arial Narrow" w:hAnsi="Arial Narrow"/>
        </w:rPr>
        <w:t>—</w:t>
      </w:r>
      <w:r w:rsidRPr="00F95336">
        <w:rPr>
          <w:rFonts w:ascii="Arial Narrow" w:hAnsi="Arial Narrow"/>
        </w:rPr>
        <w:t xml:space="preserve"> conseguiu cortar relações com Marx e incompatibilizar-se politicamente com Engels. Sem dúvida uma tal façanha significa alguma coisa, embora eu não saiba o quê. O outro relator era Hendrik van Kol, engenheiro holandês que vivera muitos anos nas Índias Orientais e formara aí a visão de um colonialismo paternalista, impondo-a mais tarde ao partido social-democrata do seu país, de que era um dos deputados e em que figurava como o principal responsável pelos assuntos coloniais. No relatório para o congresso de 1904 van Kol previ</w:t>
      </w:r>
      <w:r>
        <w:rPr>
          <w:rFonts w:ascii="Arial Narrow" w:hAnsi="Arial Narrow"/>
        </w:rPr>
        <w:t>u</w:t>
      </w:r>
      <w:r w:rsidRPr="00F95336">
        <w:rPr>
          <w:rFonts w:ascii="Arial Narrow" w:hAnsi="Arial Narrow"/>
        </w:rPr>
        <w:t xml:space="preserve"> o aparecimento de um colonialismo socialista, afirmando que «as novas necessidades que se farão sentir depois da vitória da classe operária e da sua emancipação económica exigirão a posse de colónias mesmo sob o regime socialista do futuro»</w:t>
      </w:r>
      <w:r w:rsidRPr="00F95336">
        <w:rPr>
          <w:rStyle w:val="Refdenotaderodap"/>
          <w:rFonts w:ascii="Arial Narrow" w:hAnsi="Arial Narrow"/>
        </w:rPr>
        <w:footnoteReference w:id="123"/>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Não menos interessante do que o conteúdo des</w:t>
      </w:r>
      <w:r w:rsidR="005C4FD4">
        <w:rPr>
          <w:rFonts w:ascii="Arial Narrow" w:hAnsi="Arial Narrow"/>
        </w:rPr>
        <w:t>s</w:t>
      </w:r>
      <w:r w:rsidRPr="00F95336">
        <w:rPr>
          <w:rFonts w:ascii="Arial Narrow" w:hAnsi="Arial Narrow"/>
        </w:rPr>
        <w:t xml:space="preserve">e relatório é o facto de o confronto entre ambas as orientações se ter restringido à comissão especializada, pois na sessão plenária do congresso foi apresentada uma moção de compromisso que se limitava a repudiar a «política colonial capitalista», sem rejeitar expressamente todos os tipos de </w:t>
      </w:r>
      <w:r w:rsidR="00DF6483">
        <w:rPr>
          <w:rFonts w:ascii="Arial Narrow" w:hAnsi="Arial Narrow"/>
        </w:rPr>
        <w:t>política colonial</w:t>
      </w:r>
      <w:r w:rsidRPr="00F95336">
        <w:rPr>
          <w:rFonts w:ascii="Arial Narrow" w:hAnsi="Arial Narrow"/>
        </w:rPr>
        <w:t>, e prometia promover «todas as reformas destinadas a melhorar a situação das populações coloniais: criação de escolas, higiene, obras públicas»</w:t>
      </w:r>
      <w:r w:rsidRPr="00F95336">
        <w:rPr>
          <w:rStyle w:val="Refdenotaderodap"/>
          <w:rFonts w:ascii="Arial Narrow" w:hAnsi="Arial Narrow"/>
        </w:rPr>
        <w:footnoteReference w:id="124"/>
      </w:r>
      <w:r w:rsidRPr="00F95336">
        <w:rPr>
          <w:rFonts w:ascii="Arial Narrow" w:hAnsi="Arial Narrow"/>
        </w:rPr>
        <w:t xml:space="preserve">. Com o pretexto de tranquilizar as consciências metropolitanas, tratava-se de prosseguir nos territórios colonizados a edificação das condições gerais de produção capitalistas. Nesta moção conciliatória não parece ter sido a posição de Hyndman a prevalecer. Aliás, a esquerda da social-democracia holandesa, embora estivesse então a unificar-se para lutar contra o reformismo dominante no seu partido, ainda não atacara </w:t>
      </w:r>
      <w:r w:rsidRPr="00F95336">
        <w:rPr>
          <w:rFonts w:ascii="Arial Narrow" w:hAnsi="Arial Narrow"/>
        </w:rPr>
        <w:lastRenderedPageBreak/>
        <w:t>publicamente a orientação defendida por van Kol</w:t>
      </w:r>
      <w:r w:rsidRPr="00F95336">
        <w:rPr>
          <w:rStyle w:val="Refdenotaderodap"/>
          <w:rFonts w:ascii="Arial Narrow" w:hAnsi="Arial Narrow"/>
        </w:rPr>
        <w:footnoteReference w:id="125"/>
      </w:r>
      <w:r w:rsidRPr="00F95336">
        <w:rPr>
          <w:rFonts w:ascii="Arial Narrow" w:hAnsi="Arial Narrow"/>
        </w:rPr>
        <w:t>. A herança colonial não assustava os socialistas e é nesta perspectiva que deverá um dia analisar-se uma questão até agora descurada, o interesse que tantos membros da Segunda Internacional revelaram pela eugenia</w:t>
      </w:r>
      <w:r w:rsidRPr="00F95336">
        <w:rPr>
          <w:rStyle w:val="Refdenotaderodap"/>
          <w:rFonts w:ascii="Arial Narrow" w:hAnsi="Arial Narrow"/>
        </w:rPr>
        <w:footnoteReference w:id="126"/>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Personalidades de renome, como Eduard Bernstein, que fora amigo e colaborador de Engels, por ele designado como seu executor testamentário, e que, talvez assumindo a sério estas funções, pouco depois da morte do mestre começara a propor uma versão gradualista e reformista do marxismo, tornando-se o principal teórico da ala moderada da Segunda Internacional; Émile Vandervelde, a figura mais prestigiada, quase incontestada, do Partido Operário Belga, que ocupava na Internacional as funções de presidente do secretariado permanente; Jean Jaurès, a quem, talvez mais do que a qualquer outro, se deveu a unificação das várias correntes do socialismo francês e a criação da SFIO, onde a sua personalidade e o seu considerável saber o situavam muito acima de companheiros e rivais </w:t>
      </w:r>
      <w:r w:rsidR="007C35FD">
        <w:rPr>
          <w:rFonts w:ascii="Arial Narrow" w:hAnsi="Arial Narrow"/>
        </w:rPr>
        <w:t>—</w:t>
      </w:r>
      <w:r w:rsidRPr="00F95336">
        <w:rPr>
          <w:rFonts w:ascii="Arial Narrow" w:hAnsi="Arial Narrow"/>
        </w:rPr>
        <w:t xml:space="preserve"> todos eles defendiam </w:t>
      </w:r>
      <w:r>
        <w:rPr>
          <w:rFonts w:ascii="Arial Narrow" w:hAnsi="Arial Narrow"/>
        </w:rPr>
        <w:t xml:space="preserve">para </w:t>
      </w:r>
      <w:r w:rsidR="00383453">
        <w:rPr>
          <w:rFonts w:ascii="Arial Narrow" w:hAnsi="Arial Narrow"/>
        </w:rPr>
        <w:t xml:space="preserve">a </w:t>
      </w:r>
      <w:r w:rsidRPr="00F95336">
        <w:rPr>
          <w:rFonts w:ascii="Arial Narrow" w:hAnsi="Arial Narrow"/>
        </w:rPr>
        <w:t>África e o Oriente uma «política colonial positiva»</w:t>
      </w:r>
      <w:r w:rsidRPr="00F95336">
        <w:rPr>
          <w:rStyle w:val="Refdenotaderodap"/>
          <w:rFonts w:ascii="Arial Narrow" w:hAnsi="Arial Narrow"/>
        </w:rPr>
        <w:footnoteReference w:id="127"/>
      </w:r>
      <w:r w:rsidRPr="00F95336">
        <w:rPr>
          <w:rFonts w:ascii="Arial Narrow" w:hAnsi="Arial Narrow"/>
        </w:rPr>
        <w:t>. E mesmo um notáve</w:t>
      </w:r>
      <w:r>
        <w:rPr>
          <w:rFonts w:ascii="Arial Narrow" w:hAnsi="Arial Narrow"/>
        </w:rPr>
        <w:t>l</w:t>
      </w:r>
      <w:r w:rsidRPr="00F95336">
        <w:rPr>
          <w:rFonts w:ascii="Arial Narrow" w:hAnsi="Arial Narrow"/>
        </w:rPr>
        <w:t xml:space="preserve"> filósofo</w:t>
      </w:r>
      <w:r>
        <w:rPr>
          <w:rFonts w:ascii="Arial Narrow" w:hAnsi="Arial Narrow"/>
        </w:rPr>
        <w:t xml:space="preserve"> marxista</w:t>
      </w:r>
      <w:r w:rsidRPr="00F95336">
        <w:rPr>
          <w:rFonts w:ascii="Arial Narrow" w:hAnsi="Arial Narrow"/>
        </w:rPr>
        <w:t>, Antonio Labriola, apesar de se situar próximo da vertente esquerdista, lament</w:t>
      </w:r>
      <w:r>
        <w:rPr>
          <w:rFonts w:ascii="Arial Narrow" w:hAnsi="Arial Narrow"/>
        </w:rPr>
        <w:t>ou</w:t>
      </w:r>
      <w:r w:rsidRPr="00F95336">
        <w:rPr>
          <w:rFonts w:ascii="Arial Narrow" w:hAnsi="Arial Narrow"/>
        </w:rPr>
        <w:t xml:space="preserve"> que a Itália não tivesse ocupado a Tunísia ou o Egipto e apel</w:t>
      </w:r>
      <w:r>
        <w:rPr>
          <w:rFonts w:ascii="Arial Narrow" w:hAnsi="Arial Narrow"/>
        </w:rPr>
        <w:t>ou</w:t>
      </w:r>
      <w:r w:rsidRPr="00F95336">
        <w:rPr>
          <w:rFonts w:ascii="Arial Narrow" w:hAnsi="Arial Narrow"/>
        </w:rPr>
        <w:t xml:space="preserve"> em 1902 para a conquista da Tripolitânia</w:t>
      </w:r>
      <w:r w:rsidRPr="00F95336">
        <w:rPr>
          <w:rStyle w:val="Refdenotaderodap"/>
          <w:rFonts w:ascii="Arial Narrow" w:hAnsi="Arial Narrow"/>
        </w:rPr>
        <w:footnoteReference w:id="128"/>
      </w:r>
      <w:r w:rsidRPr="00F95336">
        <w:rPr>
          <w:rFonts w:ascii="Arial Narrow" w:hAnsi="Arial Narrow"/>
        </w:rPr>
        <w:t xml:space="preserve">. Na sequência destas figuras marcantes vinha uma corte inumerável de epígonos, que </w:t>
      </w:r>
      <w:r w:rsidR="000F3E24" w:rsidRPr="00F95336">
        <w:rPr>
          <w:rFonts w:ascii="Arial Narrow" w:hAnsi="Arial Narrow"/>
        </w:rPr>
        <w:t xml:space="preserve">faziam </w:t>
      </w:r>
      <w:r w:rsidRPr="00F95336">
        <w:rPr>
          <w:rFonts w:ascii="Arial Narrow" w:hAnsi="Arial Narrow"/>
        </w:rPr>
        <w:t xml:space="preserve">as ideias dos mestres chegar a recônditos mais obscuros e a mentes mais simples. A maior parte dos porta-vozes do socialismo denunciava as atrocidades cometidas nas colónias pelas forças repressivas, escandalizava-se com a corrupção das administrações e a miséria dos nativos, mas não punha em causa os mecanismos da exploração. Vandervelde, que tanto se esforçou, malgrado a indiferença do grupo parlamentar do seu partido, por tornar conhecidos os horrores praticados no Congo sob a soberania do rei Leopoldo, afirmou no parlamento, em 1908, que «a colonização, em si mesma, é um facto de todas as épocas e [...] continuar-se-á a colonizar qualquer que seja o regime económico». E nas suas </w:t>
      </w:r>
      <w:r w:rsidRPr="00F95336">
        <w:rPr>
          <w:rFonts w:ascii="Arial Narrow" w:hAnsi="Arial Narrow"/>
          <w:i/>
        </w:rPr>
        <w:t>Lettres du Congo</w:t>
      </w:r>
      <w:r w:rsidRPr="00F95336">
        <w:rPr>
          <w:rFonts w:ascii="Arial Narrow" w:hAnsi="Arial Narrow"/>
        </w:rPr>
        <w:t xml:space="preserve"> defendeu uma colonização moderna do território, que assegurasse bons lucros aos capitalistas «activos, industriosos e enérgicos» e trabalho aos jovens com «rins sólidos e o fígado em bom estado»</w:t>
      </w:r>
      <w:r w:rsidRPr="00F95336">
        <w:rPr>
          <w:rStyle w:val="Refdenotaderodap"/>
          <w:rFonts w:ascii="Arial Narrow" w:hAnsi="Arial Narrow"/>
        </w:rPr>
        <w:footnoteReference w:id="129"/>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lastRenderedPageBreak/>
        <w:t xml:space="preserve">Estes excelentes sentimentos, filantrópicos por um lado e profilácticos por outro, </w:t>
      </w:r>
      <w:r w:rsidR="009A65B7">
        <w:rPr>
          <w:rFonts w:ascii="Arial Narrow" w:hAnsi="Arial Narrow"/>
        </w:rPr>
        <w:t>serviam</w:t>
      </w:r>
      <w:r w:rsidRPr="00F95336">
        <w:rPr>
          <w:rFonts w:ascii="Arial Narrow" w:hAnsi="Arial Narrow"/>
        </w:rPr>
        <w:t xml:space="preserve"> </w:t>
      </w:r>
      <w:r w:rsidR="009A65B7">
        <w:rPr>
          <w:rFonts w:ascii="Arial Narrow" w:hAnsi="Arial Narrow"/>
        </w:rPr>
        <w:t>de</w:t>
      </w:r>
      <w:r w:rsidRPr="00F95336">
        <w:rPr>
          <w:rFonts w:ascii="Arial Narrow" w:hAnsi="Arial Narrow"/>
        </w:rPr>
        <w:t xml:space="preserve"> caução </w:t>
      </w:r>
      <w:r w:rsidR="009A65B7">
        <w:rPr>
          <w:rFonts w:ascii="Arial Narrow" w:hAnsi="Arial Narrow"/>
        </w:rPr>
        <w:t xml:space="preserve">a </w:t>
      </w:r>
      <w:r w:rsidRPr="00F95336">
        <w:rPr>
          <w:rFonts w:ascii="Arial Narrow" w:hAnsi="Arial Narrow"/>
        </w:rPr>
        <w:t>um colonialismo socialista, justific</w:t>
      </w:r>
      <w:r w:rsidR="003E6B66">
        <w:rPr>
          <w:rFonts w:ascii="Arial Narrow" w:hAnsi="Arial Narrow"/>
        </w:rPr>
        <w:t xml:space="preserve">ado </w:t>
      </w:r>
      <w:r w:rsidRPr="00F95336">
        <w:rPr>
          <w:rFonts w:ascii="Arial Narrow" w:hAnsi="Arial Narrow"/>
        </w:rPr>
        <w:t>numa perspectiva que apresentava o desenvolvimento das forças produtivas materiais como o eixo linear e único de toda a história</w:t>
      </w:r>
      <w:r w:rsidRPr="00F95336">
        <w:rPr>
          <w:rStyle w:val="Refdenotaderodap"/>
          <w:rFonts w:ascii="Arial Narrow" w:hAnsi="Arial Narrow"/>
        </w:rPr>
        <w:footnoteReference w:id="130"/>
      </w:r>
      <w:r w:rsidRPr="00F95336">
        <w:rPr>
          <w:rFonts w:ascii="Arial Narrow" w:hAnsi="Arial Narrow"/>
        </w:rPr>
        <w:t xml:space="preserve">. Como </w:t>
      </w:r>
      <w:r w:rsidR="00482F2A">
        <w:rPr>
          <w:rFonts w:ascii="Arial Narrow" w:hAnsi="Arial Narrow"/>
        </w:rPr>
        <w:t>se lia</w:t>
      </w:r>
      <w:r w:rsidRPr="00F95336">
        <w:rPr>
          <w:rFonts w:ascii="Arial Narrow" w:hAnsi="Arial Narrow"/>
        </w:rPr>
        <w:t xml:space="preserve"> em França </w:t>
      </w:r>
      <w:r w:rsidR="00482F2A">
        <w:rPr>
          <w:rFonts w:ascii="Arial Narrow" w:hAnsi="Arial Narrow"/>
        </w:rPr>
        <w:t>n</w:t>
      </w:r>
      <w:r w:rsidRPr="00F95336">
        <w:rPr>
          <w:rFonts w:ascii="Arial Narrow" w:hAnsi="Arial Narrow"/>
        </w:rPr>
        <w:t xml:space="preserve">a </w:t>
      </w:r>
      <w:r w:rsidRPr="00F95336">
        <w:rPr>
          <w:rFonts w:ascii="Arial Narrow" w:hAnsi="Arial Narrow"/>
          <w:i/>
        </w:rPr>
        <w:t>Revue Socialiste</w:t>
      </w:r>
      <w:r w:rsidRPr="00F95336">
        <w:rPr>
          <w:rFonts w:ascii="Arial Narrow" w:hAnsi="Arial Narrow"/>
        </w:rPr>
        <w:t xml:space="preserve"> de Março de 1912, «se a nossa doutrina nos obriga a respeitar o direito dos indígenas, ela impõe-nos também a valorização de todas as forças naturais do globo»</w:t>
      </w:r>
      <w:r w:rsidRPr="00F95336">
        <w:rPr>
          <w:rStyle w:val="Refdenotaderodap"/>
          <w:rFonts w:ascii="Arial Narrow" w:hAnsi="Arial Narrow"/>
        </w:rPr>
        <w:footnoteReference w:id="131"/>
      </w:r>
      <w:r w:rsidRPr="00F95336">
        <w:rPr>
          <w:rFonts w:ascii="Arial Narrow" w:hAnsi="Arial Narrow"/>
        </w:rPr>
        <w:t>. O mesmo raciocínio fora já levado a consequências extremas por van Kol em vários projectos apresentados a uma comissão do seu partido durante os trabalhos preparatórios do Congresso de Amsterdão da Segunda Internacional. No seu entender, a socialização dos meios de produção implicava que o proletariado industrial do Ocidente ocupasse e explorasse as terras e as riquezas naturais que os povos colonizados não sabiam alegadamente aproveitar</w:t>
      </w:r>
      <w:r>
        <w:rPr>
          <w:rFonts w:ascii="Arial Narrow" w:hAnsi="Arial Narrow"/>
        </w:rPr>
        <w:t>.</w:t>
      </w:r>
      <w:r w:rsidRPr="00F95336">
        <w:rPr>
          <w:rFonts w:ascii="Arial Narrow" w:hAnsi="Arial Narrow"/>
        </w:rPr>
        <w:t xml:space="preserve"> A diferença entre socialização e pilhagem seria apagada pela benevolência que os novos senhores mostrariam, em contraste com os antigos</w:t>
      </w:r>
      <w:r w:rsidRPr="00F95336">
        <w:rPr>
          <w:rStyle w:val="Refdenotaderodap"/>
          <w:rFonts w:ascii="Arial Narrow" w:hAnsi="Arial Narrow"/>
        </w:rPr>
        <w:footnoteReference w:id="132"/>
      </w:r>
      <w:r w:rsidRPr="00F95336">
        <w:rPr>
          <w:rFonts w:ascii="Arial Narrow" w:hAnsi="Arial Narrow"/>
        </w:rPr>
        <w:t xml:space="preserve">. Opiniões deste tipo estavam profundamente arreigadas. </w:t>
      </w:r>
      <w:r>
        <w:rPr>
          <w:rFonts w:ascii="Arial Narrow" w:hAnsi="Arial Narrow"/>
        </w:rPr>
        <w:t>Quatro</w:t>
      </w:r>
      <w:r w:rsidRPr="00F95336">
        <w:rPr>
          <w:rFonts w:ascii="Arial Narrow" w:hAnsi="Arial Narrow"/>
        </w:rPr>
        <w:t xml:space="preserve"> </w:t>
      </w:r>
      <w:r>
        <w:rPr>
          <w:rFonts w:ascii="Arial Narrow" w:hAnsi="Arial Narrow"/>
        </w:rPr>
        <w:t xml:space="preserve">décadas </w:t>
      </w:r>
      <w:r w:rsidRPr="00F95336">
        <w:rPr>
          <w:rFonts w:ascii="Arial Narrow" w:hAnsi="Arial Narrow"/>
        </w:rPr>
        <w:t xml:space="preserve">mais tarde, </w:t>
      </w:r>
      <w:r w:rsidR="00482F2A">
        <w:rPr>
          <w:rFonts w:ascii="Arial Narrow" w:hAnsi="Arial Narrow"/>
        </w:rPr>
        <w:t>encerrado</w:t>
      </w:r>
      <w:r w:rsidRPr="00F95336">
        <w:rPr>
          <w:rFonts w:ascii="Arial Narrow" w:hAnsi="Arial Narrow"/>
        </w:rPr>
        <w:t xml:space="preserve"> numa </w:t>
      </w:r>
      <w:r w:rsidR="00482F2A">
        <w:rPr>
          <w:rFonts w:ascii="Arial Narrow" w:hAnsi="Arial Narrow"/>
        </w:rPr>
        <w:t xml:space="preserve">prisão </w:t>
      </w:r>
      <w:r w:rsidRPr="00F95336">
        <w:rPr>
          <w:rFonts w:ascii="Arial Narrow" w:hAnsi="Arial Narrow"/>
        </w:rPr>
        <w:t>pelo governo fascista de Vichy, Léon Blum reflectia sobre as orientações estratégicas que haviam de guiar a reconstrução de um Partido Socialista destroçado pelos acontecimentos e conseguia, em escassas linhas, excluir dos benefícios do internacionalismo a população das colónias</w:t>
      </w:r>
      <w:r w:rsidR="00482F2A">
        <w:rPr>
          <w:rFonts w:ascii="Arial Narrow" w:hAnsi="Arial Narrow"/>
        </w:rPr>
        <w:t>:</w:t>
      </w:r>
      <w:r w:rsidRPr="00F95336">
        <w:rPr>
          <w:rFonts w:ascii="Arial Narrow" w:hAnsi="Arial Narrow"/>
        </w:rPr>
        <w:t xml:space="preserve"> «O internacionalismo assenta no postulado de que entre todas as nações que atingiram o mesmo estádio da evolução económica existe um certo número de interesses indivisos e de ideais comuns»</w:t>
      </w:r>
      <w:r w:rsidRPr="00F95336">
        <w:rPr>
          <w:rStyle w:val="Refdenotaderodap"/>
          <w:rFonts w:ascii="Arial Narrow" w:hAnsi="Arial Narrow"/>
        </w:rPr>
        <w:footnoteReference w:id="133"/>
      </w:r>
      <w:r w:rsidRPr="00F95336">
        <w:rPr>
          <w:rFonts w:ascii="Arial Narrow" w:hAnsi="Arial Narrow"/>
        </w:rPr>
        <w:t xml:space="preserve">. A concisão da fórmula revela o longo amadurecimento desta convicção. O facto de a expansão do capital ter colocado numa situação social equiparável os trabalhadores das metrópoles e os explorados das colónias não aflorava no velho mentor do socialismo francês como um possível elemento de internacionalismo. Para ele, </w:t>
      </w:r>
      <w:r w:rsidR="00482F2A">
        <w:rPr>
          <w:rFonts w:ascii="Arial Narrow" w:hAnsi="Arial Narrow"/>
        </w:rPr>
        <w:t xml:space="preserve">o internacionalismo ligava as </w:t>
      </w:r>
      <w:r w:rsidRPr="00F95336">
        <w:rPr>
          <w:rFonts w:ascii="Arial Narrow" w:hAnsi="Arial Narrow"/>
        </w:rPr>
        <w:t xml:space="preserve">sociedades que se encontrassem num grau de industrialização semelhante. O desenvolvimento das forças produtivas materiais continuava a ser o supremo </w:t>
      </w:r>
      <w:r>
        <w:rPr>
          <w:rFonts w:ascii="Arial Narrow" w:hAnsi="Arial Narrow"/>
        </w:rPr>
        <w:t>á</w:t>
      </w:r>
      <w:r w:rsidRPr="00F95336">
        <w:rPr>
          <w:rFonts w:ascii="Arial Narrow" w:hAnsi="Arial Narrow"/>
        </w:rPr>
        <w:t xml:space="preserve">libi do colonialismo socialista. </w:t>
      </w:r>
    </w:p>
    <w:p w:rsidR="00CD12DC" w:rsidRPr="00F95336" w:rsidRDefault="00CD12DC" w:rsidP="00CD12DC">
      <w:pPr>
        <w:rPr>
          <w:rFonts w:ascii="Arial Narrow" w:hAnsi="Arial Narrow"/>
        </w:rPr>
      </w:pPr>
      <w:r>
        <w:rPr>
          <w:rFonts w:ascii="Arial Narrow" w:hAnsi="Arial Narrow"/>
        </w:rPr>
        <w:t xml:space="preserve">Usando </w:t>
      </w:r>
      <w:r w:rsidRPr="00F95336">
        <w:rPr>
          <w:rFonts w:ascii="Arial Narrow" w:hAnsi="Arial Narrow"/>
        </w:rPr>
        <w:t xml:space="preserve">termos simplificados, mas não menos exactos, era precisamente esta sobrestimação das forças produtivas em detrimento das relações sociais que distinguia a corrente ortodoxa do marxismo das franjas radicais. É curioso observar que </w:t>
      </w:r>
      <w:r>
        <w:rPr>
          <w:rFonts w:ascii="Arial Narrow" w:hAnsi="Arial Narrow"/>
        </w:rPr>
        <w:t xml:space="preserve">antes de </w:t>
      </w:r>
      <w:r w:rsidRPr="00F95336">
        <w:rPr>
          <w:rFonts w:ascii="Arial Narrow" w:hAnsi="Arial Narrow"/>
        </w:rPr>
        <w:t xml:space="preserve">as várias organizações em que se repartia o movimento socialista francês </w:t>
      </w:r>
      <w:r>
        <w:rPr>
          <w:rFonts w:ascii="Arial Narrow" w:hAnsi="Arial Narrow"/>
        </w:rPr>
        <w:t xml:space="preserve">se terem unificado </w:t>
      </w:r>
      <w:r w:rsidRPr="00F95336">
        <w:rPr>
          <w:rFonts w:ascii="Arial Narrow" w:hAnsi="Arial Narrow"/>
        </w:rPr>
        <w:t xml:space="preserve">em 1905, </w:t>
      </w:r>
      <w:r>
        <w:rPr>
          <w:rFonts w:ascii="Arial Narrow" w:hAnsi="Arial Narrow"/>
        </w:rPr>
        <w:t>era</w:t>
      </w:r>
      <w:r w:rsidRPr="00F95336">
        <w:rPr>
          <w:rFonts w:ascii="Arial Narrow" w:hAnsi="Arial Narrow"/>
        </w:rPr>
        <w:t xml:space="preserve"> o Parti Socialiste Ouvrier Révolutionnaire, animado por Jean Allemane e beneficiando de uma especial implantação entre os trabalhadores da capital, aquele que mais seriamente </w:t>
      </w:r>
      <w:r>
        <w:rPr>
          <w:rFonts w:ascii="Arial Narrow" w:hAnsi="Arial Narrow"/>
        </w:rPr>
        <w:t>punha</w:t>
      </w:r>
      <w:r w:rsidRPr="00F95336">
        <w:rPr>
          <w:rFonts w:ascii="Arial Narrow" w:hAnsi="Arial Narrow"/>
        </w:rPr>
        <w:t xml:space="preserve"> em </w:t>
      </w:r>
      <w:r w:rsidRPr="00F95336">
        <w:rPr>
          <w:rFonts w:ascii="Arial Narrow" w:hAnsi="Arial Narrow"/>
        </w:rPr>
        <w:lastRenderedPageBreak/>
        <w:t>causa o dogma de que o desenvolvimento dos meios técnicos de produção implica</w:t>
      </w:r>
      <w:r>
        <w:rPr>
          <w:rFonts w:ascii="Arial Narrow" w:hAnsi="Arial Narrow"/>
        </w:rPr>
        <w:t>sse</w:t>
      </w:r>
      <w:r w:rsidRPr="00F95336">
        <w:rPr>
          <w:rFonts w:ascii="Arial Narrow" w:hAnsi="Arial Narrow"/>
        </w:rPr>
        <w:t xml:space="preserve">, por si só, </w:t>
      </w:r>
      <w:r>
        <w:rPr>
          <w:rFonts w:ascii="Arial Narrow" w:hAnsi="Arial Narrow"/>
        </w:rPr>
        <w:t>o</w:t>
      </w:r>
      <w:r w:rsidRPr="00F95336">
        <w:rPr>
          <w:rFonts w:ascii="Arial Narrow" w:hAnsi="Arial Narrow"/>
        </w:rPr>
        <w:t xml:space="preserve"> progresso social, com os direitos históricos inerentes a um grau superior de civilização. Nas decisões do seu 2º Congresso, em 1892, o PSOR recusou-se a admitir a existência de «nações civilizadas», considerando que «as nações modernas, onde subsiste a desigualdade de condições sob a égide da lei, têm apenas a máscara da civilização». Ora, este partido situava-se à margem da ortodoxia marxista e era </w:t>
      </w:r>
      <w:r w:rsidR="00482F2A">
        <w:rPr>
          <w:rFonts w:ascii="Arial Narrow" w:hAnsi="Arial Narrow"/>
        </w:rPr>
        <w:t>—</w:t>
      </w:r>
      <w:r w:rsidRPr="00F95336">
        <w:rPr>
          <w:rFonts w:ascii="Arial Narrow" w:hAnsi="Arial Narrow"/>
        </w:rPr>
        <w:t xml:space="preserve"> embora nos termos obrigatoriamente moderados de uma época de burocratização </w:t>
      </w:r>
      <w:r w:rsidR="00482F2A">
        <w:rPr>
          <w:rFonts w:ascii="Arial Narrow" w:hAnsi="Arial Narrow"/>
        </w:rPr>
        <w:t>—</w:t>
      </w:r>
      <w:r w:rsidRPr="00F95336">
        <w:rPr>
          <w:rFonts w:ascii="Arial Narrow" w:hAnsi="Arial Narrow"/>
        </w:rPr>
        <w:t xml:space="preserve"> um herdeiro da corrente antiautoritária da Comuna parisiense, que encontrara em Varlin um dos seus mais activos e lúcidos defensores. Aliás, o PSOR </w:t>
      </w:r>
      <w:r>
        <w:rPr>
          <w:rFonts w:ascii="Arial Narrow" w:hAnsi="Arial Narrow"/>
        </w:rPr>
        <w:t xml:space="preserve">contribuiu decisivamente </w:t>
      </w:r>
      <w:r w:rsidRPr="00F95336">
        <w:rPr>
          <w:rFonts w:ascii="Arial Narrow" w:hAnsi="Arial Narrow"/>
        </w:rPr>
        <w:t>para a formação do sindicalismo revolucionário em França</w:t>
      </w:r>
      <w:r w:rsidRPr="00F95336">
        <w:rPr>
          <w:rStyle w:val="Refdenotaderodap"/>
          <w:rFonts w:ascii="Arial Narrow" w:hAnsi="Arial Narrow"/>
        </w:rPr>
        <w:footnoteReference w:id="134"/>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O que viria a permitir </w:t>
      </w:r>
      <w:r>
        <w:rPr>
          <w:rFonts w:ascii="Arial Narrow" w:hAnsi="Arial Narrow"/>
        </w:rPr>
        <w:t>a numerosos</w:t>
      </w:r>
      <w:r w:rsidRPr="00F95336">
        <w:rPr>
          <w:rFonts w:ascii="Arial Narrow" w:hAnsi="Arial Narrow"/>
        </w:rPr>
        <w:t xml:space="preserve"> marxistas europeus a ultrapassagem da atitude paternalista perante o colonialismo seria o aparecimento da nova classe explorada das colón</w:t>
      </w:r>
      <w:r w:rsidR="00125FDB">
        <w:rPr>
          <w:rFonts w:ascii="Arial Narrow" w:hAnsi="Arial Narrow"/>
        </w:rPr>
        <w:t>ias como sujeito próprio n</w:t>
      </w:r>
      <w:r w:rsidRPr="00F95336">
        <w:rPr>
          <w:rFonts w:ascii="Arial Narrow" w:hAnsi="Arial Narrow"/>
        </w:rPr>
        <w:t>a luta contra as metrópoles e como agente, naquelas partes do mundo, de uma outra esperança libertadora. Os povos exteriores à história irromperam então na cena da história</w:t>
      </w:r>
      <w:r>
        <w:rPr>
          <w:rFonts w:ascii="Arial Narrow" w:hAnsi="Arial Narrow"/>
        </w:rPr>
        <w:t>,</w:t>
      </w:r>
      <w:r w:rsidRPr="00F95336">
        <w:rPr>
          <w:rFonts w:ascii="Arial Narrow" w:hAnsi="Arial Narrow"/>
        </w:rPr>
        <w:t xml:space="preserve"> impuseram</w:t>
      </w:r>
      <w:r>
        <w:rPr>
          <w:rFonts w:ascii="Arial Narrow" w:hAnsi="Arial Narrow"/>
        </w:rPr>
        <w:t xml:space="preserve">-se </w:t>
      </w:r>
      <w:r w:rsidRPr="00F95336">
        <w:rPr>
          <w:rFonts w:ascii="Arial Narrow" w:hAnsi="Arial Narrow"/>
        </w:rPr>
        <w:t xml:space="preserve">aos marxistas e forçaram a sua aceitação enquanto promotores a parte inteira da remodelação da história </w:t>
      </w:r>
      <w:r w:rsidR="00482F2A">
        <w:rPr>
          <w:rFonts w:ascii="Arial Narrow" w:hAnsi="Arial Narrow"/>
        </w:rPr>
        <w:t>—</w:t>
      </w:r>
      <w:r w:rsidRPr="00F95336">
        <w:rPr>
          <w:rFonts w:ascii="Arial Narrow" w:hAnsi="Arial Narrow"/>
        </w:rPr>
        <w:t xml:space="preserve"> </w:t>
      </w:r>
      <w:r>
        <w:rPr>
          <w:rFonts w:ascii="Arial Narrow" w:hAnsi="Arial Narrow"/>
        </w:rPr>
        <w:t>levando</w:t>
      </w:r>
      <w:r w:rsidRPr="00F95336">
        <w:rPr>
          <w:rFonts w:ascii="Arial Narrow" w:hAnsi="Arial Narrow"/>
        </w:rPr>
        <w:t xml:space="preserve">, </w:t>
      </w:r>
      <w:r>
        <w:rPr>
          <w:rFonts w:ascii="Arial Narrow" w:hAnsi="Arial Narrow"/>
        </w:rPr>
        <w:t>aliás</w:t>
      </w:r>
      <w:r w:rsidRPr="00F95336">
        <w:rPr>
          <w:rFonts w:ascii="Arial Narrow" w:hAnsi="Arial Narrow"/>
        </w:rPr>
        <w:t xml:space="preserve">, </w:t>
      </w:r>
      <w:r>
        <w:rPr>
          <w:rFonts w:ascii="Arial Narrow" w:hAnsi="Arial Narrow"/>
        </w:rPr>
        <w:t xml:space="preserve">a </w:t>
      </w:r>
      <w:r w:rsidRPr="00F95336">
        <w:rPr>
          <w:rFonts w:ascii="Arial Narrow" w:hAnsi="Arial Narrow"/>
        </w:rPr>
        <w:t xml:space="preserve">uma remodelação do marxismo. </w:t>
      </w:r>
    </w:p>
    <w:p w:rsidR="00CD12DC" w:rsidRPr="00F95336" w:rsidRDefault="00CD12DC" w:rsidP="00CD12DC">
      <w:pPr>
        <w:rPr>
          <w:rFonts w:ascii="Arial Narrow" w:hAnsi="Arial Narrow"/>
        </w:rPr>
      </w:pPr>
      <w:r w:rsidRPr="00F95336">
        <w:rPr>
          <w:rFonts w:ascii="Arial Narrow" w:hAnsi="Arial Narrow"/>
        </w:rPr>
        <w:t xml:space="preserve">Porque nesta questão a ortodoxia coube, sem </w:t>
      </w:r>
      <w:r w:rsidR="007611AD">
        <w:rPr>
          <w:rFonts w:ascii="Arial Narrow" w:hAnsi="Arial Narrow"/>
        </w:rPr>
        <w:t>nenhuma</w:t>
      </w:r>
      <w:r w:rsidRPr="00F95336">
        <w:rPr>
          <w:rFonts w:ascii="Arial Narrow" w:hAnsi="Arial Narrow"/>
        </w:rPr>
        <w:t xml:space="preserve"> dúvida, à ala direita da Segunda Internacional, que não fez mais do que aplicar as teses formuladas pelos dois fundadores do marxismo a respeito das nacionalidades oprimidas. Ao declarar no Congresso da Segunda Internacional em </w:t>
      </w:r>
      <w:r w:rsidR="007611AD">
        <w:rPr>
          <w:rFonts w:ascii="Arial Narrow" w:hAnsi="Arial Narrow"/>
        </w:rPr>
        <w:t>Estugarda</w:t>
      </w:r>
      <w:r w:rsidRPr="00F95336">
        <w:rPr>
          <w:rFonts w:ascii="Arial Narrow" w:hAnsi="Arial Narrow"/>
        </w:rPr>
        <w:t>, em 1907, que «os socialistas devem reconhecer a necessidade para os povos civilizados de exercerem uma certa tutela sobre os povos não civilizados»</w:t>
      </w:r>
      <w:r w:rsidRPr="00F95336">
        <w:rPr>
          <w:rStyle w:val="Refdenotaderodap"/>
          <w:rFonts w:ascii="Arial Narrow" w:hAnsi="Arial Narrow"/>
        </w:rPr>
        <w:footnoteReference w:id="135"/>
      </w:r>
      <w:r w:rsidRPr="00F95336">
        <w:rPr>
          <w:rFonts w:ascii="Arial Narrow" w:hAnsi="Arial Narrow"/>
        </w:rPr>
        <w:t xml:space="preserve">, Bernstein estava a </w:t>
      </w:r>
      <w:r>
        <w:rPr>
          <w:rFonts w:ascii="Arial Narrow" w:hAnsi="Arial Narrow"/>
        </w:rPr>
        <w:t>empregar</w:t>
      </w:r>
      <w:r w:rsidRPr="00F95336">
        <w:rPr>
          <w:rFonts w:ascii="Arial Narrow" w:hAnsi="Arial Narrow"/>
        </w:rPr>
        <w:t xml:space="preserve"> com toda a legitimidade o mesmo critério que Engels usara para celebrar a guerra dos Estados Unidos contra o México, também ela «sustentada única e exclusivamente no interesse da civilização»</w:t>
      </w:r>
      <w:r w:rsidRPr="00F95336">
        <w:rPr>
          <w:rStyle w:val="Refdenotaderodap"/>
          <w:rFonts w:ascii="Arial Narrow" w:hAnsi="Arial Narrow"/>
        </w:rPr>
        <w:footnoteReference w:id="136"/>
      </w:r>
      <w:r w:rsidRPr="00F95336">
        <w:rPr>
          <w:rFonts w:ascii="Arial Narrow" w:hAnsi="Arial Narrow"/>
        </w:rPr>
        <w:t>. Numa carta que enviara a Bernstein em 22 de Fevereiro de 1882</w:t>
      </w:r>
      <w:r w:rsidR="007611AD">
        <w:rPr>
          <w:rFonts w:ascii="Arial Narrow" w:hAnsi="Arial Narrow"/>
        </w:rPr>
        <w:t>,</w:t>
      </w:r>
      <w:r w:rsidRPr="00F95336">
        <w:rPr>
          <w:rFonts w:ascii="Arial Narrow" w:hAnsi="Arial Narrow"/>
        </w:rPr>
        <w:t xml:space="preserve"> Engels prevenira-o contra o sentimentalismo e a filantropia que levava a defender todos os povos oprimidos, quando só são dignas de simpatia as nações capazes de fazer progredir as forças produtivas</w:t>
      </w:r>
      <w:r w:rsidRPr="00F95336">
        <w:rPr>
          <w:rStyle w:val="Refdenotaderodap"/>
          <w:rFonts w:ascii="Arial Narrow" w:hAnsi="Arial Narrow"/>
        </w:rPr>
        <w:footnoteReference w:id="137"/>
      </w:r>
      <w:r w:rsidRPr="00F95336">
        <w:rPr>
          <w:rFonts w:ascii="Arial Narrow" w:hAnsi="Arial Narrow"/>
        </w:rPr>
        <w:t xml:space="preserve">. Decerto foram estas ideias de Engels e a sua </w:t>
      </w:r>
      <w:r w:rsidRPr="003D7241">
        <w:rPr>
          <w:rFonts w:ascii="Arial Narrow" w:hAnsi="Arial Narrow"/>
        </w:rPr>
        <w:t xml:space="preserve">vigorosa </w:t>
      </w:r>
      <w:r w:rsidRPr="00F95336">
        <w:rPr>
          <w:rFonts w:ascii="Arial Narrow" w:hAnsi="Arial Narrow"/>
        </w:rPr>
        <w:t xml:space="preserve">apologia do imperialismo </w:t>
      </w:r>
      <w:r w:rsidRPr="00F95336">
        <w:rPr>
          <w:rFonts w:ascii="Arial Narrow" w:hAnsi="Arial Narrow"/>
          <w:i/>
        </w:rPr>
        <w:t>yankee</w:t>
      </w:r>
      <w:r w:rsidRPr="00F95336">
        <w:rPr>
          <w:rFonts w:ascii="Arial Narrow" w:hAnsi="Arial Narrow"/>
        </w:rPr>
        <w:t xml:space="preserve"> que levaram Bernstein a exclamar no referido Congresso de </w:t>
      </w:r>
      <w:r w:rsidR="007611AD">
        <w:rPr>
          <w:rFonts w:ascii="Arial Narrow" w:hAnsi="Arial Narrow"/>
        </w:rPr>
        <w:t>Estugarda</w:t>
      </w:r>
      <w:r w:rsidR="007611AD" w:rsidRPr="00F95336">
        <w:rPr>
          <w:rFonts w:ascii="Arial Narrow" w:hAnsi="Arial Narrow"/>
        </w:rPr>
        <w:t xml:space="preserve"> </w:t>
      </w:r>
      <w:r w:rsidRPr="00F95336">
        <w:rPr>
          <w:rFonts w:ascii="Arial Narrow" w:hAnsi="Arial Narrow"/>
        </w:rPr>
        <w:t>que dar a independência às colónias seria o mesmo que restituir os Estados Unidos aos índios</w:t>
      </w:r>
      <w:r w:rsidRPr="00F95336">
        <w:rPr>
          <w:rStyle w:val="Refdenotaderodap"/>
          <w:rFonts w:ascii="Arial Narrow" w:hAnsi="Arial Narrow"/>
        </w:rPr>
        <w:footnoteReference w:id="138"/>
      </w:r>
      <w:r w:rsidRPr="00F95336">
        <w:rPr>
          <w:rFonts w:ascii="Arial Narrow" w:hAnsi="Arial Narrow"/>
        </w:rPr>
        <w:t xml:space="preserve">. </w:t>
      </w:r>
      <w:r>
        <w:rPr>
          <w:rFonts w:ascii="Arial Narrow" w:hAnsi="Arial Narrow"/>
        </w:rPr>
        <w:t xml:space="preserve">E </w:t>
      </w:r>
      <w:r w:rsidRPr="00F95336">
        <w:rPr>
          <w:rFonts w:ascii="Arial Narrow" w:hAnsi="Arial Narrow"/>
        </w:rPr>
        <w:t>Bernstein abordou com detalhe o assunto num artigo publicado em 1907</w:t>
      </w:r>
      <w:r w:rsidR="00826D9E">
        <w:rPr>
          <w:rFonts w:ascii="Arial Narrow" w:hAnsi="Arial Narrow"/>
        </w:rPr>
        <w:t>.</w:t>
      </w:r>
      <w:r w:rsidRPr="00F95336">
        <w:rPr>
          <w:rFonts w:ascii="Arial Narrow" w:hAnsi="Arial Narrow"/>
        </w:rPr>
        <w:t xml:space="preserve"> «A </w:t>
      </w:r>
      <w:r w:rsidRPr="00F95336">
        <w:rPr>
          <w:rFonts w:ascii="Arial Narrow" w:hAnsi="Arial Narrow"/>
        </w:rPr>
        <w:lastRenderedPageBreak/>
        <w:t>questão colonial é muito mais do que uma mera questão de humanitarismo</w:t>
      </w:r>
      <w:r w:rsidR="00826D9E">
        <w:rPr>
          <w:rFonts w:ascii="Arial Narrow" w:hAnsi="Arial Narrow"/>
        </w:rPr>
        <w:t>», escreveu ele</w:t>
      </w:r>
      <w:r w:rsidRPr="00F95336">
        <w:rPr>
          <w:rFonts w:ascii="Arial Narrow" w:hAnsi="Arial Narrow"/>
        </w:rPr>
        <w:t xml:space="preserve">. </w:t>
      </w:r>
      <w:r w:rsidR="00826D9E">
        <w:rPr>
          <w:rFonts w:ascii="Arial Narrow" w:hAnsi="Arial Narrow"/>
        </w:rPr>
        <w:t>«</w:t>
      </w:r>
      <w:r w:rsidRPr="00F95336">
        <w:rPr>
          <w:rFonts w:ascii="Arial Narrow" w:hAnsi="Arial Narrow"/>
        </w:rPr>
        <w:t>Trata-se da expansão da civilização e, enquanto existirem diferentes níveis civilizacionais, trata-se da manutenção e do predomínio da cultura superior. Com efeito, é inevitável que, mais tarde ou mais cedo, a civilização superior e a inferior entrem em conflito. É em função deste choque, desta luta pela existência das civilizações, que deve ser avaliada a política colonial dos povos civilizados enquanto fenómeno histórico»</w:t>
      </w:r>
      <w:r w:rsidRPr="00F95336">
        <w:rPr>
          <w:rStyle w:val="Refdenotaderodap"/>
          <w:rFonts w:ascii="Arial Narrow" w:hAnsi="Arial Narrow"/>
        </w:rPr>
        <w:footnoteReference w:id="139"/>
      </w:r>
      <w:r w:rsidRPr="00F95336">
        <w:rPr>
          <w:rFonts w:ascii="Arial Narrow" w:hAnsi="Arial Narrow"/>
        </w:rPr>
        <w:t xml:space="preserve">. Como não reconhecer aqui o eco fiel de tantas passagens de Engels e de Marx? </w:t>
      </w:r>
    </w:p>
    <w:p w:rsidR="00CD12DC" w:rsidRPr="00F95336" w:rsidRDefault="00CD12DC" w:rsidP="00CD12DC">
      <w:pPr>
        <w:rPr>
          <w:rFonts w:ascii="Arial Narrow" w:hAnsi="Arial Narrow"/>
        </w:rPr>
      </w:pPr>
      <w:r>
        <w:rPr>
          <w:rFonts w:ascii="Arial Narrow" w:hAnsi="Arial Narrow"/>
        </w:rPr>
        <w:t xml:space="preserve">Ainda </w:t>
      </w:r>
      <w:r w:rsidRPr="00F95336">
        <w:rPr>
          <w:rFonts w:ascii="Arial Narrow" w:hAnsi="Arial Narrow"/>
        </w:rPr>
        <w:t xml:space="preserve">no Congresso da Segunda Internacional em </w:t>
      </w:r>
      <w:r w:rsidR="00EB66B2">
        <w:rPr>
          <w:rFonts w:ascii="Arial Narrow" w:hAnsi="Arial Narrow"/>
        </w:rPr>
        <w:t>Estugarda</w:t>
      </w:r>
      <w:r w:rsidR="00EB66B2" w:rsidRPr="00F95336">
        <w:rPr>
          <w:rFonts w:ascii="Arial Narrow" w:hAnsi="Arial Narrow"/>
        </w:rPr>
        <w:t xml:space="preserve"> </w:t>
      </w:r>
      <w:r w:rsidRPr="00F95336">
        <w:rPr>
          <w:rFonts w:ascii="Arial Narrow" w:hAnsi="Arial Narrow"/>
        </w:rPr>
        <w:t>a moção acerca do problema colonial, de novo apresentada por van Kol, declar</w:t>
      </w:r>
      <w:r>
        <w:rPr>
          <w:rFonts w:ascii="Arial Narrow" w:hAnsi="Arial Narrow"/>
        </w:rPr>
        <w:t>ou</w:t>
      </w:r>
      <w:r w:rsidRPr="00F95336">
        <w:rPr>
          <w:rFonts w:ascii="Arial Narrow" w:hAnsi="Arial Narrow"/>
        </w:rPr>
        <w:t xml:space="preserve"> que o colonialismo «sob um regime socialista podia ter uma acção civilizadora»</w:t>
      </w:r>
      <w:r w:rsidRPr="00F95336">
        <w:rPr>
          <w:rStyle w:val="Refdenotaderodap"/>
          <w:rFonts w:ascii="Arial Narrow" w:hAnsi="Arial Narrow"/>
        </w:rPr>
        <w:footnoteReference w:id="140"/>
      </w:r>
      <w:r w:rsidRPr="00F95336">
        <w:rPr>
          <w:rFonts w:ascii="Arial Narrow" w:hAnsi="Arial Narrow"/>
        </w:rPr>
        <w:t xml:space="preserve">. Já em Novembro de 1903, discursando na Câmara dos Deputados a respeito da actuação do governo francês em Marrocos, Jean Jaurès </w:t>
      </w:r>
      <w:r>
        <w:rPr>
          <w:rFonts w:ascii="Arial Narrow" w:hAnsi="Arial Narrow"/>
        </w:rPr>
        <w:t>havia dado</w:t>
      </w:r>
      <w:r w:rsidRPr="00F95336">
        <w:rPr>
          <w:rFonts w:ascii="Arial Narrow" w:hAnsi="Arial Narrow"/>
        </w:rPr>
        <w:t xml:space="preserve"> o seu acordo à «penetração pacífica» e vituperara apenas a «política guerreira de expansão colonial». Só dois anos mais tarde, quando as várias correntes socialistas do seu país se unificaram, Jaurès passou a aceitar as posições mais intransigentemente anticoloniais defendidas por Jules Guesde</w:t>
      </w:r>
      <w:r w:rsidRPr="00F95336">
        <w:rPr>
          <w:rStyle w:val="Refdenotaderodap"/>
          <w:rFonts w:ascii="Arial Narrow" w:hAnsi="Arial Narrow"/>
        </w:rPr>
        <w:footnoteReference w:id="141"/>
      </w:r>
      <w:r w:rsidRPr="00F95336">
        <w:rPr>
          <w:rFonts w:ascii="Arial Narrow" w:hAnsi="Arial Narrow"/>
        </w:rPr>
        <w:t xml:space="preserve">. </w:t>
      </w:r>
      <w:r>
        <w:rPr>
          <w:rFonts w:ascii="Arial Narrow" w:hAnsi="Arial Narrow"/>
        </w:rPr>
        <w:t>A</w:t>
      </w:r>
      <w:r w:rsidRPr="00F95336">
        <w:rPr>
          <w:rFonts w:ascii="Arial Narrow" w:hAnsi="Arial Narrow"/>
        </w:rPr>
        <w:t xml:space="preserve"> tentativa de distinguir entre as aventuras militares e uma expansão pacífica e civilizadora redundava numa apologia das forças económicas do capitalismo, porque só os homens de negócios, com as artes do dinheiro, sabiam estender os fios da sua rede em silêncio e sem dor aparente. Mas na verdade os </w:t>
      </w:r>
      <w:r w:rsidR="001B17B9">
        <w:rPr>
          <w:rFonts w:ascii="Arial Narrow" w:hAnsi="Arial Narrow"/>
        </w:rPr>
        <w:t xml:space="preserve">próprios </w:t>
      </w:r>
      <w:r w:rsidRPr="00F95336">
        <w:rPr>
          <w:rFonts w:ascii="Arial Narrow" w:hAnsi="Arial Narrow"/>
        </w:rPr>
        <w:t xml:space="preserve">chefes de empresa haviam </w:t>
      </w:r>
      <w:r w:rsidR="001B17B9">
        <w:rPr>
          <w:rFonts w:ascii="Arial Narrow" w:hAnsi="Arial Narrow"/>
        </w:rPr>
        <w:t>reconhecido</w:t>
      </w:r>
      <w:r w:rsidRPr="00F95336">
        <w:rPr>
          <w:rFonts w:ascii="Arial Narrow" w:hAnsi="Arial Narrow"/>
        </w:rPr>
        <w:t>, nas suas iniciativas imperialistas, a impossibilidade de desenvolver as bases elementares do capitalismo, tanto técnicas como sociais, sem para isso empregar sistematicamente a violência. Na Índia e em África os primeiros exércitos coloniais modernos foram criados, sustentados e directamente dirigidos pelos interesses privados, e sem as Guerras do Ópio o capitalismo europeu não teria podido penetrar na China. O processo histórico que Marx denominou acumulação primitiva do capital jamais foi realizado através dos mecanismos da livre concorrência e pressupôs sempre o recurso à força. E mesmo que o colonialismo aparecesse coberto com as roupagens miríficas do pacifismo socialista, que fazer se os nativos recusassem os benefícios de uma tal civilização? Durante os acesos debates suscitados pelas suas teses, van Kol despiu a máscara do humanitarismo, que como todas as hipocrisias resiste mal aos factos, e admitiu que mesmo sob um regime socialista a política colonial tivesse de recorrer às armas e à violência</w:t>
      </w:r>
      <w:r w:rsidRPr="00F95336">
        <w:rPr>
          <w:rStyle w:val="Refdenotaderodap"/>
          <w:rFonts w:ascii="Arial Narrow" w:hAnsi="Arial Narrow"/>
        </w:rPr>
        <w:footnoteReference w:id="142"/>
      </w:r>
      <w:r w:rsidRPr="00F95336">
        <w:rPr>
          <w:rFonts w:ascii="Arial Narrow" w:hAnsi="Arial Narrow"/>
        </w:rPr>
        <w:t xml:space="preserve">. Só o denodo de vários elementos da esquerda </w:t>
      </w:r>
      <w:r>
        <w:rPr>
          <w:rFonts w:ascii="Arial Narrow" w:hAnsi="Arial Narrow"/>
        </w:rPr>
        <w:t>obrigou</w:t>
      </w:r>
      <w:r w:rsidRPr="00F95336">
        <w:rPr>
          <w:rFonts w:ascii="Arial Narrow" w:hAnsi="Arial Narrow"/>
        </w:rPr>
        <w:t xml:space="preserve"> aquela </w:t>
      </w:r>
      <w:r w:rsidRPr="00F95336">
        <w:rPr>
          <w:rFonts w:ascii="Arial Narrow" w:hAnsi="Arial Narrow"/>
        </w:rPr>
        <w:lastRenderedPageBreak/>
        <w:t>moção a sujeita</w:t>
      </w:r>
      <w:r>
        <w:rPr>
          <w:rFonts w:ascii="Arial Narrow" w:hAnsi="Arial Narrow"/>
        </w:rPr>
        <w:t>r-</w:t>
      </w:r>
      <w:r w:rsidRPr="00F95336">
        <w:rPr>
          <w:rFonts w:ascii="Arial Narrow" w:hAnsi="Arial Narrow"/>
        </w:rPr>
        <w:t>se aos votos da assembleia e fez com que fossem retiradas as frases mais extremas, por uma escassa maioria de dezanove votos em duzentos e trinta e cinco votantes</w:t>
      </w:r>
      <w:r w:rsidRPr="00F95336">
        <w:rPr>
          <w:rStyle w:val="Refdenotaderodap"/>
          <w:rFonts w:ascii="Arial Narrow" w:hAnsi="Arial Narrow"/>
        </w:rPr>
        <w:footnoteReference w:id="143"/>
      </w:r>
      <w:r w:rsidRPr="00F95336">
        <w:rPr>
          <w:rFonts w:ascii="Arial Narrow" w:hAnsi="Arial Narrow"/>
        </w:rPr>
        <w:t>. Mas ainda aqui era a direita da social-democracia, e não a esquerda, a possuir a legitimidade da ortodoxia, porque também Engels, ao supor que só a implantação de um regime socialista nas metrópoles poderia preparar os povos colonizados para a independência, admitira a possibilidade de os países asiáticos ou africanos, mal acabassem de se emancipar politicamente, se voltarem contra o operariado europeu</w:t>
      </w:r>
      <w:r w:rsidRPr="00F95336">
        <w:rPr>
          <w:rStyle w:val="Refdenotaderodap"/>
          <w:rFonts w:ascii="Arial Narrow" w:hAnsi="Arial Narrow"/>
        </w:rPr>
        <w:footnoteReference w:id="144"/>
      </w:r>
      <w:r w:rsidRPr="00F95336">
        <w:rPr>
          <w:rFonts w:ascii="Arial Narrow" w:hAnsi="Arial Narrow"/>
        </w:rPr>
        <w:t xml:space="preserve">. </w:t>
      </w:r>
    </w:p>
    <w:p w:rsidR="00CD12DC" w:rsidRPr="00F95336" w:rsidRDefault="00CD12DC" w:rsidP="0027740E">
      <w:pPr>
        <w:pStyle w:val="Corpodetexto2"/>
        <w:spacing w:before="720"/>
        <w:jc w:val="center"/>
        <w:rPr>
          <w:rFonts w:ascii="Arial Narrow" w:hAnsi="Arial Narrow"/>
        </w:rPr>
      </w:pPr>
      <w:r w:rsidRPr="00F95336">
        <w:rPr>
          <w:rFonts w:ascii="Arial Narrow" w:hAnsi="Arial Narrow"/>
        </w:rPr>
        <w:t>4. Corradini encontrou-se com o</w:t>
      </w:r>
      <w:r w:rsidR="00A15488">
        <w:rPr>
          <w:rFonts w:ascii="Arial Narrow" w:hAnsi="Arial Narrow"/>
        </w:rPr>
        <w:t>s sindicalistas revolucionários</w:t>
      </w:r>
      <w:r w:rsidR="00A15488">
        <w:rPr>
          <w:rFonts w:ascii="Arial Narrow" w:hAnsi="Arial Narrow"/>
        </w:rPr>
        <w:br/>
      </w:r>
      <w:r w:rsidRPr="00F95336">
        <w:rPr>
          <w:rFonts w:ascii="Arial Narrow" w:hAnsi="Arial Narrow"/>
        </w:rPr>
        <w:t>na «nação proletária»</w:t>
      </w:r>
    </w:p>
    <w:p w:rsidR="0033072A" w:rsidRDefault="0033072A" w:rsidP="0033072A">
      <w:pPr>
        <w:keepNext/>
        <w:spacing w:before="240" w:after="120"/>
        <w:ind w:firstLine="0"/>
        <w:jc w:val="center"/>
        <w:rPr>
          <w:rFonts w:ascii="Arial Narrow" w:hAnsi="Arial Narrow"/>
        </w:rPr>
      </w:pPr>
      <w:r>
        <w:rPr>
          <w:rFonts w:ascii="Arial Narrow" w:hAnsi="Arial Narrow"/>
          <w:b/>
          <w:sz w:val="28"/>
          <w:szCs w:val="28"/>
        </w:rPr>
        <w:t>1</w:t>
      </w:r>
    </w:p>
    <w:p w:rsidR="00CD12DC" w:rsidRPr="00F95336" w:rsidRDefault="00CD12DC" w:rsidP="00CD12DC">
      <w:pPr>
        <w:rPr>
          <w:rFonts w:ascii="Arial Narrow" w:hAnsi="Arial Narrow"/>
        </w:rPr>
      </w:pPr>
      <w:r w:rsidRPr="00F95336">
        <w:rPr>
          <w:rFonts w:ascii="Arial Narrow" w:hAnsi="Arial Narrow"/>
        </w:rPr>
        <w:t>Entre 1908 e 1910 o político e pensador nacionalista Enrico Corradini começou a apresentar a Itália como uma «nação proletária»</w:t>
      </w:r>
      <w:r w:rsidRPr="00F95336">
        <w:rPr>
          <w:rStyle w:val="Refdenotaderodap"/>
          <w:rFonts w:ascii="Arial Narrow" w:hAnsi="Arial Narrow"/>
        </w:rPr>
        <w:footnoteReference w:id="145"/>
      </w:r>
      <w:r w:rsidRPr="00F95336">
        <w:rPr>
          <w:rFonts w:ascii="Arial Narrow" w:hAnsi="Arial Narrow"/>
        </w:rPr>
        <w:t xml:space="preserve">. A importância passada da península e as grandes aspirações do </w:t>
      </w:r>
      <w:r w:rsidRPr="00F95336">
        <w:rPr>
          <w:rFonts w:ascii="Arial Narrow" w:hAnsi="Arial Narrow"/>
          <w:i/>
        </w:rPr>
        <w:t>Risorgimento</w:t>
      </w:r>
      <w:r w:rsidRPr="00F95336">
        <w:rPr>
          <w:rFonts w:ascii="Arial Narrow" w:hAnsi="Arial Narrow"/>
        </w:rPr>
        <w:t xml:space="preserve"> contrastavam com a sua presença insignificante no contexto europeu e com as fracassadas esperanças colonizadoras. Mas para classificar como proletário um país </w:t>
      </w:r>
      <w:r>
        <w:rPr>
          <w:rFonts w:ascii="Arial Narrow" w:hAnsi="Arial Narrow"/>
        </w:rPr>
        <w:t>era</w:t>
      </w:r>
      <w:r w:rsidRPr="00F95336">
        <w:rPr>
          <w:rFonts w:ascii="Arial Narrow" w:hAnsi="Arial Narrow"/>
        </w:rPr>
        <w:t xml:space="preserve"> necessário proceder a consideráveis distorções vocabulares. A palavra </w:t>
      </w:r>
      <w:r w:rsidRPr="00075868">
        <w:rPr>
          <w:rFonts w:ascii="Arial Narrow" w:hAnsi="Arial Narrow"/>
          <w:i/>
        </w:rPr>
        <w:t>proletariado</w:t>
      </w:r>
      <w:r w:rsidRPr="00F95336">
        <w:rPr>
          <w:rFonts w:ascii="Arial Narrow" w:hAnsi="Arial Narrow"/>
        </w:rPr>
        <w:t xml:space="preserve"> define uma classe social, pressupondo a cisão entre </w:t>
      </w:r>
      <w:r w:rsidR="00180559">
        <w:rPr>
          <w:rFonts w:ascii="Arial Narrow" w:hAnsi="Arial Narrow"/>
        </w:rPr>
        <w:t>explorados</w:t>
      </w:r>
      <w:r w:rsidRPr="00F95336">
        <w:rPr>
          <w:rFonts w:ascii="Arial Narrow" w:hAnsi="Arial Narrow"/>
        </w:rPr>
        <w:t xml:space="preserve"> e </w:t>
      </w:r>
      <w:r w:rsidR="00180559">
        <w:rPr>
          <w:rFonts w:ascii="Arial Narrow" w:hAnsi="Arial Narrow"/>
        </w:rPr>
        <w:t xml:space="preserve">exploradores </w:t>
      </w:r>
      <w:r w:rsidRPr="00F95336">
        <w:rPr>
          <w:rFonts w:ascii="Arial Narrow" w:hAnsi="Arial Narrow"/>
        </w:rPr>
        <w:t xml:space="preserve">no interior de cada colectividade nacional. Pelo contrário, designar como proletária uma nação equivalia a pensá-la enquanto colectividade predominantemente homogénea, negando a sua clivagem em grupos antagónicos. A passagem da oposição de classes para a solidariedade entre classes foi o primeiro resultado daquela operação terminológica. Mas a junção dos dois vocábulos teve outra faceta. Corradini não se limitou a adjectivar a Itália como proletária; atribuiu ao mesmo tempo a essa situação proletarizada uma existência nacional. As implicações deste segundo aspecto foram igualmente profundas. </w:t>
      </w:r>
    </w:p>
    <w:p w:rsidR="00CD12DC" w:rsidRPr="00F95336" w:rsidRDefault="00CD12DC" w:rsidP="00CD12DC">
      <w:pPr>
        <w:rPr>
          <w:rFonts w:ascii="Arial Narrow" w:hAnsi="Arial Narrow"/>
        </w:rPr>
      </w:pPr>
      <w:r w:rsidRPr="00F95336">
        <w:rPr>
          <w:rFonts w:ascii="Arial Narrow" w:hAnsi="Arial Narrow"/>
        </w:rPr>
        <w:t xml:space="preserve">A velha crítica feita pelos conservadores ao liberalismo jacobino inspirava Corradini quando acusava os socialistas de, por detrás das referências a uma entidade colectiva, apresentarem na verdade o indivíduo como medida dos seus anseios. Pão para todos, justiça, </w:t>
      </w:r>
      <w:r w:rsidRPr="00F95336">
        <w:rPr>
          <w:rFonts w:ascii="Arial Narrow" w:hAnsi="Arial Narrow"/>
        </w:rPr>
        <w:lastRenderedPageBreak/>
        <w:t>condições de vida dignas, estas aspirações reduziam-se à esfera da felicidade pessoal, e ao censurá-las Corradini decerto ecoava as apóstrofes nietzschianas contra a moral da piedade e o socialismo dos escravos</w:t>
      </w:r>
      <w:r>
        <w:rPr>
          <w:rStyle w:val="Refdenotaderodap"/>
          <w:rFonts w:ascii="Arial Narrow" w:hAnsi="Arial Narrow"/>
        </w:rPr>
        <w:footnoteReference w:id="146"/>
      </w:r>
      <w:r w:rsidRPr="00F95336">
        <w:rPr>
          <w:rFonts w:ascii="Arial Narrow" w:hAnsi="Arial Narrow"/>
        </w:rPr>
        <w:t xml:space="preserve">. A este padrão individual ele substituiu um sujeito exclusivamente colectivo </w:t>
      </w:r>
      <w:r w:rsidR="00061B3C">
        <w:rPr>
          <w:rFonts w:ascii="Arial Narrow" w:hAnsi="Arial Narrow"/>
        </w:rPr>
        <w:t>—</w:t>
      </w:r>
      <w:r w:rsidRPr="00F95336">
        <w:rPr>
          <w:rFonts w:ascii="Arial Narrow" w:hAnsi="Arial Narrow"/>
        </w:rPr>
        <w:t xml:space="preserve"> a nação. Mas não seria mais rigoroso, então, ampliar o verdadeiro sujeito à humanidade, a maior comunidade possível? Para evitar que as suas premissas fossem </w:t>
      </w:r>
      <w:r w:rsidR="00061B3C">
        <w:rPr>
          <w:rFonts w:ascii="Arial Narrow" w:hAnsi="Arial Narrow"/>
        </w:rPr>
        <w:t>dilatadas</w:t>
      </w:r>
      <w:r w:rsidRPr="00F95336">
        <w:rPr>
          <w:rFonts w:ascii="Arial Narrow" w:hAnsi="Arial Narrow"/>
        </w:rPr>
        <w:t xml:space="preserve"> até uma conclusão tão lógica quanto inoportuna, o político nacionalista, como outros o haviam feito antes dele, introduziu nestas transmutações verbais a dialéctica darwiniana, afirmando que cada nação só tinha significado contra as outras nações e que a identidade nacional apenas se podia afirmar no combate pela supremacia. </w:t>
      </w:r>
      <w:r>
        <w:rPr>
          <w:rFonts w:ascii="Arial Narrow" w:hAnsi="Arial Narrow"/>
        </w:rPr>
        <w:t>«As nações surgiram porque houve um antagonismo», escreveu Corradini em 1908, «e, de certo modo, elas mais não são do que a consolidação de um estado de guerra permanente de uns contra os outros»</w:t>
      </w:r>
      <w:r>
        <w:rPr>
          <w:rStyle w:val="Refdenotaderodap"/>
          <w:rFonts w:ascii="Arial Narrow" w:hAnsi="Arial Narrow"/>
        </w:rPr>
        <w:footnoteReference w:id="147"/>
      </w:r>
      <w:r>
        <w:rPr>
          <w:rFonts w:ascii="Arial Narrow" w:hAnsi="Arial Narrow"/>
        </w:rPr>
        <w:t xml:space="preserve">. </w:t>
      </w:r>
      <w:r w:rsidRPr="00F95336">
        <w:rPr>
          <w:rFonts w:ascii="Arial Narrow" w:hAnsi="Arial Narrow"/>
        </w:rPr>
        <w:t>Tratava-se, como observou um historiador, de «uma concepção verdadeiramente tribal da nação»</w:t>
      </w:r>
      <w:r w:rsidRPr="00F95336">
        <w:rPr>
          <w:rStyle w:val="Refdenotaderodap"/>
          <w:rFonts w:ascii="Arial Narrow" w:hAnsi="Arial Narrow"/>
        </w:rPr>
        <w:footnoteReference w:id="148"/>
      </w:r>
      <w:r w:rsidRPr="00F95336">
        <w:rPr>
          <w:rFonts w:ascii="Arial Narrow" w:hAnsi="Arial Narrow"/>
        </w:rPr>
        <w:t xml:space="preserve">. Nestes termos, seria utópico imaginar que, </w:t>
      </w:r>
      <w:r>
        <w:rPr>
          <w:rFonts w:ascii="Arial Narrow" w:hAnsi="Arial Narrow"/>
        </w:rPr>
        <w:t>tal</w:t>
      </w:r>
      <w:r w:rsidRPr="00F95336">
        <w:rPr>
          <w:rFonts w:ascii="Arial Narrow" w:hAnsi="Arial Narrow"/>
        </w:rPr>
        <w:t xml:space="preserve"> como a agregação dos indivíduos levava à formação de nações, também a junção das nações conduzisse a um supranacionalismo humanitário. Se a vida, como os darwinianos explicavam, era uma luta pela existência, então a existência das nações só podia ser uma luta entre elas. Havia que devorar, para não ser devorado. O imperialismo era a única opção para a nação proletária. </w:t>
      </w:r>
    </w:p>
    <w:p w:rsidR="00CD12DC" w:rsidRPr="00F95336" w:rsidRDefault="00CD12DC" w:rsidP="00CD12DC">
      <w:pPr>
        <w:rPr>
          <w:rFonts w:ascii="Arial Narrow" w:hAnsi="Arial Narrow"/>
        </w:rPr>
      </w:pPr>
      <w:r w:rsidRPr="00F95336">
        <w:rPr>
          <w:rFonts w:ascii="Arial Narrow" w:hAnsi="Arial Narrow"/>
        </w:rPr>
        <w:t xml:space="preserve">Fica completa, assim, a definição da «nação proletária». Tratava-se de transformar a luta de classes, que dissolvia a nação e o Estado, numa luta entre nações, que reforçava a coesão de cada nação e consolidava os Estados. </w:t>
      </w:r>
      <w:r>
        <w:rPr>
          <w:rFonts w:ascii="Arial Narrow" w:hAnsi="Arial Narrow"/>
        </w:rPr>
        <w:t>«O nacionalismo é, em suma, a reafirmação da solidariedade nacional contra a luta de classes», proclamou Corradini em 1911; «é o esforço para repor as classes no seu lugar e para as subordinar novamente aos objectivos da nação»</w:t>
      </w:r>
      <w:r>
        <w:rPr>
          <w:rStyle w:val="Refdenotaderodap"/>
          <w:rFonts w:ascii="Arial Narrow" w:hAnsi="Arial Narrow"/>
        </w:rPr>
        <w:footnoteReference w:id="149"/>
      </w:r>
      <w:r>
        <w:rPr>
          <w:rFonts w:ascii="Arial Narrow" w:hAnsi="Arial Narrow"/>
        </w:rPr>
        <w:t xml:space="preserve">. </w:t>
      </w:r>
      <w:r w:rsidRPr="00F95336">
        <w:rPr>
          <w:rFonts w:ascii="Arial Narrow" w:hAnsi="Arial Narrow"/>
        </w:rPr>
        <w:t>Ao conflito interno que opunha proletários e capitalistas substituía-se a guerra externa entre nações proletárias e nações plutocráticas</w:t>
      </w:r>
      <w:r w:rsidR="00352EA6">
        <w:rPr>
          <w:rStyle w:val="Refdenotaderodap"/>
          <w:rFonts w:ascii="Arial Narrow" w:hAnsi="Arial Narrow"/>
        </w:rPr>
        <w:footnoteReference w:id="150"/>
      </w:r>
      <w:r w:rsidRPr="00F95336">
        <w:rPr>
          <w:rFonts w:ascii="Arial Narrow" w:hAnsi="Arial Narrow"/>
        </w:rPr>
        <w:t xml:space="preserve">. A magia das palavras! Assim como o adjectivo </w:t>
      </w:r>
      <w:r w:rsidRPr="008B357A">
        <w:rPr>
          <w:rFonts w:ascii="Arial Narrow" w:hAnsi="Arial Narrow"/>
          <w:i/>
        </w:rPr>
        <w:t>proletária</w:t>
      </w:r>
      <w:r w:rsidR="008B357A">
        <w:rPr>
          <w:rFonts w:ascii="Arial Narrow" w:hAnsi="Arial Narrow"/>
        </w:rPr>
        <w:t xml:space="preserve"> era atrelado ao substantivo </w:t>
      </w:r>
      <w:r w:rsidRPr="008B357A">
        <w:rPr>
          <w:rFonts w:ascii="Arial Narrow" w:hAnsi="Arial Narrow"/>
          <w:i/>
        </w:rPr>
        <w:t>nação,</w:t>
      </w:r>
      <w:r w:rsidRPr="00F95336">
        <w:rPr>
          <w:rFonts w:ascii="Arial Narrow" w:hAnsi="Arial Narrow"/>
        </w:rPr>
        <w:t xml:space="preserve"> também a classe trabalhadora iria politicamente a reboque dos capitalistas de cada país. </w:t>
      </w:r>
    </w:p>
    <w:p w:rsidR="00CD12DC" w:rsidRPr="00F95336" w:rsidRDefault="00CD12DC" w:rsidP="00CD12DC">
      <w:pPr>
        <w:rPr>
          <w:rFonts w:ascii="Arial Narrow" w:hAnsi="Arial Narrow"/>
        </w:rPr>
      </w:pPr>
      <w:r w:rsidRPr="00F95336">
        <w:rPr>
          <w:rFonts w:ascii="Arial Narrow" w:hAnsi="Arial Narrow"/>
        </w:rPr>
        <w:t>«Há nações que estão numa situação de inferioridade relativamente a outras, tal como há classes que estão numa situação de inferioridade relativamente a outras classes», escrev</w:t>
      </w:r>
      <w:r>
        <w:rPr>
          <w:rFonts w:ascii="Arial Narrow" w:hAnsi="Arial Narrow"/>
        </w:rPr>
        <w:t>eu</w:t>
      </w:r>
      <w:r w:rsidRPr="00F95336">
        <w:rPr>
          <w:rFonts w:ascii="Arial Narrow" w:hAnsi="Arial Narrow"/>
        </w:rPr>
        <w:t xml:space="preserve"> Corradini em Outubro de 1910. «A Itália é uma nação proletária; basta a emigração para o </w:t>
      </w:r>
      <w:r w:rsidRPr="00F95336">
        <w:rPr>
          <w:rFonts w:ascii="Arial Narrow" w:hAnsi="Arial Narrow"/>
        </w:rPr>
        <w:lastRenderedPageBreak/>
        <w:t>demonstrar. A Itália é a proletária do mundo»</w:t>
      </w:r>
      <w:r w:rsidRPr="00F95336">
        <w:rPr>
          <w:rStyle w:val="Refdenotaderodap"/>
          <w:rFonts w:ascii="Arial Narrow" w:hAnsi="Arial Narrow"/>
        </w:rPr>
        <w:footnoteReference w:id="151"/>
      </w:r>
      <w:r w:rsidRPr="00F95336">
        <w:rPr>
          <w:rFonts w:ascii="Arial Narrow" w:hAnsi="Arial Narrow"/>
        </w:rPr>
        <w:t>. Na realidade, Corradini pretendia orientar para a colonização africana as multidões de deserdados que todos os anos emigravam do sul da península</w:t>
      </w:r>
      <w:r w:rsidRPr="00F95336">
        <w:rPr>
          <w:rStyle w:val="Refdenotaderodap"/>
          <w:rFonts w:ascii="Arial Narrow" w:hAnsi="Arial Narrow"/>
        </w:rPr>
        <w:footnoteReference w:id="152"/>
      </w:r>
      <w:r w:rsidRPr="00F95336">
        <w:rPr>
          <w:rFonts w:ascii="Arial Narrow" w:hAnsi="Arial Narrow"/>
        </w:rPr>
        <w:t>. Entre 1871 e 1901 quase três milhões e meio de pessoas haviam abandonado a Itália rumo ao estrangeiro, e nos quinze anos seguintes o número de emigrantes aumentou para cerca de nove milhões</w:t>
      </w:r>
      <w:r w:rsidRPr="00F95336">
        <w:rPr>
          <w:rStyle w:val="Refdenotaderodap"/>
          <w:rFonts w:ascii="Arial Narrow" w:hAnsi="Arial Narrow"/>
        </w:rPr>
        <w:footnoteReference w:id="153"/>
      </w:r>
      <w:r w:rsidRPr="00F95336">
        <w:rPr>
          <w:rFonts w:ascii="Arial Narrow" w:hAnsi="Arial Narrow"/>
        </w:rPr>
        <w:t>. Nas vésperas da primeira guerra mundial a debandada movia já quase um milhão de pessoas por ano</w:t>
      </w:r>
      <w:r w:rsidRPr="00F95336">
        <w:rPr>
          <w:rStyle w:val="Refdenotaderodap"/>
          <w:rFonts w:ascii="Arial Narrow" w:hAnsi="Arial Narrow"/>
        </w:rPr>
        <w:footnoteReference w:id="154"/>
      </w:r>
      <w:r w:rsidRPr="00F95336">
        <w:rPr>
          <w:rFonts w:ascii="Arial Narrow" w:hAnsi="Arial Narrow"/>
        </w:rPr>
        <w:t>. Ajudando a reduzir as pressões sociais no país e atenuando portanto a luta de classes, a emigração contribuiu para criar as condições que permitiram a Giolitti inspirar duas décadas da história italiana com uma política liberal e uma orientação social conservadora</w:t>
      </w:r>
      <w:r w:rsidRPr="00F95336">
        <w:rPr>
          <w:rStyle w:val="Refdenotaderodap"/>
          <w:rFonts w:ascii="Arial Narrow" w:hAnsi="Arial Narrow"/>
        </w:rPr>
        <w:footnoteReference w:id="155"/>
      </w:r>
      <w:r w:rsidRPr="00F95336">
        <w:rPr>
          <w:rFonts w:ascii="Arial Narrow" w:hAnsi="Arial Narrow"/>
        </w:rPr>
        <w:t xml:space="preserve">. Assim, suster o processo migratório, como desejava Corradini, teria como efeito atingir as próprias bases do liberalismo e fomentar o imperialismo enquanto válvula de escape das tensões sociais. Corradini não foi o primeiro político italiano a propor a expansão colonial como forma de absorver a emigração oriunda das províncias meridionais, mas ao apoderar-se do tema ele insuflou-lhe algo novo, </w:t>
      </w:r>
      <w:r w:rsidR="00A3636D">
        <w:rPr>
          <w:rFonts w:ascii="Arial Narrow" w:hAnsi="Arial Narrow"/>
        </w:rPr>
        <w:t xml:space="preserve">a noção de proletariado, </w:t>
      </w:r>
      <w:r w:rsidRPr="00F95336">
        <w:rPr>
          <w:rFonts w:ascii="Arial Narrow" w:hAnsi="Arial Narrow"/>
        </w:rPr>
        <w:t>que o transformou completamente, fazendo ecoar na direita nacionalista uma dinâmica proveniente do lado de lá do espectro político</w:t>
      </w:r>
      <w:r w:rsidRPr="00F95336">
        <w:rPr>
          <w:rStyle w:val="Refdenotaderodap"/>
          <w:rFonts w:ascii="Arial Narrow" w:hAnsi="Arial Narrow"/>
        </w:rPr>
        <w:footnoteReference w:id="156"/>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«A teoria de Corradini», afirm</w:t>
      </w:r>
      <w:r>
        <w:rPr>
          <w:rFonts w:ascii="Arial Narrow" w:hAnsi="Arial Narrow"/>
        </w:rPr>
        <w:t>ou</w:t>
      </w:r>
      <w:r w:rsidRPr="00F95336">
        <w:rPr>
          <w:rFonts w:ascii="Arial Narrow" w:hAnsi="Arial Narrow"/>
        </w:rPr>
        <w:t xml:space="preserve"> um dos mais argutos estudiosos do fascismo, «constitui talvez a primeira tentativa de empregar as forças que influem na luta de classes para promover um socialismo imperialista»</w:t>
      </w:r>
      <w:r w:rsidRPr="00F95336">
        <w:rPr>
          <w:rStyle w:val="Refdenotaderodap"/>
          <w:rFonts w:ascii="Arial Narrow" w:hAnsi="Arial Narrow"/>
        </w:rPr>
        <w:footnoteReference w:id="157"/>
      </w:r>
      <w:r w:rsidRPr="00F95336">
        <w:rPr>
          <w:rFonts w:ascii="Arial Narrow" w:hAnsi="Arial Narrow"/>
        </w:rPr>
        <w:t xml:space="preserve">. Na verdade, a ideia de inserir o proletariado na nação graças a uma política de nacionalismo social fora já gerada duas décadas antes em França por </w:t>
      </w:r>
      <w:r>
        <w:rPr>
          <w:rFonts w:ascii="Arial Narrow" w:hAnsi="Arial Narrow"/>
        </w:rPr>
        <w:t xml:space="preserve">Édouard Drumont e por </w:t>
      </w:r>
      <w:r w:rsidRPr="00F95336">
        <w:rPr>
          <w:rFonts w:ascii="Arial Narrow" w:hAnsi="Arial Narrow"/>
        </w:rPr>
        <w:t>Maurice Barrès</w:t>
      </w:r>
      <w:r w:rsidRPr="00F95336">
        <w:rPr>
          <w:rStyle w:val="Refdenotaderodap"/>
          <w:rFonts w:ascii="Arial Narrow" w:hAnsi="Arial Narrow"/>
        </w:rPr>
        <w:footnoteReference w:id="158"/>
      </w:r>
      <w:r w:rsidRPr="00F95336">
        <w:rPr>
          <w:rFonts w:ascii="Arial Narrow" w:hAnsi="Arial Narrow"/>
        </w:rPr>
        <w:t xml:space="preserve">. </w:t>
      </w:r>
      <w:r>
        <w:rPr>
          <w:rFonts w:ascii="Arial Narrow" w:hAnsi="Arial Narrow"/>
        </w:rPr>
        <w:t xml:space="preserve">Em 1892 Drumont cunhou o termo «nacional-socialismo», indicando as preocupações sociais do novo nacionalismo, e Barrès definiu-se como socialista </w:t>
      </w:r>
      <w:r>
        <w:rPr>
          <w:rFonts w:ascii="Arial Narrow" w:hAnsi="Arial Narrow"/>
        </w:rPr>
        <w:lastRenderedPageBreak/>
        <w:t>nacionalista quando apresentou a sua candidatura à Câmara dos Deputados em 1900</w:t>
      </w:r>
      <w:r>
        <w:rPr>
          <w:rStyle w:val="Refdenotaderodap"/>
          <w:rFonts w:ascii="Arial Narrow" w:hAnsi="Arial Narrow"/>
        </w:rPr>
        <w:footnoteReference w:id="159"/>
      </w:r>
      <w:r>
        <w:rPr>
          <w:rFonts w:ascii="Arial Narrow" w:hAnsi="Arial Narrow"/>
        </w:rPr>
        <w:t>. «Nunca tenho receio de insistir na união da ideia socialista e da ideia nacionalista», escreveu Barrès numa obra de 1902</w:t>
      </w:r>
      <w:r>
        <w:rPr>
          <w:rStyle w:val="Refdenotaderodap"/>
          <w:rFonts w:ascii="Arial Narrow" w:hAnsi="Arial Narrow"/>
        </w:rPr>
        <w:footnoteReference w:id="160"/>
      </w:r>
      <w:r>
        <w:rPr>
          <w:rFonts w:ascii="Arial Narrow" w:hAnsi="Arial Narrow"/>
        </w:rPr>
        <w:t xml:space="preserve">. </w:t>
      </w:r>
      <w:r w:rsidR="00C23D56">
        <w:rPr>
          <w:rFonts w:ascii="Arial Narrow" w:hAnsi="Arial Narrow"/>
        </w:rPr>
        <w:t>Também Corradini usou ocasionalmente o termo «nacional-socialismo»</w:t>
      </w:r>
      <w:r w:rsidR="00C23D56">
        <w:rPr>
          <w:rStyle w:val="Refdenotaderodap"/>
          <w:rFonts w:ascii="Arial Narrow" w:hAnsi="Arial Narrow"/>
        </w:rPr>
        <w:footnoteReference w:id="161"/>
      </w:r>
      <w:r w:rsidR="00C23D56">
        <w:rPr>
          <w:rFonts w:ascii="Arial Narrow" w:hAnsi="Arial Narrow"/>
        </w:rPr>
        <w:t xml:space="preserve">, </w:t>
      </w:r>
      <w:r w:rsidR="00C23D56" w:rsidRPr="00F95336">
        <w:rPr>
          <w:rFonts w:ascii="Arial Narrow" w:hAnsi="Arial Narrow"/>
        </w:rPr>
        <w:t xml:space="preserve">mas </w:t>
      </w:r>
      <w:r w:rsidR="00C23D56">
        <w:rPr>
          <w:rFonts w:ascii="Arial Narrow" w:hAnsi="Arial Narrow"/>
        </w:rPr>
        <w:t>a</w:t>
      </w:r>
      <w:r w:rsidRPr="00F95336">
        <w:rPr>
          <w:rFonts w:ascii="Arial Narrow" w:hAnsi="Arial Narrow"/>
        </w:rPr>
        <w:t xml:space="preserve">o que </w:t>
      </w:r>
      <w:r w:rsidR="00C23D56">
        <w:rPr>
          <w:rFonts w:ascii="Arial Narrow" w:hAnsi="Arial Narrow"/>
        </w:rPr>
        <w:t xml:space="preserve">nos outros </w:t>
      </w:r>
      <w:r w:rsidRPr="00F95336">
        <w:rPr>
          <w:rFonts w:ascii="Arial Narrow" w:hAnsi="Arial Narrow"/>
        </w:rPr>
        <w:t xml:space="preserve">não passara de uma inspiração </w:t>
      </w:r>
      <w:r w:rsidR="00320D84">
        <w:rPr>
          <w:rFonts w:ascii="Arial Narrow" w:hAnsi="Arial Narrow"/>
        </w:rPr>
        <w:t>ele</w:t>
      </w:r>
      <w:r w:rsidRPr="00F95336">
        <w:rPr>
          <w:rFonts w:ascii="Arial Narrow" w:hAnsi="Arial Narrow"/>
        </w:rPr>
        <w:t xml:space="preserve"> </w:t>
      </w:r>
      <w:r w:rsidR="00C23D56">
        <w:rPr>
          <w:rFonts w:ascii="Arial Narrow" w:hAnsi="Arial Narrow"/>
        </w:rPr>
        <w:t xml:space="preserve">conferiu </w:t>
      </w:r>
      <w:r w:rsidRPr="00F95336">
        <w:rPr>
          <w:rFonts w:ascii="Arial Narrow" w:hAnsi="Arial Narrow"/>
        </w:rPr>
        <w:t>um arcaboiço conceptual e condições organizativas. O seu génio não consistiu em meras modificações terminológicas. Confundir palavras, há muito quem o faça. Corradini assumiu as consequências políticas que decorriam da junção da «nação» e do «proletariado», e nos anos que precederam a primeira guerra mundial esforçou-se por consolidar uma aliança entre os seus nacionalistas radicais e os sindicalistas revolucionários, que transportasse a luta da classe trabalhadora do interior da Itália para o exterior, convertendo uma nação proletária numa nação imperial</w:t>
      </w:r>
      <w:r w:rsidRPr="00F95336">
        <w:rPr>
          <w:rStyle w:val="Refdenotaderodap"/>
          <w:rFonts w:ascii="Arial Narrow" w:hAnsi="Arial Narrow"/>
        </w:rPr>
        <w:footnoteReference w:id="162"/>
      </w:r>
      <w:r w:rsidRPr="00F95336">
        <w:rPr>
          <w:rFonts w:ascii="Arial Narrow" w:hAnsi="Arial Narrow"/>
        </w:rPr>
        <w:t>. «Por favor, não percam de vista os sindicalistas», preveni</w:t>
      </w:r>
      <w:r>
        <w:rPr>
          <w:rFonts w:ascii="Arial Narrow" w:hAnsi="Arial Narrow"/>
        </w:rPr>
        <w:t>u</w:t>
      </w:r>
      <w:r w:rsidRPr="00F95336">
        <w:rPr>
          <w:rFonts w:ascii="Arial Narrow" w:hAnsi="Arial Narrow"/>
        </w:rPr>
        <w:t xml:space="preserve"> Corradini em Abril de 1909. «Eles têm de certo modo um ponto de partida idêntico ao nosso. Trata-se da primeira doutrina sincera e forte produzida pelo inimigo»</w:t>
      </w:r>
      <w:r w:rsidRPr="00F95336">
        <w:rPr>
          <w:rStyle w:val="Refdenotaderodap"/>
          <w:rFonts w:ascii="Arial Narrow" w:hAnsi="Arial Narrow"/>
        </w:rPr>
        <w:footnoteReference w:id="163"/>
      </w:r>
      <w:r w:rsidRPr="00F95336">
        <w:rPr>
          <w:rFonts w:ascii="Arial Narrow" w:hAnsi="Arial Narrow"/>
        </w:rPr>
        <w:t>. Não podia ser mais claro. Na sua opinião, e consoante o modelo exposto por Pareto, os sindicalistas constituíam uma nova elite em formação, capaz de derrubar a antiga elite decadente e revitalizar a nação</w:t>
      </w:r>
      <w:r w:rsidRPr="00F95336">
        <w:rPr>
          <w:rStyle w:val="Refdenotaderodap"/>
          <w:rFonts w:ascii="Arial Narrow" w:hAnsi="Arial Narrow"/>
        </w:rPr>
        <w:footnoteReference w:id="164"/>
      </w:r>
      <w:r w:rsidRPr="00F95336">
        <w:rPr>
          <w:rFonts w:ascii="Arial Narrow" w:hAnsi="Arial Narrow"/>
        </w:rPr>
        <w:t xml:space="preserve">. O dirigente nacionalista apercebera-se da fraqueza dos grupos sociais conservadores, com os quais seria impossível inaugurar um nacionalismo agressivo. A Itália proletária só poderia adquirir uma existência imperial se a dinâmica revolucionária do movimento operário fosse orientada além-fronteiras. O génio de Corradini consistiu em, a partir da direita, ter entendido a necessidade de renová-la politicamente, usando para isto o proletariado. Residiu aqui a substância mesma do fascismo. </w:t>
      </w:r>
    </w:p>
    <w:p w:rsidR="00CD12DC" w:rsidRPr="00F95336" w:rsidRDefault="00CD12DC" w:rsidP="00CD12DC">
      <w:pPr>
        <w:rPr>
          <w:rFonts w:ascii="Arial Narrow" w:hAnsi="Arial Narrow"/>
        </w:rPr>
      </w:pPr>
      <w:r w:rsidRPr="00F95336">
        <w:rPr>
          <w:rFonts w:ascii="Arial Narrow" w:hAnsi="Arial Narrow"/>
        </w:rPr>
        <w:t xml:space="preserve">No congresso de Florença, em Dezembro de 1910, constituiu-se sob a égide de Corradini a Associação Nacionalista Italiana, que haveria mais tarde de exercer uma influência decisiva sobre o fascismo nascente. Se Mussolini </w:t>
      </w:r>
      <w:r w:rsidR="000D3CF1">
        <w:rPr>
          <w:rFonts w:ascii="Arial Narrow" w:hAnsi="Arial Narrow"/>
        </w:rPr>
        <w:t>levou</w:t>
      </w:r>
      <w:r w:rsidRPr="00F95336">
        <w:rPr>
          <w:rFonts w:ascii="Arial Narrow" w:hAnsi="Arial Narrow"/>
        </w:rPr>
        <w:t xml:space="preserve"> para o fascismo as massas de militantes, foi Corradini a provê-lo da formulação teórica básica e da principal orientação estratégica, até que por fim os nacionalistas se integraram no Partido Nacional Fascista, em Março de 1923. A partir do momento em que não bastavam já a ferocidade e os maus modos dos </w:t>
      </w:r>
      <w:r w:rsidRPr="00F95336">
        <w:rPr>
          <w:rFonts w:ascii="Arial Narrow" w:hAnsi="Arial Narrow"/>
          <w:i/>
        </w:rPr>
        <w:t>squadristi</w:t>
      </w:r>
      <w:r w:rsidRPr="00F95336">
        <w:rPr>
          <w:rFonts w:ascii="Arial Narrow" w:hAnsi="Arial Narrow"/>
        </w:rPr>
        <w:t xml:space="preserve"> e era propriamente necessário governar, acabaram por ser os antigos nacionalistas, apesar de minoritários, quem, com a sua competência e o seu rigor doutrinário, </w:t>
      </w:r>
      <w:r w:rsidRPr="00F95336">
        <w:rPr>
          <w:rFonts w:ascii="Arial Narrow" w:hAnsi="Arial Narrow"/>
        </w:rPr>
        <w:lastRenderedPageBreak/>
        <w:t>dominou por dentro a direcção do PNF</w:t>
      </w:r>
      <w:r w:rsidRPr="00F95336">
        <w:rPr>
          <w:rStyle w:val="Refdenotaderodap"/>
          <w:rFonts w:ascii="Arial Narrow" w:hAnsi="Arial Narrow"/>
        </w:rPr>
        <w:footnoteReference w:id="165"/>
      </w:r>
      <w:r w:rsidRPr="00F95336">
        <w:rPr>
          <w:rFonts w:ascii="Arial Narrow" w:hAnsi="Arial Narrow"/>
        </w:rPr>
        <w:t xml:space="preserve">. </w:t>
      </w:r>
      <w:r w:rsidRPr="004C5D24">
        <w:rPr>
          <w:rFonts w:ascii="Arial Narrow" w:hAnsi="Arial Narrow"/>
        </w:rPr>
        <w:t xml:space="preserve">«Mussolini não foi o inventor do aspecto </w:t>
      </w:r>
      <w:r w:rsidRPr="004C5D24">
        <w:rPr>
          <w:rFonts w:ascii="Arial Narrow" w:hAnsi="Arial Narrow"/>
          <w:i/>
        </w:rPr>
        <w:t>imperialista</w:t>
      </w:r>
      <w:r w:rsidRPr="004C5D24">
        <w:rPr>
          <w:rFonts w:ascii="Arial Narrow" w:hAnsi="Arial Narrow"/>
        </w:rPr>
        <w:t xml:space="preserve"> do fascismo; herdou-o de Corradini», notou um fascista francês que durante muitos anos foi português de adopção. «Mussolini não inovou nada; realizou»</w:t>
      </w:r>
      <w:r w:rsidRPr="004C5D24">
        <w:rPr>
          <w:rFonts w:ascii="Arial Narrow" w:hAnsi="Arial Narrow"/>
          <w:vertAlign w:val="superscript"/>
        </w:rPr>
        <w:footnoteReference w:id="166"/>
      </w:r>
      <w:r w:rsidRPr="004C5D24">
        <w:rPr>
          <w:rFonts w:ascii="Arial Narrow" w:hAnsi="Arial Narrow"/>
        </w:rPr>
        <w:t xml:space="preserve">. </w:t>
      </w:r>
      <w:r w:rsidRPr="00F95336">
        <w:rPr>
          <w:rFonts w:ascii="Arial Narrow" w:hAnsi="Arial Narrow"/>
        </w:rPr>
        <w:t xml:space="preserve">Nesta perspectiva, pode dizer-se que Mussolini teve a capacidade táctica de concluir na prática a estratégia política paradoxal </w:t>
      </w:r>
      <w:r>
        <w:rPr>
          <w:rFonts w:ascii="Arial Narrow" w:hAnsi="Arial Narrow"/>
        </w:rPr>
        <w:t xml:space="preserve">concebida e inaugurada por </w:t>
      </w:r>
      <w:r w:rsidRPr="00F95336">
        <w:rPr>
          <w:rFonts w:ascii="Arial Narrow" w:hAnsi="Arial Narrow"/>
        </w:rPr>
        <w:t xml:space="preserve">Corradini. </w:t>
      </w:r>
    </w:p>
    <w:p w:rsidR="0033072A" w:rsidRDefault="0033072A" w:rsidP="0033072A">
      <w:pPr>
        <w:keepNext/>
        <w:spacing w:before="240" w:after="120"/>
        <w:ind w:firstLine="0"/>
        <w:jc w:val="center"/>
        <w:rPr>
          <w:rFonts w:ascii="Arial Narrow" w:hAnsi="Arial Narrow"/>
        </w:rPr>
      </w:pPr>
      <w:r>
        <w:rPr>
          <w:rFonts w:ascii="Arial Narrow" w:hAnsi="Arial Narrow"/>
          <w:b/>
          <w:sz w:val="28"/>
          <w:szCs w:val="28"/>
        </w:rPr>
        <w:t>2</w:t>
      </w:r>
    </w:p>
    <w:p w:rsidR="00E84473" w:rsidRDefault="00CD12DC" w:rsidP="00CD12DC">
      <w:pPr>
        <w:rPr>
          <w:rFonts w:ascii="Arial Narrow" w:hAnsi="Arial Narrow"/>
        </w:rPr>
      </w:pPr>
      <w:r w:rsidRPr="00F95336">
        <w:rPr>
          <w:rFonts w:ascii="Arial Narrow" w:hAnsi="Arial Narrow"/>
        </w:rPr>
        <w:t xml:space="preserve">Aquela estratégia audaciosa de alianças políticas ficaria sem efeito se ao mesmo tempo, e não só na Itália, não se operasse a partir de uma certa extrema-esquerda um movimento de convergência com a extrema-direita nacionalista e autoritária. </w:t>
      </w:r>
    </w:p>
    <w:p w:rsidR="008C360C" w:rsidRDefault="00E84473" w:rsidP="00CD12DC">
      <w:pPr>
        <w:rPr>
          <w:rFonts w:ascii="Arial Narrow" w:hAnsi="Arial Narrow"/>
        </w:rPr>
      </w:pPr>
      <w:r w:rsidRPr="00F95336">
        <w:rPr>
          <w:rFonts w:ascii="Arial Narrow" w:hAnsi="Arial Narrow"/>
        </w:rPr>
        <w:t>As palavras valem o que valem e as denominações são convencionais, mas quando os usos se tornam ambíguos impõem-se alguns esclarecimentos. Ao mencionar os sindicalistas revolucionários não me refiro aqui ao conjunto da</w:t>
      </w:r>
      <w:r>
        <w:rPr>
          <w:rFonts w:ascii="Arial Narrow" w:hAnsi="Arial Narrow"/>
        </w:rPr>
        <w:t>quela</w:t>
      </w:r>
      <w:r w:rsidRPr="00F95336">
        <w:rPr>
          <w:rFonts w:ascii="Arial Narrow" w:hAnsi="Arial Narrow"/>
        </w:rPr>
        <w:t>s correntes</w:t>
      </w:r>
      <w:r>
        <w:rPr>
          <w:rFonts w:ascii="Arial Narrow" w:hAnsi="Arial Narrow"/>
        </w:rPr>
        <w:t>,</w:t>
      </w:r>
      <w:r w:rsidRPr="00F95336">
        <w:rPr>
          <w:rFonts w:ascii="Arial Narrow" w:hAnsi="Arial Narrow"/>
        </w:rPr>
        <w:t xml:space="preserve"> </w:t>
      </w:r>
      <w:r>
        <w:rPr>
          <w:rFonts w:ascii="Arial Narrow" w:hAnsi="Arial Narrow"/>
        </w:rPr>
        <w:t xml:space="preserve">muito difundidas </w:t>
      </w:r>
      <w:r w:rsidRPr="00F95336">
        <w:rPr>
          <w:rFonts w:ascii="Arial Narrow" w:hAnsi="Arial Narrow"/>
        </w:rPr>
        <w:t xml:space="preserve">na CGT francesa antes da primeira guerra mundial, que afirmavam a independência dos organismos sindicais perante o Estado e perante os vários partidos socialistas ou, depois da unificação, perante a SFIO. </w:t>
      </w:r>
      <w:r>
        <w:rPr>
          <w:rFonts w:ascii="Arial Narrow" w:hAnsi="Arial Narrow"/>
        </w:rPr>
        <w:t>Um autor da época, que sabia do que falava, atribuiu a essas correntes «talvez metade das forças sindicais»</w:t>
      </w:r>
      <w:r>
        <w:rPr>
          <w:rStyle w:val="Refdenotaderodap"/>
          <w:rFonts w:ascii="Arial Narrow" w:hAnsi="Arial Narrow"/>
        </w:rPr>
        <w:footnoteReference w:id="167"/>
      </w:r>
      <w:r>
        <w:rPr>
          <w:rFonts w:ascii="Arial Narrow" w:hAnsi="Arial Narrow"/>
        </w:rPr>
        <w:t xml:space="preserve">. </w:t>
      </w:r>
      <w:r w:rsidRPr="00F95336">
        <w:rPr>
          <w:rFonts w:ascii="Arial Narrow" w:hAnsi="Arial Narrow"/>
        </w:rPr>
        <w:t xml:space="preserve">Na acepção em que </w:t>
      </w:r>
      <w:r>
        <w:rPr>
          <w:rFonts w:ascii="Arial Narrow" w:hAnsi="Arial Narrow"/>
        </w:rPr>
        <w:t>estou a empregar o termo</w:t>
      </w:r>
      <w:r w:rsidRPr="00F95336">
        <w:rPr>
          <w:rFonts w:ascii="Arial Narrow" w:hAnsi="Arial Narrow"/>
        </w:rPr>
        <w:t xml:space="preserve">, </w:t>
      </w:r>
      <w:r>
        <w:rPr>
          <w:rFonts w:ascii="Arial Narrow" w:hAnsi="Arial Narrow"/>
        </w:rPr>
        <w:t xml:space="preserve">que é a mesma em que Corradini o usou, o sindicalismo revolucionário constituiu apenas uma das tendências daquele tipo de sindicalismo, especialmente </w:t>
      </w:r>
      <w:r w:rsidR="005557A2">
        <w:rPr>
          <w:rFonts w:ascii="Arial Narrow" w:hAnsi="Arial Narrow"/>
        </w:rPr>
        <w:t>disseminada</w:t>
      </w:r>
      <w:r>
        <w:rPr>
          <w:rFonts w:ascii="Arial Narrow" w:hAnsi="Arial Narrow"/>
        </w:rPr>
        <w:t xml:space="preserve"> em Itália e que contava em França com um </w:t>
      </w:r>
      <w:r w:rsidR="005557A2">
        <w:rPr>
          <w:rFonts w:ascii="Arial Narrow" w:hAnsi="Arial Narrow"/>
        </w:rPr>
        <w:t>grupo</w:t>
      </w:r>
      <w:r>
        <w:rPr>
          <w:rFonts w:ascii="Arial Narrow" w:hAnsi="Arial Narrow"/>
        </w:rPr>
        <w:t xml:space="preserve"> de personalidades</w:t>
      </w:r>
      <w:r w:rsidR="008C360C">
        <w:rPr>
          <w:rFonts w:ascii="Arial Narrow" w:hAnsi="Arial Narrow"/>
        </w:rPr>
        <w:t>,</w:t>
      </w:r>
      <w:r>
        <w:rPr>
          <w:rFonts w:ascii="Arial Narrow" w:hAnsi="Arial Narrow"/>
        </w:rPr>
        <w:t xml:space="preserve"> </w:t>
      </w:r>
      <w:r w:rsidR="008C360C">
        <w:rPr>
          <w:rFonts w:ascii="Arial Narrow" w:hAnsi="Arial Narrow"/>
        </w:rPr>
        <w:t xml:space="preserve">embora pequeno, de grande relevância </w:t>
      </w:r>
      <w:r w:rsidR="00DF422D">
        <w:rPr>
          <w:rFonts w:ascii="Arial Narrow" w:hAnsi="Arial Narrow"/>
        </w:rPr>
        <w:t>intelectual</w:t>
      </w:r>
      <w:r w:rsidR="008C360C">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Édouard Berth, um teórico francês </w:t>
      </w:r>
      <w:r w:rsidR="008C360C">
        <w:rPr>
          <w:rFonts w:ascii="Arial Narrow" w:hAnsi="Arial Narrow"/>
        </w:rPr>
        <w:t xml:space="preserve">desta </w:t>
      </w:r>
      <w:r w:rsidR="009D60EC">
        <w:rPr>
          <w:rFonts w:ascii="Arial Narrow" w:hAnsi="Arial Narrow"/>
        </w:rPr>
        <w:t>tendência</w:t>
      </w:r>
      <w:r w:rsidR="008C360C">
        <w:rPr>
          <w:rFonts w:ascii="Arial Narrow" w:hAnsi="Arial Narrow"/>
        </w:rPr>
        <w:t xml:space="preserve"> </w:t>
      </w:r>
      <w:r w:rsidRPr="00F95336">
        <w:rPr>
          <w:rFonts w:ascii="Arial Narrow" w:hAnsi="Arial Narrow"/>
        </w:rPr>
        <w:t>do sindicalismo revolucionário</w:t>
      </w:r>
      <w:r w:rsidR="008C360C">
        <w:rPr>
          <w:rFonts w:ascii="Arial Narrow" w:hAnsi="Arial Narrow"/>
        </w:rPr>
        <w:t>,</w:t>
      </w:r>
      <w:r w:rsidRPr="00F95336">
        <w:rPr>
          <w:rFonts w:ascii="Arial Narrow" w:hAnsi="Arial Narrow"/>
        </w:rPr>
        <w:t xml:space="preserve"> que gozava de significativa audiência entre os seus correligionários italianos, depois de invocar Proudhon para proceder a uma longa apologia da guerra enquanto modelo de organização social e inspiradora de virtudes proletárias, concluiu que só o carácter pusilânime do burguês e a sua mentalidade exclusivamente mercantil o impediam de admitir que as colectividades nacionais recorressem à guerra militar assim como as colectividades operárias, os sindicatos, recorriam à guerra social, ou seja, à greve. «O burguês não sabe o que é uma colectividade nacional ou operária, e não pode sem dúvida compreender que a honra desta colectividade represente algo superior a um cálculo de perdas e lucros</w:t>
      </w:r>
      <w:r w:rsidR="008C360C">
        <w:rPr>
          <w:rFonts w:ascii="Arial Narrow" w:hAnsi="Arial Narrow"/>
        </w:rPr>
        <w:t>», afirmou Berth</w:t>
      </w:r>
      <w:r w:rsidRPr="00F95336">
        <w:rPr>
          <w:rFonts w:ascii="Arial Narrow" w:hAnsi="Arial Narrow"/>
        </w:rPr>
        <w:t xml:space="preserve">. </w:t>
      </w:r>
      <w:r w:rsidR="008C360C">
        <w:rPr>
          <w:rFonts w:ascii="Arial Narrow" w:hAnsi="Arial Narrow"/>
        </w:rPr>
        <w:t>«</w:t>
      </w:r>
      <w:r w:rsidRPr="00F95336">
        <w:rPr>
          <w:rFonts w:ascii="Arial Narrow" w:hAnsi="Arial Narrow"/>
        </w:rPr>
        <w:t xml:space="preserve">O burguês [...] é incapaz de se elevar a um certo nível de pensamento ou de sentimentos: a ideia social só pode ser militar ou operária, </w:t>
      </w:r>
      <w:r w:rsidRPr="00F95336">
        <w:rPr>
          <w:rFonts w:ascii="Arial Narrow" w:hAnsi="Arial Narrow"/>
        </w:rPr>
        <w:lastRenderedPageBreak/>
        <w:t>e não existem senão duas nobrezas, a da espada e a do trabalho. O burguês, o homem de negócios, das finanças, do ouro e da bolsa, o comerciante, o intermediário, e o seu compadre, o intelectual, que também é um intermediário, todos eles estranhos ao mundo do exército como ao mundo do trabalho, estão condenados a uma irremediável mediocridade de pensamento e de coração»</w:t>
      </w:r>
      <w:r w:rsidRPr="00F95336">
        <w:rPr>
          <w:rStyle w:val="Refdenotaderodap"/>
          <w:rFonts w:ascii="Arial Narrow" w:hAnsi="Arial Narrow"/>
        </w:rPr>
        <w:footnoteReference w:id="168"/>
      </w:r>
      <w:r w:rsidRPr="00F95336">
        <w:rPr>
          <w:rFonts w:ascii="Arial Narrow" w:hAnsi="Arial Narrow"/>
        </w:rPr>
        <w:t xml:space="preserve">. Os pressupostos ideológicos eram claros e não admitiam outras ilações </w:t>
      </w:r>
      <w:r w:rsidR="008C360C">
        <w:rPr>
          <w:rFonts w:ascii="Arial Narrow" w:hAnsi="Arial Narrow"/>
        </w:rPr>
        <w:t>—</w:t>
      </w:r>
      <w:r w:rsidRPr="00F95336">
        <w:rPr>
          <w:rFonts w:ascii="Arial Narrow" w:hAnsi="Arial Narrow"/>
        </w:rPr>
        <w:t xml:space="preserve"> a greve e a guerra ficavam colocadas no mesmo plano graças ao mito da honra viril. Nada se opunha, em tal perspectiva, a que o proletariado militante encabeçasse uma nação guerreira. </w:t>
      </w:r>
    </w:p>
    <w:p w:rsidR="00CD12DC" w:rsidRPr="00F95336" w:rsidRDefault="00CD12DC" w:rsidP="00CD12DC">
      <w:pPr>
        <w:rPr>
          <w:rFonts w:ascii="Arial Narrow" w:hAnsi="Arial Narrow"/>
        </w:rPr>
      </w:pPr>
      <w:r w:rsidRPr="00F95336">
        <w:rPr>
          <w:rFonts w:ascii="Arial Narrow" w:hAnsi="Arial Narrow"/>
        </w:rPr>
        <w:t>Os sindicalistas revolucionários italianos não tardaram em extrair esta conclusão. Eles formavam no final de 1902 uma facção no interior do Partido Socialista Italiano, e a conjuntura afigurava-se-lhes favorável, porque em 1903 a tendência radical obteve o controlo do jornal diário do partido e conseguiu a maioria no congresso de 1904. Mas noutro congresso efectuado quatro anos depois os reformistas triunfaram e passaram a orientar o diário nacional. Verificando a impossibilidade de conquistar os postos de comando, os sindicalistas revolucionários abandonaram o partido e</w:t>
      </w:r>
      <w:r w:rsidR="005E6ACC">
        <w:rPr>
          <w:rFonts w:ascii="Arial Narrow" w:hAnsi="Arial Narrow"/>
        </w:rPr>
        <w:t>,</w:t>
      </w:r>
      <w:r w:rsidRPr="00F95336">
        <w:rPr>
          <w:rFonts w:ascii="Arial Narrow" w:hAnsi="Arial Narrow"/>
        </w:rPr>
        <w:t xml:space="preserve"> como ao mesmo tempo foram afastados dos lugares de direcção nacional na central sindical socialista, a CGL, concentraram-se na actividade regional e desempenharam um papel de relevo na preparação e na condução de inúmeras lutas</w:t>
      </w:r>
      <w:r w:rsidRPr="00F95336">
        <w:rPr>
          <w:rStyle w:val="Refdenotaderodap"/>
          <w:rFonts w:ascii="Arial Narrow" w:hAnsi="Arial Narrow"/>
        </w:rPr>
        <w:footnoteReference w:id="169"/>
      </w:r>
      <w:r w:rsidRPr="00F95336">
        <w:rPr>
          <w:rFonts w:ascii="Arial Narrow" w:hAnsi="Arial Narrow"/>
        </w:rPr>
        <w:t>. Para evitar a acção dissolutora da burocracia reformista, os sindicalistas revolucionários organizavam os grevistas através das Câmaras do Trabalho, que no seu entender deveriam constituir a célula fundamental da sociedade futura</w:t>
      </w:r>
      <w:r w:rsidRPr="00F95336">
        <w:rPr>
          <w:rStyle w:val="Refdenotaderodap"/>
          <w:rFonts w:ascii="Arial Narrow" w:hAnsi="Arial Narrow"/>
        </w:rPr>
        <w:footnoteReference w:id="170"/>
      </w:r>
      <w:r w:rsidRPr="00F95336">
        <w:rPr>
          <w:rFonts w:ascii="Arial Narrow" w:hAnsi="Arial Narrow"/>
        </w:rPr>
        <w:t xml:space="preserve">. Foi assim que </w:t>
      </w:r>
      <w:r w:rsidR="005E6ACC" w:rsidRPr="00F95336">
        <w:rPr>
          <w:rFonts w:ascii="Arial Narrow" w:hAnsi="Arial Narrow"/>
        </w:rPr>
        <w:t xml:space="preserve">adquiriram uma base efectiva </w:t>
      </w:r>
      <w:r w:rsidRPr="00F95336">
        <w:rPr>
          <w:rFonts w:ascii="Arial Narrow" w:hAnsi="Arial Narrow"/>
        </w:rPr>
        <w:t xml:space="preserve">nas grandes greves rurais de 1907 e 1908, não se limitando a ser uma corrente de opinião e transformando-se numa força social no seio da classe trabalhadora italiana. </w:t>
      </w:r>
    </w:p>
    <w:p w:rsidR="00CD12DC" w:rsidRPr="00F95336" w:rsidRDefault="00CD12DC" w:rsidP="00CD12DC">
      <w:pPr>
        <w:rPr>
          <w:rFonts w:ascii="Arial Narrow" w:hAnsi="Arial Narrow"/>
        </w:rPr>
      </w:pPr>
      <w:r w:rsidRPr="00F95336">
        <w:rPr>
          <w:rFonts w:ascii="Arial Narrow" w:hAnsi="Arial Narrow"/>
        </w:rPr>
        <w:t xml:space="preserve">Com a publicação de </w:t>
      </w:r>
      <w:r w:rsidRPr="00F95336">
        <w:rPr>
          <w:rFonts w:ascii="Arial Narrow" w:hAnsi="Arial Narrow"/>
          <w:i/>
        </w:rPr>
        <w:t>La Lupa,</w:t>
      </w:r>
      <w:r w:rsidRPr="00F95336">
        <w:rPr>
          <w:rFonts w:ascii="Arial Narrow" w:hAnsi="Arial Narrow"/>
        </w:rPr>
        <w:t xml:space="preserve"> a partir do final de 1910, os sindicalistas revolucionários encetaram o diálogo que os aproximou dos nacionalistas radicais</w:t>
      </w:r>
      <w:r w:rsidRPr="00F95336">
        <w:rPr>
          <w:rStyle w:val="Refdenotaderodap"/>
          <w:rFonts w:ascii="Arial Narrow" w:hAnsi="Arial Narrow"/>
        </w:rPr>
        <w:footnoteReference w:id="171"/>
      </w:r>
      <w:r w:rsidRPr="00F95336">
        <w:rPr>
          <w:rFonts w:ascii="Arial Narrow" w:hAnsi="Arial Narrow"/>
        </w:rPr>
        <w:t xml:space="preserve"> e no ano seguinte surgiu a oportunidade de estreitar esta convergência. Em Setembro de 1911 o governo de Roma enviou ao sultão otomano um ultimato reclamando o reconhecimento dos direitos italianos sobre a Tripolitânia e a Cirenaica. Como se previa, o </w:t>
      </w:r>
      <w:r w:rsidR="00746956">
        <w:rPr>
          <w:rFonts w:ascii="Arial Narrow" w:hAnsi="Arial Narrow"/>
        </w:rPr>
        <w:t xml:space="preserve">sultão </w:t>
      </w:r>
      <w:r w:rsidRPr="00F95336">
        <w:rPr>
          <w:rFonts w:ascii="Arial Narrow" w:hAnsi="Arial Narrow"/>
        </w:rPr>
        <w:t>rejeitou as exigências e a Itália iniciou as campanhas militares na Líbia. Um bom número de sindicalistas revolucionários, incluindo intelectuais de renome, apoiou activamente a agressão</w:t>
      </w:r>
      <w:r w:rsidRPr="00F95336">
        <w:rPr>
          <w:rStyle w:val="Refdenotaderodap"/>
          <w:rFonts w:ascii="Arial Narrow" w:hAnsi="Arial Narrow"/>
        </w:rPr>
        <w:footnoteReference w:id="172"/>
      </w:r>
      <w:r w:rsidRPr="00F95336">
        <w:rPr>
          <w:rFonts w:ascii="Arial Narrow" w:hAnsi="Arial Narrow"/>
        </w:rPr>
        <w:t xml:space="preserve">, vendo nela, tal como Corradini e os seus nacionalistas, uma forma de absorver a emigração. «É possível que a acção na Líbia seja a </w:t>
      </w:r>
      <w:r w:rsidRPr="00F95336">
        <w:rPr>
          <w:rFonts w:ascii="Arial Narrow" w:hAnsi="Arial Narrow"/>
        </w:rPr>
        <w:lastRenderedPageBreak/>
        <w:t>iniciativa mais importante e mais séria tomada até hoje em benefício do sul do país», escrev</w:t>
      </w:r>
      <w:r>
        <w:rPr>
          <w:rFonts w:ascii="Arial Narrow" w:hAnsi="Arial Narrow"/>
        </w:rPr>
        <w:t>eu</w:t>
      </w:r>
      <w:r w:rsidRPr="00F95336">
        <w:rPr>
          <w:rFonts w:ascii="Arial Narrow" w:hAnsi="Arial Narrow"/>
        </w:rPr>
        <w:t xml:space="preserve"> Arturo Labriola, o principal teórico italiano do sindicalismo revolucionário</w:t>
      </w:r>
      <w:r w:rsidRPr="00F95336">
        <w:rPr>
          <w:rStyle w:val="Refdenotaderodap"/>
          <w:rFonts w:ascii="Arial Narrow" w:hAnsi="Arial Narrow"/>
        </w:rPr>
        <w:footnoteReference w:id="173"/>
      </w:r>
      <w:r w:rsidRPr="00F95336">
        <w:rPr>
          <w:rFonts w:ascii="Arial Narrow" w:hAnsi="Arial Narrow"/>
        </w:rPr>
        <w:t>. A Itália estaria condenada a ser uma nação proletária enquanto durasse a sangria da sua população trabalhadora, e na conjugação do problema da emigração com o programa de expansão colonial os sindicalistas revolucionários encontraram o terreno comum com os nacionalistas radicais</w:t>
      </w:r>
      <w:r w:rsidRPr="00F95336">
        <w:rPr>
          <w:rStyle w:val="Refdenotaderodap"/>
          <w:rFonts w:ascii="Arial Narrow" w:hAnsi="Arial Narrow"/>
        </w:rPr>
        <w:footnoteReference w:id="174"/>
      </w:r>
      <w:r w:rsidRPr="00F95336">
        <w:rPr>
          <w:rFonts w:ascii="Arial Narrow" w:hAnsi="Arial Narrow"/>
        </w:rPr>
        <w:t>. Angelo Oliviero Olivetti, uma das personalidades mais representativas do movimento, escrev</w:t>
      </w:r>
      <w:r>
        <w:rPr>
          <w:rFonts w:ascii="Arial Narrow" w:hAnsi="Arial Narrow"/>
        </w:rPr>
        <w:t>eu</w:t>
      </w:r>
      <w:r w:rsidRPr="00F95336">
        <w:rPr>
          <w:rFonts w:ascii="Arial Narrow" w:hAnsi="Arial Narrow"/>
        </w:rPr>
        <w:t xml:space="preserve"> em defesa da expedição militar contra o norte da África: «O sindicalismo odeia a pálida igualdade freirática com a qual sonha o colectivismo, e em vez disso serve de prelúdio à formação de elites combativas e conquistadoras, lançadas ao assalto da riqueza e da vida»</w:t>
      </w:r>
      <w:r w:rsidRPr="00F95336">
        <w:rPr>
          <w:rStyle w:val="Refdenotaderodap"/>
          <w:rFonts w:ascii="Arial Narrow" w:hAnsi="Arial Narrow"/>
        </w:rPr>
        <w:footnoteReference w:id="175"/>
      </w:r>
      <w:r w:rsidRPr="00F95336">
        <w:rPr>
          <w:rFonts w:ascii="Arial Narrow" w:hAnsi="Arial Narrow"/>
        </w:rPr>
        <w:t>. E Arturo Labriola não hesit</w:t>
      </w:r>
      <w:r>
        <w:rPr>
          <w:rFonts w:ascii="Arial Narrow" w:hAnsi="Arial Narrow"/>
        </w:rPr>
        <w:t>ou</w:t>
      </w:r>
      <w:r w:rsidRPr="00F95336">
        <w:rPr>
          <w:rFonts w:ascii="Arial Narrow" w:hAnsi="Arial Narrow"/>
        </w:rPr>
        <w:t xml:space="preserve"> em </w:t>
      </w:r>
      <w:r w:rsidR="00746956">
        <w:rPr>
          <w:rFonts w:ascii="Arial Narrow" w:hAnsi="Arial Narrow"/>
        </w:rPr>
        <w:t>enunciar</w:t>
      </w:r>
      <w:r w:rsidRPr="00F95336">
        <w:rPr>
          <w:rFonts w:ascii="Arial Narrow" w:hAnsi="Arial Narrow"/>
        </w:rPr>
        <w:t xml:space="preserve"> o paradoxo, apresentando-o como se fosse uma demonstração</w:t>
      </w:r>
      <w:r w:rsidR="00746956">
        <w:rPr>
          <w:rFonts w:ascii="Arial Narrow" w:hAnsi="Arial Narrow"/>
        </w:rPr>
        <w:t>:</w:t>
      </w:r>
      <w:r w:rsidRPr="00F95336">
        <w:rPr>
          <w:rFonts w:ascii="Arial Narrow" w:hAnsi="Arial Narrow"/>
        </w:rPr>
        <w:t xml:space="preserve"> «Ah, camaradas, sabem por que razão o proletariado na Itália não pode fazer uma revolução? Eu digo-vos. Porque ele nem sequer é capaz de fazer uma guerra»</w:t>
      </w:r>
      <w:r w:rsidRPr="00F95336">
        <w:rPr>
          <w:rStyle w:val="Refdenotaderodap"/>
          <w:rFonts w:ascii="Arial Narrow" w:hAnsi="Arial Narrow"/>
        </w:rPr>
        <w:footnoteReference w:id="176"/>
      </w:r>
      <w:r w:rsidRPr="00F95336">
        <w:rPr>
          <w:rFonts w:ascii="Arial Narrow" w:hAnsi="Arial Narrow"/>
        </w:rPr>
        <w:t xml:space="preserve">. Se tão facilmente a revolução, que </w:t>
      </w:r>
      <w:r w:rsidR="00746956">
        <w:rPr>
          <w:rFonts w:ascii="Arial Narrow" w:hAnsi="Arial Narrow"/>
        </w:rPr>
        <w:t>é</w:t>
      </w:r>
      <w:r w:rsidRPr="00F95336">
        <w:rPr>
          <w:rFonts w:ascii="Arial Narrow" w:hAnsi="Arial Narrow"/>
        </w:rPr>
        <w:t xml:space="preserve"> uma luta de classes, podia ser equiparada à guerra, que </w:t>
      </w:r>
      <w:r w:rsidR="00746956">
        <w:rPr>
          <w:rFonts w:ascii="Arial Narrow" w:hAnsi="Arial Narrow"/>
        </w:rPr>
        <w:t>é</w:t>
      </w:r>
      <w:r w:rsidRPr="00F95336">
        <w:rPr>
          <w:rFonts w:ascii="Arial Narrow" w:hAnsi="Arial Narrow"/>
        </w:rPr>
        <w:t xml:space="preserve"> uma luta nacional, nada obstava já a que os sindicalistas revolucionários substituíssem o proletariado pela nação. </w:t>
      </w:r>
    </w:p>
    <w:p w:rsidR="00CD12DC" w:rsidRPr="00F95336" w:rsidRDefault="00CD12DC" w:rsidP="00CD12DC">
      <w:pPr>
        <w:rPr>
          <w:rFonts w:ascii="Arial Narrow" w:hAnsi="Arial Narrow"/>
        </w:rPr>
      </w:pPr>
      <w:r w:rsidRPr="00F95336">
        <w:rPr>
          <w:rFonts w:ascii="Arial Narrow" w:hAnsi="Arial Narrow"/>
        </w:rPr>
        <w:t>Nesta ocasião, porém, a ala belicista do movimento teve de enfrentar a oposição de correligionários mais numerosos e não menos relevantes, em especial aqueles que, através das Câmaras do Trabalho, mantinham contacto directo com o proletariado</w:t>
      </w:r>
      <w:r w:rsidRPr="00F95336">
        <w:rPr>
          <w:rStyle w:val="Refdenotaderodap"/>
          <w:rFonts w:ascii="Arial Narrow" w:hAnsi="Arial Narrow"/>
        </w:rPr>
        <w:footnoteReference w:id="177"/>
      </w:r>
      <w:r w:rsidRPr="00F95336">
        <w:rPr>
          <w:rFonts w:ascii="Arial Narrow" w:hAnsi="Arial Narrow"/>
        </w:rPr>
        <w:t>. Afirmando que a conquista da Líbia não reflectia os interesses da nação mas apenas a ganância de um grupo de capitalistas, os sindicalistas revolucionários hostis à aventura colonia</w:t>
      </w:r>
      <w:r w:rsidR="00746956">
        <w:rPr>
          <w:rFonts w:ascii="Arial Narrow" w:hAnsi="Arial Narrow"/>
        </w:rPr>
        <w:t>l</w:t>
      </w:r>
      <w:r w:rsidRPr="00F95336">
        <w:rPr>
          <w:rFonts w:ascii="Arial Narrow" w:hAnsi="Arial Narrow"/>
        </w:rPr>
        <w:t xml:space="preserve"> participaram ao lado do </w:t>
      </w:r>
      <w:r w:rsidRPr="00F95336">
        <w:rPr>
          <w:rFonts w:ascii="Arial Narrow" w:hAnsi="Arial Narrow"/>
        </w:rPr>
        <w:lastRenderedPageBreak/>
        <w:t>Partido Socialista na greve geral de Setembro de 1911, convocada em protesto contra a expedição africana</w:t>
      </w:r>
      <w:r w:rsidRPr="00F95336">
        <w:rPr>
          <w:rStyle w:val="Refdenotaderodap"/>
          <w:rFonts w:ascii="Arial Narrow" w:hAnsi="Arial Narrow"/>
        </w:rPr>
        <w:footnoteReference w:id="178"/>
      </w:r>
      <w:r w:rsidRPr="00F95336">
        <w:rPr>
          <w:rFonts w:ascii="Arial Narrow" w:hAnsi="Arial Narrow"/>
        </w:rPr>
        <w:t>. Todavia, não deve exagerar</w:t>
      </w:r>
      <w:r w:rsidR="00746956">
        <w:rPr>
          <w:rFonts w:ascii="Arial Narrow" w:hAnsi="Arial Narrow"/>
        </w:rPr>
        <w:t>-se</w:t>
      </w:r>
      <w:r w:rsidRPr="00F95336">
        <w:rPr>
          <w:rFonts w:ascii="Arial Narrow" w:hAnsi="Arial Narrow"/>
        </w:rPr>
        <w:t xml:space="preserve"> a import</w:t>
      </w:r>
      <w:r w:rsidR="00431EB5">
        <w:rPr>
          <w:rFonts w:ascii="Arial Narrow" w:hAnsi="Arial Narrow"/>
        </w:rPr>
        <w:t>ância do desacordo, porque e</w:t>
      </w:r>
      <w:r w:rsidRPr="00F95336">
        <w:rPr>
          <w:rFonts w:ascii="Arial Narrow" w:hAnsi="Arial Narrow"/>
        </w:rPr>
        <w:t>m Novembro de 1912 as duas tendências realizaram um congresso unificado, onde decidiram abandonar a CGL e</w:t>
      </w:r>
      <w:r w:rsidR="00431EB5">
        <w:rPr>
          <w:rFonts w:ascii="Arial Narrow" w:hAnsi="Arial Narrow"/>
        </w:rPr>
        <w:t>,</w:t>
      </w:r>
      <w:r w:rsidRPr="00F95336">
        <w:rPr>
          <w:rFonts w:ascii="Arial Narrow" w:hAnsi="Arial Narrow"/>
        </w:rPr>
        <w:t xml:space="preserve"> com a colaboração de outras correntes próximas, incluindo anarquistas, criaram uma central sindical, a USI. A audiência de que beneficiavam continuava a ser considerável, pois a nova organização podia apresentar mais de cem mil membros, perante os trezentos mil dos sindicatos socialistas</w:t>
      </w:r>
      <w:r w:rsidRPr="00F95336">
        <w:rPr>
          <w:rStyle w:val="Refdenotaderodap"/>
          <w:rFonts w:ascii="Arial Narrow" w:hAnsi="Arial Narrow"/>
        </w:rPr>
        <w:footnoteReference w:id="179"/>
      </w:r>
      <w:r w:rsidRPr="00F95336">
        <w:rPr>
          <w:rFonts w:ascii="Arial Narrow" w:hAnsi="Arial Narrow"/>
        </w:rPr>
        <w:t xml:space="preserve">. Mas </w:t>
      </w:r>
      <w:r w:rsidR="00431EB5">
        <w:rPr>
          <w:rFonts w:ascii="Arial Narrow" w:hAnsi="Arial Narrow"/>
        </w:rPr>
        <w:t xml:space="preserve">não devemos subestimar </w:t>
      </w:r>
      <w:r w:rsidRPr="00F95336">
        <w:rPr>
          <w:rFonts w:ascii="Arial Narrow" w:hAnsi="Arial Narrow"/>
        </w:rPr>
        <w:t>a ambiguidade no interior deste movimento, já que a USI mantinha uma posição claramente antimilitarista</w:t>
      </w:r>
      <w:r w:rsidRPr="00F95336">
        <w:rPr>
          <w:rStyle w:val="Refdenotaderodap"/>
          <w:rFonts w:ascii="Arial Narrow" w:hAnsi="Arial Narrow"/>
        </w:rPr>
        <w:footnoteReference w:id="180"/>
      </w:r>
      <w:r w:rsidRPr="00F95336">
        <w:rPr>
          <w:rFonts w:ascii="Arial Narrow" w:hAnsi="Arial Narrow"/>
        </w:rPr>
        <w:t>, e as contradições tornaram-se insanáveis em 1914, quando os partidários da intervenção na guerra mundial acenaram com a possibilidade de satisfazer os sonhos do irredentismo a expensas do Império Austro-Húngaro. Enquanto a maioria da USI, sob a orientação anarquista, defendeu que o país permanecesse neutral no conflito, os dirigentes sindicalistas revolucionários adoptaram unanimemente a posição contrária, figurando todos eles na primeira fila dos entusiastas da entrada da Itália na guerra</w:t>
      </w:r>
      <w:r w:rsidRPr="00F95336">
        <w:rPr>
          <w:rStyle w:val="Refdenotaderodap"/>
          <w:rFonts w:ascii="Arial Narrow" w:hAnsi="Arial Narrow"/>
        </w:rPr>
        <w:footnoteReference w:id="181"/>
      </w:r>
      <w:r w:rsidRPr="00F95336">
        <w:rPr>
          <w:rFonts w:ascii="Arial Narrow" w:hAnsi="Arial Narrow"/>
        </w:rPr>
        <w:t xml:space="preserve">. A cisão era inevitável. </w:t>
      </w:r>
    </w:p>
    <w:p w:rsidR="00CD12DC" w:rsidRPr="00F95336" w:rsidRDefault="00CD12DC" w:rsidP="00CD12DC">
      <w:pPr>
        <w:rPr>
          <w:rFonts w:ascii="Arial Narrow" w:hAnsi="Arial Narrow"/>
        </w:rPr>
      </w:pPr>
      <w:r w:rsidRPr="00F95336">
        <w:rPr>
          <w:rFonts w:ascii="Arial Narrow" w:hAnsi="Arial Narrow"/>
        </w:rPr>
        <w:t>Os sindicalistas revolucionários abandonaram a USI para fundar em Outubro de 1914 o Fascio Rivoluzionario d’Azione Internazionalista</w:t>
      </w:r>
      <w:r w:rsidRPr="00F95336">
        <w:rPr>
          <w:rStyle w:val="Refdenotaderodap"/>
          <w:rFonts w:ascii="Arial Narrow" w:hAnsi="Arial Narrow"/>
        </w:rPr>
        <w:footnoteReference w:id="182"/>
      </w:r>
      <w:r w:rsidRPr="00F95336">
        <w:rPr>
          <w:rFonts w:ascii="Arial Narrow" w:hAnsi="Arial Narrow"/>
        </w:rPr>
        <w:t xml:space="preserve">, o primeiro de uma série de </w:t>
      </w:r>
      <w:r w:rsidRPr="00F95336">
        <w:rPr>
          <w:rFonts w:ascii="Arial Narrow" w:hAnsi="Arial Narrow"/>
          <w:i/>
        </w:rPr>
        <w:t>fasci</w:t>
      </w:r>
      <w:r w:rsidRPr="00F95336">
        <w:rPr>
          <w:rFonts w:ascii="Arial Narrow" w:hAnsi="Arial Narrow"/>
        </w:rPr>
        <w:t xml:space="preserve"> que em poucos anos levariam a Itália a um destino bem conhecido. A grande matança foi apresentada como uma guerra revolucionária. «Nós, revolucionários que permanecemos fiéis aos ensinamentos dos nossos mestres», lê-se no manifesto inaugural do Fascio, «acreditamos que não é possível ultrapassar os limites das revoluções nacionais sem passar primeiro pela fase da própria revolução nacional. [...] Se cada povo não viver no interior do quadro das suas fronteiras nacionais, formadas pela língua e pela raça, se a questão nacional não estiver resolvida, não poderá existir o clima histórico necessário ao desenvolvimento normal de um movimento de </w:t>
      </w:r>
      <w:r w:rsidR="00D9691D">
        <w:rPr>
          <w:rFonts w:ascii="Arial Narrow" w:hAnsi="Arial Narrow"/>
        </w:rPr>
        <w:t xml:space="preserve"> </w:t>
      </w:r>
      <w:r w:rsidRPr="00F95336">
        <w:rPr>
          <w:rFonts w:ascii="Arial Narrow" w:hAnsi="Arial Narrow"/>
        </w:rPr>
        <w:t>classe»</w:t>
      </w:r>
      <w:r w:rsidRPr="00F95336">
        <w:rPr>
          <w:rStyle w:val="Refdenotaderodap"/>
          <w:rFonts w:ascii="Arial Narrow" w:hAnsi="Arial Narrow"/>
        </w:rPr>
        <w:footnoteReference w:id="183"/>
      </w:r>
      <w:r w:rsidRPr="00F95336">
        <w:rPr>
          <w:rFonts w:ascii="Arial Narrow" w:hAnsi="Arial Narrow"/>
        </w:rPr>
        <w:t>. Com igual inspiração Mussolini proclamou dois meses mais tarde: «Os revolucionários afirmam que a Internacional só poderá existir quando os povos tiverem atingido as suas fronteiras. É por isso que somos partidários de uma guerra de carácter nacional»</w:t>
      </w:r>
      <w:r w:rsidRPr="00F95336">
        <w:rPr>
          <w:rStyle w:val="Refdenotaderodap"/>
          <w:rFonts w:ascii="Arial Narrow" w:hAnsi="Arial Narrow"/>
        </w:rPr>
        <w:footnoteReference w:id="184"/>
      </w:r>
      <w:r w:rsidRPr="00F95336">
        <w:rPr>
          <w:rFonts w:ascii="Arial Narrow" w:hAnsi="Arial Narrow"/>
        </w:rPr>
        <w:t xml:space="preserve">. Neste contexto devemos meditar nas palavras de Engels ao escrever, numa carta endereçada a Kautsky em 7 de Fevereiro de 1882, que o movimento socialista só se desenvolve depois de a </w:t>
      </w:r>
      <w:r w:rsidRPr="00F95336">
        <w:rPr>
          <w:rFonts w:ascii="Arial Narrow" w:hAnsi="Arial Narrow"/>
        </w:rPr>
        <w:lastRenderedPageBreak/>
        <w:t>nação se ter unificado e adquirido a independência</w:t>
      </w:r>
      <w:r w:rsidRPr="00F95336">
        <w:rPr>
          <w:rStyle w:val="Refdenotaderodap"/>
          <w:rFonts w:ascii="Arial Narrow" w:hAnsi="Arial Narrow"/>
        </w:rPr>
        <w:footnoteReference w:id="185"/>
      </w:r>
      <w:r w:rsidRPr="00F95336">
        <w:rPr>
          <w:rFonts w:ascii="Arial Narrow" w:hAnsi="Arial Narrow"/>
        </w:rPr>
        <w:t xml:space="preserve">. A filiação directa de um aspecto crucial da génese do fascismo numa tese sustentada pelo ilustre co-fundador do comunismo moderno confirma o que anunciei no começo deste capítulo, que a conversão da luta de classes em luta de nações abriu a brecha teórica e prática onde o fascismo se instalou. Não era sem razão que os membros do Fascio Rivoluzionario d’Azione Internazionalista asseguravam a fidelidade aos mestres quando justificavam o seu pretenso carácter revolucionário com a ambição de aproveitar a guerra para levar a Itália até aos sonhados limites históricos. E neste extremo nacionalismo não viam qualquer paradoxo em apelar para uma acção internacionalista, porque a entendiam enquanto participação no conflito, ao lado dos soldados de outros países. Nisto tudo, a classe trabalhadora pouco importava já aos sindicalistas revolucionários, que se erigiam agora em vanguarda de massas muito mais amplas, de toda a população do país, e se lançavam num combate de escopo muitíssimo mais vasto, não uma simples greve geral, mas uma guerra total. A estratégia de Enrico Corradini encontrara, enfim, os seus executantes. </w:t>
      </w:r>
    </w:p>
    <w:p w:rsidR="00CD12DC" w:rsidRPr="00F95336" w:rsidRDefault="00CD12DC" w:rsidP="0027740E">
      <w:pPr>
        <w:pStyle w:val="Corpodetexto2"/>
        <w:spacing w:before="720"/>
        <w:jc w:val="center"/>
        <w:rPr>
          <w:rFonts w:ascii="Arial Narrow" w:hAnsi="Arial Narrow"/>
        </w:rPr>
      </w:pPr>
      <w:r w:rsidRPr="00F95336">
        <w:rPr>
          <w:rFonts w:ascii="Arial Narrow" w:hAnsi="Arial Narrow"/>
        </w:rPr>
        <w:t>5. Sorel e o</w:t>
      </w:r>
      <w:r w:rsidR="00A15488">
        <w:rPr>
          <w:rFonts w:ascii="Arial Narrow" w:hAnsi="Arial Narrow"/>
        </w:rPr>
        <w:t>s sindicalistas revolucionários</w:t>
      </w:r>
      <w:r w:rsidR="00A15488">
        <w:rPr>
          <w:rFonts w:ascii="Arial Narrow" w:hAnsi="Arial Narrow"/>
        </w:rPr>
        <w:br/>
      </w:r>
      <w:r w:rsidRPr="00F95336">
        <w:rPr>
          <w:rFonts w:ascii="Arial Narrow" w:hAnsi="Arial Narrow"/>
        </w:rPr>
        <w:t>encontraram-se com a extrema-direita na hostilidade à democracia burguesa</w:t>
      </w:r>
    </w:p>
    <w:p w:rsidR="00CD12DC" w:rsidRPr="00F95336" w:rsidRDefault="00CD12DC" w:rsidP="00CD12DC">
      <w:pPr>
        <w:rPr>
          <w:rFonts w:ascii="Arial Narrow" w:hAnsi="Arial Narrow"/>
        </w:rPr>
      </w:pPr>
      <w:r w:rsidRPr="00F95336">
        <w:rPr>
          <w:rFonts w:ascii="Arial Narrow" w:hAnsi="Arial Narrow"/>
        </w:rPr>
        <w:t xml:space="preserve">A conjugação do proletariado com a nação, pensada à direita, não teria conseguido uma realidade prática sem que, à esquerda, se tivesse desenvolvido uma teoria da vanguarda revolucionária enquanto nova elite. </w:t>
      </w:r>
    </w:p>
    <w:p w:rsidR="00CD12DC" w:rsidRPr="00F95336" w:rsidRDefault="00CD12DC" w:rsidP="00CD12DC">
      <w:pPr>
        <w:rPr>
          <w:rFonts w:ascii="Arial Narrow" w:hAnsi="Arial Narrow"/>
        </w:rPr>
      </w:pPr>
      <w:r w:rsidRPr="00F95336">
        <w:rPr>
          <w:rFonts w:ascii="Arial Narrow" w:hAnsi="Arial Narrow"/>
        </w:rPr>
        <w:t xml:space="preserve">Em 1906, nas </w:t>
      </w:r>
      <w:r w:rsidRPr="00F95336">
        <w:rPr>
          <w:rFonts w:ascii="Arial Narrow" w:hAnsi="Arial Narrow"/>
          <w:i/>
        </w:rPr>
        <w:t>Réflexions sur la Violence,</w:t>
      </w:r>
      <w:r w:rsidRPr="00F95336">
        <w:rPr>
          <w:rFonts w:ascii="Arial Narrow" w:hAnsi="Arial Narrow"/>
        </w:rPr>
        <w:t xml:space="preserve"> Georges Sorel escrev</w:t>
      </w:r>
      <w:r>
        <w:rPr>
          <w:rFonts w:ascii="Arial Narrow" w:hAnsi="Arial Narrow"/>
        </w:rPr>
        <w:t>eu</w:t>
      </w:r>
      <w:r w:rsidRPr="00F95336">
        <w:rPr>
          <w:rFonts w:ascii="Arial Narrow" w:hAnsi="Arial Narrow"/>
        </w:rPr>
        <w:t>: «[...] procurámos mostrar que uma nova cultura poderia sair das lutas travadas pelos sindicatos revolucionários contra os patrões e contra o Estado; a nossa maior originalidade consiste em ter defendido que o proletariado pode emancipar</w:t>
      </w:r>
      <w:r w:rsidR="00E83A99">
        <w:rPr>
          <w:rFonts w:ascii="Arial Narrow" w:hAnsi="Arial Narrow"/>
        </w:rPr>
        <w:t>-se</w:t>
      </w:r>
      <w:r w:rsidRPr="00F95336">
        <w:rPr>
          <w:rFonts w:ascii="Arial Narrow" w:hAnsi="Arial Narrow"/>
        </w:rPr>
        <w:t xml:space="preserve"> sem lhe ser necessário recorrer aos ensinamentos dos profissionais burgueses da inteligência. E somos assim levados a considerar como essencial nos fenómenos contemporâneos o que outrora era considerado como acessório: aquilo que é verdadeiramente educativo para um proletariado revolucionário que faz a sua aprendizagem na luta»</w:t>
      </w:r>
      <w:r w:rsidRPr="00F95336">
        <w:rPr>
          <w:rStyle w:val="Refdenotaderodap"/>
          <w:rFonts w:ascii="Arial Narrow" w:hAnsi="Arial Narrow"/>
        </w:rPr>
        <w:footnoteReference w:id="186"/>
      </w:r>
      <w:r w:rsidRPr="00F95336">
        <w:rPr>
          <w:rFonts w:ascii="Arial Narrow" w:hAnsi="Arial Narrow"/>
        </w:rPr>
        <w:t xml:space="preserve">. Encontra-se aqui claramente enunciada a precedência das formas da luta relativamente ao seu conteúdo, a primazia do carácter pedagógico da luta relativamente às reivindicações imediatas. E se recordarmos que Sorel escrevia em França sob a Terceira República, essa </w:t>
      </w:r>
      <w:r w:rsidRPr="00F95336">
        <w:rPr>
          <w:rFonts w:ascii="Arial Narrow" w:hAnsi="Arial Narrow"/>
          <w:i/>
        </w:rPr>
        <w:lastRenderedPageBreak/>
        <w:t>«république des professeurs»</w:t>
      </w:r>
      <w:r w:rsidRPr="00F95336">
        <w:rPr>
          <w:rStyle w:val="Refdenotaderodap"/>
          <w:rFonts w:ascii="Arial Narrow" w:hAnsi="Arial Narrow"/>
        </w:rPr>
        <w:footnoteReference w:id="187"/>
      </w:r>
      <w:r w:rsidRPr="00F95336">
        <w:rPr>
          <w:rFonts w:ascii="Arial Narrow" w:hAnsi="Arial Narrow"/>
        </w:rPr>
        <w:t>, para usar a fórmula de Albert Thibaudet, crítico literário que se celebrizaria alguns anos depois, maior valor devemos dar à tese de que a superstrutura cultural dos trabalhadores se forma a partir da luta autónoma e não por herança de um saber legado por mestres. «[...] eu fundo a moral dos produtores não numa educação estética transmitida pela burguesia, mas nos sentimentos desenvolvidos pelas lutas que os trabalhadores travam contra os seus patrões»</w:t>
      </w:r>
      <w:r w:rsidRPr="00F95336">
        <w:rPr>
          <w:rStyle w:val="Refdenotaderodap"/>
          <w:rFonts w:ascii="Arial Narrow" w:hAnsi="Arial Narrow"/>
        </w:rPr>
        <w:footnoteReference w:id="188"/>
      </w:r>
      <w:r w:rsidRPr="00F95336">
        <w:rPr>
          <w:rFonts w:ascii="Arial Narrow" w:hAnsi="Arial Narrow"/>
        </w:rPr>
        <w:t>. Ambos os aspectos, o das formas de luta e o da cultura, combina</w:t>
      </w:r>
      <w:r w:rsidR="007121F3">
        <w:rPr>
          <w:rFonts w:ascii="Arial Narrow" w:hAnsi="Arial Narrow"/>
        </w:rPr>
        <w:t>ram-se</w:t>
      </w:r>
      <w:r w:rsidRPr="00F95336">
        <w:rPr>
          <w:rFonts w:ascii="Arial Narrow" w:hAnsi="Arial Narrow"/>
        </w:rPr>
        <w:t xml:space="preserve"> numa passagem lapidar</w:t>
      </w:r>
      <w:r w:rsidR="007121F3">
        <w:rPr>
          <w:rFonts w:ascii="Arial Narrow" w:hAnsi="Arial Narrow"/>
        </w:rPr>
        <w:t>,</w:t>
      </w:r>
      <w:r w:rsidRPr="00F95336">
        <w:rPr>
          <w:rFonts w:ascii="Arial Narrow" w:hAnsi="Arial Narrow"/>
        </w:rPr>
        <w:t xml:space="preserve"> </w:t>
      </w:r>
      <w:r w:rsidR="00D17933">
        <w:rPr>
          <w:rFonts w:ascii="Arial Narrow" w:hAnsi="Arial Narrow"/>
        </w:rPr>
        <w:t>em que</w:t>
      </w:r>
      <w:r w:rsidR="007121F3">
        <w:rPr>
          <w:rFonts w:ascii="Arial Narrow" w:hAnsi="Arial Narrow"/>
        </w:rPr>
        <w:t xml:space="preserve"> </w:t>
      </w:r>
      <w:r w:rsidR="007121F3" w:rsidRPr="00F95336">
        <w:rPr>
          <w:rFonts w:ascii="Arial Narrow" w:hAnsi="Arial Narrow"/>
        </w:rPr>
        <w:t xml:space="preserve">Sorel afirmou </w:t>
      </w:r>
      <w:r w:rsidR="007121F3">
        <w:rPr>
          <w:rFonts w:ascii="Arial Narrow" w:hAnsi="Arial Narrow"/>
        </w:rPr>
        <w:t xml:space="preserve">que </w:t>
      </w:r>
      <w:r w:rsidR="007121F3" w:rsidRPr="00F95336">
        <w:rPr>
          <w:rFonts w:ascii="Arial Narrow" w:hAnsi="Arial Narrow"/>
        </w:rPr>
        <w:t xml:space="preserve">a </w:t>
      </w:r>
      <w:r w:rsidRPr="00F95336">
        <w:rPr>
          <w:rFonts w:ascii="Arial Narrow" w:hAnsi="Arial Narrow"/>
        </w:rPr>
        <w:t xml:space="preserve">única função dos socialistas «consiste em ocupar-se do proletariado para lhe explicar a grandeza do papel revolucionário que lhe cumpre desempenhar. É necessário, através de uma crítica incessante, levá-lo a aperfeiçoar as suas organizações. É necessário indicar-lhe a maneira de desenvolver formações embrionárias que aparecem nas suas sociedades de resistência, para que possa finalmente construir instituições que não encontrem </w:t>
      </w:r>
      <w:r w:rsidR="00D17933">
        <w:rPr>
          <w:rFonts w:ascii="Arial Narrow" w:hAnsi="Arial Narrow"/>
        </w:rPr>
        <w:t>nenhum</w:t>
      </w:r>
      <w:r w:rsidRPr="00F95336">
        <w:rPr>
          <w:rFonts w:ascii="Arial Narrow" w:hAnsi="Arial Narrow"/>
        </w:rPr>
        <w:t xml:space="preserve"> modelo na história da burguesia, para que forme ideias que dependam unicamente da sua situação de produtor da grande indústria e que nada devam ao pensamento burguês, e para que adquira hábitos de liberdade, que a burguesia hoje já esqueceu completamente»</w:t>
      </w:r>
      <w:r w:rsidRPr="00F95336">
        <w:rPr>
          <w:rStyle w:val="Refdenotaderodap"/>
          <w:rFonts w:ascii="Arial Narrow" w:hAnsi="Arial Narrow"/>
        </w:rPr>
        <w:footnoteReference w:id="189"/>
      </w:r>
      <w:r w:rsidRPr="00F95336">
        <w:rPr>
          <w:rFonts w:ascii="Arial Narrow" w:hAnsi="Arial Narrow"/>
        </w:rPr>
        <w:t xml:space="preserve">. Sorel nem desconhecia a génese («formações embrionárias»), durante a luta («nas [...] sociedades de resistência»), de relações sociais de um tipo novo («instituições que não encontr[a]m </w:t>
      </w:r>
      <w:r w:rsidR="00594486">
        <w:rPr>
          <w:rFonts w:ascii="Arial Narrow" w:hAnsi="Arial Narrow"/>
        </w:rPr>
        <w:t>nenhum</w:t>
      </w:r>
      <w:r w:rsidRPr="00F95336">
        <w:rPr>
          <w:rFonts w:ascii="Arial Narrow" w:hAnsi="Arial Narrow"/>
        </w:rPr>
        <w:t xml:space="preserve"> modelo na história da burguesia»), nem ignorava que a partir daí se desenvolvem uma nova ideologia e novos comportamentos. «[...] a revolução será absoluta e sem emenda, porque terá como efeito pôr as forças produtivas à disposição de homens livres, quer dizer, de homens que sejam capazes de se comportar na oficina criada pelo capitalismo sem terem necessidade de chefes»</w:t>
      </w:r>
      <w:r w:rsidRPr="00F95336">
        <w:rPr>
          <w:rStyle w:val="Refdenotaderodap"/>
          <w:rFonts w:ascii="Arial Narrow" w:hAnsi="Arial Narrow"/>
        </w:rPr>
        <w:footnoteReference w:id="190"/>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Alguns anos depois estas noções foram retomadas com igual vigor em </w:t>
      </w:r>
      <w:r w:rsidRPr="00F95336">
        <w:rPr>
          <w:rFonts w:ascii="Arial Narrow" w:hAnsi="Arial Narrow"/>
          <w:i/>
        </w:rPr>
        <w:t>Les Illusions du Progrès</w:t>
      </w:r>
      <w:r w:rsidRPr="00F95336">
        <w:rPr>
          <w:rFonts w:ascii="Arial Narrow" w:hAnsi="Arial Narrow"/>
        </w:rPr>
        <w:t xml:space="preserve">. Avaliando muito acertadamente que a estabilidade da burguesia ficava consolidada graças </w:t>
      </w:r>
      <w:r w:rsidR="001418DC">
        <w:rPr>
          <w:rFonts w:ascii="Arial Narrow" w:hAnsi="Arial Narrow"/>
        </w:rPr>
        <w:t xml:space="preserve">à </w:t>
      </w:r>
      <w:r w:rsidRPr="00F95336">
        <w:rPr>
          <w:rFonts w:ascii="Arial Narrow" w:hAnsi="Arial Narrow"/>
        </w:rPr>
        <w:t xml:space="preserve">mobilidade social ascendente, Sorel considerou que </w:t>
      </w:r>
      <w:r w:rsidR="006E771C">
        <w:rPr>
          <w:rFonts w:ascii="Arial Narrow" w:hAnsi="Arial Narrow"/>
        </w:rPr>
        <w:t>a</w:t>
      </w:r>
      <w:r w:rsidR="001418DC">
        <w:rPr>
          <w:rFonts w:ascii="Arial Narrow" w:hAnsi="Arial Narrow"/>
        </w:rPr>
        <w:t xml:space="preserve"> </w:t>
      </w:r>
      <w:r w:rsidR="001418DC" w:rsidRPr="00F95336">
        <w:rPr>
          <w:rFonts w:ascii="Arial Narrow" w:hAnsi="Arial Narrow"/>
        </w:rPr>
        <w:t>instrução popular promovid</w:t>
      </w:r>
      <w:r w:rsidR="006E771C">
        <w:rPr>
          <w:rFonts w:ascii="Arial Narrow" w:hAnsi="Arial Narrow"/>
        </w:rPr>
        <w:t>a</w:t>
      </w:r>
      <w:r w:rsidR="001418DC" w:rsidRPr="00F95336">
        <w:rPr>
          <w:rFonts w:ascii="Arial Narrow" w:hAnsi="Arial Narrow"/>
        </w:rPr>
        <w:t xml:space="preserve"> pela classe dominante </w:t>
      </w:r>
      <w:r w:rsidR="001418DC">
        <w:rPr>
          <w:rFonts w:ascii="Arial Narrow" w:hAnsi="Arial Narrow"/>
        </w:rPr>
        <w:t xml:space="preserve">facilitava essa mobilidade </w:t>
      </w:r>
      <w:r w:rsidRPr="00F95336">
        <w:rPr>
          <w:rFonts w:ascii="Arial Narrow" w:hAnsi="Arial Narrow"/>
        </w:rPr>
        <w:t>e concluiu que era funesta para o proletariado a submissão ao sistema educacional burguês</w:t>
      </w:r>
      <w:r w:rsidRPr="00F95336">
        <w:rPr>
          <w:rStyle w:val="Refdenotaderodap"/>
          <w:rFonts w:ascii="Arial Narrow" w:hAnsi="Arial Narrow"/>
        </w:rPr>
        <w:footnoteReference w:id="191"/>
      </w:r>
      <w:r w:rsidRPr="00F95336">
        <w:rPr>
          <w:rFonts w:ascii="Arial Narrow" w:hAnsi="Arial Narrow"/>
        </w:rPr>
        <w:t xml:space="preserve">. «Não é arriscado afirmar que não poderão ser úteis para o proletariado os tipos de educação destinados a fazer com que o povo participe em formas de raciocínio oriundas da antiga nobreza e adoptadas pela burguesia. [... ... ...] Todos os </w:t>
      </w:r>
      <w:r w:rsidRPr="00F95336">
        <w:rPr>
          <w:rFonts w:ascii="Arial Narrow" w:hAnsi="Arial Narrow"/>
        </w:rPr>
        <w:lastRenderedPageBreak/>
        <w:t>nossos esforços devem procurar impedir que as ideias burguesas venham envenenar a classe em ascensão»</w:t>
      </w:r>
      <w:r w:rsidRPr="00F95336">
        <w:rPr>
          <w:rStyle w:val="Refdenotaderodap"/>
          <w:rFonts w:ascii="Arial Narrow" w:hAnsi="Arial Narrow"/>
        </w:rPr>
        <w:footnoteReference w:id="192"/>
      </w:r>
      <w:r w:rsidRPr="00F95336">
        <w:rPr>
          <w:rFonts w:ascii="Arial Narrow" w:hAnsi="Arial Narrow"/>
        </w:rPr>
        <w:t xml:space="preserve">. E, tal como o havia feito na obra anterior, Sorel apelou para que os trabalhadores desenvolvessem uma pedagogia nova, baseada nas suas instituições próprias. «[...] tanto os meus amigos como eu não nos temos cansado de insistir para que as classes operárias não sigam os caminhos traçados pela ciência e pela filosofia burguesas. O mundo sofrerá uma grande mudança no dia em que o proletariado adquirir, tal como a burguesia adquiriu a seguir à revolução [francesa], a noção de que é capaz de pensar a partir das suas próprias condições de vida. [...] Já dissemos inúmeras vezes que o proletariado possui um sistema de instituições que lhe é tão próprio como o regime parlamentar o é </w:t>
      </w:r>
      <w:r w:rsidR="001418DC">
        <w:rPr>
          <w:rFonts w:ascii="Arial Narrow" w:hAnsi="Arial Narrow"/>
        </w:rPr>
        <w:t>d</w:t>
      </w:r>
      <w:r w:rsidRPr="00F95336">
        <w:rPr>
          <w:rFonts w:ascii="Arial Narrow" w:hAnsi="Arial Narrow"/>
        </w:rPr>
        <w:t>a burguesia. É do movimento sindical que pode provir a emancipação intelectual que há-de desembaraçar as classes operárias de qualquer respeito pelas balelas burguesas»</w:t>
      </w:r>
      <w:r w:rsidRPr="00F95336">
        <w:rPr>
          <w:rStyle w:val="Refdenotaderodap"/>
          <w:rFonts w:ascii="Arial Narrow" w:hAnsi="Arial Narrow"/>
        </w:rPr>
        <w:footnoteReference w:id="193"/>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Na verdade, a noção de que a origem do socialismo reside nas relações sociais desenvolvidas na luta é bastante anterior à</w:t>
      </w:r>
      <w:r w:rsidR="006E771C">
        <w:rPr>
          <w:rFonts w:ascii="Arial Narrow" w:hAnsi="Arial Narrow"/>
        </w:rPr>
        <w:t xml:space="preserve"> obra de Sorel </w:t>
      </w:r>
      <w:r w:rsidRPr="00F95336">
        <w:rPr>
          <w:rFonts w:ascii="Arial Narrow" w:hAnsi="Arial Narrow"/>
        </w:rPr>
        <w:t xml:space="preserve">e cumpre lembrar neste contexto o que há pouco escrevi a propósito de Louis-Eugène Varlin. Mas Varlin, as ideias que </w:t>
      </w:r>
      <w:r w:rsidR="005C2383">
        <w:rPr>
          <w:rFonts w:ascii="Arial Narrow" w:hAnsi="Arial Narrow"/>
        </w:rPr>
        <w:t xml:space="preserve">ele </w:t>
      </w:r>
      <w:r w:rsidRPr="00F95336">
        <w:rPr>
          <w:rFonts w:ascii="Arial Narrow" w:hAnsi="Arial Narrow"/>
        </w:rPr>
        <w:t>defendeu e a prática que representou haviam sido em boa medida sepultados na hecatombe da Comuna derrotada, e mesmo que se veja no PSOR, sob a direcção de Jean Allemane, um herdeiro daquela estratégia pedagógica dos conflitos sociais</w:t>
      </w:r>
      <w:r w:rsidRPr="00F95336">
        <w:rPr>
          <w:rStyle w:val="Refdenotaderodap"/>
          <w:rFonts w:ascii="Arial Narrow" w:hAnsi="Arial Narrow"/>
        </w:rPr>
        <w:footnoteReference w:id="194"/>
      </w:r>
      <w:r w:rsidRPr="00F95336">
        <w:rPr>
          <w:rFonts w:ascii="Arial Narrow" w:hAnsi="Arial Narrow"/>
        </w:rPr>
        <w:t xml:space="preserve">, a diferença era muito grande entre uma formação apesar de tudo burocrática e parlamentar e o desprezo pelos meios convencionais de acção política que caracterizava Sorel e os seus discípulos. Prosseguir e ampliar, na década inicial do século XX, uma reflexão revolucionária baseada no carácter pedagógico das lutas implicava uma ruptura drástica com a inércia dos sindicatos e dos partidos da Segunda Internacional. Sorel promotor da autonomia da classe trabalhadora e antecipador </w:t>
      </w:r>
      <w:r w:rsidR="00E83A99">
        <w:rPr>
          <w:rFonts w:ascii="Arial Narrow" w:hAnsi="Arial Narrow"/>
        </w:rPr>
        <w:t>de</w:t>
      </w:r>
      <w:r w:rsidRPr="00F95336">
        <w:rPr>
          <w:rFonts w:ascii="Arial Narrow" w:hAnsi="Arial Narrow"/>
        </w:rPr>
        <w:t xml:space="preserve"> temas difundidos </w:t>
      </w:r>
      <w:r w:rsidR="00E83A99">
        <w:rPr>
          <w:rFonts w:ascii="Arial Narrow" w:hAnsi="Arial Narrow"/>
        </w:rPr>
        <w:t>na fase inicial d</w:t>
      </w:r>
      <w:r w:rsidRPr="00F95336">
        <w:rPr>
          <w:rFonts w:ascii="Arial Narrow" w:hAnsi="Arial Narrow"/>
        </w:rPr>
        <w:t xml:space="preserve">a Revolução Cultural chinesa? </w:t>
      </w:r>
    </w:p>
    <w:p w:rsidR="00CD12DC" w:rsidRPr="00F95336" w:rsidRDefault="00CD12DC" w:rsidP="00CD12DC">
      <w:pPr>
        <w:rPr>
          <w:rFonts w:ascii="Arial Narrow" w:hAnsi="Arial Narrow"/>
        </w:rPr>
      </w:pPr>
      <w:r w:rsidRPr="00F95336">
        <w:rPr>
          <w:rFonts w:ascii="Arial Narrow" w:hAnsi="Arial Narrow"/>
        </w:rPr>
        <w:t xml:space="preserve">Antes de responder a esta questão vejamos o que pensava sobre a autonomia do movimento operário Hubert Lagardelle, director de </w:t>
      </w:r>
      <w:r w:rsidRPr="00F95336">
        <w:rPr>
          <w:rFonts w:ascii="Arial Narrow" w:hAnsi="Arial Narrow"/>
          <w:i/>
        </w:rPr>
        <w:t>Le Mouvement Socialiste,</w:t>
      </w:r>
      <w:r w:rsidRPr="00F95336">
        <w:rPr>
          <w:rFonts w:ascii="Arial Narrow" w:hAnsi="Arial Narrow"/>
        </w:rPr>
        <w:t xml:space="preserve"> a quem Sorel considerava, junto com </w:t>
      </w:r>
      <w:r w:rsidR="007E70E4" w:rsidRPr="00F95336">
        <w:rPr>
          <w:rFonts w:ascii="Arial Narrow" w:hAnsi="Arial Narrow"/>
        </w:rPr>
        <w:t xml:space="preserve">Édouard </w:t>
      </w:r>
      <w:r w:rsidRPr="00F95336">
        <w:rPr>
          <w:rFonts w:ascii="Arial Narrow" w:hAnsi="Arial Narrow"/>
        </w:rPr>
        <w:t xml:space="preserve">Berth, </w:t>
      </w:r>
      <w:r w:rsidR="00CF2A88">
        <w:rPr>
          <w:rFonts w:ascii="Arial Narrow" w:hAnsi="Arial Narrow"/>
        </w:rPr>
        <w:t xml:space="preserve">como </w:t>
      </w:r>
      <w:r w:rsidRPr="00F95336">
        <w:rPr>
          <w:rFonts w:ascii="Arial Narrow" w:hAnsi="Arial Narrow"/>
        </w:rPr>
        <w:t>«os representantes mais autorizados do sindicalismo revolucionário»</w:t>
      </w:r>
      <w:r w:rsidRPr="00F95336">
        <w:rPr>
          <w:rStyle w:val="Refdenotaderodap"/>
          <w:rFonts w:ascii="Arial Narrow" w:hAnsi="Arial Narrow"/>
        </w:rPr>
        <w:footnoteReference w:id="195"/>
      </w:r>
      <w:r w:rsidRPr="00F95336">
        <w:rPr>
          <w:rFonts w:ascii="Arial Narrow" w:hAnsi="Arial Narrow"/>
        </w:rPr>
        <w:t xml:space="preserve">. Para Lagardelle a acção dos sindicalistas revolucionários devia converter as lutas numa prática pedagógica. «Os sindicatos por categoria profissional, através das lutas quotidianas contra os patrões, travadas no próprio campo da produção, constituem um poderoso factor educativo, do mesmo modo que as cooperativas na esfera do consumo. </w:t>
      </w:r>
      <w:r w:rsidR="002D67A4" w:rsidRPr="00F95336">
        <w:rPr>
          <w:rFonts w:ascii="Arial Narrow" w:hAnsi="Arial Narrow"/>
        </w:rPr>
        <w:t xml:space="preserve">Graças ao seu esforço persistente e à sua vontade pessoal, a </w:t>
      </w:r>
      <w:r w:rsidRPr="00F95336">
        <w:rPr>
          <w:rFonts w:ascii="Arial Narrow" w:hAnsi="Arial Narrow"/>
        </w:rPr>
        <w:t xml:space="preserve">classe operária aumenta por si própria a </w:t>
      </w:r>
      <w:r w:rsidRPr="00F95336">
        <w:rPr>
          <w:rFonts w:ascii="Arial Narrow" w:hAnsi="Arial Narrow"/>
        </w:rPr>
        <w:lastRenderedPageBreak/>
        <w:t xml:space="preserve">sua capacidade técnica. Prepara-se naturalmente para a função que lhe cabe. Não tem </w:t>
      </w:r>
      <w:r w:rsidR="00CF2A88">
        <w:rPr>
          <w:rFonts w:ascii="Arial Narrow" w:hAnsi="Arial Narrow"/>
        </w:rPr>
        <w:t>nenhuma</w:t>
      </w:r>
      <w:r w:rsidRPr="00F95336">
        <w:rPr>
          <w:rFonts w:ascii="Arial Narrow" w:hAnsi="Arial Narrow"/>
        </w:rPr>
        <w:t xml:space="preserve"> necessidade [...] de se instalar no cerne do regime capitalista. Fora deste regime, e em oposição a ele, é plenamente capaz de alcançar o seu completo aperfeiçoamento»</w:t>
      </w:r>
      <w:r w:rsidRPr="00F95336">
        <w:rPr>
          <w:rStyle w:val="Refdenotaderodap"/>
          <w:rFonts w:ascii="Arial Narrow" w:hAnsi="Arial Narrow"/>
        </w:rPr>
        <w:footnoteReference w:id="196"/>
      </w:r>
      <w:r w:rsidRPr="00F95336">
        <w:rPr>
          <w:rFonts w:ascii="Arial Narrow" w:hAnsi="Arial Narrow"/>
        </w:rPr>
        <w:t>. Ora, uma luta que constituía ao mesmo tempo uma pedagogia tinha necessariamente de ser criadora de instituições. «O sindicalismo parte deste postulado: o que diferencia as classes sociais são as suas instituições e as suas concepções jurídicas, políticas e morais. Cada classe cria, em relação com a sua estrutura económica, os seus próprios órgãos de luta, afirmando deste modo a sua noção particular de direito». Por isso o objectivo de cada uma das classes em luta era «impor à sociedade a sua “ideia” própria e as instituições que lhe servem de base»</w:t>
      </w:r>
      <w:r w:rsidRPr="00F95336">
        <w:rPr>
          <w:rStyle w:val="Refdenotaderodap"/>
          <w:rFonts w:ascii="Arial Narrow" w:hAnsi="Arial Narrow"/>
        </w:rPr>
        <w:footnoteReference w:id="197"/>
      </w:r>
      <w:r w:rsidRPr="00F95336">
        <w:rPr>
          <w:rFonts w:ascii="Arial Narrow" w:hAnsi="Arial Narrow"/>
        </w:rPr>
        <w:t>. Tratava-se, para o proletariado, de formas sociais inteiramente novas, em ruptura radical com o capitalismo. «O socialismo é elaborado pouco a pouco pela classe operária, organizada revolucionariamente nas suas instituições económicas. É a luta quotidiana que o proletariado se vê obrigado a sustentar contra todas as hierarquias, todas as autoridades, todas as crenças do mundo burguês que lhe permite construir ao mesmo tempo que destrói. Não aspira a tomar nada à ordem capitalista, pois o seu papel essencial consiste em produzir criações originais»</w:t>
      </w:r>
      <w:r w:rsidRPr="00F95336">
        <w:rPr>
          <w:rStyle w:val="Refdenotaderodap"/>
          <w:rFonts w:ascii="Arial Narrow" w:hAnsi="Arial Narrow"/>
        </w:rPr>
        <w:footnoteReference w:id="198"/>
      </w:r>
      <w:r w:rsidRPr="00F95336">
        <w:rPr>
          <w:rFonts w:ascii="Arial Narrow" w:hAnsi="Arial Narrow"/>
        </w:rPr>
        <w:t>. Ou, com um fôlego mais sintético: «O que acima de tudo importa é a acção prática, criadora de instituições e de ideias»</w:t>
      </w:r>
      <w:r w:rsidRPr="00F95336">
        <w:rPr>
          <w:rStyle w:val="Refdenotaderodap"/>
          <w:rFonts w:ascii="Arial Narrow" w:hAnsi="Arial Narrow"/>
        </w:rPr>
        <w:footnoteReference w:id="199"/>
      </w:r>
      <w:r w:rsidRPr="00F95336">
        <w:rPr>
          <w:rFonts w:ascii="Arial Narrow" w:hAnsi="Arial Narrow"/>
        </w:rPr>
        <w:t xml:space="preserve">. </w:t>
      </w:r>
      <w:r w:rsidR="002D67A4">
        <w:rPr>
          <w:rFonts w:ascii="Arial Narrow" w:hAnsi="Arial Narrow"/>
        </w:rPr>
        <w:t>Foi</w:t>
      </w:r>
      <w:r w:rsidRPr="00F95336">
        <w:rPr>
          <w:rFonts w:ascii="Arial Narrow" w:hAnsi="Arial Narrow"/>
        </w:rPr>
        <w:t xml:space="preserve"> esta a novidade histórica prosseguida no quadro do sindicalismo. «O grande facto revolucionário dos tempos modernos não consiste tanto na formação pela grande indústria de um proletariado crescente como na criação por este proletariado de uma série de instituições próprias, opostas às instituições do regime capitalista. No interior dos seus sindicatos e das suas cooperativas, a classe operária exprime as suas maneiras de pensar e elabora novas regras de vida, de moral e de direito»</w:t>
      </w:r>
      <w:r w:rsidRPr="00F95336">
        <w:rPr>
          <w:rStyle w:val="Refdenotaderodap"/>
          <w:rFonts w:ascii="Arial Narrow" w:hAnsi="Arial Narrow"/>
        </w:rPr>
        <w:footnoteReference w:id="200"/>
      </w:r>
      <w:r w:rsidRPr="00F95336">
        <w:rPr>
          <w:rFonts w:ascii="Arial Narrow" w:hAnsi="Arial Narrow"/>
        </w:rPr>
        <w:t>. E Lagardelle repeti</w:t>
      </w:r>
      <w:r>
        <w:rPr>
          <w:rFonts w:ascii="Arial Narrow" w:hAnsi="Arial Narrow"/>
        </w:rPr>
        <w:t>u</w:t>
      </w:r>
      <w:r w:rsidRPr="00F95336">
        <w:rPr>
          <w:rFonts w:ascii="Arial Narrow" w:hAnsi="Arial Narrow"/>
        </w:rPr>
        <w:t xml:space="preserve"> mais tarde, em 1908: «Não se pode destruir uma sociedade servindo-se dos órgãos que têm como missão conservá-la, [porque] qualquer classe, para se emancipar, tem de criar órgãos próprios»</w:t>
      </w:r>
      <w:r w:rsidRPr="00F95336">
        <w:rPr>
          <w:rStyle w:val="Refdenotaderodap"/>
          <w:rFonts w:ascii="Arial Narrow" w:hAnsi="Arial Narrow"/>
        </w:rPr>
        <w:footnoteReference w:id="201"/>
      </w:r>
      <w:r w:rsidRPr="00F95336">
        <w:rPr>
          <w:rFonts w:ascii="Arial Narrow" w:hAnsi="Arial Narrow"/>
        </w:rPr>
        <w:t xml:space="preserve">. </w:t>
      </w:r>
    </w:p>
    <w:p w:rsidR="005E7492" w:rsidRDefault="00CD12DC" w:rsidP="00CD12DC">
      <w:pPr>
        <w:rPr>
          <w:rFonts w:ascii="Arial Narrow" w:hAnsi="Arial Narrow"/>
        </w:rPr>
      </w:pPr>
      <w:r w:rsidRPr="00F95336">
        <w:rPr>
          <w:rFonts w:ascii="Arial Narrow" w:hAnsi="Arial Narrow"/>
        </w:rPr>
        <w:t>«É esta a razão por que o sindicalismo revolucionário se dedicou a desenvolver os “instintos de revolta” dos proletários</w:t>
      </w:r>
      <w:r w:rsidR="00175074">
        <w:rPr>
          <w:rFonts w:ascii="Arial Narrow" w:hAnsi="Arial Narrow"/>
        </w:rPr>
        <w:t xml:space="preserve">», </w:t>
      </w:r>
      <w:r w:rsidR="00175074" w:rsidRPr="00F95336">
        <w:rPr>
          <w:rFonts w:ascii="Arial Narrow" w:hAnsi="Arial Narrow"/>
        </w:rPr>
        <w:t>elucid</w:t>
      </w:r>
      <w:r w:rsidR="00175074">
        <w:rPr>
          <w:rFonts w:ascii="Arial Narrow" w:hAnsi="Arial Narrow"/>
        </w:rPr>
        <w:t>ou</w:t>
      </w:r>
      <w:r w:rsidR="00175074" w:rsidRPr="00F95336">
        <w:rPr>
          <w:rFonts w:ascii="Arial Narrow" w:hAnsi="Arial Narrow"/>
        </w:rPr>
        <w:t xml:space="preserve"> um pesquisador das origens do fascismo</w:t>
      </w:r>
      <w:r w:rsidR="00175074">
        <w:rPr>
          <w:rFonts w:ascii="Arial Narrow" w:hAnsi="Arial Narrow"/>
        </w:rPr>
        <w:t>. «</w:t>
      </w:r>
      <w:r w:rsidRPr="00F95336">
        <w:rPr>
          <w:rFonts w:ascii="Arial Narrow" w:hAnsi="Arial Narrow"/>
        </w:rPr>
        <w:t xml:space="preserve">Toda a originalidade deste sindicalismo residia, para os seus ideólogos, nessa criação de instituições </w:t>
      </w:r>
      <w:r w:rsidRPr="00F95336">
        <w:rPr>
          <w:rFonts w:ascii="Arial Narrow" w:hAnsi="Arial Narrow"/>
        </w:rPr>
        <w:lastRenderedPageBreak/>
        <w:t>proletárias, geradoras de um mundo novo, de uma nova realidade humana». E acrescent</w:t>
      </w:r>
      <w:r>
        <w:rPr>
          <w:rFonts w:ascii="Arial Narrow" w:hAnsi="Arial Narrow"/>
        </w:rPr>
        <w:t>ou</w:t>
      </w:r>
      <w:r w:rsidRPr="00F95336">
        <w:rPr>
          <w:rFonts w:ascii="Arial Narrow" w:hAnsi="Arial Narrow"/>
        </w:rPr>
        <w:t>: «Lagardelle insurge-se contra a escola enquanto meio de ascensão social e de integração intelectual do proletariado e ridiculariza o “espírito igualitário” da “democracia avançada”, cujo objectivo é transformar em “aliados da classe inimiga” operários educados na escola da burguesia e “atafulhados de ciência indigesta”. Só “separando-se completamente do mundo burguês é que o mundo operário conseguirá descobrir as suas concepções novas da moral e do direito”». O mesmo autor record</w:t>
      </w:r>
      <w:r>
        <w:rPr>
          <w:rFonts w:ascii="Arial Narrow" w:hAnsi="Arial Narrow"/>
        </w:rPr>
        <w:t>ou</w:t>
      </w:r>
      <w:r w:rsidRPr="00F95336">
        <w:rPr>
          <w:rFonts w:ascii="Arial Narrow" w:hAnsi="Arial Narrow"/>
        </w:rPr>
        <w:t xml:space="preserve"> ainda as «inumeráveis advertências proferidas pelo director de </w:t>
      </w:r>
      <w:r w:rsidRPr="00F95336">
        <w:rPr>
          <w:rFonts w:ascii="Arial Narrow" w:hAnsi="Arial Narrow"/>
          <w:i/>
        </w:rPr>
        <w:t>Le Mouvement Socialiste</w:t>
      </w:r>
      <w:r w:rsidRPr="00F95336">
        <w:rPr>
          <w:rFonts w:ascii="Arial Narrow" w:hAnsi="Arial Narrow"/>
        </w:rPr>
        <w:t xml:space="preserve"> com o objectivo de incitar o proletariado contra qualquer tentativa de mobilização nas disputas em que se enfrentam as várias facções da burguesia»</w:t>
      </w:r>
      <w:r w:rsidRPr="00F95336">
        <w:rPr>
          <w:rStyle w:val="Refdenotaderodap"/>
          <w:rFonts w:ascii="Arial Narrow" w:hAnsi="Arial Narrow"/>
        </w:rPr>
        <w:footnoteReference w:id="202"/>
      </w:r>
      <w:r w:rsidRPr="00F95336">
        <w:rPr>
          <w:rFonts w:ascii="Arial Narrow" w:hAnsi="Arial Narrow"/>
        </w:rPr>
        <w:t xml:space="preserve">. </w:t>
      </w:r>
    </w:p>
    <w:p w:rsidR="005E7492" w:rsidRDefault="005E7492" w:rsidP="00CD12DC">
      <w:pPr>
        <w:rPr>
          <w:rFonts w:ascii="Arial Narrow" w:hAnsi="Arial Narrow"/>
        </w:rPr>
      </w:pPr>
      <w:r>
        <w:rPr>
          <w:rFonts w:ascii="Arial Narrow" w:hAnsi="Arial Narrow"/>
        </w:rPr>
        <w:t xml:space="preserve">As mesmas teses </w:t>
      </w:r>
      <w:r w:rsidR="000B7D1D">
        <w:rPr>
          <w:rFonts w:ascii="Arial Narrow" w:hAnsi="Arial Narrow"/>
        </w:rPr>
        <w:t xml:space="preserve">foram defendidas por Berth, </w:t>
      </w:r>
      <w:r w:rsidR="00AD1F14">
        <w:rPr>
          <w:rFonts w:ascii="Arial Narrow" w:hAnsi="Arial Narrow"/>
        </w:rPr>
        <w:t xml:space="preserve">o mais persistente </w:t>
      </w:r>
      <w:r w:rsidR="000B7D1D">
        <w:rPr>
          <w:rFonts w:ascii="Arial Narrow" w:hAnsi="Arial Narrow"/>
        </w:rPr>
        <w:t xml:space="preserve">dos discípulos de Sorel. </w:t>
      </w:r>
      <w:r w:rsidR="00A628DF">
        <w:rPr>
          <w:rFonts w:ascii="Arial Narrow" w:hAnsi="Arial Narrow"/>
        </w:rPr>
        <w:t xml:space="preserve">«A acção directa», escreveu Berth </w:t>
      </w:r>
      <w:r w:rsidR="00EA5C87">
        <w:rPr>
          <w:rFonts w:ascii="Arial Narrow" w:hAnsi="Arial Narrow"/>
        </w:rPr>
        <w:t xml:space="preserve">em </w:t>
      </w:r>
      <w:r w:rsidR="004162D1">
        <w:rPr>
          <w:rFonts w:ascii="Arial Narrow" w:hAnsi="Arial Narrow"/>
        </w:rPr>
        <w:t>1908</w:t>
      </w:r>
      <w:r w:rsidR="00EA5C87">
        <w:rPr>
          <w:rFonts w:ascii="Arial Narrow" w:hAnsi="Arial Narrow"/>
        </w:rPr>
        <w:t xml:space="preserve"> em </w:t>
      </w:r>
      <w:r w:rsidR="00EA5C87" w:rsidRPr="00EA5C87">
        <w:rPr>
          <w:rFonts w:ascii="Arial Narrow" w:hAnsi="Arial Narrow"/>
          <w:i/>
        </w:rPr>
        <w:t>Les Nouveaux Aspects du Socialisme</w:t>
      </w:r>
      <w:r w:rsidR="004162D1" w:rsidRPr="00EA5C87">
        <w:rPr>
          <w:rFonts w:ascii="Arial Narrow" w:hAnsi="Arial Narrow"/>
          <w:i/>
        </w:rPr>
        <w:t>,</w:t>
      </w:r>
      <w:r w:rsidR="004162D1">
        <w:rPr>
          <w:rFonts w:ascii="Arial Narrow" w:hAnsi="Arial Narrow"/>
        </w:rPr>
        <w:t xml:space="preserve"> </w:t>
      </w:r>
      <w:r w:rsidR="00A628DF">
        <w:rPr>
          <w:rFonts w:ascii="Arial Narrow" w:hAnsi="Arial Narrow"/>
        </w:rPr>
        <w:t>«</w:t>
      </w:r>
      <w:r w:rsidR="00BA7D10">
        <w:rPr>
          <w:rFonts w:ascii="Arial Narrow" w:hAnsi="Arial Narrow"/>
        </w:rPr>
        <w:t xml:space="preserve">é a </w:t>
      </w:r>
      <w:r w:rsidR="00EA5C87">
        <w:rPr>
          <w:rFonts w:ascii="Arial Narrow" w:hAnsi="Arial Narrow"/>
        </w:rPr>
        <w:t>glorificação</w:t>
      </w:r>
      <w:r w:rsidR="00BA7D10">
        <w:rPr>
          <w:rFonts w:ascii="Arial Narrow" w:hAnsi="Arial Narrow"/>
        </w:rPr>
        <w:t xml:space="preserve"> da autonomia de todas as forças operárias; o sindicalismo faz apelo à energia, à iniciativa, à audácia de cada trabalhador»</w:t>
      </w:r>
      <w:r w:rsidR="00C14630">
        <w:rPr>
          <w:rStyle w:val="Refdenotaderodap"/>
          <w:rFonts w:ascii="Arial Narrow" w:hAnsi="Arial Narrow"/>
        </w:rPr>
        <w:footnoteReference w:id="203"/>
      </w:r>
      <w:r w:rsidR="00C14630">
        <w:rPr>
          <w:rFonts w:ascii="Arial Narrow" w:hAnsi="Arial Narrow"/>
        </w:rPr>
        <w:t>.</w:t>
      </w:r>
      <w:r w:rsidR="00BA7D10">
        <w:rPr>
          <w:rFonts w:ascii="Arial Narrow" w:hAnsi="Arial Narrow"/>
        </w:rPr>
        <w:t xml:space="preserve"> </w:t>
      </w:r>
      <w:r w:rsidR="00C14630">
        <w:rPr>
          <w:rFonts w:ascii="Arial Narrow" w:hAnsi="Arial Narrow"/>
        </w:rPr>
        <w:t xml:space="preserve">Para ele, «a ideia essencial» do sindicalismo revolucionário </w:t>
      </w:r>
      <w:r w:rsidR="000526F3">
        <w:rPr>
          <w:rFonts w:ascii="Arial Narrow" w:hAnsi="Arial Narrow"/>
        </w:rPr>
        <w:t>era a de que os trab</w:t>
      </w:r>
      <w:r w:rsidR="00FD7232">
        <w:rPr>
          <w:rFonts w:ascii="Arial Narrow" w:hAnsi="Arial Narrow"/>
        </w:rPr>
        <w:t>a</w:t>
      </w:r>
      <w:r w:rsidR="000526F3">
        <w:rPr>
          <w:rFonts w:ascii="Arial Narrow" w:hAnsi="Arial Narrow"/>
        </w:rPr>
        <w:t xml:space="preserve">lhadores não podiam usar o Estado em seu benefício; «por conseguinte, o triunfo da classe operária só pode realizar-se através da destruição do Estado, da sua decomposição ou </w:t>
      </w:r>
      <w:r w:rsidR="00742A9E">
        <w:rPr>
          <w:rFonts w:ascii="Arial Narrow" w:hAnsi="Arial Narrow"/>
        </w:rPr>
        <w:t>re</w:t>
      </w:r>
      <w:r w:rsidR="000526F3">
        <w:rPr>
          <w:rFonts w:ascii="Arial Narrow" w:hAnsi="Arial Narrow"/>
        </w:rPr>
        <w:t>absorção no seio dos organismos operários»</w:t>
      </w:r>
      <w:r w:rsidR="00742A9E">
        <w:rPr>
          <w:rStyle w:val="Refdenotaderodap"/>
          <w:rFonts w:ascii="Arial Narrow" w:hAnsi="Arial Narrow"/>
        </w:rPr>
        <w:footnoteReference w:id="204"/>
      </w:r>
      <w:r w:rsidR="00742A9E">
        <w:rPr>
          <w:rFonts w:ascii="Arial Narrow" w:hAnsi="Arial Narrow"/>
        </w:rPr>
        <w:t>.</w:t>
      </w:r>
      <w:r w:rsidR="000526F3">
        <w:rPr>
          <w:rFonts w:ascii="Arial Narrow" w:hAnsi="Arial Narrow"/>
        </w:rPr>
        <w:t xml:space="preserve"> </w:t>
      </w:r>
      <w:r w:rsidR="00F013C2">
        <w:rPr>
          <w:rFonts w:ascii="Arial Narrow" w:hAnsi="Arial Narrow"/>
        </w:rPr>
        <w:t xml:space="preserve">Como o </w:t>
      </w:r>
      <w:r w:rsidR="00ED3A25">
        <w:rPr>
          <w:rFonts w:ascii="Arial Narrow" w:hAnsi="Arial Narrow"/>
        </w:rPr>
        <w:t>Estado é um prolongamento do capitalismo e ele próprio se tornou patrão</w:t>
      </w:r>
      <w:r w:rsidR="00F013C2">
        <w:rPr>
          <w:rFonts w:ascii="Arial Narrow" w:hAnsi="Arial Narrow"/>
        </w:rPr>
        <w:t>,</w:t>
      </w:r>
      <w:r w:rsidR="00ED3A25">
        <w:rPr>
          <w:rFonts w:ascii="Arial Narrow" w:hAnsi="Arial Narrow"/>
        </w:rPr>
        <w:t xml:space="preserve"> «</w:t>
      </w:r>
      <w:r w:rsidR="00F013C2">
        <w:rPr>
          <w:rFonts w:ascii="Arial Narrow" w:hAnsi="Arial Narrow"/>
        </w:rPr>
        <w:t xml:space="preserve">entre </w:t>
      </w:r>
      <w:r w:rsidR="00ED3A25">
        <w:rPr>
          <w:rFonts w:ascii="Arial Narrow" w:hAnsi="Arial Narrow"/>
        </w:rPr>
        <w:t xml:space="preserve">a classe capitalista e a classe operária já não existem intermediários: a luta é um corpo a corpo, uma </w:t>
      </w:r>
      <w:r w:rsidR="00ED3A25" w:rsidRPr="00946281">
        <w:rPr>
          <w:rFonts w:ascii="Arial Narrow" w:hAnsi="Arial Narrow"/>
          <w:i/>
        </w:rPr>
        <w:t>acção directa</w:t>
      </w:r>
      <w:r w:rsidR="00ED3A25">
        <w:rPr>
          <w:rFonts w:ascii="Arial Narrow" w:hAnsi="Arial Narrow"/>
        </w:rPr>
        <w:t>»</w:t>
      </w:r>
      <w:r w:rsidR="00F013C2">
        <w:rPr>
          <w:rStyle w:val="Refdenotaderodap"/>
          <w:rFonts w:ascii="Arial Narrow" w:hAnsi="Arial Narrow"/>
        </w:rPr>
        <w:footnoteReference w:id="205"/>
      </w:r>
      <w:r w:rsidR="00F013C2">
        <w:rPr>
          <w:rFonts w:ascii="Arial Narrow" w:hAnsi="Arial Narrow"/>
        </w:rPr>
        <w:t>.</w:t>
      </w:r>
      <w:r w:rsidR="00ED3A25">
        <w:rPr>
          <w:rFonts w:ascii="Arial Narrow" w:hAnsi="Arial Narrow"/>
        </w:rPr>
        <w:t xml:space="preserve"> </w:t>
      </w:r>
      <w:r w:rsidR="00732CAC">
        <w:rPr>
          <w:rFonts w:ascii="Arial Narrow" w:hAnsi="Arial Narrow"/>
        </w:rPr>
        <w:t>«O sindicalismo é a glorificação da liberdade operária, da autonomia operária», e nisto se resum</w:t>
      </w:r>
      <w:r w:rsidR="00660BCF">
        <w:rPr>
          <w:rFonts w:ascii="Arial Narrow" w:hAnsi="Arial Narrow"/>
        </w:rPr>
        <w:t>ia</w:t>
      </w:r>
      <w:r w:rsidR="00732CAC">
        <w:rPr>
          <w:rFonts w:ascii="Arial Narrow" w:hAnsi="Arial Narrow"/>
        </w:rPr>
        <w:t>, para Berth, a «acção directa»</w:t>
      </w:r>
      <w:r w:rsidR="00732CAC">
        <w:rPr>
          <w:rStyle w:val="Refdenotaderodap"/>
          <w:rFonts w:ascii="Arial Narrow" w:hAnsi="Arial Narrow"/>
        </w:rPr>
        <w:footnoteReference w:id="206"/>
      </w:r>
      <w:r w:rsidR="00732CAC">
        <w:rPr>
          <w:rFonts w:ascii="Arial Narrow" w:hAnsi="Arial Narrow"/>
        </w:rPr>
        <w:t xml:space="preserve">. </w:t>
      </w:r>
      <w:r w:rsidR="00660BCF">
        <w:rPr>
          <w:rFonts w:ascii="Arial Narrow" w:hAnsi="Arial Narrow"/>
        </w:rPr>
        <w:t xml:space="preserve">Ficaríamos </w:t>
      </w:r>
      <w:r w:rsidR="00503620">
        <w:rPr>
          <w:rFonts w:ascii="Arial Narrow" w:hAnsi="Arial Narrow"/>
        </w:rPr>
        <w:t xml:space="preserve">deste modo </w:t>
      </w:r>
      <w:r w:rsidR="004A3A9C">
        <w:rPr>
          <w:rFonts w:ascii="Arial Narrow" w:hAnsi="Arial Narrow"/>
        </w:rPr>
        <w:t>«</w:t>
      </w:r>
      <w:r w:rsidR="00503620">
        <w:rPr>
          <w:rFonts w:ascii="Arial Narrow" w:hAnsi="Arial Narrow"/>
        </w:rPr>
        <w:t xml:space="preserve">em presença de </w:t>
      </w:r>
      <w:r w:rsidR="00503620" w:rsidRPr="00503620">
        <w:rPr>
          <w:rFonts w:ascii="Arial Narrow" w:hAnsi="Arial Narrow"/>
          <w:i/>
        </w:rPr>
        <w:t>uma classe,</w:t>
      </w:r>
      <w:r w:rsidR="00503620">
        <w:rPr>
          <w:rFonts w:ascii="Arial Narrow" w:hAnsi="Arial Narrow"/>
        </w:rPr>
        <w:t xml:space="preserve"> de uma personalidade complexa, de uma colectividade espiritual, plenamente autónoma, ditando a si própria a sua lei, </w:t>
      </w:r>
      <w:r w:rsidR="00D84396">
        <w:rPr>
          <w:rFonts w:ascii="Arial Narrow" w:hAnsi="Arial Narrow"/>
        </w:rPr>
        <w:t xml:space="preserve">sem alienar o seu poder nas mãos de </w:t>
      </w:r>
      <w:r w:rsidR="00126F7B">
        <w:rPr>
          <w:rFonts w:ascii="Arial Narrow" w:hAnsi="Arial Narrow"/>
        </w:rPr>
        <w:t>nenhum</w:t>
      </w:r>
      <w:r w:rsidR="00D84396">
        <w:rPr>
          <w:rFonts w:ascii="Arial Narrow" w:hAnsi="Arial Narrow"/>
        </w:rPr>
        <w:t xml:space="preserve"> chefe, de </w:t>
      </w:r>
      <w:r w:rsidR="00126F7B">
        <w:rPr>
          <w:rFonts w:ascii="Arial Narrow" w:hAnsi="Arial Narrow"/>
        </w:rPr>
        <w:t>nenhum</w:t>
      </w:r>
      <w:r w:rsidR="00D84396">
        <w:rPr>
          <w:rFonts w:ascii="Arial Narrow" w:hAnsi="Arial Narrow"/>
        </w:rPr>
        <w:t xml:space="preserve"> estado-maior, de </w:t>
      </w:r>
      <w:r w:rsidR="00126F7B">
        <w:rPr>
          <w:rFonts w:ascii="Arial Narrow" w:hAnsi="Arial Narrow"/>
        </w:rPr>
        <w:t>nenhuma</w:t>
      </w:r>
      <w:r w:rsidR="00D84396">
        <w:rPr>
          <w:rFonts w:ascii="Arial Narrow" w:hAnsi="Arial Narrow"/>
        </w:rPr>
        <w:t xml:space="preserve"> facção, em suma, de </w:t>
      </w:r>
      <w:r w:rsidR="00126F7B">
        <w:rPr>
          <w:rFonts w:ascii="Arial Narrow" w:hAnsi="Arial Narrow"/>
          <w:i/>
        </w:rPr>
        <w:t>nenhum</w:t>
      </w:r>
      <w:r w:rsidR="00D84396" w:rsidRPr="00D84396">
        <w:rPr>
          <w:rFonts w:ascii="Arial Narrow" w:hAnsi="Arial Narrow"/>
          <w:i/>
        </w:rPr>
        <w:t xml:space="preserve"> Estado</w:t>
      </w:r>
      <w:r w:rsidR="00D84396">
        <w:rPr>
          <w:rFonts w:ascii="Arial Narrow" w:hAnsi="Arial Narrow"/>
        </w:rPr>
        <w:t>»</w:t>
      </w:r>
      <w:r w:rsidR="00097E8F">
        <w:rPr>
          <w:rStyle w:val="Refdenotaderodap"/>
          <w:rFonts w:ascii="Arial Narrow" w:hAnsi="Arial Narrow"/>
        </w:rPr>
        <w:footnoteReference w:id="207"/>
      </w:r>
      <w:r w:rsidR="00097E8F">
        <w:rPr>
          <w:rFonts w:ascii="Arial Narrow" w:hAnsi="Arial Narrow"/>
        </w:rPr>
        <w:t>.</w:t>
      </w:r>
      <w:r w:rsidR="00D8439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Sorel não foi, portanto, um caso isolado. Ter-se-ia ele incluído, com Lagardelle</w:t>
      </w:r>
      <w:r w:rsidR="00660BCF">
        <w:rPr>
          <w:rFonts w:ascii="Arial Narrow" w:hAnsi="Arial Narrow"/>
        </w:rPr>
        <w:t>,</w:t>
      </w:r>
      <w:r w:rsidRPr="00F95336">
        <w:rPr>
          <w:rFonts w:ascii="Arial Narrow" w:hAnsi="Arial Narrow"/>
        </w:rPr>
        <w:t xml:space="preserve"> </w:t>
      </w:r>
      <w:r w:rsidR="00660BCF">
        <w:rPr>
          <w:rFonts w:ascii="Arial Narrow" w:hAnsi="Arial Narrow"/>
        </w:rPr>
        <w:t xml:space="preserve">Berth </w:t>
      </w:r>
      <w:r w:rsidRPr="00F95336">
        <w:rPr>
          <w:rFonts w:ascii="Arial Narrow" w:hAnsi="Arial Narrow"/>
        </w:rPr>
        <w:t xml:space="preserve">e os demais sindicalistas revolucionários, entre os defensores da autonomia da classe trabalhadora? </w:t>
      </w:r>
    </w:p>
    <w:p w:rsidR="000B4149" w:rsidRDefault="00CD12DC" w:rsidP="000B4149">
      <w:pPr>
        <w:rPr>
          <w:rFonts w:ascii="Arial Narrow" w:hAnsi="Arial Narrow"/>
        </w:rPr>
      </w:pPr>
      <w:r w:rsidRPr="00F95336">
        <w:rPr>
          <w:rFonts w:ascii="Arial Narrow" w:hAnsi="Arial Narrow"/>
        </w:rPr>
        <w:t>Sorel</w:t>
      </w:r>
      <w:r w:rsidR="00660BCF">
        <w:rPr>
          <w:rFonts w:ascii="Arial Narrow" w:hAnsi="Arial Narrow"/>
        </w:rPr>
        <w:t xml:space="preserve"> </w:t>
      </w:r>
      <w:r w:rsidRPr="00F95336">
        <w:rPr>
          <w:rFonts w:ascii="Arial Narrow" w:hAnsi="Arial Narrow"/>
        </w:rPr>
        <w:t xml:space="preserve">e tantos outros promotores do sindicalismo revolucionário, em França como na Itália, foram pioneiros do fascismo. Em Setembro de 1908 Sorel suspendeu a colaboração com </w:t>
      </w:r>
      <w:r w:rsidRPr="00F95336">
        <w:rPr>
          <w:rFonts w:ascii="Arial Narrow" w:hAnsi="Arial Narrow"/>
          <w:i/>
        </w:rPr>
        <w:t>Le Mouvement Socialiste</w:t>
      </w:r>
      <w:r w:rsidRPr="00F95336">
        <w:rPr>
          <w:rStyle w:val="Refdenotaderodap"/>
          <w:rFonts w:ascii="Arial Narrow" w:hAnsi="Arial Narrow"/>
        </w:rPr>
        <w:footnoteReference w:id="208"/>
      </w:r>
      <w:r w:rsidRPr="00F95336">
        <w:rPr>
          <w:rFonts w:ascii="Arial Narrow" w:hAnsi="Arial Narrow"/>
        </w:rPr>
        <w:t xml:space="preserve"> e em 1909, três anos depois da primeira publicação das </w:t>
      </w:r>
      <w:r w:rsidRPr="00F95336">
        <w:rPr>
          <w:rFonts w:ascii="Arial Narrow" w:hAnsi="Arial Narrow"/>
          <w:i/>
        </w:rPr>
        <w:t xml:space="preserve">Réflexions </w:t>
      </w:r>
      <w:r w:rsidRPr="00F95336">
        <w:rPr>
          <w:rFonts w:ascii="Arial Narrow" w:hAnsi="Arial Narrow"/>
          <w:i/>
        </w:rPr>
        <w:lastRenderedPageBreak/>
        <w:t>sur la Violence</w:t>
      </w:r>
      <w:r w:rsidRPr="00F95336">
        <w:rPr>
          <w:rFonts w:ascii="Arial Narrow" w:hAnsi="Arial Narrow"/>
        </w:rPr>
        <w:t xml:space="preserve"> e passado apenas um ano sobre a primeira edição de </w:t>
      </w:r>
      <w:r w:rsidRPr="00F95336">
        <w:rPr>
          <w:rFonts w:ascii="Arial Narrow" w:hAnsi="Arial Narrow"/>
          <w:i/>
        </w:rPr>
        <w:t>Les Illusions du Progrès,</w:t>
      </w:r>
      <w:r w:rsidRPr="00F95336">
        <w:rPr>
          <w:rFonts w:ascii="Arial Narrow" w:hAnsi="Arial Narrow"/>
        </w:rPr>
        <w:t xml:space="preserve"> aderiu à Action Française, o partido monárquico que então dominava com a sua influência a extrema-direita radical em França, e começou a tomar posições públicas hostis aos judeus</w:t>
      </w:r>
      <w:r w:rsidRPr="00F95336">
        <w:rPr>
          <w:rStyle w:val="Refdenotaderodap"/>
          <w:rFonts w:ascii="Arial Narrow" w:hAnsi="Arial Narrow"/>
        </w:rPr>
        <w:footnoteReference w:id="209"/>
      </w:r>
      <w:r w:rsidRPr="00F95336">
        <w:rPr>
          <w:rFonts w:ascii="Arial Narrow" w:hAnsi="Arial Narrow"/>
        </w:rPr>
        <w:t xml:space="preserve">. </w:t>
      </w:r>
      <w:r w:rsidR="000B4149" w:rsidRPr="00F95336">
        <w:rPr>
          <w:rFonts w:ascii="Arial Narrow" w:hAnsi="Arial Narrow"/>
        </w:rPr>
        <w:t xml:space="preserve">Depois de uma tentativa frustrada de juntar numa mesma revista os sindicalistas revolucionários e os nacionalistas da Action Française, Sorel repetiu a experiência e desde o começo de 1911 até aos meados de 1913 publicou </w:t>
      </w:r>
      <w:r w:rsidR="000B4149" w:rsidRPr="00F95336">
        <w:rPr>
          <w:rFonts w:ascii="Arial Narrow" w:hAnsi="Arial Narrow"/>
          <w:i/>
        </w:rPr>
        <w:t>L’Indépendance,</w:t>
      </w:r>
      <w:r w:rsidR="000B4149" w:rsidRPr="00F95336">
        <w:rPr>
          <w:rFonts w:ascii="Arial Narrow" w:hAnsi="Arial Narrow"/>
        </w:rPr>
        <w:t xml:space="preserve"> parece que sem grande êxito</w:t>
      </w:r>
      <w:r w:rsidR="000B4149" w:rsidRPr="00F95336">
        <w:rPr>
          <w:rStyle w:val="Refdenotaderodap"/>
          <w:rFonts w:ascii="Arial Narrow" w:hAnsi="Arial Narrow"/>
        </w:rPr>
        <w:footnoteReference w:id="210"/>
      </w:r>
      <w:r w:rsidR="000B4149" w:rsidRPr="00F95336">
        <w:rPr>
          <w:rFonts w:ascii="Arial Narrow" w:hAnsi="Arial Narrow"/>
        </w:rPr>
        <w:t xml:space="preserve">. Entretanto, com o apoio prudente e um pouco distante de Charles Maurras e sob a tutela de Sorel, foi fundado no final de 1911 o Cercle Proudhon, que durante algum tempo serviu de lugar de encontro e debate para os sindicalistas antiliberais e os nacionalistas preocupados com a questão social. Na exacta ocasião em que Sorel se desiludia das possibilidades do sindicalismo revolucionário em França e em que Maurras receava o descontentamento que os ensaios de demagogia operária prosseguidos por Léon Daudet e alguns outros membros da Action Française estavam a provocar entre os </w:t>
      </w:r>
      <w:r w:rsidR="000B4149">
        <w:rPr>
          <w:rFonts w:ascii="Arial Narrow" w:hAnsi="Arial Narrow"/>
        </w:rPr>
        <w:t xml:space="preserve">seus </w:t>
      </w:r>
      <w:r w:rsidR="000B4149" w:rsidRPr="00F95336">
        <w:rPr>
          <w:rFonts w:ascii="Arial Narrow" w:hAnsi="Arial Narrow"/>
        </w:rPr>
        <w:t>adeptos mais conservadores</w:t>
      </w:r>
      <w:r w:rsidR="000B4149" w:rsidRPr="00F95336">
        <w:rPr>
          <w:rStyle w:val="Refdenotaderodap"/>
          <w:rFonts w:ascii="Arial Narrow" w:hAnsi="Arial Narrow"/>
        </w:rPr>
        <w:footnoteReference w:id="211"/>
      </w:r>
      <w:r w:rsidR="000B4149" w:rsidRPr="00F95336">
        <w:rPr>
          <w:rFonts w:ascii="Arial Narrow" w:hAnsi="Arial Narrow"/>
        </w:rPr>
        <w:t>, o Cercle Proudhon representou uma tentativa de criar um meio termo onde ambos os lados pudessem colaborar sem se comprometer demasiado</w:t>
      </w:r>
      <w:r w:rsidR="000B4149" w:rsidRPr="00F95336">
        <w:rPr>
          <w:rStyle w:val="Refdenotaderodap"/>
          <w:rFonts w:ascii="Arial Narrow" w:hAnsi="Arial Narrow"/>
        </w:rPr>
        <w:footnoteReference w:id="212"/>
      </w:r>
      <w:r w:rsidR="000B4149" w:rsidRPr="00F95336">
        <w:rPr>
          <w:rFonts w:ascii="Arial Narrow" w:hAnsi="Arial Narrow"/>
        </w:rPr>
        <w:t xml:space="preserve">. </w:t>
      </w:r>
    </w:p>
    <w:p w:rsidR="000B4149" w:rsidRPr="00F95336" w:rsidRDefault="000B4149" w:rsidP="000B4149">
      <w:pPr>
        <w:rPr>
          <w:rFonts w:ascii="Arial Narrow" w:hAnsi="Arial Narrow"/>
        </w:rPr>
      </w:pPr>
      <w:r w:rsidRPr="00F95336">
        <w:rPr>
          <w:rFonts w:ascii="Arial Narrow" w:hAnsi="Arial Narrow"/>
        </w:rPr>
        <w:t xml:space="preserve">É sugestivo que </w:t>
      </w:r>
      <w:r>
        <w:rPr>
          <w:rFonts w:ascii="Arial Narrow" w:hAnsi="Arial Narrow"/>
        </w:rPr>
        <w:t xml:space="preserve">fosse </w:t>
      </w:r>
      <w:r w:rsidRPr="00F95336">
        <w:rPr>
          <w:rFonts w:ascii="Arial Narrow" w:hAnsi="Arial Narrow"/>
        </w:rPr>
        <w:t>evocad</w:t>
      </w:r>
      <w:r>
        <w:rPr>
          <w:rFonts w:ascii="Arial Narrow" w:hAnsi="Arial Narrow"/>
        </w:rPr>
        <w:t>a</w:t>
      </w:r>
      <w:r w:rsidRPr="00F95336">
        <w:rPr>
          <w:rFonts w:ascii="Arial Narrow" w:hAnsi="Arial Narrow"/>
        </w:rPr>
        <w:t xml:space="preserve"> a memória de Proudhon, uma das figuras mais ambíguas do movimento operário, inspirador tanto de um ânimo libertário como de valores reaccionários. </w:t>
      </w:r>
      <w:r w:rsidRPr="007463BE">
        <w:rPr>
          <w:rFonts w:ascii="Arial Narrow" w:hAnsi="Arial Narrow"/>
        </w:rPr>
        <w:t>Aliás, desde a sua fundação a Action Française considerara Proudhon como um dos mestres</w:t>
      </w:r>
      <w:r>
        <w:rPr>
          <w:rStyle w:val="Refdenotaderodap"/>
          <w:rFonts w:ascii="Arial Narrow" w:hAnsi="Arial Narrow"/>
        </w:rPr>
        <w:footnoteReference w:id="213"/>
      </w:r>
      <w:r w:rsidRPr="007463BE">
        <w:rPr>
          <w:rFonts w:ascii="Arial Narrow" w:hAnsi="Arial Narrow"/>
        </w:rPr>
        <w:t xml:space="preserve"> </w:t>
      </w:r>
      <w:r>
        <w:rPr>
          <w:rFonts w:ascii="Arial Narrow" w:hAnsi="Arial Narrow"/>
        </w:rPr>
        <w:t>e, por seu lado, em 1908 Berth atribuíra ao sindicalismo revolucionário a dupla progenitura de Marx e de Proudhon</w:t>
      </w:r>
      <w:r>
        <w:rPr>
          <w:rStyle w:val="Refdenotaderodap"/>
          <w:rFonts w:ascii="Arial Narrow" w:hAnsi="Arial Narrow"/>
        </w:rPr>
        <w:footnoteReference w:id="214"/>
      </w:r>
      <w:r>
        <w:rPr>
          <w:rFonts w:ascii="Arial Narrow" w:hAnsi="Arial Narrow"/>
        </w:rPr>
        <w:t xml:space="preserve">. Três décadas e meia mais tarde </w:t>
      </w:r>
      <w:r w:rsidRPr="00F95336">
        <w:rPr>
          <w:rFonts w:ascii="Arial Narrow" w:hAnsi="Arial Narrow"/>
        </w:rPr>
        <w:t xml:space="preserve">um dos hitlerianos de Paris, </w:t>
      </w:r>
      <w:r w:rsidR="00426C65">
        <w:rPr>
          <w:rFonts w:ascii="Arial Narrow" w:hAnsi="Arial Narrow"/>
        </w:rPr>
        <w:t xml:space="preserve">Lucien Rabatet, </w:t>
      </w:r>
      <w:r>
        <w:rPr>
          <w:rFonts w:ascii="Arial Narrow" w:hAnsi="Arial Narrow"/>
        </w:rPr>
        <w:t xml:space="preserve">escreveria numa das obras cimeiras do colaboracionismo que </w:t>
      </w:r>
      <w:r w:rsidRPr="00F95336">
        <w:rPr>
          <w:rFonts w:ascii="Arial Narrow" w:hAnsi="Arial Narrow"/>
        </w:rPr>
        <w:t>«sem os judeus, teríamos feito entre nós, e com o mínimo de estragos, essa revolução do socialismo autoritário que se tornou a necessidade do nosso século e de que os velhos doutrinadores franceses, como Proudhon, têm a honra de ter sido os precursores»</w:t>
      </w:r>
      <w:r w:rsidRPr="00F95336">
        <w:rPr>
          <w:rStyle w:val="Refdenotaderodap"/>
          <w:rFonts w:ascii="Arial Narrow" w:hAnsi="Arial Narrow"/>
        </w:rPr>
        <w:footnoteReference w:id="215"/>
      </w:r>
      <w:r w:rsidRPr="00F95336">
        <w:rPr>
          <w:rFonts w:ascii="Arial Narrow" w:hAnsi="Arial Narrow"/>
        </w:rPr>
        <w:t xml:space="preserve">. </w:t>
      </w:r>
      <w:r>
        <w:rPr>
          <w:rFonts w:ascii="Arial Narrow" w:hAnsi="Arial Narrow"/>
        </w:rPr>
        <w:t>Outros fascistas franceses reivindicaram a herança de Proudhon</w:t>
      </w:r>
      <w:r>
        <w:rPr>
          <w:rStyle w:val="Refdenotaderodap"/>
          <w:rFonts w:ascii="Arial Narrow" w:hAnsi="Arial Narrow"/>
        </w:rPr>
        <w:footnoteReference w:id="216"/>
      </w:r>
      <w:r>
        <w:rPr>
          <w:rFonts w:ascii="Arial Narrow" w:hAnsi="Arial Narrow"/>
        </w:rPr>
        <w:t xml:space="preserve">, nomeadamente </w:t>
      </w:r>
      <w:r w:rsidRPr="007463BE">
        <w:rPr>
          <w:rFonts w:ascii="Arial Narrow" w:hAnsi="Arial Narrow"/>
        </w:rPr>
        <w:t>Pierre Drieu La Rochelle</w:t>
      </w:r>
      <w:r>
        <w:rPr>
          <w:rStyle w:val="Refdenotaderodap"/>
          <w:rFonts w:ascii="Arial Narrow" w:hAnsi="Arial Narrow"/>
        </w:rPr>
        <w:footnoteReference w:id="217"/>
      </w:r>
      <w:r>
        <w:rPr>
          <w:rFonts w:ascii="Arial Narrow" w:hAnsi="Arial Narrow"/>
        </w:rPr>
        <w:t>,</w:t>
      </w:r>
      <w:r w:rsidRPr="007463BE">
        <w:rPr>
          <w:rFonts w:ascii="Arial Narrow" w:hAnsi="Arial Narrow"/>
        </w:rPr>
        <w:t xml:space="preserve"> </w:t>
      </w:r>
      <w:r>
        <w:rPr>
          <w:rFonts w:ascii="Arial Narrow" w:hAnsi="Arial Narrow"/>
        </w:rPr>
        <w:t xml:space="preserve">e </w:t>
      </w:r>
      <w:r w:rsidRPr="007463BE">
        <w:rPr>
          <w:rFonts w:ascii="Arial Narrow" w:hAnsi="Arial Narrow"/>
        </w:rPr>
        <w:t xml:space="preserve">é conhecido o apreço que </w:t>
      </w:r>
      <w:r w:rsidR="00405D6F">
        <w:rPr>
          <w:rFonts w:ascii="Arial Narrow" w:hAnsi="Arial Narrow"/>
        </w:rPr>
        <w:t xml:space="preserve">por ele teve </w:t>
      </w:r>
      <w:r w:rsidRPr="007463BE">
        <w:rPr>
          <w:rFonts w:ascii="Arial Narrow" w:hAnsi="Arial Narrow"/>
        </w:rPr>
        <w:t xml:space="preserve">o jurista </w:t>
      </w:r>
      <w:r>
        <w:rPr>
          <w:rFonts w:ascii="Arial Narrow" w:hAnsi="Arial Narrow"/>
        </w:rPr>
        <w:t>nacional-socialista</w:t>
      </w:r>
      <w:r w:rsidRPr="007463BE">
        <w:rPr>
          <w:rFonts w:ascii="Arial Narrow" w:hAnsi="Arial Narrow"/>
        </w:rPr>
        <w:t xml:space="preserve"> Carl Schmitt</w:t>
      </w:r>
      <w:r>
        <w:rPr>
          <w:rStyle w:val="Refdenotaderodap"/>
          <w:rFonts w:ascii="Arial Narrow" w:hAnsi="Arial Narrow"/>
        </w:rPr>
        <w:footnoteReference w:id="218"/>
      </w:r>
      <w:r>
        <w:rPr>
          <w:rFonts w:ascii="Arial Narrow" w:hAnsi="Arial Narrow"/>
        </w:rPr>
        <w:t>.</w:t>
      </w:r>
      <w:r w:rsidRPr="007463BE">
        <w:rPr>
          <w:rFonts w:ascii="Arial Narrow" w:hAnsi="Arial Narrow"/>
        </w:rPr>
        <w:t xml:space="preserve"> </w:t>
      </w:r>
      <w:r w:rsidRPr="007C6477">
        <w:rPr>
          <w:rFonts w:ascii="Arial Narrow" w:hAnsi="Arial Narrow"/>
        </w:rPr>
        <w:t xml:space="preserve">Também </w:t>
      </w:r>
      <w:r w:rsidRPr="007C6477">
        <w:rPr>
          <w:rFonts w:ascii="Arial Narrow" w:hAnsi="Arial Narrow"/>
        </w:rPr>
        <w:lastRenderedPageBreak/>
        <w:t>Wyndham Lewis, na sua fase mais claramente fascista, se interess</w:t>
      </w:r>
      <w:r>
        <w:rPr>
          <w:rFonts w:ascii="Arial Narrow" w:hAnsi="Arial Narrow"/>
        </w:rPr>
        <w:t>ou</w:t>
      </w:r>
      <w:r w:rsidRPr="007C6477">
        <w:rPr>
          <w:rFonts w:ascii="Arial Narrow" w:hAnsi="Arial Narrow"/>
        </w:rPr>
        <w:t xml:space="preserve"> por Proudhon</w:t>
      </w:r>
      <w:r>
        <w:rPr>
          <w:rStyle w:val="Refdenotaderodap"/>
          <w:rFonts w:ascii="Arial Narrow" w:hAnsi="Arial Narrow"/>
        </w:rPr>
        <w:footnoteReference w:id="219"/>
      </w:r>
      <w:r>
        <w:rPr>
          <w:rFonts w:ascii="Arial Narrow" w:hAnsi="Arial Narrow"/>
        </w:rPr>
        <w:t xml:space="preserve"> e Sir Oswald Mosley incluiu-o com naturalidade entre os precursores do fascismo</w:t>
      </w:r>
      <w:r>
        <w:rPr>
          <w:rStyle w:val="Refdenotaderodap"/>
          <w:rFonts w:ascii="Arial Narrow" w:hAnsi="Arial Narrow"/>
        </w:rPr>
        <w:footnoteReference w:id="220"/>
      </w:r>
      <w:r>
        <w:rPr>
          <w:rFonts w:ascii="Arial Narrow" w:hAnsi="Arial Narrow"/>
        </w:rPr>
        <w:t>. O</w:t>
      </w:r>
      <w:r w:rsidRPr="00F95336">
        <w:rPr>
          <w:rFonts w:ascii="Arial Narrow" w:hAnsi="Arial Narrow"/>
        </w:rPr>
        <w:t xml:space="preserve"> Cercle Proudhon pretendia-se simultaneamente revolucionário e contra-revolucionário</w:t>
      </w:r>
      <w:r w:rsidRPr="00F95336">
        <w:rPr>
          <w:rStyle w:val="Refdenotaderodap"/>
          <w:rFonts w:ascii="Arial Narrow" w:hAnsi="Arial Narrow"/>
        </w:rPr>
        <w:footnoteReference w:id="221"/>
      </w:r>
      <w:r w:rsidRPr="00F95336">
        <w:rPr>
          <w:rFonts w:ascii="Arial Narrow" w:hAnsi="Arial Narrow"/>
        </w:rPr>
        <w:t>, tal como o fascismo viria a proclamar-se alguns anos mais tarde. Junta</w:t>
      </w:r>
      <w:r>
        <w:rPr>
          <w:rFonts w:ascii="Arial Narrow" w:hAnsi="Arial Narrow"/>
        </w:rPr>
        <w:t>ndo</w:t>
      </w:r>
      <w:r w:rsidRPr="00F95336">
        <w:rPr>
          <w:rFonts w:ascii="Arial Narrow" w:hAnsi="Arial Narrow"/>
        </w:rPr>
        <w:t xml:space="preserve"> uma ou duas dezenas de pessoas</w:t>
      </w:r>
      <w:r w:rsidRPr="00F95336">
        <w:rPr>
          <w:rStyle w:val="Refdenotaderodap"/>
          <w:rFonts w:ascii="Arial Narrow" w:hAnsi="Arial Narrow"/>
        </w:rPr>
        <w:footnoteReference w:id="222"/>
      </w:r>
      <w:r w:rsidRPr="00F95336">
        <w:rPr>
          <w:rFonts w:ascii="Arial Narrow" w:hAnsi="Arial Narrow"/>
        </w:rPr>
        <w:t xml:space="preserve">, o Cercle era animado sobretudo por Édouard Berth e Georges Valois. </w:t>
      </w:r>
    </w:p>
    <w:p w:rsidR="000B4149" w:rsidRPr="00F95336" w:rsidRDefault="000B4149" w:rsidP="000B4149">
      <w:pPr>
        <w:rPr>
          <w:rFonts w:ascii="Arial Narrow" w:hAnsi="Arial Narrow"/>
        </w:rPr>
      </w:pPr>
      <w:r>
        <w:rPr>
          <w:rFonts w:ascii="Arial Narrow" w:hAnsi="Arial Narrow"/>
        </w:rPr>
        <w:t>Depois desta experiência, porém, encontra</w:t>
      </w:r>
      <w:r w:rsidR="0077084A">
        <w:rPr>
          <w:rFonts w:ascii="Arial Narrow" w:hAnsi="Arial Narrow"/>
        </w:rPr>
        <w:t>re</w:t>
      </w:r>
      <w:r>
        <w:rPr>
          <w:rFonts w:ascii="Arial Narrow" w:hAnsi="Arial Narrow"/>
        </w:rPr>
        <w:t xml:space="preserve">mos </w:t>
      </w:r>
      <w:r w:rsidRPr="00F95336">
        <w:rPr>
          <w:rFonts w:ascii="Arial Narrow" w:hAnsi="Arial Narrow"/>
        </w:rPr>
        <w:t>Berth filiado em 1920 no Partido Comunista, e embora nos anos seguintes começasse a fazer</w:t>
      </w:r>
      <w:r>
        <w:rPr>
          <w:rFonts w:ascii="Arial Narrow" w:hAnsi="Arial Narrow"/>
        </w:rPr>
        <w:t>-</w:t>
      </w:r>
      <w:r w:rsidRPr="00F95336">
        <w:rPr>
          <w:rFonts w:ascii="Arial Narrow" w:hAnsi="Arial Narrow"/>
        </w:rPr>
        <w:t xml:space="preserve">se ouvir na extrema-esquerda o eco dos temas do nacionalismo, que permitiria ao nacional-bolchevismo dar a réplica aos apologistas da nação proletária, tal evolução </w:t>
      </w:r>
      <w:r>
        <w:rPr>
          <w:rFonts w:ascii="Arial Narrow" w:hAnsi="Arial Narrow"/>
        </w:rPr>
        <w:t>—</w:t>
      </w:r>
      <w:r w:rsidRPr="00F95336">
        <w:rPr>
          <w:rFonts w:ascii="Arial Narrow" w:hAnsi="Arial Narrow"/>
        </w:rPr>
        <w:t xml:space="preserve"> paradoxalmente </w:t>
      </w:r>
      <w:r>
        <w:rPr>
          <w:rFonts w:ascii="Arial Narrow" w:hAnsi="Arial Narrow"/>
        </w:rPr>
        <w:t>—</w:t>
      </w:r>
      <w:r w:rsidRPr="00F95336">
        <w:rPr>
          <w:rFonts w:ascii="Arial Narrow" w:hAnsi="Arial Narrow"/>
        </w:rPr>
        <w:t xml:space="preserve"> não seduziu Berth</w:t>
      </w:r>
      <w:r>
        <w:rPr>
          <w:rFonts w:ascii="Arial Narrow" w:hAnsi="Arial Narrow"/>
        </w:rPr>
        <w:t>,</w:t>
      </w:r>
      <w:r w:rsidRPr="00F95336">
        <w:rPr>
          <w:rFonts w:ascii="Arial Narrow" w:hAnsi="Arial Narrow"/>
        </w:rPr>
        <w:t xml:space="preserve"> </w:t>
      </w:r>
      <w:r>
        <w:rPr>
          <w:rFonts w:ascii="Arial Narrow" w:hAnsi="Arial Narrow"/>
        </w:rPr>
        <w:t>que em 1923 reeditou uma obra onde fizera críticas veementes ao nacionalismo e ao patriotismo</w:t>
      </w:r>
      <w:r>
        <w:rPr>
          <w:rStyle w:val="Refdenotaderodap"/>
          <w:rFonts w:ascii="Arial Narrow" w:hAnsi="Arial Narrow"/>
        </w:rPr>
        <w:footnoteReference w:id="223"/>
      </w:r>
      <w:r>
        <w:rPr>
          <w:rFonts w:ascii="Arial Narrow" w:hAnsi="Arial Narrow"/>
        </w:rPr>
        <w:t xml:space="preserve">. </w:t>
      </w:r>
      <w:r w:rsidRPr="00F95336">
        <w:rPr>
          <w:rFonts w:ascii="Arial Narrow" w:hAnsi="Arial Narrow"/>
        </w:rPr>
        <w:t xml:space="preserve">Em 1925 afastou-se dos comunistas e voltou às raízes sorelianas, zelando até ao final da vida </w:t>
      </w:r>
      <w:r>
        <w:rPr>
          <w:rFonts w:ascii="Arial Narrow" w:hAnsi="Arial Narrow"/>
        </w:rPr>
        <w:t>por uma</w:t>
      </w:r>
      <w:r w:rsidRPr="00F95336">
        <w:rPr>
          <w:rFonts w:ascii="Arial Narrow" w:hAnsi="Arial Narrow"/>
        </w:rPr>
        <w:t xml:space="preserve"> memória extinta</w:t>
      </w:r>
      <w:r>
        <w:rPr>
          <w:rFonts w:ascii="Arial Narrow" w:hAnsi="Arial Narrow"/>
        </w:rPr>
        <w:t>,</w:t>
      </w:r>
      <w:r w:rsidRPr="00F95336">
        <w:rPr>
          <w:rFonts w:ascii="Arial Narrow" w:hAnsi="Arial Narrow"/>
        </w:rPr>
        <w:t xml:space="preserve"> </w:t>
      </w:r>
      <w:r>
        <w:rPr>
          <w:rFonts w:ascii="Arial Narrow" w:hAnsi="Arial Narrow"/>
        </w:rPr>
        <w:t xml:space="preserve">que já só vivia </w:t>
      </w:r>
      <w:r w:rsidRPr="00F95336">
        <w:rPr>
          <w:rFonts w:ascii="Arial Narrow" w:hAnsi="Arial Narrow"/>
        </w:rPr>
        <w:t xml:space="preserve">incorporada em correntes </w:t>
      </w:r>
      <w:r>
        <w:rPr>
          <w:rFonts w:ascii="Arial Narrow" w:hAnsi="Arial Narrow"/>
        </w:rPr>
        <w:t xml:space="preserve">com </w:t>
      </w:r>
      <w:r w:rsidRPr="00F95336">
        <w:rPr>
          <w:rFonts w:ascii="Arial Narrow" w:hAnsi="Arial Narrow"/>
        </w:rPr>
        <w:t>outra existência e outras dimensões</w:t>
      </w:r>
      <w:r w:rsidRPr="00F95336">
        <w:rPr>
          <w:rStyle w:val="Refdenotaderodap"/>
          <w:rFonts w:ascii="Arial Narrow" w:hAnsi="Arial Narrow"/>
        </w:rPr>
        <w:footnoteReference w:id="224"/>
      </w:r>
      <w:r w:rsidRPr="00F95336">
        <w:rPr>
          <w:rFonts w:ascii="Arial Narrow" w:hAnsi="Arial Narrow"/>
        </w:rPr>
        <w:t xml:space="preserve">. </w:t>
      </w:r>
    </w:p>
    <w:p w:rsidR="00412C99" w:rsidRDefault="00412C99" w:rsidP="00412C99">
      <w:pPr>
        <w:rPr>
          <w:rFonts w:ascii="Arial Narrow" w:hAnsi="Arial Narrow"/>
        </w:rPr>
      </w:pPr>
      <w:r>
        <w:rPr>
          <w:rFonts w:ascii="Arial Narrow" w:hAnsi="Arial Narrow"/>
        </w:rPr>
        <w:t xml:space="preserve">Quanto a </w:t>
      </w:r>
      <w:r w:rsidRPr="00F95336">
        <w:rPr>
          <w:rFonts w:ascii="Arial Narrow" w:hAnsi="Arial Narrow"/>
        </w:rPr>
        <w:t xml:space="preserve">Georges Valois, entre as figuras relevantes da Action Française </w:t>
      </w:r>
      <w:r>
        <w:rPr>
          <w:rFonts w:ascii="Arial Narrow" w:hAnsi="Arial Narrow"/>
        </w:rPr>
        <w:t xml:space="preserve">era ele </w:t>
      </w:r>
      <w:r w:rsidRPr="00F95336">
        <w:rPr>
          <w:rFonts w:ascii="Arial Narrow" w:hAnsi="Arial Narrow"/>
        </w:rPr>
        <w:t>quem podia manter relações mais estreitas, ou pelo menos mais sinceras, com o meio operário</w:t>
      </w:r>
      <w:r>
        <w:rPr>
          <w:rFonts w:ascii="Arial Narrow" w:hAnsi="Arial Narrow"/>
        </w:rPr>
        <w:t>.</w:t>
      </w:r>
      <w:r w:rsidRPr="00F95336">
        <w:rPr>
          <w:rFonts w:ascii="Arial Narrow" w:hAnsi="Arial Narrow"/>
        </w:rPr>
        <w:t xml:space="preserve"> </w:t>
      </w:r>
      <w:r>
        <w:rPr>
          <w:rFonts w:ascii="Arial Narrow" w:hAnsi="Arial Narrow"/>
        </w:rPr>
        <w:t>A</w:t>
      </w:r>
      <w:r w:rsidRPr="00F95336">
        <w:rPr>
          <w:rFonts w:ascii="Arial Narrow" w:hAnsi="Arial Narrow"/>
        </w:rPr>
        <w:t xml:space="preserve">ntigo anarquista que havia sido secretário de </w:t>
      </w:r>
      <w:r w:rsidRPr="00F95336">
        <w:rPr>
          <w:rFonts w:ascii="Arial Narrow" w:hAnsi="Arial Narrow"/>
          <w:i/>
        </w:rPr>
        <w:t>L’Humanité Nouvelle,</w:t>
      </w:r>
      <w:r w:rsidRPr="00F95336">
        <w:rPr>
          <w:rFonts w:ascii="Arial Narrow" w:hAnsi="Arial Narrow"/>
        </w:rPr>
        <w:t xml:space="preserve"> em cuja sala de redacção conhecera Sorel nos últimos anos do século XIX</w:t>
      </w:r>
      <w:r>
        <w:rPr>
          <w:rFonts w:ascii="Arial Narrow" w:hAnsi="Arial Narrow"/>
        </w:rPr>
        <w:t>,</w:t>
      </w:r>
      <w:r w:rsidRPr="00F95336">
        <w:rPr>
          <w:rFonts w:ascii="Arial Narrow" w:hAnsi="Arial Narrow"/>
        </w:rPr>
        <w:t xml:space="preserve"> Valois aderiu à Action Française em 1906, e Victor Serge descreve</w:t>
      </w:r>
      <w:r>
        <w:rPr>
          <w:rFonts w:ascii="Arial Narrow" w:hAnsi="Arial Narrow"/>
        </w:rPr>
        <w:t>u</w:t>
      </w:r>
      <w:r w:rsidRPr="00F95336">
        <w:rPr>
          <w:rFonts w:ascii="Arial Narrow" w:hAnsi="Arial Narrow"/>
        </w:rPr>
        <w:t xml:space="preserve">-o uns quatro ou cinco anos depois </w:t>
      </w:r>
      <w:r w:rsidR="0077084A">
        <w:rPr>
          <w:rFonts w:ascii="Arial Narrow" w:hAnsi="Arial Narrow"/>
        </w:rPr>
        <w:t xml:space="preserve">argumentando com </w:t>
      </w:r>
      <w:r w:rsidRPr="00F95336">
        <w:rPr>
          <w:rFonts w:ascii="Arial Narrow" w:hAnsi="Arial Narrow"/>
        </w:rPr>
        <w:t>os jovens anarquistas que lhe perturbavam os comícios e não hesitando em discutir com eles «a sua doutrina sindicalista-monárquica» e em evocar «Nietzsche, Georges Sorel, o “mito social”, as corporações das comunas da Idade Média, o sentimento nacional»</w:t>
      </w:r>
      <w:r w:rsidRPr="00F95336">
        <w:rPr>
          <w:rStyle w:val="Refdenotaderodap"/>
          <w:rFonts w:ascii="Arial Narrow" w:hAnsi="Arial Narrow"/>
        </w:rPr>
        <w:footnoteReference w:id="225"/>
      </w:r>
      <w:r w:rsidRPr="00F95336">
        <w:rPr>
          <w:rFonts w:ascii="Arial Narrow" w:hAnsi="Arial Narrow"/>
        </w:rPr>
        <w:t>. Mas o quadro da Action Française havia de se revelar demasiado estreito para acolher uma digressão tão ampla entre o «mito social» e o «sentimento nacional», e Valois romperia com Maurras em Outubro de 1925 para, no mês seguinte, ser um dos primeiros a criar fora da Itália um movimento mussoliniano, cujo nome traduzia à letra</w:t>
      </w:r>
      <w:r>
        <w:rPr>
          <w:rFonts w:ascii="Arial Narrow" w:hAnsi="Arial Narrow"/>
        </w:rPr>
        <w:t xml:space="preserve"> </w:t>
      </w:r>
      <w:r w:rsidRPr="00F95336">
        <w:rPr>
          <w:rFonts w:ascii="Arial Narrow" w:hAnsi="Arial Narrow"/>
        </w:rPr>
        <w:t xml:space="preserve">o do modelo originário </w:t>
      </w:r>
      <w:r>
        <w:rPr>
          <w:rFonts w:ascii="Arial Narrow" w:hAnsi="Arial Narrow"/>
        </w:rPr>
        <w:t>—</w:t>
      </w:r>
      <w:r w:rsidRPr="00F95336">
        <w:rPr>
          <w:rFonts w:ascii="Arial Narrow" w:hAnsi="Arial Narrow"/>
        </w:rPr>
        <w:t xml:space="preserve"> Faisceau. Com a amplitude de espectro característica do fascismo genuíno, o Faisceau começou por atrair descontentes de ambos os lados, tanto gente que havia rompido com a Action Française como alguns dissidentes do </w:t>
      </w:r>
      <w:r w:rsidRPr="00F95336">
        <w:rPr>
          <w:rFonts w:ascii="Arial Narrow" w:hAnsi="Arial Narrow"/>
        </w:rPr>
        <w:lastRenderedPageBreak/>
        <w:t xml:space="preserve">Partido Comunista. Mas em breve esta convergência ficou frustrada na prática e a organização extinguiu-se no início de 1928 devido aos desacordos internos e à falta de apoio dos financiadores. Entretanto Valois havia-se já distanciado da orientação proposta pelo Duce. «Ou nos enganamos muito», escrevera ele nos primeiros dias de 1928, «ou sob a pressão das forças financeiras estrangeiras o fascismo italiano está a evoluir no sentido reaccionário». Depois de ter percorrido todas as etapas que podiam levar de uma certa extrema-esquerda até </w:t>
      </w:r>
      <w:r>
        <w:rPr>
          <w:rFonts w:ascii="Arial Narrow" w:hAnsi="Arial Narrow"/>
        </w:rPr>
        <w:t xml:space="preserve">ao fascismo </w:t>
      </w:r>
      <w:r w:rsidRPr="00F95336">
        <w:rPr>
          <w:rFonts w:ascii="Arial Narrow" w:hAnsi="Arial Narrow"/>
        </w:rPr>
        <w:t>mais extrem</w:t>
      </w:r>
      <w:r>
        <w:rPr>
          <w:rFonts w:ascii="Arial Narrow" w:hAnsi="Arial Narrow"/>
        </w:rPr>
        <w:t>o</w:t>
      </w:r>
      <w:r w:rsidRPr="00F95336">
        <w:rPr>
          <w:rFonts w:ascii="Arial Narrow" w:hAnsi="Arial Narrow"/>
        </w:rPr>
        <w:t>, Valois tornou-se, sobretudo a partir de 1930, um crítico acerbo do regime italiano e dos outros tipos de fascismo. Procurou encontrar então um novo lugar na esquerda. Não o conseguiu através de uma sua efémera criação, o Partido Republicano Sindicalista, e também não eram os comunistas que o acolheria</w:t>
      </w:r>
      <w:r w:rsidR="0077084A">
        <w:rPr>
          <w:rFonts w:ascii="Arial Narrow" w:hAnsi="Arial Narrow"/>
        </w:rPr>
        <w:t>m</w:t>
      </w:r>
      <w:r w:rsidRPr="00F95336">
        <w:rPr>
          <w:rFonts w:ascii="Arial Narrow" w:hAnsi="Arial Narrow"/>
        </w:rPr>
        <w:t xml:space="preserve">, </w:t>
      </w:r>
      <w:r>
        <w:rPr>
          <w:rFonts w:ascii="Arial Narrow" w:hAnsi="Arial Narrow"/>
        </w:rPr>
        <w:t>porque</w:t>
      </w:r>
      <w:r w:rsidRPr="00F95336">
        <w:rPr>
          <w:rFonts w:ascii="Arial Narrow" w:hAnsi="Arial Narrow"/>
        </w:rPr>
        <w:t xml:space="preserve">, embora fizesse a apologia dos planos quinquenais, criticava ao stalinismo a incapacidade de conjugar a elaboração das directivas económicas com a actividade de base dos trabalhadores. Nem era a ala moderada do socialismo que podia atrair Valois, pois decerto se afigurava sórdida a alguém que classificava o plano de acção elaborado pela CGT em 1934 como um «plano operário em que a classe operária não desempenha </w:t>
      </w:r>
      <w:r>
        <w:rPr>
          <w:rFonts w:ascii="Arial Narrow" w:hAnsi="Arial Narrow"/>
        </w:rPr>
        <w:t>nenhum</w:t>
      </w:r>
      <w:r w:rsidRPr="00F95336">
        <w:rPr>
          <w:rFonts w:ascii="Arial Narrow" w:hAnsi="Arial Narrow"/>
        </w:rPr>
        <w:t xml:space="preserve"> papel». Patrocinado por Marceau Pivert, a principal figura da tendência esquerdista do socialismo francês, Valois pediu a integração na SFIO em 1935, </w:t>
      </w:r>
      <w:r>
        <w:rPr>
          <w:rFonts w:ascii="Arial Narrow" w:hAnsi="Arial Narrow"/>
        </w:rPr>
        <w:t xml:space="preserve">mas viu-se </w:t>
      </w:r>
      <w:r w:rsidRPr="00F95336">
        <w:rPr>
          <w:rFonts w:ascii="Arial Narrow" w:hAnsi="Arial Narrow"/>
        </w:rPr>
        <w:t xml:space="preserve">recusado pela direcção do partido. Na mesma ocasião o Comité de Vigilância Antifascista rejeitou igualmente a sua candidatura. Valois ficou suspenso no ar, nesta tentativa de perfazer em sentido inverso o seu caminho anterior, e assim o foi encontrar a ocupação </w:t>
      </w:r>
      <w:r w:rsidR="0077084A">
        <w:rPr>
          <w:rFonts w:ascii="Arial Narrow" w:hAnsi="Arial Narrow"/>
        </w:rPr>
        <w:t>germânica</w:t>
      </w:r>
      <w:r w:rsidRPr="00F95336">
        <w:rPr>
          <w:rFonts w:ascii="Arial Narrow" w:hAnsi="Arial Narrow"/>
        </w:rPr>
        <w:t xml:space="preserve"> da França. Preso pela polícia de Vichy, mais tarde preso pelos </w:t>
      </w:r>
      <w:r>
        <w:rPr>
          <w:rFonts w:ascii="Arial Narrow" w:hAnsi="Arial Narrow"/>
        </w:rPr>
        <w:t>nacionais-socialistas</w:t>
      </w:r>
      <w:r w:rsidRPr="00F95336">
        <w:rPr>
          <w:rFonts w:ascii="Arial Narrow" w:hAnsi="Arial Narrow"/>
        </w:rPr>
        <w:t>, morreu num campo de concentração, tal como sucedeu a outros partidários, ou antigos partidários, do fascismo populista</w:t>
      </w:r>
      <w:r w:rsidRPr="00F95336">
        <w:rPr>
          <w:rStyle w:val="Refdenotaderodap"/>
          <w:rFonts w:ascii="Arial Narrow" w:hAnsi="Arial Narrow"/>
        </w:rPr>
        <w:footnoteReference w:id="226"/>
      </w:r>
      <w:r w:rsidRPr="00F95336">
        <w:rPr>
          <w:rFonts w:ascii="Arial Narrow" w:hAnsi="Arial Narrow"/>
        </w:rPr>
        <w:t xml:space="preserve">. </w:t>
      </w:r>
    </w:p>
    <w:p w:rsidR="00412C99" w:rsidRPr="00F95336" w:rsidRDefault="00AC08E8" w:rsidP="007C2D8D">
      <w:pPr>
        <w:rPr>
          <w:rFonts w:ascii="Arial Narrow" w:hAnsi="Arial Narrow"/>
        </w:rPr>
      </w:pPr>
      <w:r w:rsidRPr="00F95336">
        <w:rPr>
          <w:rFonts w:ascii="Arial Narrow" w:hAnsi="Arial Narrow"/>
        </w:rPr>
        <w:t>Quando</w:t>
      </w:r>
      <w:r>
        <w:rPr>
          <w:rFonts w:ascii="Arial Narrow" w:hAnsi="Arial Narrow"/>
        </w:rPr>
        <w:t>,</w:t>
      </w:r>
      <w:r w:rsidRPr="00F95336">
        <w:rPr>
          <w:rFonts w:ascii="Arial Narrow" w:hAnsi="Arial Narrow"/>
        </w:rPr>
        <w:t xml:space="preserve"> em 1909, Sorel e alguns dos </w:t>
      </w:r>
      <w:r>
        <w:rPr>
          <w:rFonts w:ascii="Arial Narrow" w:hAnsi="Arial Narrow"/>
        </w:rPr>
        <w:t xml:space="preserve">seus </w:t>
      </w:r>
      <w:r w:rsidRPr="00F95336">
        <w:rPr>
          <w:rFonts w:ascii="Arial Narrow" w:hAnsi="Arial Narrow"/>
        </w:rPr>
        <w:t xml:space="preserve">discípulos começaram a colaborar com o partido de Maurras, Lagardelle </w:t>
      </w:r>
      <w:r>
        <w:rPr>
          <w:rFonts w:ascii="Arial Narrow" w:hAnsi="Arial Narrow"/>
        </w:rPr>
        <w:t>e</w:t>
      </w:r>
      <w:r w:rsidRPr="00F95336">
        <w:rPr>
          <w:rFonts w:ascii="Arial Narrow" w:hAnsi="Arial Narrow"/>
        </w:rPr>
        <w:t xml:space="preserve"> os demais redactores </w:t>
      </w:r>
      <w:r>
        <w:rPr>
          <w:rFonts w:ascii="Arial Narrow" w:hAnsi="Arial Narrow"/>
        </w:rPr>
        <w:t xml:space="preserve">do jornal que dirigia </w:t>
      </w:r>
      <w:r w:rsidRPr="00F95336">
        <w:rPr>
          <w:rFonts w:ascii="Arial Narrow" w:hAnsi="Arial Narrow"/>
        </w:rPr>
        <w:t>repudiaram es</w:t>
      </w:r>
      <w:r>
        <w:rPr>
          <w:rFonts w:ascii="Arial Narrow" w:hAnsi="Arial Narrow"/>
        </w:rPr>
        <w:t>s</w:t>
      </w:r>
      <w:r w:rsidRPr="00F95336">
        <w:rPr>
          <w:rFonts w:ascii="Arial Narrow" w:hAnsi="Arial Narrow"/>
        </w:rPr>
        <w:t xml:space="preserve">a orientação e no ano seguinte romperam com o mestre. Teríamos encontrado, então, o promotor de uma alternativa coerente, ao mesmo tempo radical e anticapitalista? Com efeito, Lagardelle </w:t>
      </w:r>
      <w:r w:rsidR="007C2D8D">
        <w:rPr>
          <w:rFonts w:ascii="Arial Narrow" w:hAnsi="Arial Narrow"/>
        </w:rPr>
        <w:t>havia</w:t>
      </w:r>
      <w:r w:rsidR="00412C99">
        <w:rPr>
          <w:rFonts w:ascii="Arial Narrow" w:hAnsi="Arial Narrow"/>
        </w:rPr>
        <w:t>-se</w:t>
      </w:r>
      <w:r w:rsidR="00412C99" w:rsidRPr="00F95336">
        <w:rPr>
          <w:rFonts w:ascii="Arial Narrow" w:hAnsi="Arial Narrow"/>
        </w:rPr>
        <w:t xml:space="preserve"> </w:t>
      </w:r>
      <w:r w:rsidR="007C2D8D">
        <w:rPr>
          <w:rFonts w:ascii="Arial Narrow" w:hAnsi="Arial Narrow"/>
        </w:rPr>
        <w:t xml:space="preserve">iniciado </w:t>
      </w:r>
      <w:r w:rsidR="00412C99" w:rsidRPr="00F95336">
        <w:rPr>
          <w:rFonts w:ascii="Arial Narrow" w:hAnsi="Arial Narrow"/>
        </w:rPr>
        <w:t xml:space="preserve">bastante cedo </w:t>
      </w:r>
      <w:r w:rsidR="00412C99">
        <w:rPr>
          <w:rFonts w:ascii="Arial Narrow" w:hAnsi="Arial Narrow"/>
        </w:rPr>
        <w:t>n</w:t>
      </w:r>
      <w:r w:rsidR="00412C99" w:rsidRPr="00F95336">
        <w:rPr>
          <w:rFonts w:ascii="Arial Narrow" w:hAnsi="Arial Narrow"/>
        </w:rPr>
        <w:t xml:space="preserve">a vida política como marxista ortodoxo, militando no partido de Jules Guesde, </w:t>
      </w:r>
      <w:r w:rsidR="00412C99">
        <w:rPr>
          <w:rFonts w:ascii="Arial Narrow" w:hAnsi="Arial Narrow"/>
        </w:rPr>
        <w:t>mas</w:t>
      </w:r>
      <w:r w:rsidR="00412C99" w:rsidRPr="00F95336">
        <w:rPr>
          <w:rFonts w:ascii="Arial Narrow" w:hAnsi="Arial Narrow"/>
        </w:rPr>
        <w:t xml:space="preserve"> o contacto com Sorel precipit</w:t>
      </w:r>
      <w:r w:rsidR="007C2D8D">
        <w:rPr>
          <w:rFonts w:ascii="Arial Narrow" w:hAnsi="Arial Narrow"/>
        </w:rPr>
        <w:t>ara</w:t>
      </w:r>
      <w:r w:rsidR="00412C99" w:rsidRPr="00F95336">
        <w:rPr>
          <w:rFonts w:ascii="Arial Narrow" w:hAnsi="Arial Narrow"/>
        </w:rPr>
        <w:t xml:space="preserve">-o para uma postura mais radical </w:t>
      </w:r>
      <w:r w:rsidR="00412C99">
        <w:rPr>
          <w:rFonts w:ascii="Arial Narrow" w:hAnsi="Arial Narrow"/>
        </w:rPr>
        <w:t xml:space="preserve">e </w:t>
      </w:r>
      <w:r w:rsidR="00412C99" w:rsidRPr="00F95336">
        <w:rPr>
          <w:rFonts w:ascii="Arial Narrow" w:hAnsi="Arial Narrow"/>
        </w:rPr>
        <w:t xml:space="preserve">no último </w:t>
      </w:r>
      <w:r w:rsidR="00412C99" w:rsidRPr="00F95336">
        <w:rPr>
          <w:rFonts w:ascii="Arial Narrow" w:hAnsi="Arial Narrow"/>
        </w:rPr>
        <w:lastRenderedPageBreak/>
        <w:t>ano do século XIX</w:t>
      </w:r>
      <w:r w:rsidR="00412C99" w:rsidRPr="0013536B">
        <w:rPr>
          <w:rFonts w:ascii="Arial Narrow" w:hAnsi="Arial Narrow"/>
        </w:rPr>
        <w:t xml:space="preserve"> </w:t>
      </w:r>
      <w:r w:rsidR="00412C99" w:rsidRPr="00F95336">
        <w:rPr>
          <w:rFonts w:ascii="Arial Narrow" w:hAnsi="Arial Narrow"/>
        </w:rPr>
        <w:t xml:space="preserve">fundou </w:t>
      </w:r>
      <w:r w:rsidR="00412C99" w:rsidRPr="00F95336">
        <w:rPr>
          <w:rFonts w:ascii="Arial Narrow" w:hAnsi="Arial Narrow"/>
          <w:i/>
        </w:rPr>
        <w:t>Le Mouvement Socialiste,</w:t>
      </w:r>
      <w:r w:rsidR="00412C99" w:rsidRPr="00F95336">
        <w:rPr>
          <w:rFonts w:ascii="Arial Narrow" w:hAnsi="Arial Narrow"/>
        </w:rPr>
        <w:t xml:space="preserve"> o principal órgão do sindicalismo revolucionário, onde escreveram intelectuais de renome</w:t>
      </w:r>
      <w:r w:rsidR="00412C99">
        <w:rPr>
          <w:rFonts w:ascii="Arial Narrow" w:hAnsi="Arial Narrow"/>
        </w:rPr>
        <w:t xml:space="preserve"> </w:t>
      </w:r>
      <w:r w:rsidR="00412C99" w:rsidRPr="00010048">
        <w:rPr>
          <w:rFonts w:ascii="Arial Narrow" w:hAnsi="Arial Narrow"/>
        </w:rPr>
        <w:t xml:space="preserve">e </w:t>
      </w:r>
      <w:r w:rsidR="00412C99">
        <w:rPr>
          <w:rFonts w:ascii="Arial Narrow" w:hAnsi="Arial Narrow"/>
        </w:rPr>
        <w:t xml:space="preserve">várias </w:t>
      </w:r>
      <w:r w:rsidR="00412C99" w:rsidRPr="00F95336">
        <w:rPr>
          <w:rFonts w:ascii="Arial Narrow" w:hAnsi="Arial Narrow"/>
        </w:rPr>
        <w:t xml:space="preserve">figuras cimeiras da esquerda europeia. </w:t>
      </w:r>
      <w:r>
        <w:rPr>
          <w:rFonts w:ascii="Arial Narrow" w:hAnsi="Arial Narrow"/>
        </w:rPr>
        <w:t>E</w:t>
      </w:r>
      <w:r w:rsidR="00412C99" w:rsidRPr="00F95336">
        <w:rPr>
          <w:rFonts w:ascii="Arial Narrow" w:hAnsi="Arial Narrow"/>
        </w:rPr>
        <w:t xml:space="preserve">ra </w:t>
      </w:r>
      <w:r>
        <w:rPr>
          <w:rFonts w:ascii="Arial Narrow" w:hAnsi="Arial Narrow"/>
        </w:rPr>
        <w:t>ele</w:t>
      </w:r>
      <w:r w:rsidR="00412C99" w:rsidRPr="00F95336">
        <w:rPr>
          <w:rFonts w:ascii="Arial Narrow" w:hAnsi="Arial Narrow"/>
        </w:rPr>
        <w:t xml:space="preserve"> quem, na tribuna dos congressos do Partido Socialista, tomava a palavra para defender com intransigência as posições do sindicalismo revolucionário e as teses do congresso sindical de Amiens. Mas nada é simples na história desta época e nos personagens que lhe deram corpo. Pouco depois de se ter afastado de Sorel, Lagardelle descobriu as virtudes da democracia representativa e juntou-se, com o </w:t>
      </w:r>
      <w:r>
        <w:rPr>
          <w:rFonts w:ascii="Arial Narrow" w:hAnsi="Arial Narrow"/>
        </w:rPr>
        <w:t xml:space="preserve">seu </w:t>
      </w:r>
      <w:r w:rsidR="00412C99" w:rsidRPr="00F95336">
        <w:rPr>
          <w:rFonts w:ascii="Arial Narrow" w:hAnsi="Arial Narrow"/>
        </w:rPr>
        <w:t xml:space="preserve">jornal, à ala moderada do socialismo. Durante a Grande Guerra e nos anos seguintes, quando a efervescência social atingiu o auge e explodiu por toda a Europa, Lagardelle manteve-se alheio a estas questões vitais, dedicando-se à política regional numa cidade média de província. Deve ter </w:t>
      </w:r>
      <w:r w:rsidR="00412C99">
        <w:rPr>
          <w:rFonts w:ascii="Arial Narrow" w:hAnsi="Arial Narrow"/>
        </w:rPr>
        <w:t xml:space="preserve">aproveitado </w:t>
      </w:r>
      <w:r w:rsidR="00650ECF">
        <w:rPr>
          <w:rFonts w:ascii="Arial Narrow" w:hAnsi="Arial Narrow"/>
        </w:rPr>
        <w:t>o</w:t>
      </w:r>
      <w:r w:rsidR="00412C99" w:rsidRPr="00F95336">
        <w:rPr>
          <w:rFonts w:ascii="Arial Narrow" w:hAnsi="Arial Narrow"/>
        </w:rPr>
        <w:t xml:space="preserve"> hiato </w:t>
      </w:r>
      <w:r w:rsidR="00412C99">
        <w:rPr>
          <w:rFonts w:ascii="Arial Narrow" w:hAnsi="Arial Narrow"/>
        </w:rPr>
        <w:t xml:space="preserve">para </w:t>
      </w:r>
      <w:r w:rsidR="00412C99" w:rsidRPr="00F95336">
        <w:rPr>
          <w:rFonts w:ascii="Arial Narrow" w:hAnsi="Arial Narrow"/>
        </w:rPr>
        <w:t>reflecti</w:t>
      </w:r>
      <w:r w:rsidR="00412C99">
        <w:rPr>
          <w:rFonts w:ascii="Arial Narrow" w:hAnsi="Arial Narrow"/>
        </w:rPr>
        <w:t>r</w:t>
      </w:r>
      <w:r w:rsidR="00412C99" w:rsidRPr="00F95336">
        <w:rPr>
          <w:rFonts w:ascii="Arial Narrow" w:hAnsi="Arial Narrow"/>
        </w:rPr>
        <w:t xml:space="preserve"> muito, porque em 1926 vemo-lo militar, embora num plano secundário, no Faisceau, o que não o impedi</w:t>
      </w:r>
      <w:r w:rsidR="00650ECF">
        <w:rPr>
          <w:rFonts w:ascii="Arial Narrow" w:hAnsi="Arial Narrow"/>
        </w:rPr>
        <w:t>a</w:t>
      </w:r>
      <w:r w:rsidR="00412C99" w:rsidRPr="00F95336">
        <w:rPr>
          <w:rFonts w:ascii="Arial Narrow" w:hAnsi="Arial Narrow"/>
        </w:rPr>
        <w:t xml:space="preserve"> de frequentar simultaneamente a embaixada soviética e visitar aí o seu amigo dos velhos tempos do socialismo, o embaixador Khristian Rakovsky, figura de proa da oposição trotskista. Em 1931 Lagardelle começou a aparecer num lugar de destaque na nova extrema-direita radical, promovendo um fascismo modernista e tecnocrático, e em 1933, a convite de Henry de Jouvenel, aceitou o posto de conselheiro para as questões sociais na embaixada francesa em Roma. Não nos pode espantar que, quase septuagenário, em Abril de 1942, Lagardelle tivesse sido nomeado ministro do Trabalho no governo colaboracionista de Vichy. A sua principal função consistiu em fornecer aos ocupantes uma abundante mão-de-obra sujeita ao regime de trabalho forçado, o que mostra que se pode começar defendendo a autonomia e acabar praticando a escravatura. Depois da vitória aliada, Lagardelle foi preso, julgado e condenado a trabalhos forçados perpétuos</w:t>
      </w:r>
      <w:r w:rsidR="00412C99" w:rsidRPr="00F95336">
        <w:rPr>
          <w:rStyle w:val="Refdenotaderodap"/>
          <w:rFonts w:ascii="Arial Narrow" w:hAnsi="Arial Narrow"/>
        </w:rPr>
        <w:footnoteReference w:id="227"/>
      </w:r>
      <w:r w:rsidR="00412C99">
        <w:rPr>
          <w:rFonts w:ascii="Arial Narrow" w:hAnsi="Arial Narrow"/>
        </w:rPr>
        <w:t>,</w:t>
      </w:r>
      <w:r w:rsidR="00412C99" w:rsidRPr="00F95336">
        <w:rPr>
          <w:rFonts w:ascii="Arial Narrow" w:hAnsi="Arial Narrow"/>
        </w:rPr>
        <w:t xml:space="preserve"> um excelente exemplo de justiça retributiva. </w:t>
      </w:r>
    </w:p>
    <w:p w:rsidR="0004498A" w:rsidRDefault="0004498A" w:rsidP="0004498A">
      <w:pPr>
        <w:rPr>
          <w:rFonts w:ascii="Arial Narrow" w:hAnsi="Arial Narrow"/>
        </w:rPr>
      </w:pPr>
      <w:r w:rsidRPr="00F95336">
        <w:rPr>
          <w:rFonts w:ascii="Arial Narrow" w:hAnsi="Arial Narrow"/>
        </w:rPr>
        <w:t xml:space="preserve">Foi como se algum feirante irónico </w:t>
      </w:r>
      <w:r>
        <w:rPr>
          <w:rFonts w:ascii="Arial Narrow" w:hAnsi="Arial Narrow"/>
        </w:rPr>
        <w:t xml:space="preserve">tivesse </w:t>
      </w:r>
      <w:r w:rsidRPr="00F95336">
        <w:rPr>
          <w:rFonts w:ascii="Arial Narrow" w:hAnsi="Arial Narrow"/>
        </w:rPr>
        <w:t>instala</w:t>
      </w:r>
      <w:r>
        <w:rPr>
          <w:rFonts w:ascii="Arial Narrow" w:hAnsi="Arial Narrow"/>
        </w:rPr>
        <w:t>do</w:t>
      </w:r>
      <w:r w:rsidRPr="00F95336">
        <w:rPr>
          <w:rFonts w:ascii="Arial Narrow" w:hAnsi="Arial Narrow"/>
        </w:rPr>
        <w:t xml:space="preserve"> um carro</w:t>
      </w:r>
      <w:r>
        <w:rPr>
          <w:rFonts w:ascii="Arial Narrow" w:hAnsi="Arial Narrow"/>
        </w:rPr>
        <w:t>ss</w:t>
      </w:r>
      <w:r w:rsidRPr="00F95336">
        <w:rPr>
          <w:rFonts w:ascii="Arial Narrow" w:hAnsi="Arial Narrow"/>
        </w:rPr>
        <w:t xml:space="preserve">el numa sala de espelhos, de modo que cada um dos personagens desta história rodasse alternadamente entre todas as posições e em qualquer instante todos eles ilustrassem a teia que ligava os extremos. Enquanto Valois passa do anarquismo para a direita monárquica e radical, Berth e Lagardelle evoluem, no interior do socialismo, para posições de esquerda cada vez mais acentuadas. Em 1909, quando Berth adere à Action Française, e em 1911, quando se encontra com Valois na fundação do Cercle Proudhon, Lagardelle rompe com ele. Mas pouco depois Lagardelle transita para o socialismo reformista e para a democracia liberal, parecendo acomodar-se e apagar-se nas instituições da Terceira República, enquanto Berth se torna comunista em 1920. Cinco anos mais tarde, Berth afasta-se do Partido Comunista e regressa a um sindicalismo soreliano que já </w:t>
      </w:r>
      <w:r w:rsidRPr="00F95336">
        <w:rPr>
          <w:rFonts w:ascii="Arial Narrow" w:hAnsi="Arial Narrow"/>
        </w:rPr>
        <w:lastRenderedPageBreak/>
        <w:t>não existia senão na memória de alguns dos seus antigos participantes, precisamente quando Valois inaugura o fascismo francês, onde conta em breve com a adesão de Lagardelle. Mas é agora Valois quem depressa volta costas ao fascismo e busca no socialismo radical uma oportunidade que não encontra, porque não lha dão, exactamente durante os mesmos anos em que Lagardelle vai ocupando posições de destaque nos meios fascistas do seu país. E quando Lagardelle entra para o governo de Vichy é nas prisões desse governo que Valois se encontra detido, sendo depois preso pela Gestapo e enviado para Bergen-Belsen. Morreu um enquanto o outro havia atingido a glória. Que glória! Valeu-lhe, pior do que a morte, a prisão ignominiosa, sepultando-se afinal na história o último dos navegantes desta farândola grotesca. Mas enquanto o carro</w:t>
      </w:r>
      <w:r>
        <w:rPr>
          <w:rFonts w:ascii="Arial Narrow" w:hAnsi="Arial Narrow"/>
        </w:rPr>
        <w:t>ss</w:t>
      </w:r>
      <w:r w:rsidRPr="00F95336">
        <w:rPr>
          <w:rFonts w:ascii="Arial Narrow" w:hAnsi="Arial Narrow"/>
        </w:rPr>
        <w:t xml:space="preserve">el funcionou, rodaram os comparsas pontualmente entre as posições extremas. Uma relojoaria tão exacta não se deve explicar pelo espírito de aventura de uns, pela extravagância política de outros, nem pela inconstância de todos. A figura destes percursos não podia ser mais regular e revela os vínculos que ligaram estas posições políticas nos embates da época. </w:t>
      </w:r>
    </w:p>
    <w:p w:rsidR="0004498A" w:rsidRPr="00F95336" w:rsidRDefault="00EF50E3" w:rsidP="0004498A">
      <w:pPr>
        <w:rPr>
          <w:rFonts w:ascii="Arial Narrow" w:hAnsi="Arial Narrow"/>
        </w:rPr>
      </w:pPr>
      <w:r>
        <w:rPr>
          <w:rFonts w:ascii="Arial Narrow" w:hAnsi="Arial Narrow"/>
        </w:rPr>
        <w:t>F</w:t>
      </w:r>
      <w:r w:rsidR="0004498A">
        <w:rPr>
          <w:rFonts w:ascii="Arial Narrow" w:hAnsi="Arial Narrow"/>
        </w:rPr>
        <w:t xml:space="preserve">oram </w:t>
      </w:r>
      <w:r w:rsidR="0004498A" w:rsidRPr="00F95336">
        <w:rPr>
          <w:rFonts w:ascii="Arial Narrow" w:hAnsi="Arial Narrow"/>
        </w:rPr>
        <w:t xml:space="preserve">muitos </w:t>
      </w:r>
      <w:r w:rsidR="0004498A">
        <w:rPr>
          <w:rFonts w:ascii="Arial Narrow" w:hAnsi="Arial Narrow"/>
        </w:rPr>
        <w:t xml:space="preserve">os </w:t>
      </w:r>
      <w:r w:rsidR="0004498A" w:rsidRPr="00F95336">
        <w:rPr>
          <w:rFonts w:ascii="Arial Narrow" w:hAnsi="Arial Narrow"/>
        </w:rPr>
        <w:t>expoentes da ala mais extrema do movimento operário</w:t>
      </w:r>
      <w:r w:rsidR="0004498A">
        <w:rPr>
          <w:rFonts w:ascii="Arial Narrow" w:hAnsi="Arial Narrow"/>
        </w:rPr>
        <w:t xml:space="preserve"> francês</w:t>
      </w:r>
      <w:r w:rsidR="0004498A" w:rsidRPr="00F95336">
        <w:rPr>
          <w:rFonts w:ascii="Arial Narrow" w:hAnsi="Arial Narrow"/>
        </w:rPr>
        <w:t xml:space="preserve">, sindicalistas revolucionários, colaboradores de </w:t>
      </w:r>
      <w:r w:rsidR="0004498A" w:rsidRPr="00F95336">
        <w:rPr>
          <w:rFonts w:ascii="Arial Narrow" w:hAnsi="Arial Narrow"/>
          <w:i/>
        </w:rPr>
        <w:t>Le Mouvement Socialiste,</w:t>
      </w:r>
      <w:r w:rsidR="0004498A" w:rsidRPr="00F95336">
        <w:rPr>
          <w:rFonts w:ascii="Arial Narrow" w:hAnsi="Arial Narrow"/>
        </w:rPr>
        <w:t xml:space="preserve"> de </w:t>
      </w:r>
      <w:r w:rsidR="0004498A" w:rsidRPr="00F95336">
        <w:rPr>
          <w:rFonts w:ascii="Arial Narrow" w:hAnsi="Arial Narrow"/>
          <w:i/>
        </w:rPr>
        <w:t>La Guerre Sociale,</w:t>
      </w:r>
      <w:r w:rsidR="0004498A" w:rsidRPr="00F95336">
        <w:rPr>
          <w:rFonts w:ascii="Arial Narrow" w:hAnsi="Arial Narrow"/>
        </w:rPr>
        <w:t xml:space="preserve"> da </w:t>
      </w:r>
      <w:r w:rsidR="0004498A" w:rsidRPr="00F95336">
        <w:rPr>
          <w:rFonts w:ascii="Arial Narrow" w:hAnsi="Arial Narrow"/>
          <w:i/>
        </w:rPr>
        <w:t>Terre Libre,</w:t>
      </w:r>
      <w:r w:rsidR="0004498A" w:rsidRPr="00F95336">
        <w:rPr>
          <w:rFonts w:ascii="Arial Narrow" w:hAnsi="Arial Narrow"/>
        </w:rPr>
        <w:t xml:space="preserve"> </w:t>
      </w:r>
      <w:r w:rsidR="0004498A">
        <w:rPr>
          <w:rFonts w:ascii="Arial Narrow" w:hAnsi="Arial Narrow"/>
        </w:rPr>
        <w:t xml:space="preserve">que </w:t>
      </w:r>
      <w:r w:rsidR="0004498A" w:rsidRPr="00F95336">
        <w:rPr>
          <w:rFonts w:ascii="Arial Narrow" w:hAnsi="Arial Narrow"/>
        </w:rPr>
        <w:t>no combate contra a democracia liberal abandonar</w:t>
      </w:r>
      <w:r>
        <w:rPr>
          <w:rFonts w:ascii="Arial Narrow" w:hAnsi="Arial Narrow"/>
        </w:rPr>
        <w:t>am</w:t>
      </w:r>
      <w:r w:rsidR="0004498A" w:rsidRPr="00F95336">
        <w:rPr>
          <w:rFonts w:ascii="Arial Narrow" w:hAnsi="Arial Narrow"/>
        </w:rPr>
        <w:t xml:space="preserve"> a perspectiva de uma autonomia social e política da classe trabalhadora e se identificar</w:t>
      </w:r>
      <w:r>
        <w:rPr>
          <w:rFonts w:ascii="Arial Narrow" w:hAnsi="Arial Narrow"/>
        </w:rPr>
        <w:t>am</w:t>
      </w:r>
      <w:r w:rsidR="0004498A" w:rsidRPr="00F95336">
        <w:rPr>
          <w:rFonts w:ascii="Arial Narrow" w:hAnsi="Arial Narrow"/>
        </w:rPr>
        <w:t xml:space="preserve"> com as posições da direita autoritária. Talvez possa admitir</w:t>
      </w:r>
      <w:r w:rsidR="0004498A">
        <w:rPr>
          <w:rFonts w:ascii="Arial Narrow" w:hAnsi="Arial Narrow"/>
        </w:rPr>
        <w:t>-se</w:t>
      </w:r>
      <w:r w:rsidR="0004498A" w:rsidRPr="00F95336">
        <w:rPr>
          <w:rFonts w:ascii="Arial Narrow" w:hAnsi="Arial Narrow"/>
        </w:rPr>
        <w:t xml:space="preserve"> que Gustave Hervé, o internacionalista, anticolonialista e antimilitarista que dirigia e animava </w:t>
      </w:r>
      <w:r w:rsidR="0004498A" w:rsidRPr="00F95336">
        <w:rPr>
          <w:rFonts w:ascii="Arial Narrow" w:hAnsi="Arial Narrow"/>
          <w:i/>
        </w:rPr>
        <w:t>La Guerre Sociale,</w:t>
      </w:r>
      <w:r w:rsidR="0004498A" w:rsidRPr="00F95336">
        <w:rPr>
          <w:rFonts w:ascii="Arial Narrow" w:hAnsi="Arial Narrow"/>
        </w:rPr>
        <w:t xml:space="preserve"> tivesse chegado a um qualquer acordo com as autoridades para aliviar as agruras da prisão e a partir de então fosse obrigado a pôr ao serviço da direita o mesmo activismo que antes o situara na esquerda intransigente. Este tipo de detalhes, porém, nada explica, já que não se tratou aqui da mudança de pessoas, mas de grupos políticos e ideológicos providos de uma estrutura interna coerente</w:t>
      </w:r>
      <w:r w:rsidR="0004498A" w:rsidRPr="00F95336">
        <w:rPr>
          <w:rStyle w:val="Refdenotaderodap"/>
          <w:rFonts w:ascii="Arial Narrow" w:hAnsi="Arial Narrow"/>
        </w:rPr>
        <w:footnoteReference w:id="228"/>
      </w:r>
      <w:r w:rsidR="0004498A" w:rsidRPr="00F95336">
        <w:rPr>
          <w:rFonts w:ascii="Arial Narrow" w:hAnsi="Arial Narrow"/>
        </w:rPr>
        <w:t xml:space="preserve">. A viragem, </w:t>
      </w:r>
      <w:r w:rsidR="0004498A" w:rsidRPr="00F95336">
        <w:rPr>
          <w:rFonts w:ascii="Arial Narrow" w:hAnsi="Arial Narrow"/>
        </w:rPr>
        <w:lastRenderedPageBreak/>
        <w:t xml:space="preserve">aparentemente tão abrupta, compreende-se melhor se observarmos a forma como evoluiu a agitação em torno da condenação do capitão Alfred Dreyfus. Iniciado como uma querela no interior da classe dominante, o </w:t>
      </w:r>
      <w:r w:rsidR="0004498A" w:rsidRPr="00F95336">
        <w:rPr>
          <w:rFonts w:ascii="Arial Narrow" w:hAnsi="Arial Narrow"/>
          <w:i/>
        </w:rPr>
        <w:t>affaire Dreyfus</w:t>
      </w:r>
      <w:r w:rsidR="0004498A" w:rsidRPr="00F95336">
        <w:rPr>
          <w:rFonts w:ascii="Arial Narrow" w:hAnsi="Arial Narrow"/>
        </w:rPr>
        <w:t xml:space="preserve"> acabou por se converter na linha demarcatória de todas as opções políticas, obrigando a definirem-se como </w:t>
      </w:r>
      <w:r w:rsidR="0004498A" w:rsidRPr="00F95336">
        <w:rPr>
          <w:rFonts w:ascii="Arial Narrow" w:hAnsi="Arial Narrow"/>
          <w:i/>
        </w:rPr>
        <w:t>dreyfusards</w:t>
      </w:r>
      <w:r w:rsidR="0004498A" w:rsidRPr="00F95336">
        <w:rPr>
          <w:rFonts w:ascii="Arial Narrow" w:hAnsi="Arial Narrow"/>
        </w:rPr>
        <w:t xml:space="preserve"> aqueles dirigentes socialistas, inicialmente hesitantes, que não quisessem juntar-se ao populismo anti-semita da extrema-direita. Como quase toda a esquerda, os sindicalistas revolucionários haviam colaborado no movimento em prol da revisão do processo. Quando Dreyfus foi completamente reabilitado, em Julho de 1906, a agitação laboral atingira proporções deveras ameaçadoras para as classes dominantes. Desde o início do século vinham a aumentar o número de greves, a quantidade de participantes e a duração média dos conflitos, culminando a mobilização no dia 1 de Maio de 1906</w:t>
      </w:r>
      <w:r w:rsidR="0004498A" w:rsidRPr="00F95336">
        <w:rPr>
          <w:rStyle w:val="Refdenotaderodap"/>
          <w:rFonts w:ascii="Arial Narrow" w:hAnsi="Arial Narrow"/>
        </w:rPr>
        <w:footnoteReference w:id="229"/>
      </w:r>
      <w:r w:rsidR="0004498A" w:rsidRPr="00F95336">
        <w:rPr>
          <w:rFonts w:ascii="Arial Narrow" w:hAnsi="Arial Narrow"/>
        </w:rPr>
        <w:t xml:space="preserve">. Mas nos anos seguintes os trabalhadores depararam com uma fortíssima repressão, conduzida por aqueles mesmos personagens que o </w:t>
      </w:r>
      <w:r w:rsidR="0004498A" w:rsidRPr="00F95336">
        <w:rPr>
          <w:rFonts w:ascii="Arial Narrow" w:hAnsi="Arial Narrow"/>
          <w:i/>
        </w:rPr>
        <w:t>affaire Dreyfus</w:t>
      </w:r>
      <w:r w:rsidR="0004498A" w:rsidRPr="00F95336">
        <w:rPr>
          <w:rFonts w:ascii="Arial Narrow" w:hAnsi="Arial Narrow"/>
        </w:rPr>
        <w:t xml:space="preserve"> instalara no poder, o que não espanta se soubermos que o general que comandara o massacre dos insurrectos da Comuna fo</w:t>
      </w:r>
      <w:r w:rsidR="0004498A">
        <w:rPr>
          <w:rFonts w:ascii="Arial Narrow" w:hAnsi="Arial Narrow"/>
        </w:rPr>
        <w:t>ra</w:t>
      </w:r>
      <w:r w:rsidR="0004498A" w:rsidRPr="00F95336">
        <w:rPr>
          <w:rFonts w:ascii="Arial Narrow" w:hAnsi="Arial Narrow"/>
        </w:rPr>
        <w:t xml:space="preserve"> nomeado ministro da Guerra para reabilitar Dreyfus e reintegrá-lo no exército. E quando um secretário sindical foi condenado à morte por causa das violências cometidas durante uma greve no Havre, às quais ele se mantivera estranho, e as organizações operárias procuraram renovar em seu benefício a solidariedade que acabara de salvar o capitão Dreyfus, a burguesia liberal permaneceu indiferente e alheou-se da questão</w:t>
      </w:r>
      <w:r w:rsidR="0004498A" w:rsidRPr="00F95336">
        <w:rPr>
          <w:rStyle w:val="Refdenotaderodap"/>
          <w:rFonts w:ascii="Arial Narrow" w:hAnsi="Arial Narrow"/>
        </w:rPr>
        <w:footnoteReference w:id="230"/>
      </w:r>
      <w:r w:rsidR="0004498A" w:rsidRPr="00F95336">
        <w:rPr>
          <w:rFonts w:ascii="Arial Narrow" w:hAnsi="Arial Narrow"/>
        </w:rPr>
        <w:t xml:space="preserve">. </w:t>
      </w:r>
    </w:p>
    <w:p w:rsidR="0004498A" w:rsidRDefault="0004498A" w:rsidP="0004498A">
      <w:pPr>
        <w:rPr>
          <w:rFonts w:ascii="Arial Narrow" w:hAnsi="Arial Narrow"/>
        </w:rPr>
      </w:pPr>
      <w:r>
        <w:rPr>
          <w:rFonts w:ascii="Arial Narrow" w:hAnsi="Arial Narrow"/>
        </w:rPr>
        <w:t xml:space="preserve">Foi então, </w:t>
      </w:r>
      <w:r w:rsidRPr="00F95336">
        <w:rPr>
          <w:rFonts w:ascii="Arial Narrow" w:hAnsi="Arial Narrow"/>
        </w:rPr>
        <w:t>precisamente quando se torn</w:t>
      </w:r>
      <w:r>
        <w:rPr>
          <w:rFonts w:ascii="Arial Narrow" w:hAnsi="Arial Narrow"/>
        </w:rPr>
        <w:t>ou</w:t>
      </w:r>
      <w:r w:rsidRPr="00F95336">
        <w:rPr>
          <w:rFonts w:ascii="Arial Narrow" w:hAnsi="Arial Narrow"/>
        </w:rPr>
        <w:t xml:space="preserve"> indubitável o confronto entre o movimento operário e a burguesia progressiva e </w:t>
      </w:r>
      <w:r>
        <w:rPr>
          <w:rFonts w:ascii="Arial Narrow" w:hAnsi="Arial Narrow"/>
        </w:rPr>
        <w:t xml:space="preserve">quando </w:t>
      </w:r>
      <w:r w:rsidR="006B3C98">
        <w:rPr>
          <w:rFonts w:ascii="Arial Narrow" w:hAnsi="Arial Narrow"/>
        </w:rPr>
        <w:t xml:space="preserve">poderia afirmar-se </w:t>
      </w:r>
      <w:r w:rsidRPr="00F95336">
        <w:rPr>
          <w:rFonts w:ascii="Arial Narrow" w:hAnsi="Arial Narrow"/>
        </w:rPr>
        <w:t xml:space="preserve">a autonomia de classe dos trabalhadores e a especificidade dos seus interesses, </w:t>
      </w:r>
      <w:r>
        <w:rPr>
          <w:rFonts w:ascii="Arial Narrow" w:hAnsi="Arial Narrow"/>
        </w:rPr>
        <w:t xml:space="preserve">que </w:t>
      </w:r>
      <w:r w:rsidRPr="00F95336">
        <w:rPr>
          <w:rFonts w:ascii="Arial Narrow" w:hAnsi="Arial Narrow"/>
        </w:rPr>
        <w:t xml:space="preserve">os sindicalistas revolucionários inverteram o rumo. Depois de terem atravessado pela extrema-esquerda o </w:t>
      </w:r>
      <w:r w:rsidRPr="00F95336">
        <w:rPr>
          <w:rFonts w:ascii="Arial Narrow" w:hAnsi="Arial Narrow"/>
          <w:i/>
        </w:rPr>
        <w:t>affaire Dreyfus,</w:t>
      </w:r>
      <w:r w:rsidRPr="00F95336">
        <w:rPr>
          <w:rFonts w:ascii="Arial Narrow" w:hAnsi="Arial Narrow"/>
        </w:rPr>
        <w:t xml:space="preserve"> foram encontrar-se na extrema-direita com a Action Française, que durante o </w:t>
      </w:r>
      <w:r w:rsidRPr="00F95336">
        <w:rPr>
          <w:rFonts w:ascii="Arial Narrow" w:hAnsi="Arial Narrow"/>
          <w:i/>
        </w:rPr>
        <w:t>affaire</w:t>
      </w:r>
      <w:r w:rsidRPr="00F95336">
        <w:rPr>
          <w:rFonts w:ascii="Arial Narrow" w:hAnsi="Arial Narrow"/>
        </w:rPr>
        <w:t xml:space="preserve"> havia sustentado, contra a república parlamentar, a autoridade das instituições tradicionais. Ao lado das outras correntes que os acompanharam </w:t>
      </w:r>
      <w:r w:rsidR="00F778D8">
        <w:rPr>
          <w:rFonts w:ascii="Arial Narrow" w:hAnsi="Arial Narrow"/>
        </w:rPr>
        <w:t xml:space="preserve">no </w:t>
      </w:r>
      <w:r w:rsidRPr="00F95336">
        <w:rPr>
          <w:rFonts w:ascii="Arial Narrow" w:hAnsi="Arial Narrow"/>
        </w:rPr>
        <w:t>percurso, os sindicalistas revolucionários mantiveram-se firmes na crítica à democracia representativa, e foi este o único elemento de continuidade numa viragem colectiva que teve como efeito transportar para a extrema-direita um radicalismo de actuação e uma audácia de pensamento que até então lhe haviam faltado</w:t>
      </w:r>
      <w:r w:rsidRPr="00F95336">
        <w:rPr>
          <w:rStyle w:val="Refdenotaderodap"/>
          <w:rFonts w:ascii="Arial Narrow" w:hAnsi="Arial Narrow"/>
        </w:rPr>
        <w:footnoteReference w:id="231"/>
      </w:r>
      <w:r w:rsidRPr="00F95336">
        <w:rPr>
          <w:rFonts w:ascii="Arial Narrow" w:hAnsi="Arial Narrow"/>
        </w:rPr>
        <w:t xml:space="preserve">. Levaram igualmente um conjunto de preocupações sociais a que a grande parte dos conservadores </w:t>
      </w:r>
      <w:r w:rsidR="00F778D8">
        <w:rPr>
          <w:rFonts w:ascii="Arial Narrow" w:hAnsi="Arial Narrow"/>
        </w:rPr>
        <w:t xml:space="preserve">se </w:t>
      </w:r>
      <w:r w:rsidRPr="00F95336">
        <w:rPr>
          <w:rFonts w:ascii="Arial Narrow" w:hAnsi="Arial Narrow"/>
        </w:rPr>
        <w:t>mant</w:t>
      </w:r>
      <w:r w:rsidR="00F778D8">
        <w:rPr>
          <w:rFonts w:ascii="Arial Narrow" w:hAnsi="Arial Narrow"/>
        </w:rPr>
        <w:t>inha</w:t>
      </w:r>
      <w:r w:rsidRPr="00F95336">
        <w:rPr>
          <w:rFonts w:ascii="Arial Narrow" w:hAnsi="Arial Narrow"/>
        </w:rPr>
        <w:t xml:space="preserve"> alheia. Em troca, absorveram o anti-semitismo tradicional da direita francesa</w:t>
      </w:r>
      <w:r w:rsidR="0086271E">
        <w:rPr>
          <w:rFonts w:ascii="Arial Narrow" w:hAnsi="Arial Narrow"/>
        </w:rPr>
        <w:t>.</w:t>
      </w:r>
      <w:r w:rsidRPr="00F95336">
        <w:rPr>
          <w:rFonts w:ascii="Arial Narrow" w:hAnsi="Arial Narrow"/>
        </w:rPr>
        <w:t xml:space="preserve"> </w:t>
      </w:r>
    </w:p>
    <w:p w:rsidR="006B7E38" w:rsidRDefault="00327E55" w:rsidP="006B7E38">
      <w:pPr>
        <w:rPr>
          <w:rFonts w:ascii="Arial Narrow" w:hAnsi="Arial Narrow"/>
        </w:rPr>
      </w:pPr>
      <w:r>
        <w:rPr>
          <w:rFonts w:ascii="Arial Narrow" w:hAnsi="Arial Narrow"/>
        </w:rPr>
        <w:lastRenderedPageBreak/>
        <w:t>Entretanto</w:t>
      </w:r>
      <w:r w:rsidR="006B7E38" w:rsidRPr="00F95336">
        <w:rPr>
          <w:rFonts w:ascii="Arial Narrow" w:hAnsi="Arial Narrow"/>
        </w:rPr>
        <w:t>, através do grande número de contactos que mantinha do lado de lá dos Alpes</w:t>
      </w:r>
      <w:r w:rsidR="006B7E38" w:rsidRPr="00F95336">
        <w:rPr>
          <w:rStyle w:val="Refdenotaderodap"/>
          <w:rFonts w:ascii="Arial Narrow" w:hAnsi="Arial Narrow"/>
        </w:rPr>
        <w:footnoteReference w:id="232"/>
      </w:r>
      <w:r w:rsidR="006B7E38" w:rsidRPr="00F95336">
        <w:rPr>
          <w:rFonts w:ascii="Arial Narrow" w:hAnsi="Arial Narrow"/>
        </w:rPr>
        <w:t xml:space="preserve">, Sorel </w:t>
      </w:r>
      <w:r>
        <w:rPr>
          <w:rFonts w:ascii="Arial Narrow" w:hAnsi="Arial Narrow"/>
        </w:rPr>
        <w:t>dava</w:t>
      </w:r>
      <w:r w:rsidR="006B7E38" w:rsidRPr="00F95336">
        <w:rPr>
          <w:rFonts w:ascii="Arial Narrow" w:hAnsi="Arial Narrow"/>
        </w:rPr>
        <w:t xml:space="preserve"> uma contribuição de vulto para a convergência entre o sindicalismo revolucionário italiano e o nacionalismo expansionista de Corradini, o que o situa na génese directa do fascismo, tanto mais que se apercebera das potencialidades de um Mussolini ainda jovem e socialista. Num artigo publicado no final de 1940, Drieu La Rochelle observou que o movimento iniciado por Sorel perecera em França com a primeira guerra mundial e só encontrara continuidade na Itália, graças a Mussolini</w:t>
      </w:r>
      <w:r w:rsidR="006B7E38" w:rsidRPr="00F95336">
        <w:rPr>
          <w:rStyle w:val="Refdenotaderodap"/>
          <w:rFonts w:ascii="Arial Narrow" w:hAnsi="Arial Narrow"/>
        </w:rPr>
        <w:footnoteReference w:id="233"/>
      </w:r>
      <w:r w:rsidR="006B7E38" w:rsidRPr="00F95336">
        <w:rPr>
          <w:rFonts w:ascii="Arial Narrow" w:hAnsi="Arial Narrow"/>
        </w:rPr>
        <w:t xml:space="preserve">. «É um italiano do século XV, um </w:t>
      </w:r>
      <w:r w:rsidR="006B7E38" w:rsidRPr="00F95336">
        <w:rPr>
          <w:rFonts w:ascii="Arial Narrow" w:hAnsi="Arial Narrow"/>
          <w:i/>
        </w:rPr>
        <w:t>condottiero</w:t>
      </w:r>
      <w:r w:rsidR="006B7E38" w:rsidRPr="00F95336">
        <w:rPr>
          <w:rFonts w:ascii="Arial Narrow" w:hAnsi="Arial Narrow"/>
        </w:rPr>
        <w:t>», comentara Sorel a respeito do futuro Duce, acrescentando que era «o único homem capaz de remediar as fraquezas do governo»</w:t>
      </w:r>
      <w:r w:rsidR="006B7E38" w:rsidRPr="00F95336">
        <w:rPr>
          <w:rStyle w:val="Refdenotaderodap"/>
          <w:rFonts w:ascii="Arial Narrow" w:hAnsi="Arial Narrow"/>
        </w:rPr>
        <w:footnoteReference w:id="234"/>
      </w:r>
      <w:r w:rsidR="006B7E38" w:rsidRPr="00F95336">
        <w:rPr>
          <w:rFonts w:ascii="Arial Narrow" w:hAnsi="Arial Narrow"/>
        </w:rPr>
        <w:t>. E, além de o ter creditado com uma descoberta que pertence de facto a Corradini, escrevendo que «ele inventou algo que não está nos meus livros, a união do nacional e do social», Sorel vi</w:t>
      </w:r>
      <w:r w:rsidR="006B7E38">
        <w:rPr>
          <w:rFonts w:ascii="Arial Narrow" w:hAnsi="Arial Narrow"/>
        </w:rPr>
        <w:t>u</w:t>
      </w:r>
      <w:r w:rsidR="006B7E38" w:rsidRPr="00F95336">
        <w:rPr>
          <w:rFonts w:ascii="Arial Narrow" w:hAnsi="Arial Narrow"/>
        </w:rPr>
        <w:t xml:space="preserve"> em Lenin a única figura política a quem Mussolini podia ser comparado</w:t>
      </w:r>
      <w:r w:rsidR="006B7E38" w:rsidRPr="00F95336">
        <w:rPr>
          <w:rStyle w:val="Refdenotaderodap"/>
          <w:rFonts w:ascii="Arial Narrow" w:hAnsi="Arial Narrow"/>
        </w:rPr>
        <w:footnoteReference w:id="235"/>
      </w:r>
      <w:r w:rsidR="006B7E38" w:rsidRPr="00F95336">
        <w:rPr>
          <w:rFonts w:ascii="Arial Narrow" w:hAnsi="Arial Narrow"/>
        </w:rPr>
        <w:t xml:space="preserve">. O elogio não era de desprezar, porque depois de ter passado da esquerda mais iconoclástica para a direita mais ousada Sorel continuara a reflectir a partir daí as vertentes radicais do movimento operário e </w:t>
      </w:r>
      <w:r w:rsidR="006B7E38">
        <w:rPr>
          <w:rFonts w:ascii="Arial Narrow" w:hAnsi="Arial Narrow"/>
        </w:rPr>
        <w:t>desde</w:t>
      </w:r>
      <w:r w:rsidR="006B7E38" w:rsidRPr="00F95336">
        <w:rPr>
          <w:rFonts w:ascii="Arial Narrow" w:hAnsi="Arial Narrow"/>
        </w:rPr>
        <w:t xml:space="preserve"> 1917 </w:t>
      </w:r>
      <w:r w:rsidR="006B7E38">
        <w:rPr>
          <w:rFonts w:ascii="Arial Narrow" w:hAnsi="Arial Narrow"/>
        </w:rPr>
        <w:t xml:space="preserve">até morrer, em 1922, </w:t>
      </w:r>
      <w:r w:rsidR="006B7E38" w:rsidRPr="00F95336">
        <w:rPr>
          <w:rFonts w:ascii="Arial Narrow" w:hAnsi="Arial Narrow"/>
        </w:rPr>
        <w:t xml:space="preserve">declarara-se </w:t>
      </w:r>
      <w:r w:rsidR="006B7E38">
        <w:rPr>
          <w:rFonts w:ascii="Arial Narrow" w:hAnsi="Arial Narrow"/>
        </w:rPr>
        <w:t xml:space="preserve">repetidamente </w:t>
      </w:r>
      <w:r w:rsidR="006B7E38" w:rsidRPr="00F95336">
        <w:rPr>
          <w:rFonts w:ascii="Arial Narrow" w:hAnsi="Arial Narrow"/>
        </w:rPr>
        <w:t>adepto da acção dos bolchevistas na Rússia</w:t>
      </w:r>
      <w:r w:rsidR="006B7E38" w:rsidRPr="00F95336">
        <w:rPr>
          <w:rStyle w:val="Refdenotaderodap"/>
          <w:rFonts w:ascii="Arial Narrow" w:hAnsi="Arial Narrow"/>
        </w:rPr>
        <w:footnoteReference w:id="236"/>
      </w:r>
      <w:r w:rsidR="006B7E38" w:rsidRPr="00F95336">
        <w:rPr>
          <w:rFonts w:ascii="Arial Narrow" w:hAnsi="Arial Narrow"/>
        </w:rPr>
        <w:t>. Parece que, em privado, manifest</w:t>
      </w:r>
      <w:r w:rsidR="006B7E38">
        <w:rPr>
          <w:rFonts w:ascii="Arial Narrow" w:hAnsi="Arial Narrow"/>
        </w:rPr>
        <w:t>ou</w:t>
      </w:r>
      <w:r w:rsidR="006B7E38" w:rsidRPr="00F95336">
        <w:rPr>
          <w:rFonts w:ascii="Arial Narrow" w:hAnsi="Arial Narrow"/>
        </w:rPr>
        <w:t xml:space="preserve"> reservas quanto à actuação dos Fasci</w:t>
      </w:r>
      <w:r w:rsidR="006B7E38">
        <w:rPr>
          <w:rStyle w:val="Refdenotaderodap"/>
          <w:rFonts w:ascii="Arial Narrow" w:hAnsi="Arial Narrow"/>
        </w:rPr>
        <w:footnoteReference w:id="237"/>
      </w:r>
      <w:r w:rsidR="006B7E38" w:rsidRPr="00F95336">
        <w:rPr>
          <w:rFonts w:ascii="Arial Narrow" w:hAnsi="Arial Narrow"/>
        </w:rPr>
        <w:t xml:space="preserve"> e morreu antes de ter tido tempo para lhes apreciar a experiência governativa. Mas as ideias, como tantas vezes sucede, subjugaram com o seu peso o próprio criador, e não foi decerto um acaso que nos últimos anos de vida Sorel apoiasse publicamente as ambições do imperialismo italiano no Adriático e nunca tentasse impedir a promoção de que ele mesmo era alvo por parte dos fascistas. A sua crítica ao movimento fascista só seria divulgada numa edição póstuma</w:t>
      </w:r>
      <w:r w:rsidR="006B7E38" w:rsidRPr="00F95336">
        <w:rPr>
          <w:rStyle w:val="Refdenotaderodap"/>
          <w:rFonts w:ascii="Arial Narrow" w:hAnsi="Arial Narrow"/>
        </w:rPr>
        <w:footnoteReference w:id="238"/>
      </w:r>
      <w:r w:rsidR="006B7E38" w:rsidRPr="00F95336">
        <w:rPr>
          <w:rFonts w:ascii="Arial Narrow" w:hAnsi="Arial Narrow"/>
        </w:rPr>
        <w:t xml:space="preserve">. Mussolini, aliás, que desde os </w:t>
      </w:r>
      <w:r w:rsidR="006B7E38" w:rsidRPr="00F95336">
        <w:rPr>
          <w:rFonts w:ascii="Arial Narrow" w:hAnsi="Arial Narrow"/>
        </w:rPr>
        <w:lastRenderedPageBreak/>
        <w:t>anos inaugurais do século XX sofrera fortemente a influência do sindicalismo revolucionário</w:t>
      </w:r>
      <w:r w:rsidR="006B7E38" w:rsidRPr="00F95336">
        <w:rPr>
          <w:rStyle w:val="Refdenotaderodap"/>
          <w:rFonts w:ascii="Arial Narrow" w:hAnsi="Arial Narrow"/>
        </w:rPr>
        <w:footnoteReference w:id="239"/>
      </w:r>
      <w:r w:rsidR="006B7E38" w:rsidRPr="00F95336">
        <w:rPr>
          <w:rFonts w:ascii="Arial Narrow" w:hAnsi="Arial Narrow"/>
        </w:rPr>
        <w:t>, reconheceu em Sorel um dos seus principais inspiradores</w:t>
      </w:r>
      <w:r w:rsidR="006B7E38" w:rsidRPr="00F95336">
        <w:rPr>
          <w:rStyle w:val="Refdenotaderodap"/>
          <w:rFonts w:ascii="Arial Narrow" w:hAnsi="Arial Narrow"/>
        </w:rPr>
        <w:footnoteReference w:id="240"/>
      </w:r>
      <w:r w:rsidR="006B7E38">
        <w:rPr>
          <w:rFonts w:ascii="Arial Narrow" w:hAnsi="Arial Narrow"/>
        </w:rPr>
        <w:t>.</w:t>
      </w:r>
      <w:r w:rsidR="006B7E38" w:rsidRPr="00F95336">
        <w:rPr>
          <w:rFonts w:ascii="Arial Narrow" w:hAnsi="Arial Narrow"/>
        </w:rPr>
        <w:t xml:space="preserve"> «[...] na grande corrente do fascismo», escreveu ele, «encontrareis os filões que partiram de Sorel, de Péguy, de Lagardelle, de </w:t>
      </w:r>
      <w:r w:rsidR="006B7E38" w:rsidRPr="00F95336">
        <w:rPr>
          <w:rFonts w:ascii="Arial Narrow" w:hAnsi="Arial Narrow"/>
          <w:i/>
        </w:rPr>
        <w:t>Le Mouvement Socialiste</w:t>
      </w:r>
      <w:r w:rsidR="006B7E38" w:rsidRPr="00F95336">
        <w:rPr>
          <w:rFonts w:ascii="Arial Narrow" w:hAnsi="Arial Narrow"/>
        </w:rPr>
        <w:t xml:space="preserve"> [...]»</w:t>
      </w:r>
      <w:r w:rsidR="006B7E38" w:rsidRPr="00F95336">
        <w:rPr>
          <w:rStyle w:val="Refdenotaderodap"/>
          <w:rFonts w:ascii="Arial Narrow" w:hAnsi="Arial Narrow"/>
        </w:rPr>
        <w:footnoteReference w:id="241"/>
      </w:r>
      <w:r w:rsidR="006B7E38" w:rsidRPr="00F95336">
        <w:rPr>
          <w:rFonts w:ascii="Arial Narrow" w:hAnsi="Arial Narrow"/>
        </w:rPr>
        <w:t>.Com efeito, em 1908 Mussolini publicara, numa revista de que era director, a tradução de um artigo de Sorel</w:t>
      </w:r>
      <w:r w:rsidR="006B7E38" w:rsidRPr="00F95336">
        <w:rPr>
          <w:rStyle w:val="Refdenotaderodap"/>
          <w:rFonts w:ascii="Arial Narrow" w:hAnsi="Arial Narrow"/>
        </w:rPr>
        <w:footnoteReference w:id="242"/>
      </w:r>
      <w:r w:rsidR="006B7E38" w:rsidRPr="00F95336">
        <w:rPr>
          <w:rFonts w:ascii="Arial Narrow" w:hAnsi="Arial Narrow"/>
        </w:rPr>
        <w:t xml:space="preserve"> e no ano seguinte escreveu uma recensão da tradução italiana das </w:t>
      </w:r>
      <w:r w:rsidR="006B7E38" w:rsidRPr="00F95336">
        <w:rPr>
          <w:rFonts w:ascii="Arial Narrow" w:hAnsi="Arial Narrow"/>
          <w:i/>
        </w:rPr>
        <w:t>Réflexions sur la Violence,</w:t>
      </w:r>
      <w:r w:rsidR="006B7E38" w:rsidRPr="00F95336">
        <w:rPr>
          <w:rFonts w:ascii="Arial Narrow" w:hAnsi="Arial Narrow"/>
        </w:rPr>
        <w:t xml:space="preserve"> elogiando o mestre porque «graças aos seus livros fomos levados a compreender melhor o marxismo, que nos chegara da Alemanha num estado irreconhecível»</w:t>
      </w:r>
      <w:r w:rsidR="006B7E38" w:rsidRPr="00F95336">
        <w:rPr>
          <w:rStyle w:val="Refdenotaderodap"/>
          <w:rFonts w:ascii="Arial Narrow" w:hAnsi="Arial Narrow"/>
        </w:rPr>
        <w:footnoteReference w:id="243"/>
      </w:r>
      <w:r w:rsidR="006B7E38" w:rsidRPr="00F95336">
        <w:rPr>
          <w:rFonts w:ascii="Arial Narrow" w:hAnsi="Arial Narrow"/>
        </w:rPr>
        <w:t xml:space="preserve">. </w:t>
      </w:r>
      <w:r w:rsidR="006B7E38">
        <w:rPr>
          <w:rFonts w:ascii="Arial Narrow" w:hAnsi="Arial Narrow"/>
        </w:rPr>
        <w:t>Numa obra de 1928</w:t>
      </w:r>
      <w:r w:rsidR="006B7E38" w:rsidRPr="00F95336">
        <w:rPr>
          <w:rFonts w:ascii="Arial Narrow" w:hAnsi="Arial Narrow"/>
        </w:rPr>
        <w:t xml:space="preserve"> </w:t>
      </w:r>
      <w:r w:rsidR="006B7E38">
        <w:rPr>
          <w:rFonts w:ascii="Arial Narrow" w:hAnsi="Arial Narrow"/>
        </w:rPr>
        <w:t xml:space="preserve">Benedetto </w:t>
      </w:r>
      <w:r w:rsidR="006B7E38" w:rsidRPr="00F95336">
        <w:rPr>
          <w:rFonts w:ascii="Arial Narrow" w:hAnsi="Arial Narrow"/>
        </w:rPr>
        <w:t>Croce mencionou «a teoria da violência de Sorel» entre os elementos formadores da ideologia de Mussolini</w:t>
      </w:r>
      <w:r w:rsidR="006B7E38">
        <w:rPr>
          <w:rStyle w:val="Refdenotaderodap"/>
          <w:rFonts w:ascii="Arial Narrow" w:hAnsi="Arial Narrow"/>
        </w:rPr>
        <w:footnoteReference w:id="244"/>
      </w:r>
      <w:r w:rsidR="006B7E38">
        <w:rPr>
          <w:rFonts w:ascii="Arial Narrow" w:hAnsi="Arial Narrow"/>
        </w:rPr>
        <w:t>,</w:t>
      </w:r>
      <w:r w:rsidR="006B7E38" w:rsidRPr="00F95336">
        <w:rPr>
          <w:rFonts w:ascii="Arial Narrow" w:hAnsi="Arial Narrow"/>
        </w:rPr>
        <w:t xml:space="preserve"> </w:t>
      </w:r>
      <w:r w:rsidR="006B7E38">
        <w:rPr>
          <w:rFonts w:ascii="Arial Narrow" w:hAnsi="Arial Narrow"/>
        </w:rPr>
        <w:t>e devemos dar algum peso a esta opinião porque Croce fora amigo de Sorel</w:t>
      </w:r>
      <w:r w:rsidR="006B7E38">
        <w:rPr>
          <w:rStyle w:val="Refdenotaderodap"/>
          <w:rFonts w:ascii="Arial Narrow" w:hAnsi="Arial Narrow"/>
        </w:rPr>
        <w:footnoteReference w:id="245"/>
      </w:r>
      <w:r w:rsidR="006B7E38">
        <w:rPr>
          <w:rFonts w:ascii="Arial Narrow" w:hAnsi="Arial Narrow"/>
        </w:rPr>
        <w:t xml:space="preserve">. Também Giovanni Gentile, um dos ideólogos de maior projecção do fascismo italiano, </w:t>
      </w:r>
      <w:r w:rsidR="006B7E38" w:rsidRPr="00F95336">
        <w:rPr>
          <w:rFonts w:ascii="Arial Narrow" w:hAnsi="Arial Narrow"/>
        </w:rPr>
        <w:t>acentuou a inspiração soreliana do Duce</w:t>
      </w:r>
      <w:r w:rsidR="006B7E38" w:rsidRPr="00F95336">
        <w:rPr>
          <w:rStyle w:val="Refdenotaderodap"/>
          <w:rFonts w:ascii="Arial Narrow" w:hAnsi="Arial Narrow"/>
        </w:rPr>
        <w:footnoteReference w:id="246"/>
      </w:r>
      <w:r w:rsidR="006B7E38">
        <w:rPr>
          <w:rFonts w:ascii="Arial Narrow" w:hAnsi="Arial Narrow"/>
        </w:rPr>
        <w:t xml:space="preserve"> e</w:t>
      </w:r>
      <w:r w:rsidR="006B7E38" w:rsidRPr="00F95336">
        <w:rPr>
          <w:rFonts w:ascii="Arial Narrow" w:hAnsi="Arial Narrow"/>
        </w:rPr>
        <w:t xml:space="preserve"> </w:t>
      </w:r>
      <w:r w:rsidR="006B7E38">
        <w:rPr>
          <w:rFonts w:ascii="Arial Narrow" w:hAnsi="Arial Narrow"/>
        </w:rPr>
        <w:t>Lucien Rebatet evocou igualmente Sorel e Lagardelle, além de Renan e Maurras, entre os mestres de Mussolini</w:t>
      </w:r>
      <w:r w:rsidR="006B7E38">
        <w:rPr>
          <w:rStyle w:val="Refdenotaderodap"/>
          <w:rFonts w:ascii="Arial Narrow" w:hAnsi="Arial Narrow"/>
        </w:rPr>
        <w:footnoteReference w:id="247"/>
      </w:r>
      <w:r w:rsidR="006B7E38">
        <w:rPr>
          <w:rFonts w:ascii="Arial Narrow" w:hAnsi="Arial Narrow"/>
        </w:rPr>
        <w:t xml:space="preserve">. </w:t>
      </w:r>
      <w:r w:rsidR="006B7E38" w:rsidRPr="00F95336">
        <w:rPr>
          <w:rFonts w:ascii="Arial Narrow" w:hAnsi="Arial Narrow"/>
        </w:rPr>
        <w:t>Apesar do papel secundário que os sindicatos sempre ocuparam no fascismo italiano, substituídos em grande medida pelas milícias no que tocava à mobilização e ao enquadramento dos trabalhadores, o sindicalismo revolucionário foi desde o primeiro até ao último momento um dos principais ingredientes do discurso de Mussolini, indispensável a essa encenação de mitos a que se resumiu o fascismo</w:t>
      </w:r>
      <w:r w:rsidR="006B7E38" w:rsidRPr="00F95336">
        <w:rPr>
          <w:rStyle w:val="Refdenotaderodap"/>
          <w:rFonts w:ascii="Arial Narrow" w:hAnsi="Arial Narrow"/>
        </w:rPr>
        <w:footnoteReference w:id="248"/>
      </w:r>
      <w:r w:rsidR="006B7E38" w:rsidRPr="00F95336">
        <w:rPr>
          <w:rFonts w:ascii="Arial Narrow" w:hAnsi="Arial Narrow"/>
        </w:rPr>
        <w:t>. Num âmbito incomparavelmente mais modesto e de escassas repercussões, alguém que durante breves anos foi o nome destacado do fascismo radical português confessou, muito tempo depois: «Sorel é para mim o grande mestre. Foi ele que fez talvez tudo»</w:t>
      </w:r>
      <w:r w:rsidR="006B7E38" w:rsidRPr="00F95336">
        <w:rPr>
          <w:rStyle w:val="Refdenotaderodap"/>
          <w:rFonts w:ascii="Arial Narrow" w:hAnsi="Arial Narrow"/>
        </w:rPr>
        <w:footnoteReference w:id="249"/>
      </w:r>
      <w:r w:rsidR="006B7E38" w:rsidRPr="00F95336">
        <w:rPr>
          <w:rFonts w:ascii="Arial Narrow" w:hAnsi="Arial Narrow"/>
        </w:rPr>
        <w:t xml:space="preserve">. </w:t>
      </w:r>
    </w:p>
    <w:p w:rsidR="00814F55" w:rsidRDefault="00814F55" w:rsidP="006B7E38">
      <w:pPr>
        <w:rPr>
          <w:rFonts w:ascii="Arial Narrow" w:hAnsi="Arial Narrow"/>
        </w:rPr>
      </w:pPr>
      <w:r w:rsidRPr="00F95336">
        <w:rPr>
          <w:rFonts w:ascii="Arial Narrow" w:hAnsi="Arial Narrow"/>
        </w:rPr>
        <w:t>Negando a originalidade ideológica do fascismo, um historiador soviético encontrou nele uma colagem confusa das ideias de Sorel e Joseph de Maistre</w:t>
      </w:r>
      <w:r w:rsidRPr="00F95336">
        <w:rPr>
          <w:rStyle w:val="Refdenotaderodap"/>
          <w:rFonts w:ascii="Arial Narrow" w:hAnsi="Arial Narrow"/>
        </w:rPr>
        <w:footnoteReference w:id="250"/>
      </w:r>
      <w:r w:rsidRPr="00F95336">
        <w:rPr>
          <w:rFonts w:ascii="Arial Narrow" w:hAnsi="Arial Narrow"/>
        </w:rPr>
        <w:t xml:space="preserve">. Sem dúvida que o fascismo não foi coerente como sistema ideológico, ou não teve outra coerência senão a que a estética lhe deu. Mas a fusão de concepções que até então haviam sido antagónicas representou uma </w:t>
      </w:r>
      <w:r w:rsidRPr="00F95336">
        <w:rPr>
          <w:rFonts w:ascii="Arial Narrow" w:hAnsi="Arial Narrow"/>
        </w:rPr>
        <w:lastRenderedPageBreak/>
        <w:t xml:space="preserve">criação original, e foi o próprio Sorel quem, em </w:t>
      </w:r>
      <w:r w:rsidRPr="00F95336">
        <w:rPr>
          <w:rFonts w:ascii="Arial Narrow" w:hAnsi="Arial Narrow"/>
          <w:i/>
        </w:rPr>
        <w:t>Les Illusions du Progrès,</w:t>
      </w:r>
      <w:r w:rsidRPr="00F95336">
        <w:rPr>
          <w:rFonts w:ascii="Arial Narrow" w:hAnsi="Arial Narrow"/>
        </w:rPr>
        <w:t xml:space="preserve"> encontrou um quadro de entendimento entre o seu sindicalismo e o pensamento tradicionalista avesso à filosofia racionalista das luzes, sem ser necessário esperar que outros o fizessem. O ambiente era propício. Em duas obras, de 1923 e 1929, outro historiador soviético detectou o aparecimento do fascismo nos romances franceses de temática social publicados na primeira década do século XX, que juntavam a nostalgia do cesarismo e a preocupação em impor ordem à classe trabalhadora com os ataques à presumida debilidade governamental e a apologia das personalidades fortes, à maneira nietzscheana</w:t>
      </w:r>
      <w:r w:rsidRPr="00F95336">
        <w:rPr>
          <w:rStyle w:val="Refdenotaderodap"/>
          <w:rFonts w:ascii="Arial Narrow" w:hAnsi="Arial Narrow"/>
        </w:rPr>
        <w:footnoteReference w:id="251"/>
      </w:r>
      <w:r w:rsidRPr="00F95336">
        <w:rPr>
          <w:rFonts w:ascii="Arial Narrow" w:hAnsi="Arial Narrow"/>
        </w:rPr>
        <w:t>. Tal como suced</w:t>
      </w:r>
      <w:r>
        <w:rPr>
          <w:rFonts w:ascii="Arial Narrow" w:hAnsi="Arial Narrow"/>
        </w:rPr>
        <w:t>eu</w:t>
      </w:r>
      <w:r w:rsidRPr="00F95336">
        <w:rPr>
          <w:rFonts w:ascii="Arial Narrow" w:hAnsi="Arial Narrow"/>
        </w:rPr>
        <w:t xml:space="preserve"> do outro lado dos Alpes, em França as posições de </w:t>
      </w:r>
      <w:r>
        <w:rPr>
          <w:rFonts w:ascii="Arial Narrow" w:hAnsi="Arial Narrow"/>
        </w:rPr>
        <w:t>alguns</w:t>
      </w:r>
      <w:r w:rsidRPr="00F95336">
        <w:rPr>
          <w:rFonts w:ascii="Arial Narrow" w:hAnsi="Arial Narrow"/>
        </w:rPr>
        <w:t xml:space="preserve"> sindicalistas revolucionários puderam evoluir porque ao mesmo tempo, e no mesmo sentido, evoluíam as posições das alas radicais da direita. Ultrapassando as fronteiras de classe e os limites convencionais das forças partidárias, era uma grande transformação na cultura política que se estava a gerar.</w:t>
      </w:r>
      <w:r>
        <w:rPr>
          <w:rFonts w:ascii="Arial Narrow" w:hAnsi="Arial Narrow"/>
        </w:rPr>
        <w:t xml:space="preserve"> </w:t>
      </w:r>
    </w:p>
    <w:p w:rsidR="0004498A" w:rsidRPr="00F95336" w:rsidRDefault="0004498A" w:rsidP="0004498A">
      <w:pPr>
        <w:rPr>
          <w:rFonts w:ascii="Arial Narrow" w:hAnsi="Arial Narrow"/>
        </w:rPr>
      </w:pPr>
      <w:r w:rsidRPr="00F95336">
        <w:rPr>
          <w:rFonts w:ascii="Arial Narrow" w:hAnsi="Arial Narrow"/>
        </w:rPr>
        <w:t xml:space="preserve">Para quem, como nós, veja a história ao invés, o breve episódio do Cercle Proudhon parece conter a premonição dos desastres futuros. Mas na história os actores, ou autores, desconhecem o enredo em que participam ou que julgam escrever. </w:t>
      </w:r>
      <w:r>
        <w:rPr>
          <w:rFonts w:ascii="Arial Narrow" w:hAnsi="Arial Narrow"/>
        </w:rPr>
        <w:t xml:space="preserve">Será possível, porém, detectar traços anunciadores? </w:t>
      </w:r>
      <w:r w:rsidR="000B0A2C">
        <w:rPr>
          <w:rFonts w:ascii="Arial Narrow" w:hAnsi="Arial Narrow"/>
        </w:rPr>
        <w:t xml:space="preserve">Ao longo do seu percurso político os sindicalistas revolucionários </w:t>
      </w:r>
      <w:r w:rsidR="000B0A2C" w:rsidRPr="00F95336">
        <w:rPr>
          <w:rFonts w:ascii="Arial Narrow" w:hAnsi="Arial Narrow"/>
        </w:rPr>
        <w:t>reforçar</w:t>
      </w:r>
      <w:r w:rsidR="000B0A2C">
        <w:rPr>
          <w:rFonts w:ascii="Arial Narrow" w:hAnsi="Arial Narrow"/>
        </w:rPr>
        <w:t>am</w:t>
      </w:r>
      <w:r w:rsidR="000B0A2C" w:rsidRPr="00F95336">
        <w:rPr>
          <w:rFonts w:ascii="Arial Narrow" w:hAnsi="Arial Narrow"/>
        </w:rPr>
        <w:t xml:space="preserve"> o elitismo vanguardista que os caracterizara já na fase sindicalista, convertendo-o numa teoria autoritária das elites. Nos apelos à acção directa</w:t>
      </w:r>
      <w:r w:rsidR="000B0A2C">
        <w:rPr>
          <w:rFonts w:ascii="Arial Narrow" w:hAnsi="Arial Narrow"/>
        </w:rPr>
        <w:t xml:space="preserve"> eles </w:t>
      </w:r>
      <w:r w:rsidR="000B0A2C" w:rsidRPr="00F95336">
        <w:rPr>
          <w:rFonts w:ascii="Arial Narrow" w:hAnsi="Arial Narrow"/>
        </w:rPr>
        <w:t xml:space="preserve">haviam concebido a classe trabalhadora como a grande fonte de energia social, mas tinham também afirmado a necessidade de conduzir este dinamismo mediante a intervenção de vanguardas esclarecidas, de maneira a que as minorias radicais não ficassem aprisionadas pelo marasmo de uma base timorata. </w:t>
      </w:r>
      <w:r w:rsidR="000B0A2C">
        <w:rPr>
          <w:rFonts w:ascii="Arial Narrow" w:hAnsi="Arial Narrow"/>
        </w:rPr>
        <w:t xml:space="preserve">Depois, </w:t>
      </w:r>
      <w:r w:rsidR="000B0A2C" w:rsidRPr="00F95336">
        <w:rPr>
          <w:rFonts w:ascii="Arial Narrow" w:hAnsi="Arial Narrow"/>
        </w:rPr>
        <w:t xml:space="preserve">quando </w:t>
      </w:r>
      <w:r w:rsidR="00E7509C">
        <w:rPr>
          <w:rFonts w:ascii="Arial Narrow" w:hAnsi="Arial Narrow"/>
        </w:rPr>
        <w:t xml:space="preserve">adoptaram </w:t>
      </w:r>
      <w:r w:rsidR="000B0A2C" w:rsidRPr="00F95336">
        <w:rPr>
          <w:rFonts w:ascii="Arial Narrow" w:hAnsi="Arial Narrow"/>
        </w:rPr>
        <w:t>definitivamente o autoritarismo, passaram a considerar as vanguardas como verdadeiras elites, com todas as consequências práticas e ideológicas daí decorrentes</w:t>
      </w:r>
      <w:r w:rsidR="000B0A2C" w:rsidRPr="00F95336">
        <w:rPr>
          <w:rStyle w:val="Refdenotaderodap"/>
          <w:rFonts w:ascii="Arial Narrow" w:hAnsi="Arial Narrow"/>
        </w:rPr>
        <w:footnoteReference w:id="252"/>
      </w:r>
      <w:r w:rsidR="000B0A2C" w:rsidRPr="00F95336">
        <w:rPr>
          <w:rFonts w:ascii="Arial Narrow" w:hAnsi="Arial Narrow"/>
        </w:rPr>
        <w:t>.</w:t>
      </w:r>
    </w:p>
    <w:p w:rsidR="00CD12DC" w:rsidRPr="00F95336" w:rsidRDefault="00CD12DC" w:rsidP="00CD12DC">
      <w:pPr>
        <w:rPr>
          <w:rFonts w:ascii="Arial Narrow" w:hAnsi="Arial Narrow"/>
        </w:rPr>
      </w:pPr>
      <w:r w:rsidRPr="00F95336">
        <w:rPr>
          <w:rFonts w:ascii="Arial Narrow" w:hAnsi="Arial Narrow"/>
        </w:rPr>
        <w:t xml:space="preserve">Nas mesmas páginas, aparentemente tão claras, em que expôs uma teoria sistemática da autonomia operária, Lagardelle sustentou, com não menos clareza, que a existência de diferenças entre as pessoas seria razão suficiente para a </w:t>
      </w:r>
      <w:r w:rsidR="0067381A">
        <w:rPr>
          <w:rFonts w:ascii="Arial Narrow" w:hAnsi="Arial Narrow"/>
        </w:rPr>
        <w:t>formação</w:t>
      </w:r>
      <w:r w:rsidRPr="00F95336">
        <w:rPr>
          <w:rFonts w:ascii="Arial Narrow" w:hAnsi="Arial Narrow"/>
        </w:rPr>
        <w:t xml:space="preserve"> de elites. «A partir do momento em que temos perante nós homens reais, operários que não possuem qualidades idênticas nem desenvolvem a mesma acção, produz-se necessariamente uma diferenciação entre eles</w:t>
      </w:r>
      <w:r w:rsidR="00A55A9D">
        <w:rPr>
          <w:rFonts w:ascii="Arial Narrow" w:hAnsi="Arial Narrow"/>
        </w:rPr>
        <w:t>», considerou Lagardelle</w:t>
      </w:r>
      <w:r w:rsidRPr="00F95336">
        <w:rPr>
          <w:rFonts w:ascii="Arial Narrow" w:hAnsi="Arial Narrow"/>
        </w:rPr>
        <w:t xml:space="preserve">. </w:t>
      </w:r>
      <w:r w:rsidR="00A55A9D">
        <w:rPr>
          <w:rFonts w:ascii="Arial Narrow" w:hAnsi="Arial Narrow"/>
        </w:rPr>
        <w:t>«</w:t>
      </w:r>
      <w:r w:rsidRPr="00F95336">
        <w:rPr>
          <w:rFonts w:ascii="Arial Narrow" w:hAnsi="Arial Narrow"/>
        </w:rPr>
        <w:t xml:space="preserve">Os mais conscientes, os mais aptos para a defesa pessoal </w:t>
      </w:r>
      <w:r w:rsidRPr="00F95336">
        <w:rPr>
          <w:rFonts w:ascii="Arial Narrow" w:hAnsi="Arial Narrow"/>
        </w:rPr>
        <w:lastRenderedPageBreak/>
        <w:t xml:space="preserve">e a luta social, são os primeiros a agrupar-se, indicando aos restantes o caminho que devem seguir. Quer dizer, produz-se uma selecção e, sob o ponto de vista da evolução do proletariado, as formações assim criadas adquirem uma importância primordial». O alheamento da história é, em qualquer caso, o fundamento da teoria das elites. As diferenças circunstanciais entre vanguarda e base são congeladas fora da ocasião e do lugar em que surgiram, esquecendo que se extinguirão e se reorganizarão em novas diferenças à medida que a situação evoluir, e é a esta metafísica sem tempo nem espaço que as vanguardas de um </w:t>
      </w:r>
      <w:r w:rsidR="007845AC">
        <w:rPr>
          <w:rFonts w:ascii="Arial Narrow" w:hAnsi="Arial Narrow"/>
        </w:rPr>
        <w:t>momento</w:t>
      </w:r>
      <w:r w:rsidRPr="00F95336">
        <w:rPr>
          <w:rFonts w:ascii="Arial Narrow" w:hAnsi="Arial Narrow"/>
        </w:rPr>
        <w:t xml:space="preserve"> recorrem para justificar a sua conversão em burocracias profissionais. </w:t>
      </w:r>
      <w:r w:rsidR="007845AC" w:rsidRPr="00F95336">
        <w:rPr>
          <w:rFonts w:ascii="Arial Narrow" w:hAnsi="Arial Narrow"/>
        </w:rPr>
        <w:t xml:space="preserve">Lagardelle defendeu </w:t>
      </w:r>
      <w:r w:rsidR="007845AC">
        <w:rPr>
          <w:rFonts w:ascii="Arial Narrow" w:hAnsi="Arial Narrow"/>
        </w:rPr>
        <w:t xml:space="preserve">que </w:t>
      </w:r>
      <w:r w:rsidR="007845AC" w:rsidRPr="00F95336">
        <w:rPr>
          <w:rFonts w:ascii="Arial Narrow" w:hAnsi="Arial Narrow"/>
        </w:rPr>
        <w:t xml:space="preserve">à </w:t>
      </w:r>
      <w:r w:rsidRPr="00F95336">
        <w:rPr>
          <w:rFonts w:ascii="Arial Narrow" w:hAnsi="Arial Narrow"/>
        </w:rPr>
        <w:t xml:space="preserve">frente dos sindicatos as elites assumiriam a forma de uma burocracia estável e </w:t>
      </w:r>
      <w:r w:rsidR="007845AC" w:rsidRPr="00F95336">
        <w:rPr>
          <w:rFonts w:ascii="Arial Narrow" w:hAnsi="Arial Narrow"/>
        </w:rPr>
        <w:t xml:space="preserve">se apresentariam </w:t>
      </w:r>
      <w:r w:rsidRPr="00F95336">
        <w:rPr>
          <w:rFonts w:ascii="Arial Narrow" w:hAnsi="Arial Narrow"/>
        </w:rPr>
        <w:t>no quadro das empresas como uma tecnocracia de origem operária</w:t>
      </w:r>
      <w:r w:rsidR="0067381A">
        <w:rPr>
          <w:rFonts w:ascii="Arial Narrow" w:hAnsi="Arial Narrow"/>
        </w:rPr>
        <w:t>.</w:t>
      </w:r>
      <w:r w:rsidRPr="00F95336">
        <w:rPr>
          <w:rFonts w:ascii="Arial Narrow" w:hAnsi="Arial Narrow"/>
        </w:rPr>
        <w:t xml:space="preserve"> «O que já se chamou tirania dos sindicatos não é mais do que a faculdade de direcção regularmente transferida para os grupos seleccionados, quer dizer, para o corpo constituído pelos operários mais capazes de salvaguardar os interesses de toda a classe. [...] Quanto mais [os grupos sindicais] actuam e deliberam em nome de todos os trabalhadores, mais se afirma o seu papel de órgãos dirigentes e representativos da massa proletária. [...] Porém, os trabalhadores não organizados não podem aspirar, em virtude de qualquer direito individual superior ao direito de todos, a destruir o princípio do governo operário pelos grupos profissionais. [...] o movimento operário tende a ser estável e orgânico. O mundo do trabalho é um mundo à parte. O labor da produção é difícil [...]. Exige uma determinada soma de qualificações e torna necessária a existência de uma forte hierarquia. Esta hierarquia forma-se naturalmente segundo </w:t>
      </w:r>
      <w:r w:rsidRPr="00F95336">
        <w:rPr>
          <w:rFonts w:ascii="Arial Narrow" w:hAnsi="Arial Narrow"/>
          <w:i/>
        </w:rPr>
        <w:t>a lei da selecção</w:t>
      </w:r>
      <w:r w:rsidRPr="00F95336">
        <w:rPr>
          <w:rFonts w:ascii="Arial Narrow" w:hAnsi="Arial Narrow"/>
        </w:rPr>
        <w:t xml:space="preserve"> na organização da classe operária». Sem a autoridade estável e firme exercida pela nova elite operária, concluiu Lagardelle, «os grupos profissionais, que são formações seleccionadas, seriam afogados na massa amorfa dos trabalhadores não organizados»</w:t>
      </w:r>
      <w:r w:rsidRPr="00F95336">
        <w:rPr>
          <w:rStyle w:val="Refdenotaderodap"/>
          <w:rFonts w:ascii="Arial Narrow" w:hAnsi="Arial Narrow"/>
        </w:rPr>
        <w:footnoteReference w:id="253"/>
      </w:r>
      <w:r w:rsidRPr="00F95336">
        <w:rPr>
          <w:rFonts w:ascii="Arial Narrow" w:hAnsi="Arial Narrow"/>
        </w:rPr>
        <w:t xml:space="preserve">. Com efeito, nada aflige mais as elites do que serem absorvidas pela massa, ou seja, perderem o seu carácter de elite. </w:t>
      </w:r>
    </w:p>
    <w:p w:rsidR="00CD12DC" w:rsidRPr="00F95336" w:rsidRDefault="00CD12DC" w:rsidP="00CD12DC">
      <w:pPr>
        <w:rPr>
          <w:rFonts w:ascii="Arial Narrow" w:hAnsi="Arial Narrow"/>
        </w:rPr>
      </w:pPr>
      <w:r w:rsidRPr="00F95336">
        <w:rPr>
          <w:rFonts w:ascii="Arial Narrow" w:hAnsi="Arial Narrow"/>
        </w:rPr>
        <w:t xml:space="preserve">A mesma teoria das elites usada por Lagardelle serviu a Berth para </w:t>
      </w:r>
      <w:r w:rsidR="00265E02">
        <w:rPr>
          <w:rFonts w:ascii="Arial Narrow" w:hAnsi="Arial Narrow"/>
        </w:rPr>
        <w:t xml:space="preserve">fazer </w:t>
      </w:r>
      <w:r w:rsidRPr="00F95336">
        <w:rPr>
          <w:rFonts w:ascii="Arial Narrow" w:hAnsi="Arial Narrow"/>
        </w:rPr>
        <w:t>a apologia da disciplina de empresa e do produtivismo</w:t>
      </w:r>
      <w:r w:rsidR="00265E02">
        <w:rPr>
          <w:rFonts w:ascii="Arial Narrow" w:hAnsi="Arial Narrow"/>
        </w:rPr>
        <w:t>,</w:t>
      </w:r>
      <w:r w:rsidRPr="00F95336">
        <w:rPr>
          <w:rFonts w:ascii="Arial Narrow" w:hAnsi="Arial Narrow"/>
        </w:rPr>
        <w:t xml:space="preserve"> </w:t>
      </w:r>
      <w:r w:rsidR="00B12E3E">
        <w:rPr>
          <w:rFonts w:ascii="Arial Narrow" w:hAnsi="Arial Narrow"/>
        </w:rPr>
        <w:t xml:space="preserve">que </w:t>
      </w:r>
      <w:r w:rsidRPr="00F95336">
        <w:rPr>
          <w:rFonts w:ascii="Arial Narrow" w:hAnsi="Arial Narrow"/>
        </w:rPr>
        <w:t>consider</w:t>
      </w:r>
      <w:r w:rsidR="00B12E3E">
        <w:rPr>
          <w:rFonts w:ascii="Arial Narrow" w:hAnsi="Arial Narrow"/>
        </w:rPr>
        <w:t>ou</w:t>
      </w:r>
      <w:r w:rsidRPr="00F95336">
        <w:rPr>
          <w:rFonts w:ascii="Arial Narrow" w:hAnsi="Arial Narrow"/>
        </w:rPr>
        <w:t xml:space="preserve"> o verdadeiro modelo do socialismo. </w:t>
      </w:r>
      <w:r w:rsidR="00A55B4A" w:rsidRPr="00F95336">
        <w:rPr>
          <w:rFonts w:ascii="Arial Narrow" w:hAnsi="Arial Narrow"/>
        </w:rPr>
        <w:t>Concentrando as diatribes nos especuladores, nos representantes do capital comercial e financeiro, e acusando-os de parasitismo, Berth enalteceu o espírito empresarial atribuído aos capitães de indústria</w:t>
      </w:r>
      <w:r w:rsidR="003C1E39">
        <w:rPr>
          <w:rFonts w:ascii="Arial Narrow" w:hAnsi="Arial Narrow"/>
        </w:rPr>
        <w:t>,</w:t>
      </w:r>
      <w:r w:rsidR="00A55B4A" w:rsidRPr="00F95336">
        <w:rPr>
          <w:rFonts w:ascii="Arial Narrow" w:hAnsi="Arial Narrow"/>
        </w:rPr>
        <w:t xml:space="preserve"> </w:t>
      </w:r>
      <w:r w:rsidR="00A55B4A">
        <w:rPr>
          <w:rFonts w:ascii="Arial Narrow" w:hAnsi="Arial Narrow"/>
        </w:rPr>
        <w:t>«os grandes realizadores de um capitalismo audaz, poderoso e inovador», como reafirmou num texto de 1923</w:t>
      </w:r>
      <w:r w:rsidR="003C1E39">
        <w:rPr>
          <w:rStyle w:val="Refdenotaderodap"/>
          <w:rFonts w:ascii="Arial Narrow" w:hAnsi="Arial Narrow"/>
        </w:rPr>
        <w:footnoteReference w:id="254"/>
      </w:r>
      <w:r w:rsidR="003C1E39">
        <w:rPr>
          <w:rFonts w:ascii="Arial Narrow" w:hAnsi="Arial Narrow"/>
        </w:rPr>
        <w:t>.</w:t>
      </w:r>
      <w:r w:rsidR="00A55B4A">
        <w:rPr>
          <w:rFonts w:ascii="Arial Narrow" w:hAnsi="Arial Narrow"/>
        </w:rPr>
        <w:t xml:space="preserve"> </w:t>
      </w:r>
      <w:r w:rsidR="00A55B4A" w:rsidRPr="00F95336">
        <w:rPr>
          <w:rFonts w:ascii="Arial Narrow" w:hAnsi="Arial Narrow"/>
        </w:rPr>
        <w:t>Nesta perspectiva, a sua crítica ao Estado, que reputava inútil só por não ser produtivo</w:t>
      </w:r>
      <w:r w:rsidR="007A235A">
        <w:rPr>
          <w:rStyle w:val="Refdenotaderodap"/>
          <w:rFonts w:ascii="Arial Narrow" w:hAnsi="Arial Narrow"/>
        </w:rPr>
        <w:footnoteReference w:id="255"/>
      </w:r>
      <w:r w:rsidR="007A235A">
        <w:rPr>
          <w:rFonts w:ascii="Arial Narrow" w:hAnsi="Arial Narrow"/>
        </w:rPr>
        <w:t>,</w:t>
      </w:r>
      <w:r w:rsidR="00A55B4A">
        <w:rPr>
          <w:rFonts w:ascii="Arial Narrow" w:hAnsi="Arial Narrow"/>
        </w:rPr>
        <w:t xml:space="preserve"> </w:t>
      </w:r>
      <w:r w:rsidR="00A55B4A" w:rsidRPr="00F95336">
        <w:rPr>
          <w:rFonts w:ascii="Arial Narrow" w:hAnsi="Arial Narrow"/>
        </w:rPr>
        <w:t xml:space="preserve">situa-se na tradição de Saint-Simon, para quem a empresa era </w:t>
      </w:r>
      <w:r w:rsidR="00A55B4A" w:rsidRPr="00F95336">
        <w:rPr>
          <w:rFonts w:ascii="Arial Narrow" w:hAnsi="Arial Narrow"/>
        </w:rPr>
        <w:lastRenderedPageBreak/>
        <w:t xml:space="preserve">o único quadro político necessário ao capitalismo. </w:t>
      </w:r>
      <w:r w:rsidR="00291380">
        <w:rPr>
          <w:rFonts w:ascii="Arial Narrow" w:hAnsi="Arial Narrow"/>
        </w:rPr>
        <w:t>De</w:t>
      </w:r>
      <w:r w:rsidR="00EE5598">
        <w:rPr>
          <w:rFonts w:ascii="Arial Narrow" w:hAnsi="Arial Narrow"/>
        </w:rPr>
        <w:t xml:space="preserve">certo Berth </w:t>
      </w:r>
      <w:r w:rsidR="00291380">
        <w:rPr>
          <w:rFonts w:ascii="Arial Narrow" w:hAnsi="Arial Narrow"/>
        </w:rPr>
        <w:t>admitiu</w:t>
      </w:r>
      <w:r w:rsidR="00EE5598">
        <w:rPr>
          <w:rFonts w:ascii="Arial Narrow" w:hAnsi="Arial Narrow"/>
        </w:rPr>
        <w:t xml:space="preserve"> que o sindicalismo revolucionário pretende que «essa divisão autocrática e hierárquica do trabalho, </w:t>
      </w:r>
      <w:r w:rsidR="00004937">
        <w:rPr>
          <w:rFonts w:ascii="Arial Narrow" w:hAnsi="Arial Narrow"/>
        </w:rPr>
        <w:t xml:space="preserve">instaurada pelo capital na oficina, dê lugar a uma associação igualitária de trabalhadores livres e não </w:t>
      </w:r>
      <w:r w:rsidR="00004937" w:rsidRPr="00A26C01">
        <w:rPr>
          <w:rFonts w:ascii="Arial Narrow" w:hAnsi="Arial Narrow"/>
          <w:i/>
        </w:rPr>
        <w:t>hierarquizados</w:t>
      </w:r>
      <w:r w:rsidR="00004937">
        <w:rPr>
          <w:rFonts w:ascii="Arial Narrow" w:hAnsi="Arial Narrow"/>
        </w:rPr>
        <w:t>»</w:t>
      </w:r>
      <w:r w:rsidR="00291380">
        <w:rPr>
          <w:rStyle w:val="Refdenotaderodap"/>
          <w:rFonts w:ascii="Arial Narrow" w:hAnsi="Arial Narrow"/>
        </w:rPr>
        <w:footnoteReference w:id="256"/>
      </w:r>
      <w:r w:rsidR="00004937">
        <w:rPr>
          <w:rFonts w:ascii="Arial Narrow" w:hAnsi="Arial Narrow"/>
        </w:rPr>
        <w:t xml:space="preserve"> e mencionou repetidamente a aspiração a «uma oficina sem patrões»</w:t>
      </w:r>
      <w:r w:rsidR="001C650A">
        <w:rPr>
          <w:rStyle w:val="Refdenotaderodap"/>
          <w:rFonts w:ascii="Arial Narrow" w:hAnsi="Arial Narrow"/>
        </w:rPr>
        <w:footnoteReference w:id="257"/>
      </w:r>
      <w:r w:rsidR="001C650A">
        <w:rPr>
          <w:rFonts w:ascii="Arial Narrow" w:hAnsi="Arial Narrow"/>
        </w:rPr>
        <w:t xml:space="preserve">. </w:t>
      </w:r>
      <w:r w:rsidR="00D75D41">
        <w:rPr>
          <w:rFonts w:ascii="Arial Narrow" w:hAnsi="Arial Narrow"/>
        </w:rPr>
        <w:t>Mas como o sindicalismo revolucionário era «o filho legítimo do capitalismo», tendo herdado dele «esse amor por uma produtividade cada vez mais elevada e mais perfeita»</w:t>
      </w:r>
      <w:r w:rsidR="00042035">
        <w:rPr>
          <w:rFonts w:ascii="Arial Narrow" w:hAnsi="Arial Narrow"/>
        </w:rPr>
        <w:t>,</w:t>
      </w:r>
      <w:r w:rsidR="00D75D41">
        <w:rPr>
          <w:rFonts w:ascii="Arial Narrow" w:hAnsi="Arial Narrow"/>
        </w:rPr>
        <w:t xml:space="preserve"> </w:t>
      </w:r>
      <w:r w:rsidR="00E52C72">
        <w:rPr>
          <w:rFonts w:ascii="Arial Narrow" w:hAnsi="Arial Narrow"/>
        </w:rPr>
        <w:t>«</w:t>
      </w:r>
      <w:r w:rsidR="00E52C72" w:rsidRPr="00E52C72">
        <w:rPr>
          <w:rFonts w:ascii="Arial Narrow" w:hAnsi="Arial Narrow"/>
          <w:i/>
        </w:rPr>
        <w:t>o imperativo categórico da produção</w:t>
      </w:r>
      <w:r w:rsidR="00E52C72">
        <w:rPr>
          <w:rFonts w:ascii="Arial Narrow" w:hAnsi="Arial Narrow"/>
        </w:rPr>
        <w:t>»</w:t>
      </w:r>
      <w:r w:rsidR="00E52C72">
        <w:rPr>
          <w:rStyle w:val="Refdenotaderodap"/>
          <w:rFonts w:ascii="Arial Narrow" w:hAnsi="Arial Narrow"/>
        </w:rPr>
        <w:footnoteReference w:id="258"/>
      </w:r>
      <w:r w:rsidR="00E52C72">
        <w:rPr>
          <w:rFonts w:ascii="Arial Narrow" w:hAnsi="Arial Narrow"/>
        </w:rPr>
        <w:t xml:space="preserve">, </w:t>
      </w:r>
      <w:r w:rsidR="00EE1E44">
        <w:rPr>
          <w:rFonts w:ascii="Arial Narrow" w:hAnsi="Arial Narrow"/>
        </w:rPr>
        <w:t xml:space="preserve">Berth </w:t>
      </w:r>
      <w:r w:rsidR="00042035">
        <w:rPr>
          <w:rFonts w:ascii="Arial Narrow" w:hAnsi="Arial Narrow"/>
        </w:rPr>
        <w:t xml:space="preserve">considerava </w:t>
      </w:r>
      <w:r w:rsidR="00EE1E44">
        <w:rPr>
          <w:rFonts w:ascii="Arial Narrow" w:hAnsi="Arial Narrow"/>
        </w:rPr>
        <w:t xml:space="preserve">que o socialismo manteria </w:t>
      </w:r>
      <w:r w:rsidR="007135A5">
        <w:rPr>
          <w:rFonts w:ascii="Arial Narrow" w:hAnsi="Arial Narrow"/>
        </w:rPr>
        <w:t>sem alteração as forças produtivas e a tecnologia que lhes presid</w:t>
      </w:r>
      <w:r w:rsidR="00EE1E44">
        <w:rPr>
          <w:rFonts w:ascii="Arial Narrow" w:hAnsi="Arial Narrow"/>
        </w:rPr>
        <w:t>ia</w:t>
      </w:r>
      <w:r w:rsidR="00667075">
        <w:rPr>
          <w:rFonts w:ascii="Arial Narrow" w:hAnsi="Arial Narrow"/>
        </w:rPr>
        <w:t>.</w:t>
      </w:r>
      <w:r w:rsidR="007135A5">
        <w:rPr>
          <w:rFonts w:ascii="Arial Narrow" w:hAnsi="Arial Narrow"/>
        </w:rPr>
        <w:t xml:space="preserve"> </w:t>
      </w:r>
      <w:r w:rsidR="00667075">
        <w:rPr>
          <w:rFonts w:ascii="Arial Narrow" w:hAnsi="Arial Narrow"/>
        </w:rPr>
        <w:t xml:space="preserve">Ora, </w:t>
      </w:r>
      <w:r w:rsidR="00DF4C07">
        <w:rPr>
          <w:rFonts w:ascii="Arial Narrow" w:hAnsi="Arial Narrow"/>
        </w:rPr>
        <w:t xml:space="preserve">enquanto estrutura </w:t>
      </w:r>
      <w:r w:rsidR="00667075">
        <w:rPr>
          <w:rFonts w:ascii="Arial Narrow" w:hAnsi="Arial Narrow"/>
        </w:rPr>
        <w:t>as tecnologias não são neutras e pressupõem dadas formas de trabalho, exig</w:t>
      </w:r>
      <w:r w:rsidR="00042035">
        <w:rPr>
          <w:rFonts w:ascii="Arial Narrow" w:hAnsi="Arial Narrow"/>
        </w:rPr>
        <w:t>indo</w:t>
      </w:r>
      <w:r w:rsidR="00667075">
        <w:rPr>
          <w:rFonts w:ascii="Arial Narrow" w:hAnsi="Arial Narrow"/>
        </w:rPr>
        <w:t xml:space="preserve"> dados tipos de disciplina. </w:t>
      </w:r>
      <w:r w:rsidR="00D816ED">
        <w:rPr>
          <w:rFonts w:ascii="Arial Narrow" w:hAnsi="Arial Narrow"/>
        </w:rPr>
        <w:t>«</w:t>
      </w:r>
      <w:r w:rsidR="00E76545">
        <w:rPr>
          <w:rFonts w:ascii="Arial Narrow" w:hAnsi="Arial Narrow"/>
        </w:rPr>
        <w:t>A</w:t>
      </w:r>
      <w:r w:rsidR="00D816ED">
        <w:rPr>
          <w:rFonts w:ascii="Arial Narrow" w:hAnsi="Arial Narrow"/>
        </w:rPr>
        <w:t xml:space="preserve"> </w:t>
      </w:r>
      <w:r w:rsidR="00E76545">
        <w:rPr>
          <w:rFonts w:ascii="Arial Narrow" w:hAnsi="Arial Narrow"/>
        </w:rPr>
        <w:t xml:space="preserve">gratidão </w:t>
      </w:r>
      <w:r w:rsidR="00D816ED">
        <w:rPr>
          <w:rFonts w:ascii="Arial Narrow" w:hAnsi="Arial Narrow"/>
        </w:rPr>
        <w:t xml:space="preserve">que o sindicalismo </w:t>
      </w:r>
      <w:r w:rsidR="00E76545">
        <w:rPr>
          <w:rFonts w:ascii="Arial Narrow" w:hAnsi="Arial Narrow"/>
        </w:rPr>
        <w:t xml:space="preserve">devota </w:t>
      </w:r>
      <w:r w:rsidR="00D816ED">
        <w:rPr>
          <w:rFonts w:ascii="Arial Narrow" w:hAnsi="Arial Narrow"/>
        </w:rPr>
        <w:t>ao capitalismo não se limita apenas às riquezas materiais que este criou</w:t>
      </w:r>
      <w:r w:rsidR="00886DD7">
        <w:rPr>
          <w:rFonts w:ascii="Arial Narrow" w:hAnsi="Arial Narrow"/>
        </w:rPr>
        <w:t>»</w:t>
      </w:r>
      <w:r w:rsidR="00D816ED">
        <w:rPr>
          <w:rFonts w:ascii="Arial Narrow" w:hAnsi="Arial Narrow"/>
        </w:rPr>
        <w:t xml:space="preserve">, </w:t>
      </w:r>
      <w:r w:rsidR="00886DD7">
        <w:rPr>
          <w:rFonts w:ascii="Arial Narrow" w:hAnsi="Arial Narrow"/>
        </w:rPr>
        <w:t>explicou Berth, «</w:t>
      </w:r>
      <w:r w:rsidR="00D816ED">
        <w:rPr>
          <w:rFonts w:ascii="Arial Narrow" w:hAnsi="Arial Narrow"/>
        </w:rPr>
        <w:t xml:space="preserve">mas também e sobretudo às transformações morais e espirituais que operou no seio das massas operárias que, graças à sua disciplina de ferro, </w:t>
      </w:r>
      <w:r w:rsidR="00FB5E46">
        <w:rPr>
          <w:rFonts w:ascii="Arial Narrow" w:hAnsi="Arial Narrow"/>
        </w:rPr>
        <w:t xml:space="preserve">foram </w:t>
      </w:r>
      <w:r w:rsidR="00660824">
        <w:rPr>
          <w:rFonts w:ascii="Arial Narrow" w:hAnsi="Arial Narrow"/>
        </w:rPr>
        <w:t xml:space="preserve">arrancadas </w:t>
      </w:r>
      <w:r w:rsidR="00E76545">
        <w:rPr>
          <w:rFonts w:ascii="Arial Narrow" w:hAnsi="Arial Narrow"/>
        </w:rPr>
        <w:t>à</w:t>
      </w:r>
      <w:r w:rsidR="00660824">
        <w:rPr>
          <w:rFonts w:ascii="Arial Narrow" w:hAnsi="Arial Narrow"/>
        </w:rPr>
        <w:t xml:space="preserve"> sua preguiça primitiva [...] para se tornarem capazes de um trabalho colectivo cada vez mais </w:t>
      </w:r>
      <w:r w:rsidR="00E76545">
        <w:rPr>
          <w:rFonts w:ascii="Arial Narrow" w:hAnsi="Arial Narrow"/>
        </w:rPr>
        <w:t>perfeito</w:t>
      </w:r>
      <w:r w:rsidR="00660824">
        <w:rPr>
          <w:rFonts w:ascii="Arial Narrow" w:hAnsi="Arial Narrow"/>
        </w:rPr>
        <w:t>»</w:t>
      </w:r>
      <w:r w:rsidR="00042035">
        <w:rPr>
          <w:rStyle w:val="Refdenotaderodap"/>
          <w:rFonts w:ascii="Arial Narrow" w:hAnsi="Arial Narrow"/>
        </w:rPr>
        <w:footnoteReference w:id="259"/>
      </w:r>
      <w:r w:rsidR="00042035">
        <w:rPr>
          <w:rFonts w:ascii="Arial Narrow" w:hAnsi="Arial Narrow"/>
        </w:rPr>
        <w:t>.</w:t>
      </w:r>
      <w:r w:rsidR="00660824">
        <w:rPr>
          <w:rFonts w:ascii="Arial Narrow" w:hAnsi="Arial Narrow"/>
        </w:rPr>
        <w:t xml:space="preserve"> </w:t>
      </w:r>
      <w:r w:rsidR="00F21C63">
        <w:rPr>
          <w:rFonts w:ascii="Arial Narrow" w:hAnsi="Arial Narrow"/>
        </w:rPr>
        <w:t xml:space="preserve">Neste contexto, </w:t>
      </w:r>
      <w:r w:rsidR="0014159E">
        <w:rPr>
          <w:rFonts w:ascii="Arial Narrow" w:hAnsi="Arial Narrow"/>
        </w:rPr>
        <w:t>que sentido pod</w:t>
      </w:r>
      <w:r w:rsidR="009071FB">
        <w:rPr>
          <w:rFonts w:ascii="Arial Narrow" w:hAnsi="Arial Narrow"/>
        </w:rPr>
        <w:t>ia</w:t>
      </w:r>
      <w:r w:rsidR="0014159E">
        <w:rPr>
          <w:rFonts w:ascii="Arial Narrow" w:hAnsi="Arial Narrow"/>
        </w:rPr>
        <w:t xml:space="preserve"> ter a autodisciplina dos trabalhadores senão o de uma autocoa</w:t>
      </w:r>
      <w:r w:rsidR="00E06693">
        <w:rPr>
          <w:rFonts w:ascii="Arial Narrow" w:hAnsi="Arial Narrow"/>
        </w:rPr>
        <w:t>c</w:t>
      </w:r>
      <w:r w:rsidR="0014159E">
        <w:rPr>
          <w:rFonts w:ascii="Arial Narrow" w:hAnsi="Arial Narrow"/>
        </w:rPr>
        <w:t xml:space="preserve">ção? </w:t>
      </w:r>
      <w:r w:rsidR="009071FB">
        <w:rPr>
          <w:rFonts w:ascii="Arial Narrow" w:hAnsi="Arial Narrow"/>
        </w:rPr>
        <w:t>«O sindicalismo reconhece inteiramente que a civilização começou, e tinha de começar, pela coa</w:t>
      </w:r>
      <w:r w:rsidR="00E06693">
        <w:rPr>
          <w:rFonts w:ascii="Arial Narrow" w:hAnsi="Arial Narrow"/>
        </w:rPr>
        <w:t>c</w:t>
      </w:r>
      <w:r w:rsidR="009071FB">
        <w:rPr>
          <w:rFonts w:ascii="Arial Narrow" w:hAnsi="Arial Narrow"/>
        </w:rPr>
        <w:t>ção, que esta coa</w:t>
      </w:r>
      <w:r w:rsidR="00E06693">
        <w:rPr>
          <w:rFonts w:ascii="Arial Narrow" w:hAnsi="Arial Narrow"/>
        </w:rPr>
        <w:t>c</w:t>
      </w:r>
      <w:r w:rsidR="009071FB">
        <w:rPr>
          <w:rFonts w:ascii="Arial Narrow" w:hAnsi="Arial Narrow"/>
        </w:rPr>
        <w:t xml:space="preserve">ção foi salutar, benéfica e criativa e que, se é possível </w:t>
      </w:r>
      <w:r w:rsidR="00B97609">
        <w:rPr>
          <w:rFonts w:ascii="Arial Narrow" w:hAnsi="Arial Narrow"/>
        </w:rPr>
        <w:t xml:space="preserve">ter </w:t>
      </w:r>
      <w:r w:rsidR="009071FB">
        <w:rPr>
          <w:rFonts w:ascii="Arial Narrow" w:hAnsi="Arial Narrow"/>
        </w:rPr>
        <w:t>espera</w:t>
      </w:r>
      <w:r w:rsidR="00B97609">
        <w:rPr>
          <w:rFonts w:ascii="Arial Narrow" w:hAnsi="Arial Narrow"/>
        </w:rPr>
        <w:t>nça</w:t>
      </w:r>
      <w:r w:rsidR="009071FB">
        <w:rPr>
          <w:rFonts w:ascii="Arial Narrow" w:hAnsi="Arial Narrow"/>
        </w:rPr>
        <w:t xml:space="preserve"> </w:t>
      </w:r>
      <w:r w:rsidR="00B97609">
        <w:rPr>
          <w:rFonts w:ascii="Arial Narrow" w:hAnsi="Arial Narrow"/>
        </w:rPr>
        <w:t>n</w:t>
      </w:r>
      <w:r w:rsidR="009071FB">
        <w:rPr>
          <w:rFonts w:ascii="Arial Narrow" w:hAnsi="Arial Narrow"/>
        </w:rPr>
        <w:t>um regime de liberdade, sem tutela de patrões e sem tutela de Estado, é ainda graças a esse mesmo regime de coa</w:t>
      </w:r>
      <w:r w:rsidR="00E06693">
        <w:rPr>
          <w:rFonts w:ascii="Arial Narrow" w:hAnsi="Arial Narrow"/>
        </w:rPr>
        <w:t>c</w:t>
      </w:r>
      <w:r w:rsidR="009071FB">
        <w:rPr>
          <w:rFonts w:ascii="Arial Narrow" w:hAnsi="Arial Narrow"/>
        </w:rPr>
        <w:t xml:space="preserve">ção que disciplinou a humanidade </w:t>
      </w:r>
      <w:r w:rsidR="004A041D">
        <w:rPr>
          <w:rFonts w:ascii="Arial Narrow" w:hAnsi="Arial Narrow"/>
        </w:rPr>
        <w:t>e pouco a pouco a tornou capaz de se elevar ao t</w:t>
      </w:r>
      <w:r w:rsidR="00F637F6">
        <w:rPr>
          <w:rFonts w:ascii="Arial Narrow" w:hAnsi="Arial Narrow"/>
        </w:rPr>
        <w:t>r</w:t>
      </w:r>
      <w:r w:rsidR="004A041D">
        <w:rPr>
          <w:rFonts w:ascii="Arial Narrow" w:hAnsi="Arial Narrow"/>
        </w:rPr>
        <w:t>abalho livre e voluntário»</w:t>
      </w:r>
      <w:r w:rsidR="00042035">
        <w:rPr>
          <w:rStyle w:val="Refdenotaderodap"/>
          <w:rFonts w:ascii="Arial Narrow" w:hAnsi="Arial Narrow"/>
        </w:rPr>
        <w:footnoteReference w:id="260"/>
      </w:r>
      <w:r w:rsidR="00042035">
        <w:rPr>
          <w:rFonts w:ascii="Arial Narrow" w:hAnsi="Arial Narrow"/>
        </w:rPr>
        <w:t>.</w:t>
      </w:r>
      <w:r w:rsidR="004A041D">
        <w:rPr>
          <w:rFonts w:ascii="Arial Narrow" w:hAnsi="Arial Narrow"/>
        </w:rPr>
        <w:t xml:space="preserve"> </w:t>
      </w:r>
      <w:r w:rsidRPr="00F95336">
        <w:rPr>
          <w:rFonts w:ascii="Arial Narrow" w:hAnsi="Arial Narrow"/>
        </w:rPr>
        <w:t xml:space="preserve">Ao definir a liberdade como </w:t>
      </w:r>
      <w:r w:rsidR="00EE514C">
        <w:rPr>
          <w:rFonts w:ascii="Arial Narrow" w:hAnsi="Arial Narrow"/>
        </w:rPr>
        <w:t xml:space="preserve">uma </w:t>
      </w:r>
      <w:r w:rsidRPr="00F95336">
        <w:rPr>
          <w:rFonts w:ascii="Arial Narrow" w:hAnsi="Arial Narrow"/>
        </w:rPr>
        <w:t>autocoa</w:t>
      </w:r>
      <w:r w:rsidR="00E06693">
        <w:rPr>
          <w:rFonts w:ascii="Arial Narrow" w:hAnsi="Arial Narrow"/>
        </w:rPr>
        <w:t>c</w:t>
      </w:r>
      <w:r w:rsidRPr="00F95336">
        <w:rPr>
          <w:rFonts w:ascii="Arial Narrow" w:hAnsi="Arial Narrow"/>
        </w:rPr>
        <w:t>ção e ao admitir, afinal, que o Estado podia extinguir-se quando cada um fosse capaz de se reprimir a si próprio e aos outros</w:t>
      </w:r>
      <w:r w:rsidRPr="00F95336">
        <w:rPr>
          <w:rStyle w:val="Refdenotaderodap"/>
          <w:rFonts w:ascii="Arial Narrow" w:hAnsi="Arial Narrow"/>
        </w:rPr>
        <w:footnoteReference w:id="261"/>
      </w:r>
      <w:r w:rsidRPr="00F95336">
        <w:rPr>
          <w:rFonts w:ascii="Arial Narrow" w:hAnsi="Arial Narrow"/>
        </w:rPr>
        <w:t xml:space="preserve">, Berth não fez mais do que dar nova vida à grande utopia do capitalismo, a de que será possível recuperar perpetuamente os conflitos sociais, de maneira </w:t>
      </w:r>
      <w:r w:rsidR="00DF4C07">
        <w:rPr>
          <w:rFonts w:ascii="Arial Narrow" w:hAnsi="Arial Narrow"/>
        </w:rPr>
        <w:t xml:space="preserve">a </w:t>
      </w:r>
      <w:r w:rsidRPr="00F95336">
        <w:rPr>
          <w:rFonts w:ascii="Arial Narrow" w:hAnsi="Arial Narrow"/>
        </w:rPr>
        <w:t xml:space="preserve">que a liberdade não tenha outro conteúdo senão o de uma repressão consentida. </w:t>
      </w:r>
    </w:p>
    <w:p w:rsidR="00CD12DC" w:rsidRPr="00F95336" w:rsidRDefault="00CD12DC" w:rsidP="00CD12DC">
      <w:pPr>
        <w:rPr>
          <w:rFonts w:ascii="Arial Narrow" w:hAnsi="Arial Narrow"/>
        </w:rPr>
      </w:pPr>
      <w:r w:rsidRPr="00F95336">
        <w:rPr>
          <w:rFonts w:ascii="Arial Narrow" w:hAnsi="Arial Narrow"/>
        </w:rPr>
        <w:t xml:space="preserve">A síntese deste conjunto de temas encontra-se num pequeno artigo de Sergio Panunzio, um dos muitos sindicalistas revolucionários italianos </w:t>
      </w:r>
      <w:r>
        <w:rPr>
          <w:rFonts w:ascii="Arial Narrow" w:hAnsi="Arial Narrow"/>
        </w:rPr>
        <w:t xml:space="preserve">que </w:t>
      </w:r>
      <w:r w:rsidRPr="00F95336">
        <w:rPr>
          <w:rFonts w:ascii="Arial Narrow" w:hAnsi="Arial Narrow"/>
        </w:rPr>
        <w:t>participar</w:t>
      </w:r>
      <w:r>
        <w:rPr>
          <w:rFonts w:ascii="Arial Narrow" w:hAnsi="Arial Narrow"/>
        </w:rPr>
        <w:t>ia</w:t>
      </w:r>
      <w:r w:rsidRPr="00F95336">
        <w:rPr>
          <w:rFonts w:ascii="Arial Narrow" w:hAnsi="Arial Narrow"/>
        </w:rPr>
        <w:t>, alguns anos depois, na fundação dos Fasci di Combattimento. Apesar de ter sido o principal teórico do regime de Mussolini na década de 1920</w:t>
      </w:r>
      <w:r w:rsidRPr="00F95336">
        <w:rPr>
          <w:rStyle w:val="Refdenotaderodap"/>
          <w:rFonts w:ascii="Arial Narrow" w:hAnsi="Arial Narrow"/>
        </w:rPr>
        <w:footnoteReference w:id="262"/>
      </w:r>
      <w:r w:rsidRPr="00F95336">
        <w:rPr>
          <w:rFonts w:ascii="Arial Narrow" w:hAnsi="Arial Narrow"/>
        </w:rPr>
        <w:t xml:space="preserve"> </w:t>
      </w:r>
      <w:r w:rsidR="00886DD7">
        <w:rPr>
          <w:rFonts w:ascii="Arial Narrow" w:hAnsi="Arial Narrow"/>
        </w:rPr>
        <w:t>—</w:t>
      </w:r>
      <w:r w:rsidRPr="00F95336">
        <w:rPr>
          <w:rFonts w:ascii="Arial Narrow" w:hAnsi="Arial Narrow"/>
        </w:rPr>
        <w:t xml:space="preserve"> ou quem sabe se por isto mesmo? </w:t>
      </w:r>
      <w:r w:rsidR="00886DD7">
        <w:rPr>
          <w:rFonts w:ascii="Arial Narrow" w:hAnsi="Arial Narrow"/>
        </w:rPr>
        <w:t>—</w:t>
      </w:r>
      <w:r w:rsidRPr="00F95336">
        <w:rPr>
          <w:rFonts w:ascii="Arial Narrow" w:hAnsi="Arial Narrow"/>
        </w:rPr>
        <w:t xml:space="preserve"> ele manteria uma certa atitude de contestação, defendendo um corporativismo integral e opondo-se à versão moderada </w:t>
      </w:r>
      <w:r w:rsidRPr="00F95336">
        <w:rPr>
          <w:rFonts w:ascii="Arial Narrow" w:hAnsi="Arial Narrow"/>
        </w:rPr>
        <w:lastRenderedPageBreak/>
        <w:t>que o Duce implantara</w:t>
      </w:r>
      <w:r w:rsidRPr="00F95336">
        <w:rPr>
          <w:rStyle w:val="Refdenotaderodap"/>
          <w:rFonts w:ascii="Arial Narrow" w:hAnsi="Arial Narrow"/>
        </w:rPr>
        <w:footnoteReference w:id="263"/>
      </w:r>
      <w:r w:rsidRPr="00F95336">
        <w:rPr>
          <w:rFonts w:ascii="Arial Narrow" w:hAnsi="Arial Narrow"/>
        </w:rPr>
        <w:t xml:space="preserve">. Estes fios com que a história haveria de ser </w:t>
      </w:r>
      <w:r>
        <w:rPr>
          <w:rFonts w:ascii="Arial Narrow" w:hAnsi="Arial Narrow"/>
        </w:rPr>
        <w:t>tecida</w:t>
      </w:r>
      <w:r w:rsidRPr="00F95336">
        <w:rPr>
          <w:rFonts w:ascii="Arial Narrow" w:hAnsi="Arial Narrow"/>
        </w:rPr>
        <w:t xml:space="preserve"> pod</w:t>
      </w:r>
      <w:r>
        <w:rPr>
          <w:rFonts w:ascii="Arial Narrow" w:hAnsi="Arial Narrow"/>
        </w:rPr>
        <w:t>ia</w:t>
      </w:r>
      <w:r w:rsidRPr="00F95336">
        <w:rPr>
          <w:rFonts w:ascii="Arial Narrow" w:hAnsi="Arial Narrow"/>
        </w:rPr>
        <w:t>m deslinda</w:t>
      </w:r>
      <w:r w:rsidR="005804C1">
        <w:rPr>
          <w:rFonts w:ascii="Arial Narrow" w:hAnsi="Arial Narrow"/>
        </w:rPr>
        <w:t>r-se</w:t>
      </w:r>
      <w:r w:rsidRPr="00F95336">
        <w:rPr>
          <w:rFonts w:ascii="Arial Narrow" w:hAnsi="Arial Narrow"/>
        </w:rPr>
        <w:t xml:space="preserve"> desde já </w:t>
      </w:r>
      <w:r>
        <w:rPr>
          <w:rFonts w:ascii="Arial Narrow" w:hAnsi="Arial Narrow"/>
        </w:rPr>
        <w:t>ao</w:t>
      </w:r>
      <w:r w:rsidRPr="00F95336">
        <w:rPr>
          <w:rFonts w:ascii="Arial Narrow" w:hAnsi="Arial Narrow"/>
        </w:rPr>
        <w:t xml:space="preserve"> ve</w:t>
      </w:r>
      <w:r>
        <w:rPr>
          <w:rFonts w:ascii="Arial Narrow" w:hAnsi="Arial Narrow"/>
        </w:rPr>
        <w:t>r</w:t>
      </w:r>
      <w:r w:rsidRPr="00F95336">
        <w:rPr>
          <w:rFonts w:ascii="Arial Narrow" w:hAnsi="Arial Narrow"/>
        </w:rPr>
        <w:t>mos Panunzio considerar que o princípio geral da autoridade dominava toda a vida social, sendo o Estado burguês apenas uma das suas manifestações. Por isso, continu</w:t>
      </w:r>
      <w:r>
        <w:rPr>
          <w:rFonts w:ascii="Arial Narrow" w:hAnsi="Arial Narrow"/>
        </w:rPr>
        <w:t>ou</w:t>
      </w:r>
      <w:r w:rsidRPr="00F95336">
        <w:rPr>
          <w:rFonts w:ascii="Arial Narrow" w:hAnsi="Arial Narrow"/>
        </w:rPr>
        <w:t xml:space="preserve"> ele, os sindicalistas revolucionários, se combatiam o Estado, destacavam-se dos anarquistas por não porem em causa a autoridade. «[...] o sindicalismo é </w:t>
      </w:r>
      <w:r w:rsidRPr="00F95336">
        <w:rPr>
          <w:rFonts w:ascii="Arial Narrow" w:hAnsi="Arial Narrow"/>
          <w:i/>
        </w:rPr>
        <w:t>antiestatista</w:t>
      </w:r>
      <w:r w:rsidRPr="00F95336">
        <w:rPr>
          <w:rFonts w:ascii="Arial Narrow" w:hAnsi="Arial Narrow"/>
        </w:rPr>
        <w:t xml:space="preserve"> por definição, mas não </w:t>
      </w:r>
      <w:r w:rsidRPr="00F95336">
        <w:rPr>
          <w:rFonts w:ascii="Arial Narrow" w:hAnsi="Arial Narrow"/>
          <w:i/>
        </w:rPr>
        <w:t>antiautoritário</w:t>
      </w:r>
      <w:r w:rsidRPr="00F95336">
        <w:rPr>
          <w:rFonts w:ascii="Arial Narrow" w:hAnsi="Arial Narrow"/>
        </w:rPr>
        <w:t>». Era a disciplina de empresa que exigia a autoridade. O capitalista tornara-se supérfluo, mas a direcção técnica da empresa mantinha-se indispensável. «Quando a exploração inerente ao organismo da empresa capitalista for eliminada pela unificação e pela associação livre dos factores produtivos, já nas mãos dos operários sindicalizados</w:t>
      </w:r>
      <w:r w:rsidR="00886DD7">
        <w:rPr>
          <w:rFonts w:ascii="Arial Narrow" w:hAnsi="Arial Narrow"/>
        </w:rPr>
        <w:t>»</w:t>
      </w:r>
      <w:r w:rsidRPr="00F95336">
        <w:rPr>
          <w:rFonts w:ascii="Arial Narrow" w:hAnsi="Arial Narrow"/>
        </w:rPr>
        <w:t>,</w:t>
      </w:r>
      <w:r w:rsidR="00886DD7">
        <w:rPr>
          <w:rFonts w:ascii="Arial Narrow" w:hAnsi="Arial Narrow"/>
        </w:rPr>
        <w:t xml:space="preserve"> conjecturou Panunzio, «</w:t>
      </w:r>
      <w:r w:rsidRPr="00F95336">
        <w:rPr>
          <w:rFonts w:ascii="Arial Narrow" w:hAnsi="Arial Narrow"/>
        </w:rPr>
        <w:t>continuará a haver grupos de produtores que terão necessidade de um regime técnico, de uma direcção. Mesmo no regime económico operário instituído pelos sindicatos, sem classe patronal nem Estado, existirá um princípio autoritário, chamemos-lhe assim, que resulta inevitavelmente das imperiosas necessidades técnicas do trabalho e da produção»</w:t>
      </w:r>
      <w:r w:rsidRPr="00F95336">
        <w:rPr>
          <w:rStyle w:val="Refdenotaderodap"/>
          <w:rFonts w:ascii="Arial Narrow" w:hAnsi="Arial Narrow"/>
        </w:rPr>
        <w:footnoteReference w:id="264"/>
      </w:r>
      <w:r w:rsidRPr="00F95336">
        <w:rPr>
          <w:rFonts w:ascii="Arial Narrow" w:hAnsi="Arial Narrow"/>
        </w:rPr>
        <w:t xml:space="preserve">. Partindo da acção de uma vanguarda num quadro que parecia dedicado à autonomia proletária, os sindicalistas revolucionários </w:t>
      </w:r>
      <w:r w:rsidR="007340C6">
        <w:rPr>
          <w:rFonts w:ascii="Arial Narrow" w:hAnsi="Arial Narrow"/>
        </w:rPr>
        <w:t>acabaram por</w:t>
      </w:r>
      <w:r w:rsidRPr="00F95336">
        <w:rPr>
          <w:rFonts w:ascii="Arial Narrow" w:hAnsi="Arial Narrow"/>
        </w:rPr>
        <w:t xml:space="preserve"> proceder a uma apologia do autoritarismo tecnocrático. A criação de novas instituições no decurso do processo de luta </w:t>
      </w:r>
      <w:r w:rsidR="007340C6">
        <w:rPr>
          <w:rFonts w:ascii="Arial Narrow" w:hAnsi="Arial Narrow"/>
        </w:rPr>
        <w:t>revelou-se</w:t>
      </w:r>
      <w:r w:rsidRPr="00F95336">
        <w:rPr>
          <w:rFonts w:ascii="Arial Narrow" w:hAnsi="Arial Narrow"/>
        </w:rPr>
        <w:t xml:space="preserve">, afinal, como uma redução de todos os horizontes sociais aos limites da empresa e como um reforço da disciplina de empresa. </w:t>
      </w:r>
    </w:p>
    <w:p w:rsidR="00CD12DC" w:rsidRPr="00F95336" w:rsidRDefault="00CD12DC" w:rsidP="00CD12DC">
      <w:pPr>
        <w:rPr>
          <w:rFonts w:ascii="Arial Narrow" w:hAnsi="Arial Narrow"/>
        </w:rPr>
      </w:pPr>
      <w:r w:rsidRPr="00F95336">
        <w:rPr>
          <w:rFonts w:ascii="Arial Narrow" w:hAnsi="Arial Narrow"/>
        </w:rPr>
        <w:t>Esta teoria das vanguardas degenerou num elitismo em que inelutavelmente se reconstruiu o princípio da autoridade e do Estado. De novo dou a palavra a um dos estudiosos desta problemática</w:t>
      </w:r>
      <w:r w:rsidR="007340C6">
        <w:rPr>
          <w:rFonts w:ascii="Arial Narrow" w:hAnsi="Arial Narrow"/>
        </w:rPr>
        <w:t>:</w:t>
      </w:r>
      <w:r w:rsidRPr="00F95336">
        <w:rPr>
          <w:rFonts w:ascii="Arial Narrow" w:hAnsi="Arial Narrow"/>
        </w:rPr>
        <w:t xml:space="preserve"> «[...] uma sociedade fundada nos critérios expostos por Sorel, Berth, Pouget, Lagardelle ou Griffuelhes teria apresentado as características principais do tipo ideal de uma sociedade fascista. Conduzida “pelos conscientes, os revoltados” [Pouget], que têm um desprezo sem limites pela democracia [...] e pelo modo de vida da sociedade burguesa, esta sociedade sindicalista pretendia moldar um novo tipo de homem, movido “pela ousadia, pela disciplina maravilhosa” que emana “do exército dos trabalhadores” em greve [Berth] [...] Os sindicalistas revolucionários consideram-se uma nova aristocracia, conduzindo à guerra </w:t>
      </w:r>
      <w:r w:rsidR="00886DD7">
        <w:rPr>
          <w:rFonts w:ascii="Arial Narrow" w:hAnsi="Arial Narrow"/>
        </w:rPr>
        <w:t>—</w:t>
      </w:r>
      <w:r w:rsidRPr="00F95336">
        <w:rPr>
          <w:rFonts w:ascii="Arial Narrow" w:hAnsi="Arial Narrow"/>
        </w:rPr>
        <w:t xml:space="preserve"> a guerra social </w:t>
      </w:r>
      <w:r w:rsidR="00886DD7">
        <w:rPr>
          <w:rFonts w:ascii="Arial Narrow" w:hAnsi="Arial Narrow"/>
        </w:rPr>
        <w:t>—</w:t>
      </w:r>
      <w:r w:rsidRPr="00F95336">
        <w:rPr>
          <w:rFonts w:ascii="Arial Narrow" w:hAnsi="Arial Narrow"/>
        </w:rPr>
        <w:t xml:space="preserve"> o imenso exército dos proletários. [...] O ímpeto revolucionário passa [...] a depender da fé e da vontade, e já não de uma consciência da evolução histórica. Isto explica que o encontro com a </w:t>
      </w:r>
      <w:r w:rsidRPr="00F95336">
        <w:rPr>
          <w:rFonts w:ascii="Arial Narrow" w:hAnsi="Arial Narrow"/>
        </w:rPr>
        <w:lastRenderedPageBreak/>
        <w:t>Action Française não tenha sido fortuito, resultando de uma concepção muito similar do bem político e das forças históricas»</w:t>
      </w:r>
      <w:r w:rsidRPr="00F95336">
        <w:rPr>
          <w:rStyle w:val="Refdenotaderodap"/>
          <w:rFonts w:ascii="Arial Narrow" w:hAnsi="Arial Narrow"/>
        </w:rPr>
        <w:footnoteReference w:id="265"/>
      </w:r>
      <w:r w:rsidRPr="00F95336">
        <w:rPr>
          <w:rFonts w:ascii="Arial Narrow" w:hAnsi="Arial Narrow"/>
        </w:rPr>
        <w:t xml:space="preserve">. Mas, e Sorel? </w:t>
      </w:r>
    </w:p>
    <w:p w:rsidR="00CD12DC" w:rsidRPr="00F95336" w:rsidRDefault="00CD12DC" w:rsidP="00CD12DC">
      <w:pPr>
        <w:rPr>
          <w:rFonts w:ascii="Arial Narrow" w:hAnsi="Arial Narrow"/>
        </w:rPr>
      </w:pPr>
      <w:r w:rsidRPr="00F95336">
        <w:rPr>
          <w:rFonts w:ascii="Arial Narrow" w:hAnsi="Arial Narrow"/>
        </w:rPr>
        <w:t xml:space="preserve">Em </w:t>
      </w:r>
      <w:r w:rsidRPr="00F95336">
        <w:rPr>
          <w:rFonts w:ascii="Arial Narrow" w:hAnsi="Arial Narrow"/>
          <w:i/>
        </w:rPr>
        <w:t>Les Illusions du Progrès,</w:t>
      </w:r>
      <w:r w:rsidRPr="00F95336">
        <w:rPr>
          <w:rFonts w:ascii="Arial Narrow" w:hAnsi="Arial Narrow"/>
        </w:rPr>
        <w:t xml:space="preserve"> apesar de ter considerado a ciência como expressão do meio social, admitindo, por exemplo, que «a lei da aceleração dos graves se tivesse apresentado a Galileu em virtude de analogias políticas», já que «o poderio dos monarcas se tornara suficientemente absoluto para poder ser visto como um tipo de força constante»</w:t>
      </w:r>
      <w:r w:rsidRPr="00F95336">
        <w:rPr>
          <w:rStyle w:val="Refdenotaderodap"/>
          <w:rFonts w:ascii="Arial Narrow" w:hAnsi="Arial Narrow"/>
        </w:rPr>
        <w:footnoteReference w:id="266"/>
      </w:r>
      <w:r w:rsidRPr="00F95336">
        <w:rPr>
          <w:rFonts w:ascii="Arial Narrow" w:hAnsi="Arial Narrow"/>
        </w:rPr>
        <w:t>, Sorel limitou este relativismo a épocas passadas e erigiu a actividade científica do seu tempo em critério para o estabelecimento de hierarquias e em fonte da sua legitimação. É sugestivo que num livro onde a cada passo insisti</w:t>
      </w:r>
      <w:r>
        <w:rPr>
          <w:rFonts w:ascii="Arial Narrow" w:hAnsi="Arial Narrow"/>
        </w:rPr>
        <w:t>u</w:t>
      </w:r>
      <w:r w:rsidRPr="00F95336">
        <w:rPr>
          <w:rFonts w:ascii="Arial Narrow" w:hAnsi="Arial Narrow"/>
        </w:rPr>
        <w:t xml:space="preserve"> no tema da decadência, Sorel detectasse no capitalismo a existência de um </w:t>
      </w:r>
      <w:r w:rsidRPr="00F95336">
        <w:rPr>
          <w:rFonts w:ascii="Arial Narrow" w:hAnsi="Arial Narrow"/>
          <w:i/>
        </w:rPr>
        <w:t>«progresso real»,</w:t>
      </w:r>
      <w:r w:rsidRPr="00F95336">
        <w:rPr>
          <w:rFonts w:ascii="Arial Narrow" w:hAnsi="Arial Narrow"/>
        </w:rPr>
        <w:t xml:space="preserve"> constituído pela «técnica da produção» que, assegurando por um lado o conforto dos patrões, por outro lado «é a condição necessária da revolução socialista»</w:t>
      </w:r>
      <w:r w:rsidRPr="00F95336">
        <w:rPr>
          <w:rStyle w:val="Refdenotaderodap"/>
          <w:rFonts w:ascii="Arial Narrow" w:hAnsi="Arial Narrow"/>
        </w:rPr>
        <w:footnoteReference w:id="267"/>
      </w:r>
      <w:r w:rsidRPr="00F95336">
        <w:rPr>
          <w:rFonts w:ascii="Arial Narrow" w:hAnsi="Arial Narrow"/>
        </w:rPr>
        <w:t>. Inesperadamente, o engenheiro Sorel encontr</w:t>
      </w:r>
      <w:r>
        <w:rPr>
          <w:rFonts w:ascii="Arial Narrow" w:hAnsi="Arial Narrow"/>
        </w:rPr>
        <w:t>ou</w:t>
      </w:r>
      <w:r w:rsidRPr="00F95336">
        <w:rPr>
          <w:rFonts w:ascii="Arial Narrow" w:hAnsi="Arial Narrow"/>
        </w:rPr>
        <w:t>-se aqui com os defensores da ortodoxia marxista que tanto abominava, pois também eles atribuíam um carácter de neutralidade social às forças produtivas e consideravam-nas como a base do socialismo. Nesta apologia da tecnologia capitalista Sorel supôs mesmo que a capacidade de inovação e de invenção dos operários deveria desenvolver-se em contacto com as máquinas</w:t>
      </w:r>
      <w:r w:rsidRPr="00F95336">
        <w:rPr>
          <w:rStyle w:val="Refdenotaderodap"/>
          <w:rFonts w:ascii="Arial Narrow" w:hAnsi="Arial Narrow"/>
        </w:rPr>
        <w:footnoteReference w:id="268"/>
      </w:r>
      <w:r w:rsidRPr="00F95336">
        <w:rPr>
          <w:rFonts w:ascii="Arial Narrow" w:hAnsi="Arial Narrow"/>
        </w:rPr>
        <w:t>. «A oficina moderna», escreveu ele, «é um campo de experiências que incita permanentemente o trabalhador à pesquisa científica»</w:t>
      </w:r>
      <w:r w:rsidRPr="00F95336">
        <w:rPr>
          <w:rStyle w:val="Refdenotaderodap"/>
          <w:rFonts w:ascii="Arial Narrow" w:hAnsi="Arial Narrow"/>
        </w:rPr>
        <w:footnoteReference w:id="269"/>
      </w:r>
      <w:r w:rsidRPr="00F95336">
        <w:rPr>
          <w:rFonts w:ascii="Arial Narrow" w:hAnsi="Arial Narrow"/>
        </w:rPr>
        <w:t xml:space="preserve">. Em lugar </w:t>
      </w:r>
      <w:r w:rsidR="00551A84">
        <w:rPr>
          <w:rFonts w:ascii="Arial Narrow" w:hAnsi="Arial Narrow"/>
        </w:rPr>
        <w:t>nenhum</w:t>
      </w:r>
      <w:r w:rsidRPr="00F95336">
        <w:rPr>
          <w:rFonts w:ascii="Arial Narrow" w:hAnsi="Arial Narrow"/>
        </w:rPr>
        <w:t xml:space="preserve"> Sorel mostr</w:t>
      </w:r>
      <w:r>
        <w:rPr>
          <w:rFonts w:ascii="Arial Narrow" w:hAnsi="Arial Narrow"/>
        </w:rPr>
        <w:t>ou</w:t>
      </w:r>
      <w:r w:rsidRPr="00F95336">
        <w:rPr>
          <w:rFonts w:ascii="Arial Narrow" w:hAnsi="Arial Narrow"/>
        </w:rPr>
        <w:t xml:space="preserve"> indícios de ter percebido que a maquinaria capitalista tem, entre outros, o objectivo de retirar aos trabalhadores qualquer controlo físico ou mental sobre </w:t>
      </w:r>
      <w:r w:rsidR="00C6146E">
        <w:rPr>
          <w:rFonts w:ascii="Arial Narrow" w:hAnsi="Arial Narrow"/>
        </w:rPr>
        <w:t xml:space="preserve">o conjunto </w:t>
      </w:r>
      <w:r w:rsidR="000470FF">
        <w:rPr>
          <w:rFonts w:ascii="Arial Narrow" w:hAnsi="Arial Narrow"/>
        </w:rPr>
        <w:t>d</w:t>
      </w:r>
      <w:r w:rsidRPr="00F95336">
        <w:rPr>
          <w:rFonts w:ascii="Arial Narrow" w:hAnsi="Arial Narrow"/>
        </w:rPr>
        <w:t xml:space="preserve">o processo de produção. Mas </w:t>
      </w:r>
      <w:r>
        <w:rPr>
          <w:rFonts w:ascii="Arial Narrow" w:hAnsi="Arial Narrow"/>
        </w:rPr>
        <w:t>aquele</w:t>
      </w:r>
      <w:r w:rsidRPr="00F95336">
        <w:rPr>
          <w:rFonts w:ascii="Arial Narrow" w:hAnsi="Arial Narrow"/>
        </w:rPr>
        <w:t xml:space="preserve"> pretenso estímulo à participação intelectual criativa ocorreria na prática de uma forma singular, porque seria nas fábricas que </w:t>
      </w:r>
      <w:r w:rsidRPr="00554F3E">
        <w:rPr>
          <w:rFonts w:ascii="Arial Narrow" w:hAnsi="Arial Narrow"/>
        </w:rPr>
        <w:t xml:space="preserve">as novas autoridades sociais </w:t>
      </w:r>
      <w:r w:rsidRPr="00F95336">
        <w:rPr>
          <w:rFonts w:ascii="Arial Narrow" w:hAnsi="Arial Narrow"/>
        </w:rPr>
        <w:t xml:space="preserve">encontrariam fundamento, reproduzindo a hierarquia inerente à actividade científica tal como ela ocorre no capitalismo. Compreende-se assim que Sorel insistisse repetidamente no carácter especializado da ciência, a ponto de ter criticado aos enciclopedistas e em geral </w:t>
      </w:r>
      <w:r w:rsidR="0077022A">
        <w:rPr>
          <w:rFonts w:ascii="Arial Narrow" w:hAnsi="Arial Narrow"/>
        </w:rPr>
        <w:t>à</w:t>
      </w:r>
      <w:r w:rsidRPr="00F95336">
        <w:rPr>
          <w:rFonts w:ascii="Arial Narrow" w:hAnsi="Arial Narrow"/>
        </w:rPr>
        <w:t xml:space="preserve"> filosofia das luzes a pretensão de porem os conhecimentos científicos, e até a prática científica, ao alcance de todos</w:t>
      </w:r>
      <w:r w:rsidRPr="00F95336">
        <w:rPr>
          <w:rStyle w:val="Refdenotaderodap"/>
          <w:rFonts w:ascii="Arial Narrow" w:hAnsi="Arial Narrow"/>
        </w:rPr>
        <w:footnoteReference w:id="270"/>
      </w:r>
      <w:r w:rsidRPr="00F95336">
        <w:rPr>
          <w:rFonts w:ascii="Arial Narrow" w:hAnsi="Arial Narrow"/>
        </w:rPr>
        <w:t xml:space="preserve">. Tocamos aqui o </w:t>
      </w:r>
      <w:r w:rsidR="00C6146E">
        <w:rPr>
          <w:rFonts w:ascii="Arial Narrow" w:hAnsi="Arial Narrow"/>
        </w:rPr>
        <w:t xml:space="preserve">âmago </w:t>
      </w:r>
      <w:r w:rsidRPr="00F95336">
        <w:rPr>
          <w:rFonts w:ascii="Arial Narrow" w:hAnsi="Arial Narrow"/>
        </w:rPr>
        <w:t xml:space="preserve">das contradições de Sorel, pois ao mesmo tempo que apelava para que os proletários produzissem o seu próprio saber e os seus sistemas de pensamento, estimulava as ambições de domínio da tecnocracia de formação </w:t>
      </w:r>
      <w:r w:rsidRPr="00F95336">
        <w:rPr>
          <w:rFonts w:ascii="Arial Narrow" w:hAnsi="Arial Narrow"/>
        </w:rPr>
        <w:lastRenderedPageBreak/>
        <w:t xml:space="preserve">científica. Num apêndice datado de 1920, ao interpretar uma passagem de </w:t>
      </w:r>
      <w:r w:rsidRPr="00F95336">
        <w:rPr>
          <w:rFonts w:ascii="Arial Narrow" w:hAnsi="Arial Narrow"/>
          <w:i/>
        </w:rPr>
        <w:t>O Capital,</w:t>
      </w:r>
      <w:r w:rsidRPr="00F95336">
        <w:rPr>
          <w:rFonts w:ascii="Arial Narrow" w:hAnsi="Arial Narrow"/>
        </w:rPr>
        <w:t xml:space="preserve"> Sorel imaginou que «a oficina socialista reunirá produtores cujo espírito estará sempre desperto para criticar as práticas adquiridas, que serão orientados por contramestres semelhantes aos preparadores dos professores de química e à cabeça dos quais se encontrarão engenheiros que falarão aos seus homens como um professor fala aos seus alunos»</w:t>
      </w:r>
      <w:r w:rsidRPr="00F95336">
        <w:rPr>
          <w:rStyle w:val="Refdenotaderodap"/>
          <w:rFonts w:ascii="Arial Narrow" w:hAnsi="Arial Narrow"/>
        </w:rPr>
        <w:footnoteReference w:id="271"/>
      </w:r>
      <w:r w:rsidRPr="00F95336">
        <w:rPr>
          <w:rFonts w:ascii="Arial Narrow" w:hAnsi="Arial Narrow"/>
        </w:rPr>
        <w:t xml:space="preserve">. Não podia ser mais clara a conversão da hierarquia universitária em modelo da hierarquia fabril, de modo que os tecnocratas, os «engenheiros», encontrariam legitimação naquela figura que os franceses denominam </w:t>
      </w:r>
      <w:r w:rsidRPr="00F95336">
        <w:rPr>
          <w:rFonts w:ascii="Arial Narrow" w:hAnsi="Arial Narrow"/>
          <w:i/>
        </w:rPr>
        <w:t>le mandarin,</w:t>
      </w:r>
      <w:r w:rsidRPr="00F95336">
        <w:rPr>
          <w:rFonts w:ascii="Arial Narrow" w:hAnsi="Arial Narrow"/>
        </w:rPr>
        <w:t xml:space="preserve"> o professor aceite como </w:t>
      </w:r>
      <w:r w:rsidRPr="00F95336">
        <w:rPr>
          <w:rFonts w:ascii="Arial Narrow" w:hAnsi="Arial Narrow"/>
          <w:i/>
        </w:rPr>
        <w:t>maître à penser</w:t>
      </w:r>
      <w:r w:rsidRPr="00F95336">
        <w:rPr>
          <w:rFonts w:ascii="Arial Narrow" w:hAnsi="Arial Narrow"/>
        </w:rPr>
        <w:t>. Ora, «a oficina socialista» herdaria «as qualidades desenvolvidas pela oficina progressista no regime capitalista»</w:t>
      </w:r>
      <w:r w:rsidRPr="00F95336">
        <w:rPr>
          <w:rStyle w:val="Refdenotaderodap"/>
          <w:rFonts w:ascii="Arial Narrow" w:hAnsi="Arial Narrow"/>
        </w:rPr>
        <w:footnoteReference w:id="272"/>
      </w:r>
      <w:r w:rsidRPr="00F95336">
        <w:rPr>
          <w:rFonts w:ascii="Arial Narrow" w:hAnsi="Arial Narrow"/>
        </w:rPr>
        <w:t>, o que significa que Sorel segui</w:t>
      </w:r>
      <w:r>
        <w:rPr>
          <w:rFonts w:ascii="Arial Narrow" w:hAnsi="Arial Narrow"/>
        </w:rPr>
        <w:t>u</w:t>
      </w:r>
      <w:r w:rsidRPr="00F95336">
        <w:rPr>
          <w:rFonts w:ascii="Arial Narrow" w:hAnsi="Arial Narrow"/>
        </w:rPr>
        <w:t xml:space="preserve"> neste aspecto crucial a vulgata marxista e consider</w:t>
      </w:r>
      <w:r>
        <w:rPr>
          <w:rFonts w:ascii="Arial Narrow" w:hAnsi="Arial Narrow"/>
        </w:rPr>
        <w:t>ou</w:t>
      </w:r>
      <w:r w:rsidRPr="00F95336">
        <w:rPr>
          <w:rFonts w:ascii="Arial Narrow" w:hAnsi="Arial Narrow"/>
        </w:rPr>
        <w:t xml:space="preserve"> que o crescimento das forças produtivas capitalistas era a </w:t>
      </w:r>
      <w:r w:rsidRPr="00F95336">
        <w:rPr>
          <w:rFonts w:ascii="Arial Narrow" w:hAnsi="Arial Narrow"/>
          <w:i/>
        </w:rPr>
        <w:t>«ponte económica»</w:t>
      </w:r>
      <w:r w:rsidRPr="00F95336">
        <w:rPr>
          <w:rFonts w:ascii="Arial Narrow" w:hAnsi="Arial Narrow"/>
        </w:rPr>
        <w:t xml:space="preserve"> que conduzia ao socialismo</w:t>
      </w:r>
      <w:r w:rsidRPr="00F95336">
        <w:rPr>
          <w:rStyle w:val="Refdenotaderodap"/>
          <w:rFonts w:ascii="Arial Narrow" w:hAnsi="Arial Narrow"/>
        </w:rPr>
        <w:footnoteReference w:id="273"/>
      </w:r>
      <w:r w:rsidRPr="00F95336">
        <w:rPr>
          <w:rFonts w:ascii="Arial Narrow" w:hAnsi="Arial Narrow"/>
        </w:rPr>
        <w:t>. Uma ciência mitificada, porque isolada do seu condicionamento social, servia de elemento de ligação entre dois modos de produção antagónicos, e nesta legitimação da tecnocracia Sorel invocou a caução do leninismo. Referindo-se com ironia aos «burgueses» que pretendiam que o bolchevismo havia cedido à necessidade de recorrer aos «intelectuais», Sorel argumentou que aqueles a quem Lenin «tivera de oferecer remunerações consideráveis» não eram políticos nem especuladores das finanças, mas «organizadores de empresas», «engenheiros» e «todo o tipo de especialistas estrangeiros»</w:t>
      </w:r>
      <w:r w:rsidRPr="00F95336">
        <w:rPr>
          <w:rStyle w:val="Refdenotaderodap"/>
          <w:rFonts w:ascii="Arial Narrow" w:hAnsi="Arial Narrow"/>
        </w:rPr>
        <w:footnoteReference w:id="274"/>
      </w:r>
      <w:r w:rsidRPr="00F95336">
        <w:rPr>
          <w:rFonts w:ascii="Arial Narrow" w:hAnsi="Arial Narrow"/>
        </w:rPr>
        <w:t>. Todavia, é possível detectar os fundamentos dest</w:t>
      </w:r>
      <w:r w:rsidR="00C84BCB">
        <w:rPr>
          <w:rFonts w:ascii="Arial Narrow" w:hAnsi="Arial Narrow"/>
        </w:rPr>
        <w:t xml:space="preserve">e </w:t>
      </w:r>
      <w:r w:rsidRPr="00F95336">
        <w:rPr>
          <w:rFonts w:ascii="Arial Narrow" w:hAnsi="Arial Narrow"/>
        </w:rPr>
        <w:t>elitis</w:t>
      </w:r>
      <w:r w:rsidR="00C84BCB">
        <w:rPr>
          <w:rFonts w:ascii="Arial Narrow" w:hAnsi="Arial Narrow"/>
        </w:rPr>
        <w:t>mo</w:t>
      </w:r>
      <w:r w:rsidRPr="00F95336">
        <w:rPr>
          <w:rFonts w:ascii="Arial Narrow" w:hAnsi="Arial Narrow"/>
        </w:rPr>
        <w:t xml:space="preserve"> já anteriormente à publicação de </w:t>
      </w:r>
      <w:r w:rsidRPr="00F95336">
        <w:rPr>
          <w:rFonts w:ascii="Arial Narrow" w:hAnsi="Arial Narrow"/>
          <w:i/>
        </w:rPr>
        <w:t>Les Illusions du Progrés</w:t>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Nas </w:t>
      </w:r>
      <w:r w:rsidRPr="00F95336">
        <w:rPr>
          <w:rFonts w:ascii="Arial Narrow" w:hAnsi="Arial Narrow"/>
          <w:i/>
        </w:rPr>
        <w:t>Réflexions sur la Violence</w:t>
      </w:r>
      <w:r w:rsidRPr="00F95336">
        <w:rPr>
          <w:rFonts w:ascii="Arial Narrow" w:hAnsi="Arial Narrow"/>
        </w:rPr>
        <w:t xml:space="preserve"> Sorel afirmara claramente o seu antipatriotismo, escrevendo que «o antipatriotismo tornou-se um elemento essencial do programa sindicalista»</w:t>
      </w:r>
      <w:r w:rsidRPr="00F95336">
        <w:rPr>
          <w:rStyle w:val="Refdenotaderodap"/>
          <w:rFonts w:ascii="Arial Narrow" w:hAnsi="Arial Narrow"/>
        </w:rPr>
        <w:footnoteReference w:id="275"/>
      </w:r>
      <w:r w:rsidRPr="00F95336">
        <w:rPr>
          <w:rFonts w:ascii="Arial Narrow" w:hAnsi="Arial Narrow"/>
        </w:rPr>
        <w:t>. Não foi o nacionalismo, mas o elitismo, a primeira ponte a ligar esta esquerda revolucionária à direita radical. No entanto, Sorel manifestara-se também contrário ao elitismo, e parece que com não menos nitidez</w:t>
      </w:r>
      <w:r w:rsidR="009B00DA">
        <w:rPr>
          <w:rFonts w:ascii="Arial Narrow" w:hAnsi="Arial Narrow"/>
        </w:rPr>
        <w:t>.</w:t>
      </w:r>
      <w:r w:rsidRPr="00F95336">
        <w:rPr>
          <w:rFonts w:ascii="Arial Narrow" w:hAnsi="Arial Narrow"/>
        </w:rPr>
        <w:t xml:space="preserve"> «A elite politiqueira não tem mais nada para fazer senão aplicar a sua inteligência, e acha que o facto de o proletariado trabalhar para sustentá-la está em perfeita conformidade com os princípios da Justiça Imanente (de que ela é a proprietária) [...]»</w:t>
      </w:r>
      <w:r w:rsidRPr="00F95336">
        <w:rPr>
          <w:rStyle w:val="Refdenotaderodap"/>
          <w:rFonts w:ascii="Arial Narrow" w:hAnsi="Arial Narrow"/>
        </w:rPr>
        <w:footnoteReference w:id="276"/>
      </w:r>
      <w:r w:rsidRPr="00F95336">
        <w:rPr>
          <w:rFonts w:ascii="Arial Narrow" w:hAnsi="Arial Narrow"/>
        </w:rPr>
        <w:t>. Sorel partira mesmo da crítica ao elitismo para analisar o problema da burocratização dos partidos socialistas</w:t>
      </w:r>
      <w:r w:rsidR="009B00DA">
        <w:rPr>
          <w:rFonts w:ascii="Arial Narrow" w:hAnsi="Arial Narrow"/>
        </w:rPr>
        <w:t>.</w:t>
      </w:r>
      <w:r w:rsidRPr="00F95336">
        <w:rPr>
          <w:rFonts w:ascii="Arial Narrow" w:hAnsi="Arial Narrow"/>
        </w:rPr>
        <w:t xml:space="preserve"> «[...] os funcionários do socialismo falam constantemente do Partido como um organismo possuidor de vida própria»</w:t>
      </w:r>
      <w:r w:rsidRPr="00F95336">
        <w:rPr>
          <w:rStyle w:val="Refdenotaderodap"/>
          <w:rFonts w:ascii="Arial Narrow" w:hAnsi="Arial Narrow"/>
        </w:rPr>
        <w:footnoteReference w:id="277"/>
      </w:r>
      <w:r w:rsidRPr="00F95336">
        <w:rPr>
          <w:rFonts w:ascii="Arial Narrow" w:hAnsi="Arial Narrow"/>
        </w:rPr>
        <w:t xml:space="preserve">. E daí previra sem grande dificuldade o que havia de </w:t>
      </w:r>
      <w:r w:rsidRPr="00F95336">
        <w:rPr>
          <w:rFonts w:ascii="Arial Narrow" w:hAnsi="Arial Narrow"/>
        </w:rPr>
        <w:lastRenderedPageBreak/>
        <w:t>suceder quando os socialistas alcançassem os seus objectivos</w:t>
      </w:r>
      <w:r w:rsidR="009B00DA">
        <w:rPr>
          <w:rFonts w:ascii="Arial Narrow" w:hAnsi="Arial Narrow"/>
        </w:rPr>
        <w:t>.</w:t>
      </w:r>
      <w:r w:rsidRPr="00F95336">
        <w:rPr>
          <w:rFonts w:ascii="Arial Narrow" w:hAnsi="Arial Narrow"/>
        </w:rPr>
        <w:t xml:space="preserve"> «[...] a ditadura do proletariado corresponde a uma divisão da sociedade em senhores e súbditos [...]»</w:t>
      </w:r>
      <w:r w:rsidRPr="00F95336">
        <w:rPr>
          <w:rStyle w:val="Refdenotaderodap"/>
          <w:rFonts w:ascii="Arial Narrow" w:hAnsi="Arial Narrow"/>
        </w:rPr>
        <w:footnoteReference w:id="278"/>
      </w:r>
      <w:r w:rsidRPr="00F95336">
        <w:rPr>
          <w:rFonts w:ascii="Arial Narrow" w:hAnsi="Arial Narrow"/>
        </w:rPr>
        <w:t>. Logo a seguir chamara-lhe uma «ditadura da politicagem» e explicara-lhe o mecanismo elementar</w:t>
      </w:r>
      <w:r w:rsidR="009B00DA">
        <w:rPr>
          <w:rFonts w:ascii="Arial Narrow" w:hAnsi="Arial Narrow"/>
        </w:rPr>
        <w:t>.</w:t>
      </w:r>
      <w:r w:rsidRPr="00F95336">
        <w:rPr>
          <w:rFonts w:ascii="Arial Narrow" w:hAnsi="Arial Narrow"/>
        </w:rPr>
        <w:t xml:space="preserve"> «A história da revolução francesa mostra-nos como as coisas se passam. Os revolucionários adoptam medidas tais que o seu pessoal administrativo esteja pronto para se apoderar bruscamente da autoridade logo que o antigo pessoal abandone o lugar, de maneira a que em nenhum momento se interrompa a opressão. [... ... ...] poder-se-ia mesmo imaginar que, como a transmissão da autoridade se realiza hoje de maneira mais perfeita, graças aos novos recursos de que dispõe o regime parlamentar, e como o proletariado está perfeitamente enquadrado por sindicatos oficiais, veríamos a revolução social conduzir a uma maravilhosa servidão»</w:t>
      </w:r>
      <w:r w:rsidRPr="00F95336">
        <w:rPr>
          <w:rStyle w:val="Refdenotaderodap"/>
          <w:rFonts w:ascii="Arial Narrow" w:hAnsi="Arial Narrow"/>
        </w:rPr>
        <w:footnoteReference w:id="279"/>
      </w:r>
      <w:r w:rsidRPr="00F95336">
        <w:rPr>
          <w:rFonts w:ascii="Arial Narrow" w:hAnsi="Arial Narrow"/>
        </w:rPr>
        <w:t>. E, depois de referir aqueles que pensam que os trabalhadores se limitam a receber ordens e a ser «instrumentos passivos que não têm necessidade de pensar», Sorel observara: «O sindicalismo revolucionário seria impossível se o mundo operário tivesse essa moral dos fracos; pelo contrário, o socialismo de Estado adaptar-se-ia perfeitamente a uma tal situação, já que se baseia na divisão da sociedade numa classe de produtores e numa classe de pensadores, que aplicam à produção os dados da ciência. A única diferença entre esse pretenso socialismo e o capitalismo consistiria no emprego de métodos mais engenhosos para obter a disciplina nas oficinas»</w:t>
      </w:r>
      <w:r w:rsidRPr="00F95336">
        <w:rPr>
          <w:rStyle w:val="Refdenotaderodap"/>
          <w:rFonts w:ascii="Arial Narrow" w:hAnsi="Arial Narrow"/>
        </w:rPr>
        <w:footnoteReference w:id="280"/>
      </w:r>
      <w:r w:rsidRPr="00F95336">
        <w:rPr>
          <w:rFonts w:ascii="Arial Narrow" w:hAnsi="Arial Narrow"/>
        </w:rPr>
        <w:t>. Mas a crítica de Sorel incidi</w:t>
      </w:r>
      <w:r>
        <w:rPr>
          <w:rFonts w:ascii="Arial Narrow" w:hAnsi="Arial Narrow"/>
        </w:rPr>
        <w:t>u</w:t>
      </w:r>
      <w:r w:rsidRPr="00F95336">
        <w:rPr>
          <w:rFonts w:ascii="Arial Narrow" w:hAnsi="Arial Narrow"/>
        </w:rPr>
        <w:t xml:space="preserve"> no elitismo dos partidos socialistas parlamentares, apegados aos valores da democracia burguesa, que ele mais do que tudo abominava. Sorel não mostrou igual lucidez a respeito do elitismo inerente ao sindicalismo revolucionário. </w:t>
      </w:r>
    </w:p>
    <w:p w:rsidR="00CF253E" w:rsidRDefault="00CD12DC" w:rsidP="00CD12DC">
      <w:pPr>
        <w:rPr>
          <w:rFonts w:ascii="Arial Narrow" w:hAnsi="Arial Narrow"/>
        </w:rPr>
      </w:pPr>
      <w:r w:rsidRPr="00F95336">
        <w:rPr>
          <w:rFonts w:ascii="Arial Narrow" w:hAnsi="Arial Narrow"/>
        </w:rPr>
        <w:t xml:space="preserve">Ao longo das </w:t>
      </w:r>
      <w:r w:rsidRPr="00F95336">
        <w:rPr>
          <w:rFonts w:ascii="Arial Narrow" w:hAnsi="Arial Narrow"/>
          <w:i/>
        </w:rPr>
        <w:t>Réflexions sur la Violence</w:t>
      </w:r>
      <w:r w:rsidRPr="00F95336">
        <w:rPr>
          <w:rFonts w:ascii="Arial Narrow" w:hAnsi="Arial Narrow"/>
        </w:rPr>
        <w:t xml:space="preserve"> Sorel nunca concebeu os trabalhadores como uma classe dotada de mecanismos sociais próprios e capaz de uma acção organizativa na sua própria esfera. Precisamente porque os sindicalistas revolucionários </w:t>
      </w:r>
      <w:r w:rsidR="00160485">
        <w:rPr>
          <w:rFonts w:ascii="Arial Narrow" w:hAnsi="Arial Narrow"/>
        </w:rPr>
        <w:t xml:space="preserve">procederam à </w:t>
      </w:r>
      <w:r w:rsidRPr="00F95336">
        <w:rPr>
          <w:rFonts w:ascii="Arial Narrow" w:hAnsi="Arial Narrow"/>
        </w:rPr>
        <w:t>apologia da disciplina de empresa, foram incapazes de discernir a luta de classes nas acções quotidianas, anónimas, obscuras, nas modestas e incessantes resistências dos trabalhadores. É longe dos grandes gestos d</w:t>
      </w:r>
      <w:r w:rsidR="0041751A">
        <w:rPr>
          <w:rFonts w:ascii="Arial Narrow" w:hAnsi="Arial Narrow"/>
        </w:rPr>
        <w:t>e</w:t>
      </w:r>
      <w:r w:rsidRPr="00F95336">
        <w:rPr>
          <w:rFonts w:ascii="Arial Narrow" w:hAnsi="Arial Narrow"/>
        </w:rPr>
        <w:t xml:space="preserve"> heroísmo que o proletariado tece os elos mais </w:t>
      </w:r>
      <w:r>
        <w:rPr>
          <w:rFonts w:ascii="Arial Narrow" w:hAnsi="Arial Narrow"/>
        </w:rPr>
        <w:t>duráveis</w:t>
      </w:r>
      <w:r w:rsidRPr="00F95336">
        <w:rPr>
          <w:rFonts w:ascii="Arial Narrow" w:hAnsi="Arial Narrow"/>
        </w:rPr>
        <w:t xml:space="preserve"> da sua solidariedade e dá consistência à sua estrutura própria. Mas estas «relações informais», como os teóricos da administração de empresa gostam de lhes chamar, visam a contestação da disciplina capitalista do trabalho, e não era daí que podia partir quem se propunha reforçar a autoridade empresarial. Sorel, observou Lukács, «era totalmente indiferente aos objectivos e aos meios, reais e concretos, das greves singulares», e acrescentou com muita agudeza que «o proletariado não </w:t>
      </w:r>
      <w:r w:rsidRPr="00F95336">
        <w:rPr>
          <w:rFonts w:ascii="Arial Narrow" w:hAnsi="Arial Narrow"/>
        </w:rPr>
        <w:lastRenderedPageBreak/>
        <w:t>era para Sorel mais do que uma negação abstracta da vida burguesa, desprovido de qualquer substância real»</w:t>
      </w:r>
      <w:r w:rsidRPr="00F95336">
        <w:rPr>
          <w:rStyle w:val="Refdenotaderodap"/>
          <w:rFonts w:ascii="Arial Narrow" w:hAnsi="Arial Narrow"/>
        </w:rPr>
        <w:footnoteReference w:id="281"/>
      </w:r>
      <w:r w:rsidRPr="00F95336">
        <w:rPr>
          <w:rFonts w:ascii="Arial Narrow" w:hAnsi="Arial Narrow"/>
        </w:rPr>
        <w:t xml:space="preserve">. Não analisando a base operária na sua estrutura </w:t>
      </w:r>
      <w:r>
        <w:rPr>
          <w:rFonts w:ascii="Arial Narrow" w:hAnsi="Arial Narrow"/>
        </w:rPr>
        <w:t xml:space="preserve">interna </w:t>
      </w:r>
      <w:r w:rsidRPr="00F95336">
        <w:rPr>
          <w:rFonts w:ascii="Arial Narrow" w:hAnsi="Arial Narrow"/>
        </w:rPr>
        <w:t xml:space="preserve">e na sua dinâmica social específica, Sorel transformou o proletariado numa abstracção e converteu-o, no plano político, numa massa de manobra e, nas invocações ideológicas, numa caução moral. </w:t>
      </w:r>
    </w:p>
    <w:p w:rsidR="00CD12DC" w:rsidRPr="00F95336" w:rsidRDefault="00CD12DC" w:rsidP="00CD12DC">
      <w:pPr>
        <w:rPr>
          <w:rFonts w:ascii="Arial Narrow" w:hAnsi="Arial Narrow"/>
        </w:rPr>
      </w:pPr>
      <w:r w:rsidRPr="00F95336">
        <w:rPr>
          <w:rFonts w:ascii="Arial Narrow" w:hAnsi="Arial Narrow"/>
        </w:rPr>
        <w:t>Por isso os sindicalistas revolucionários formula</w:t>
      </w:r>
      <w:r>
        <w:rPr>
          <w:rFonts w:ascii="Arial Narrow" w:hAnsi="Arial Narrow"/>
        </w:rPr>
        <w:t>ram</w:t>
      </w:r>
      <w:r w:rsidRPr="00F95336">
        <w:rPr>
          <w:rFonts w:ascii="Arial Narrow" w:hAnsi="Arial Narrow"/>
        </w:rPr>
        <w:t xml:space="preserve"> a estratégia de greve geral nos termos de um mito. </w:t>
      </w:r>
      <w:r>
        <w:rPr>
          <w:rFonts w:ascii="Arial Narrow" w:hAnsi="Arial Narrow"/>
        </w:rPr>
        <w:t>Mesmo</w:t>
      </w:r>
      <w:r w:rsidRPr="00F95336">
        <w:rPr>
          <w:rFonts w:ascii="Arial Narrow" w:hAnsi="Arial Narrow"/>
        </w:rPr>
        <w:t xml:space="preserve"> Lagardelle, embora assinalasse o carácter pedagógico da prática de luta e mostrasse que ela consistia na criação de formas sociais de tipo novo, enunciara esta pedagogia e até as próprias instituições sobretudo como sentimentos. A acção directa, escrev</w:t>
      </w:r>
      <w:r>
        <w:rPr>
          <w:rFonts w:ascii="Arial Narrow" w:hAnsi="Arial Narrow"/>
        </w:rPr>
        <w:t>eu</w:t>
      </w:r>
      <w:r w:rsidRPr="00F95336">
        <w:rPr>
          <w:rFonts w:ascii="Arial Narrow" w:hAnsi="Arial Narrow"/>
        </w:rPr>
        <w:t xml:space="preserve"> ele, era «um apelo constante às ideias de responsabilidade, de dignidade e de energia. Nem pactos nem acordos, mas a luta com os seus riscos e a sua exaltação. Nenhuma oportunidade para os baixos instintos da passividade, mas uma exaltação permanente dos sentimentos mais activos do homem»</w:t>
      </w:r>
      <w:r w:rsidRPr="00F95336">
        <w:rPr>
          <w:rStyle w:val="Refdenotaderodap"/>
          <w:rFonts w:ascii="Arial Narrow" w:hAnsi="Arial Narrow"/>
        </w:rPr>
        <w:footnoteReference w:id="282"/>
      </w:r>
      <w:r w:rsidRPr="00F95336">
        <w:rPr>
          <w:rFonts w:ascii="Arial Narrow" w:hAnsi="Arial Narrow"/>
        </w:rPr>
        <w:t xml:space="preserve">. </w:t>
      </w:r>
      <w:r w:rsidR="00D02E71">
        <w:rPr>
          <w:rFonts w:ascii="Arial Narrow" w:hAnsi="Arial Narrow"/>
        </w:rPr>
        <w:t>E Berth, n</w:t>
      </w:r>
      <w:r w:rsidR="005446B9">
        <w:rPr>
          <w:rFonts w:ascii="Arial Narrow" w:hAnsi="Arial Narrow"/>
        </w:rPr>
        <w:t>as</w:t>
      </w:r>
      <w:r w:rsidR="00D02E71">
        <w:rPr>
          <w:rFonts w:ascii="Arial Narrow" w:hAnsi="Arial Narrow"/>
        </w:rPr>
        <w:t xml:space="preserve"> mesm</w:t>
      </w:r>
      <w:r w:rsidR="005446B9">
        <w:rPr>
          <w:rFonts w:ascii="Arial Narrow" w:hAnsi="Arial Narrow"/>
        </w:rPr>
        <w:t>as</w:t>
      </w:r>
      <w:r w:rsidR="00D02E71">
        <w:rPr>
          <w:rFonts w:ascii="Arial Narrow" w:hAnsi="Arial Narrow"/>
        </w:rPr>
        <w:t xml:space="preserve"> </w:t>
      </w:r>
      <w:r w:rsidR="005446B9">
        <w:rPr>
          <w:rFonts w:ascii="Arial Narrow" w:hAnsi="Arial Narrow"/>
        </w:rPr>
        <w:t>linhas</w:t>
      </w:r>
      <w:r w:rsidR="00D02E71">
        <w:rPr>
          <w:rFonts w:ascii="Arial Narrow" w:hAnsi="Arial Narrow"/>
        </w:rPr>
        <w:t xml:space="preserve"> onde reconhece</w:t>
      </w:r>
      <w:r w:rsidR="006D7F48">
        <w:rPr>
          <w:rFonts w:ascii="Arial Narrow" w:hAnsi="Arial Narrow"/>
        </w:rPr>
        <w:t>u</w:t>
      </w:r>
      <w:r w:rsidR="00D02E71">
        <w:rPr>
          <w:rFonts w:ascii="Arial Narrow" w:hAnsi="Arial Narrow"/>
        </w:rPr>
        <w:t xml:space="preserve"> que a flexibilidade dos salários </w:t>
      </w:r>
      <w:r w:rsidR="006D7F48">
        <w:rPr>
          <w:rFonts w:ascii="Arial Narrow" w:hAnsi="Arial Narrow"/>
        </w:rPr>
        <w:t>era</w:t>
      </w:r>
      <w:r w:rsidR="00D02E71">
        <w:rPr>
          <w:rFonts w:ascii="Arial Narrow" w:hAnsi="Arial Narrow"/>
        </w:rPr>
        <w:t xml:space="preserve"> um facto cientificamente comprovado, pretende</w:t>
      </w:r>
      <w:r w:rsidR="006D7F48">
        <w:rPr>
          <w:rFonts w:ascii="Arial Narrow" w:hAnsi="Arial Narrow"/>
        </w:rPr>
        <w:t>u</w:t>
      </w:r>
      <w:r w:rsidR="00D02E71">
        <w:rPr>
          <w:rFonts w:ascii="Arial Narrow" w:hAnsi="Arial Narrow"/>
        </w:rPr>
        <w:t xml:space="preserve"> que os sindicalistas revolucionários dev</w:t>
      </w:r>
      <w:r w:rsidR="006D7F48">
        <w:rPr>
          <w:rFonts w:ascii="Arial Narrow" w:hAnsi="Arial Narrow"/>
        </w:rPr>
        <w:t>ia</w:t>
      </w:r>
      <w:r w:rsidR="00D02E71">
        <w:rPr>
          <w:rFonts w:ascii="Arial Narrow" w:hAnsi="Arial Narrow"/>
        </w:rPr>
        <w:t xml:space="preserve">m afirmar o contrário e atribuir aos salários um carácter rígido, para que </w:t>
      </w:r>
      <w:r w:rsidR="005446B9">
        <w:rPr>
          <w:rFonts w:ascii="Arial Narrow" w:hAnsi="Arial Narrow"/>
        </w:rPr>
        <w:t xml:space="preserve">perante este «mito social» </w:t>
      </w:r>
      <w:r w:rsidR="00D02E71">
        <w:rPr>
          <w:rFonts w:ascii="Arial Narrow" w:hAnsi="Arial Narrow"/>
        </w:rPr>
        <w:t xml:space="preserve">os trabalhadores </w:t>
      </w:r>
      <w:r w:rsidR="006D7F48">
        <w:rPr>
          <w:rFonts w:ascii="Arial Narrow" w:hAnsi="Arial Narrow"/>
        </w:rPr>
        <w:t>se entusiasmassem pela luta</w:t>
      </w:r>
      <w:r w:rsidR="001B142B">
        <w:rPr>
          <w:rStyle w:val="Refdenotaderodap"/>
          <w:rFonts w:ascii="Arial Narrow" w:hAnsi="Arial Narrow"/>
        </w:rPr>
        <w:footnoteReference w:id="283"/>
      </w:r>
      <w:r w:rsidR="006D7F48">
        <w:rPr>
          <w:rFonts w:ascii="Arial Narrow" w:hAnsi="Arial Narrow"/>
        </w:rPr>
        <w:t xml:space="preserve">. </w:t>
      </w:r>
      <w:r w:rsidRPr="00F95336">
        <w:rPr>
          <w:rFonts w:ascii="Arial Narrow" w:hAnsi="Arial Narrow"/>
        </w:rPr>
        <w:t>D</w:t>
      </w:r>
      <w:r>
        <w:rPr>
          <w:rFonts w:ascii="Arial Narrow" w:hAnsi="Arial Narrow"/>
        </w:rPr>
        <w:t xml:space="preserve">e igual </w:t>
      </w:r>
      <w:r w:rsidRPr="00F95336">
        <w:rPr>
          <w:rFonts w:ascii="Arial Narrow" w:hAnsi="Arial Narrow"/>
        </w:rPr>
        <w:t>modo, Sorel apresentou a greve geral como um facto ideológico e não como uma forma organiza</w:t>
      </w:r>
      <w:r w:rsidR="000847C4">
        <w:rPr>
          <w:rFonts w:ascii="Arial Narrow" w:hAnsi="Arial Narrow"/>
        </w:rPr>
        <w:t>tiva</w:t>
      </w:r>
      <w:r w:rsidRPr="00F95336">
        <w:rPr>
          <w:rStyle w:val="Refdenotaderodap"/>
          <w:rFonts w:ascii="Arial Narrow" w:hAnsi="Arial Narrow"/>
        </w:rPr>
        <w:footnoteReference w:id="284"/>
      </w:r>
      <w:r w:rsidRPr="00F95336">
        <w:rPr>
          <w:rFonts w:ascii="Arial Narrow" w:hAnsi="Arial Narrow"/>
        </w:rPr>
        <w:t>.</w:t>
      </w:r>
      <w:r w:rsidR="0041751A">
        <w:rPr>
          <w:rFonts w:ascii="Arial Narrow" w:hAnsi="Arial Narrow"/>
        </w:rPr>
        <w:t xml:space="preserve"> A sua realidade não era social</w:t>
      </w:r>
      <w:r w:rsidRPr="00F95336">
        <w:rPr>
          <w:rFonts w:ascii="Arial Narrow" w:hAnsi="Arial Narrow"/>
        </w:rPr>
        <w:t xml:space="preserve"> mas espiritual, pouco importando que a greve geral se realizasse ou não na prática, se pudesse servir para manter viva a revolta proletária, tal como os mitos do juízo final e da instauração do reino de Deus sobre a terra haviam servido para fundar a Igreja cristã</w:t>
      </w:r>
      <w:r w:rsidRPr="00F95336">
        <w:rPr>
          <w:rStyle w:val="Refdenotaderodap"/>
          <w:rFonts w:ascii="Arial Narrow" w:hAnsi="Arial Narrow"/>
        </w:rPr>
        <w:footnoteReference w:id="285"/>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Neste sentido o sexto capítulo </w:t>
      </w:r>
      <w:r w:rsidR="005D46CB">
        <w:rPr>
          <w:rFonts w:ascii="Arial Narrow" w:hAnsi="Arial Narrow"/>
        </w:rPr>
        <w:t xml:space="preserve">das </w:t>
      </w:r>
      <w:r w:rsidR="005D46CB" w:rsidRPr="005D46CB">
        <w:rPr>
          <w:rFonts w:ascii="Arial Narrow" w:hAnsi="Arial Narrow"/>
          <w:i/>
          <w:iCs/>
        </w:rPr>
        <w:t>Réflexions sur la Violence</w:t>
      </w:r>
      <w:r w:rsidR="005D46CB">
        <w:rPr>
          <w:rFonts w:ascii="Arial Narrow" w:hAnsi="Arial Narrow"/>
        </w:rPr>
        <w:t xml:space="preserve"> </w:t>
      </w:r>
      <w:r w:rsidRPr="00F95336">
        <w:rPr>
          <w:rFonts w:ascii="Arial Narrow" w:hAnsi="Arial Narrow"/>
        </w:rPr>
        <w:t>é esclarecedor</w:t>
      </w:r>
      <w:r w:rsidRPr="00F95336">
        <w:rPr>
          <w:rStyle w:val="Refdenotaderodap"/>
          <w:rFonts w:ascii="Arial Narrow" w:hAnsi="Arial Narrow"/>
        </w:rPr>
        <w:footnoteReference w:id="286"/>
      </w:r>
      <w:r w:rsidRPr="00F95336">
        <w:rPr>
          <w:rFonts w:ascii="Arial Narrow" w:hAnsi="Arial Narrow"/>
        </w:rPr>
        <w:t>. Os operários, quando aparecem directamente, limitam-se a formar uma massa capaz de violência. Aqui se enquadr</w:t>
      </w:r>
      <w:r w:rsidR="00487BAC">
        <w:rPr>
          <w:rFonts w:ascii="Arial Narrow" w:hAnsi="Arial Narrow"/>
        </w:rPr>
        <w:t>a</w:t>
      </w:r>
      <w:r w:rsidRPr="00F95336">
        <w:rPr>
          <w:rFonts w:ascii="Arial Narrow" w:hAnsi="Arial Narrow"/>
        </w:rPr>
        <w:t xml:space="preserve"> perversamente </w:t>
      </w:r>
      <w:r w:rsidR="001D270E">
        <w:rPr>
          <w:rFonts w:ascii="Arial Narrow" w:hAnsi="Arial Narrow"/>
        </w:rPr>
        <w:t>—</w:t>
      </w:r>
      <w:r w:rsidRPr="00F95336">
        <w:rPr>
          <w:rFonts w:ascii="Arial Narrow" w:hAnsi="Arial Narrow"/>
        </w:rPr>
        <w:t xml:space="preserve"> e de maneira sinistra </w:t>
      </w:r>
      <w:r w:rsidR="001D270E">
        <w:rPr>
          <w:rFonts w:ascii="Arial Narrow" w:hAnsi="Arial Narrow"/>
        </w:rPr>
        <w:t>—</w:t>
      </w:r>
      <w:r w:rsidRPr="00F95336">
        <w:rPr>
          <w:rFonts w:ascii="Arial Narrow" w:hAnsi="Arial Narrow"/>
        </w:rPr>
        <w:t xml:space="preserve"> a premonição do que viria a ser o fascismo, que se encontra muitas páginas atrás, logo no primeiro capítulo</w:t>
      </w:r>
      <w:r w:rsidR="001D270E">
        <w:rPr>
          <w:rFonts w:ascii="Arial Narrow" w:hAnsi="Arial Narrow"/>
        </w:rPr>
        <w:t>:</w:t>
      </w:r>
      <w:r w:rsidRPr="00F95336">
        <w:rPr>
          <w:rFonts w:ascii="Arial Narrow" w:hAnsi="Arial Narrow"/>
        </w:rPr>
        <w:t xml:space="preserve"> «A experiência mostra que a burguesia se deixa facilmente espoliar, desde que seja um tanto ou quanto pressionada e lhe façam medo com a revolução. O futuro está reservado para o partido que souber manipular com mais audácia o espectro revolucionário [...]»</w:t>
      </w:r>
      <w:r w:rsidRPr="00F95336">
        <w:rPr>
          <w:rStyle w:val="Refdenotaderodap"/>
          <w:rFonts w:ascii="Arial Narrow" w:hAnsi="Arial Narrow"/>
        </w:rPr>
        <w:footnoteReference w:id="287"/>
      </w:r>
      <w:r w:rsidRPr="00F95336">
        <w:rPr>
          <w:rFonts w:ascii="Arial Narrow" w:hAnsi="Arial Narrow"/>
        </w:rPr>
        <w:t xml:space="preserve">. E de novo, no segundo capítulo: «É tudo uma questão de avaliação, de cautela, de oportunidade. Necessita-se muita subtileza, tacto e uma calma audácia para conduzir semelhante diplomacia: fazer crer aos operários que se ergue </w:t>
      </w:r>
      <w:r w:rsidRPr="00F95336">
        <w:rPr>
          <w:rFonts w:ascii="Arial Narrow" w:hAnsi="Arial Narrow"/>
        </w:rPr>
        <w:lastRenderedPageBreak/>
        <w:t>a bandeira da revolução, à burguesia que se põe termo ao perigo que a ameaça, ao país que se representa uma corrente de opinião irresistível»</w:t>
      </w:r>
      <w:r w:rsidRPr="00F95336">
        <w:rPr>
          <w:rStyle w:val="Refdenotaderodap"/>
          <w:rFonts w:ascii="Arial Narrow" w:hAnsi="Arial Narrow"/>
        </w:rPr>
        <w:footnoteReference w:id="288"/>
      </w:r>
      <w:r w:rsidRPr="00F95336">
        <w:rPr>
          <w:rFonts w:ascii="Arial Narrow" w:hAnsi="Arial Narrow"/>
        </w:rPr>
        <w:t xml:space="preserve">. O fascismo transportou para a história o que nas páginas de Sorel </w:t>
      </w:r>
      <w:r>
        <w:rPr>
          <w:rFonts w:ascii="Arial Narrow" w:hAnsi="Arial Narrow"/>
        </w:rPr>
        <w:t>fo</w:t>
      </w:r>
      <w:r w:rsidRPr="00F95336">
        <w:rPr>
          <w:rFonts w:ascii="Arial Narrow" w:hAnsi="Arial Narrow"/>
        </w:rPr>
        <w:t xml:space="preserve">ra ainda um argumento retórico. </w:t>
      </w:r>
    </w:p>
    <w:p w:rsidR="00CD12DC" w:rsidRPr="00F95336" w:rsidRDefault="00CD12DC" w:rsidP="00CD12DC">
      <w:pPr>
        <w:rPr>
          <w:rFonts w:ascii="Arial Narrow" w:hAnsi="Arial Narrow"/>
        </w:rPr>
      </w:pPr>
      <w:r w:rsidRPr="00F95336">
        <w:rPr>
          <w:rFonts w:ascii="Arial Narrow" w:hAnsi="Arial Narrow"/>
        </w:rPr>
        <w:t xml:space="preserve">Mas foi uma concepção bastante ingénua de violência, ou bastante arcaica, que presidiu às reflexões de Sorel. Como notou </w:t>
      </w:r>
      <w:r>
        <w:rPr>
          <w:rFonts w:ascii="Arial Narrow" w:hAnsi="Arial Narrow"/>
        </w:rPr>
        <w:t>um</w:t>
      </w:r>
      <w:r w:rsidRPr="00F95336">
        <w:rPr>
          <w:rFonts w:ascii="Arial Narrow" w:hAnsi="Arial Narrow"/>
        </w:rPr>
        <w:t xml:space="preserve"> historiador, era </w:t>
      </w:r>
      <w:r w:rsidR="008D10D4" w:rsidRPr="00F95336">
        <w:rPr>
          <w:rFonts w:ascii="Arial Narrow" w:hAnsi="Arial Narrow"/>
        </w:rPr>
        <w:t xml:space="preserve">nos mecanismos </w:t>
      </w:r>
      <w:r w:rsidR="008D10D4">
        <w:rPr>
          <w:rFonts w:ascii="Arial Narrow" w:hAnsi="Arial Narrow"/>
        </w:rPr>
        <w:t>d</w:t>
      </w:r>
      <w:r w:rsidRPr="00F95336">
        <w:rPr>
          <w:rFonts w:ascii="Arial Narrow" w:hAnsi="Arial Narrow"/>
        </w:rPr>
        <w:t>o mercado que Sorel localizava a violência exercida pelas classes, e por isso as suas propostas económicas nunca deixaram de ser estritamente liberais, defendendo a concorrência pura e a propriedade privada e recusando as nacionalizações ou qualquer outro tipo de intervenção do Estado que mitigasse os efeitos da competição e os conflitos que lhe eram inerentes</w:t>
      </w:r>
      <w:r w:rsidRPr="00F95336">
        <w:rPr>
          <w:rStyle w:val="Refdenotaderodap"/>
          <w:rFonts w:ascii="Arial Narrow" w:hAnsi="Arial Narrow"/>
        </w:rPr>
        <w:footnoteReference w:id="289"/>
      </w:r>
      <w:r w:rsidRPr="00F95336">
        <w:rPr>
          <w:rFonts w:ascii="Arial Narrow" w:hAnsi="Arial Narrow"/>
        </w:rPr>
        <w:t xml:space="preserve">. </w:t>
      </w:r>
      <w:r w:rsidR="00B85403">
        <w:rPr>
          <w:rFonts w:ascii="Arial Narrow" w:hAnsi="Arial Narrow"/>
        </w:rPr>
        <w:t>Igualmente Berth atribuiu uma raíz manchesteriana às teorias de Marx</w:t>
      </w:r>
      <w:r w:rsidR="002F223A">
        <w:rPr>
          <w:rStyle w:val="Refdenotaderodap"/>
          <w:rFonts w:ascii="Arial Narrow" w:hAnsi="Arial Narrow"/>
        </w:rPr>
        <w:footnoteReference w:id="290"/>
      </w:r>
      <w:r w:rsidR="00505AD8">
        <w:rPr>
          <w:rFonts w:ascii="Arial Narrow" w:hAnsi="Arial Narrow"/>
        </w:rPr>
        <w:t>,</w:t>
      </w:r>
      <w:r w:rsidR="00B85403">
        <w:rPr>
          <w:rFonts w:ascii="Arial Narrow" w:hAnsi="Arial Narrow"/>
        </w:rPr>
        <w:t xml:space="preserve"> </w:t>
      </w:r>
      <w:r w:rsidR="00505AD8">
        <w:rPr>
          <w:rFonts w:ascii="Arial Narrow" w:hAnsi="Arial Narrow"/>
        </w:rPr>
        <w:t>assimilou a concorrência entre as indústrias a um «campo de batalha»</w:t>
      </w:r>
      <w:r w:rsidR="00505AD8">
        <w:rPr>
          <w:rStyle w:val="Refdenotaderodap"/>
          <w:rFonts w:ascii="Arial Narrow" w:hAnsi="Arial Narrow"/>
        </w:rPr>
        <w:footnoteReference w:id="291"/>
      </w:r>
      <w:r w:rsidR="00505AD8">
        <w:rPr>
          <w:rFonts w:ascii="Arial Narrow" w:hAnsi="Arial Narrow"/>
        </w:rPr>
        <w:t xml:space="preserve"> </w:t>
      </w:r>
      <w:r w:rsidR="00B85403">
        <w:rPr>
          <w:rFonts w:ascii="Arial Narrow" w:hAnsi="Arial Narrow"/>
        </w:rPr>
        <w:t xml:space="preserve">e </w:t>
      </w:r>
      <w:r w:rsidR="002C1E32">
        <w:rPr>
          <w:rFonts w:ascii="Arial Narrow" w:hAnsi="Arial Narrow"/>
        </w:rPr>
        <w:t xml:space="preserve">considerou que </w:t>
      </w:r>
      <w:r w:rsidR="003E65E9">
        <w:rPr>
          <w:rFonts w:ascii="Arial Narrow" w:hAnsi="Arial Narrow"/>
        </w:rPr>
        <w:t xml:space="preserve">não só </w:t>
      </w:r>
      <w:r w:rsidR="002C1E32">
        <w:rPr>
          <w:rFonts w:ascii="Arial Narrow" w:hAnsi="Arial Narrow"/>
        </w:rPr>
        <w:t xml:space="preserve">o estatismo </w:t>
      </w:r>
      <w:r w:rsidR="003E65E9">
        <w:rPr>
          <w:rFonts w:ascii="Arial Narrow" w:hAnsi="Arial Narrow"/>
        </w:rPr>
        <w:t xml:space="preserve">mas </w:t>
      </w:r>
      <w:r w:rsidR="007A7481">
        <w:rPr>
          <w:rFonts w:ascii="Arial Narrow" w:hAnsi="Arial Narrow"/>
        </w:rPr>
        <w:t>até</w:t>
      </w:r>
      <w:r w:rsidR="00A90CD8">
        <w:rPr>
          <w:rFonts w:ascii="Arial Narrow" w:hAnsi="Arial Narrow"/>
        </w:rPr>
        <w:t xml:space="preserve"> a contratação colectiva, reconh</w:t>
      </w:r>
      <w:r w:rsidR="003E65E9">
        <w:rPr>
          <w:rFonts w:ascii="Arial Narrow" w:hAnsi="Arial Narrow"/>
        </w:rPr>
        <w:t>e</w:t>
      </w:r>
      <w:r w:rsidR="00A90CD8">
        <w:rPr>
          <w:rFonts w:ascii="Arial Narrow" w:hAnsi="Arial Narrow"/>
        </w:rPr>
        <w:t xml:space="preserve">cida na lei, </w:t>
      </w:r>
      <w:r w:rsidR="002C1E32">
        <w:rPr>
          <w:rFonts w:ascii="Arial Narrow" w:hAnsi="Arial Narrow"/>
        </w:rPr>
        <w:t>representava</w:t>
      </w:r>
      <w:r w:rsidR="00A90CD8">
        <w:rPr>
          <w:rFonts w:ascii="Arial Narrow" w:hAnsi="Arial Narrow"/>
        </w:rPr>
        <w:t>m</w:t>
      </w:r>
      <w:r w:rsidR="002C1E32">
        <w:rPr>
          <w:rFonts w:ascii="Arial Narrow" w:hAnsi="Arial Narrow"/>
        </w:rPr>
        <w:t xml:space="preserve"> uma decad</w:t>
      </w:r>
      <w:r w:rsidR="00A90CD8">
        <w:rPr>
          <w:rFonts w:ascii="Arial Narrow" w:hAnsi="Arial Narrow"/>
        </w:rPr>
        <w:t>ência da bu</w:t>
      </w:r>
      <w:r w:rsidR="002C1E32">
        <w:rPr>
          <w:rFonts w:ascii="Arial Narrow" w:hAnsi="Arial Narrow"/>
        </w:rPr>
        <w:t>rguesi</w:t>
      </w:r>
      <w:r w:rsidR="00A90CD8">
        <w:rPr>
          <w:rFonts w:ascii="Arial Narrow" w:hAnsi="Arial Narrow"/>
        </w:rPr>
        <w:t>a</w:t>
      </w:r>
      <w:r w:rsidR="002C1E32">
        <w:rPr>
          <w:rFonts w:ascii="Arial Narrow" w:hAnsi="Arial Narrow"/>
        </w:rPr>
        <w:t xml:space="preserve"> e uma abdicação dos trabalhadores</w:t>
      </w:r>
      <w:r w:rsidR="0091424D">
        <w:rPr>
          <w:rStyle w:val="Refdenotaderodap"/>
          <w:rFonts w:ascii="Arial Narrow" w:hAnsi="Arial Narrow"/>
        </w:rPr>
        <w:footnoteReference w:id="292"/>
      </w:r>
      <w:r w:rsidR="002C1E32">
        <w:rPr>
          <w:rFonts w:ascii="Arial Narrow" w:hAnsi="Arial Narrow"/>
        </w:rPr>
        <w:t xml:space="preserve">. </w:t>
      </w:r>
      <w:r w:rsidRPr="00F95336">
        <w:rPr>
          <w:rFonts w:ascii="Arial Narrow" w:hAnsi="Arial Narrow"/>
        </w:rPr>
        <w:t>Arturo Labriola, um dos principais dirigentes e pensadores do sindicalismo revolucionário italiano, formulou a partir destes postulados a sua análise crítica do marxismo, afirmando que o socialismo só poderia resultar de um desenvolvimento dos princípios económicos do capitalismo, pelo que tudo o que dificultasse o livre jogo de forças na economia prejudicava gravemente o processo revolucionário</w:t>
      </w:r>
      <w:r w:rsidRPr="00F95336">
        <w:rPr>
          <w:rStyle w:val="Refdenotaderodap"/>
          <w:rFonts w:ascii="Arial Narrow" w:hAnsi="Arial Narrow"/>
        </w:rPr>
        <w:footnoteReference w:id="293"/>
      </w:r>
      <w:r w:rsidRPr="00F95336">
        <w:rPr>
          <w:rFonts w:ascii="Arial Narrow" w:hAnsi="Arial Narrow"/>
        </w:rPr>
        <w:t xml:space="preserve">. Na orientação reformista do socialismo oficial e na política de cedências patronal Sorel via apenas uma táctica para atenuar a rudeza dos confrontos sociais. </w:t>
      </w:r>
      <w:r w:rsidR="00DF1B17">
        <w:rPr>
          <w:rFonts w:ascii="Arial Narrow" w:hAnsi="Arial Narrow"/>
        </w:rPr>
        <w:t>U</w:t>
      </w:r>
      <w:r w:rsidRPr="00F95336">
        <w:rPr>
          <w:rFonts w:ascii="Arial Narrow" w:hAnsi="Arial Narrow"/>
        </w:rPr>
        <w:t>m tal procedimento revelaria a degenerescência da burguesia, que teria perdido o sentido de luta e que, ao afastar o proletariado da violência, o arrastaria numa igual degradação, comprometendo a própria civilização e condenando-a a</w:t>
      </w:r>
      <w:r w:rsidR="00DF1B17">
        <w:rPr>
          <w:rFonts w:ascii="Arial Narrow" w:hAnsi="Arial Narrow"/>
        </w:rPr>
        <w:t>o</w:t>
      </w:r>
      <w:r w:rsidRPr="00F95336">
        <w:rPr>
          <w:rFonts w:ascii="Arial Narrow" w:hAnsi="Arial Narrow"/>
        </w:rPr>
        <w:t xml:space="preserve"> declínio</w:t>
      </w:r>
      <w:r w:rsidRPr="00F95336">
        <w:rPr>
          <w:rStyle w:val="Refdenotaderodap"/>
          <w:rFonts w:ascii="Arial Narrow" w:hAnsi="Arial Narrow"/>
        </w:rPr>
        <w:footnoteReference w:id="294"/>
      </w:r>
      <w:r w:rsidRPr="00F95336">
        <w:rPr>
          <w:rFonts w:ascii="Arial Narrow" w:hAnsi="Arial Narrow"/>
        </w:rPr>
        <w:t xml:space="preserve">. </w:t>
      </w:r>
    </w:p>
    <w:p w:rsidR="00CD12DC" w:rsidRPr="00F95336" w:rsidRDefault="009A5910" w:rsidP="00CD12DC">
      <w:pPr>
        <w:rPr>
          <w:rFonts w:ascii="Arial Narrow" w:hAnsi="Arial Narrow"/>
        </w:rPr>
      </w:pPr>
      <w:r>
        <w:rPr>
          <w:rFonts w:ascii="Arial Narrow" w:hAnsi="Arial Narrow"/>
        </w:rPr>
        <w:t xml:space="preserve">Em </w:t>
      </w:r>
      <w:r w:rsidR="00CD12DC" w:rsidRPr="00F95336">
        <w:rPr>
          <w:rFonts w:ascii="Arial Narrow" w:hAnsi="Arial Narrow"/>
          <w:i/>
        </w:rPr>
        <w:t>Les Illusions du Progrès</w:t>
      </w:r>
      <w:r w:rsidR="00CD12DC" w:rsidRPr="00F95336">
        <w:rPr>
          <w:rFonts w:ascii="Arial Narrow" w:hAnsi="Arial Narrow"/>
        </w:rPr>
        <w:t xml:space="preserve"> a tendência para a mediocridade seria inerente à história. «O grande erro de Marx</w:t>
      </w:r>
      <w:r>
        <w:rPr>
          <w:rFonts w:ascii="Arial Narrow" w:hAnsi="Arial Narrow"/>
        </w:rPr>
        <w:t>», resumiu Sorel, «</w:t>
      </w:r>
      <w:r w:rsidR="00CD12DC" w:rsidRPr="00F95336">
        <w:rPr>
          <w:rFonts w:ascii="Arial Narrow" w:hAnsi="Arial Narrow"/>
        </w:rPr>
        <w:t>consistiu em não se ter dado conta do enorme poder da mediocridade na história»</w:t>
      </w:r>
      <w:r w:rsidR="00CD12DC" w:rsidRPr="00F95336">
        <w:rPr>
          <w:rStyle w:val="Refdenotaderodap"/>
          <w:rFonts w:ascii="Arial Narrow" w:hAnsi="Arial Narrow"/>
        </w:rPr>
        <w:footnoteReference w:id="295"/>
      </w:r>
      <w:r w:rsidR="00CD12DC" w:rsidRPr="00F95336">
        <w:rPr>
          <w:rFonts w:ascii="Arial Narrow" w:hAnsi="Arial Narrow"/>
        </w:rPr>
        <w:t>. Identificada à democracia</w:t>
      </w:r>
      <w:r w:rsidR="00CD12DC" w:rsidRPr="00F95336">
        <w:rPr>
          <w:rStyle w:val="Refdenotaderodap"/>
          <w:rFonts w:ascii="Arial Narrow" w:hAnsi="Arial Narrow"/>
        </w:rPr>
        <w:footnoteReference w:id="296"/>
      </w:r>
      <w:r w:rsidR="00CD12DC" w:rsidRPr="00F95336">
        <w:rPr>
          <w:rFonts w:ascii="Arial Narrow" w:hAnsi="Arial Narrow"/>
        </w:rPr>
        <w:t xml:space="preserve">, a mediocridade poderia apenas </w:t>
      </w:r>
      <w:r w:rsidR="00CD12DC" w:rsidRPr="00F95336">
        <w:rPr>
          <w:rFonts w:ascii="Arial Narrow" w:hAnsi="Arial Narrow"/>
        </w:rPr>
        <w:lastRenderedPageBreak/>
        <w:t xml:space="preserve">ser contrariada por acções vigorosas. A apologia da elite leva necessariamente a uma teoria dos heróis. Depois de ter assimilado a noção de grandeza à de génio e a noção de decadência à de mediocridade, Sorel considerou que «a economia tende a confundir todas as obras individuais numa massa» e «portanto, não é na economia que se deverá procurar a aplicação directa das noções de grandeza e de decadência». </w:t>
      </w:r>
      <w:r w:rsidR="009E0EAE">
        <w:rPr>
          <w:rFonts w:ascii="Arial Narrow" w:hAnsi="Arial Narrow"/>
        </w:rPr>
        <w:t xml:space="preserve">O terreno adequado àquelas noções encontrar-se-ia </w:t>
      </w:r>
      <w:r w:rsidR="00CD12DC" w:rsidRPr="00F95336">
        <w:rPr>
          <w:rFonts w:ascii="Arial Narrow" w:hAnsi="Arial Narrow"/>
        </w:rPr>
        <w:t>na arte, na religião e na filosofia, classificadas como «actividades do espírito livre»</w:t>
      </w:r>
      <w:r w:rsidR="00CD12DC" w:rsidRPr="00F95336">
        <w:rPr>
          <w:rStyle w:val="Refdenotaderodap"/>
          <w:rFonts w:ascii="Arial Narrow" w:hAnsi="Arial Narrow"/>
        </w:rPr>
        <w:footnoteReference w:id="297"/>
      </w:r>
      <w:r w:rsidR="00CD12DC" w:rsidRPr="00F95336">
        <w:rPr>
          <w:rFonts w:ascii="Arial Narrow" w:hAnsi="Arial Narrow"/>
        </w:rPr>
        <w:t>. A sociedade burguesa seria uma sociedade de massas e caberia ao sindicalismo revolucionário restaurar a supremacia de indivíduos. Os numerosos anarquistas que se filiaram no sindicalismo revolucionário foram atraídos pela ideia de grandeza, pretendeu Sorel</w:t>
      </w:r>
      <w:r w:rsidR="00CD12DC" w:rsidRPr="00F95336">
        <w:rPr>
          <w:rStyle w:val="Refdenotaderodap"/>
          <w:rFonts w:ascii="Arial Narrow" w:hAnsi="Arial Narrow"/>
        </w:rPr>
        <w:footnoteReference w:id="298"/>
      </w:r>
      <w:r w:rsidR="00CD12DC" w:rsidRPr="00F95336">
        <w:rPr>
          <w:rFonts w:ascii="Arial Narrow" w:hAnsi="Arial Narrow"/>
        </w:rPr>
        <w:t xml:space="preserve">. «No mês de Maio de 1899», recordou ele, «publiquei na </w:t>
      </w:r>
      <w:r w:rsidR="00CD12DC" w:rsidRPr="00F95336">
        <w:rPr>
          <w:rFonts w:ascii="Arial Narrow" w:hAnsi="Arial Narrow"/>
          <w:i/>
        </w:rPr>
        <w:t>Rivista Italiana di Sociologia</w:t>
      </w:r>
      <w:r w:rsidR="00CD12DC" w:rsidRPr="00F95336">
        <w:rPr>
          <w:rFonts w:ascii="Arial Narrow" w:hAnsi="Arial Narrow"/>
        </w:rPr>
        <w:t xml:space="preserve"> um artigo sobre o marxismo e a ciência social; terminei-o com o voto de que o socialismo se convertesse numa filosofia dos costumes; esta transformação teria comunicado grandeza a um movimento que estava quase tão desprovido dela como a própria democracia»</w:t>
      </w:r>
      <w:r w:rsidR="00CD12DC" w:rsidRPr="00F95336">
        <w:rPr>
          <w:rStyle w:val="Refdenotaderodap"/>
          <w:rFonts w:ascii="Arial Narrow" w:hAnsi="Arial Narrow"/>
        </w:rPr>
        <w:footnoteReference w:id="299"/>
      </w:r>
      <w:r w:rsidR="00CD12DC"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Um notável historiador fascista, que foi também historiador do fascismo, observou que o sindicalismo revolucionário «confia no proletariado, mas considera indispensável o revigoramento da burguesia»</w:t>
      </w:r>
      <w:r w:rsidRPr="00F95336">
        <w:rPr>
          <w:rStyle w:val="Refdenotaderodap"/>
          <w:rFonts w:ascii="Arial Narrow" w:hAnsi="Arial Narrow"/>
        </w:rPr>
        <w:footnoteReference w:id="300"/>
      </w:r>
      <w:r w:rsidRPr="00F95336">
        <w:rPr>
          <w:rFonts w:ascii="Arial Narrow" w:hAnsi="Arial Narrow"/>
        </w:rPr>
        <w:t>. Esta apologia da violência nas relações entre as classes e a crítica ao espírito conciliatório e liberal que a burguesia passara a manifestar não só se encontravam igualmente na obra de Vilfredo Pareto, com quem Sorel mant</w:t>
      </w:r>
      <w:r>
        <w:rPr>
          <w:rFonts w:ascii="Arial Narrow" w:hAnsi="Arial Narrow"/>
        </w:rPr>
        <w:t>eve</w:t>
      </w:r>
      <w:r w:rsidRPr="00F95336">
        <w:rPr>
          <w:rFonts w:ascii="Arial Narrow" w:hAnsi="Arial Narrow"/>
        </w:rPr>
        <w:t xml:space="preserve"> uma correspondência regular</w:t>
      </w:r>
      <w:r w:rsidRPr="00F95336">
        <w:rPr>
          <w:rStyle w:val="Refdenotaderodap"/>
          <w:rFonts w:ascii="Arial Narrow" w:hAnsi="Arial Narrow"/>
        </w:rPr>
        <w:footnoteReference w:id="301"/>
      </w:r>
      <w:r w:rsidRPr="00F95336">
        <w:rPr>
          <w:rFonts w:ascii="Arial Narrow" w:hAnsi="Arial Narrow"/>
        </w:rPr>
        <w:t xml:space="preserve">, como não eram também inéditas no socialismo. No mais importante dos livros </w:t>
      </w:r>
      <w:r>
        <w:rPr>
          <w:rFonts w:ascii="Arial Narrow" w:hAnsi="Arial Narrow"/>
        </w:rPr>
        <w:t xml:space="preserve">de </w:t>
      </w:r>
      <w:r w:rsidRPr="00F95336">
        <w:rPr>
          <w:rFonts w:ascii="Arial Narrow" w:hAnsi="Arial Narrow"/>
        </w:rPr>
        <w:t xml:space="preserve">Benoît Malon, publicado um ano antes da sua morte, podiam ler-se já alguns temas que as </w:t>
      </w:r>
      <w:r w:rsidRPr="00F95336">
        <w:rPr>
          <w:rFonts w:ascii="Arial Narrow" w:hAnsi="Arial Narrow"/>
          <w:i/>
        </w:rPr>
        <w:t>Réflexions sur la Violence</w:t>
      </w:r>
      <w:r w:rsidRPr="00F95336">
        <w:rPr>
          <w:rFonts w:ascii="Arial Narrow" w:hAnsi="Arial Narrow"/>
        </w:rPr>
        <w:t xml:space="preserve"> haveriam de celebrizar. A tese de que o curso da história não é determinado apenas por factores económicos, mas ainda por forças morais, que devem sustentar o proletariado no seu combate, adquiriu um carácter operacional na teoria soreliana do mito. E a visão moral dos conflitos sociais, que levara Malon a situar o socialismo mais no contexto da civilização do que no da luta de classes, justificou do mesmo modo a obsessão de Sorel com os riscos de uma decadência civilizacional</w:t>
      </w:r>
      <w:r w:rsidRPr="00F95336">
        <w:rPr>
          <w:rStyle w:val="Refdenotaderodap"/>
          <w:rFonts w:ascii="Arial Narrow" w:hAnsi="Arial Narrow"/>
        </w:rPr>
        <w:footnoteReference w:id="302"/>
      </w:r>
      <w:r w:rsidRPr="00F95336">
        <w:rPr>
          <w:rFonts w:ascii="Arial Narrow" w:hAnsi="Arial Narrow"/>
        </w:rPr>
        <w:t xml:space="preserve">. Teve grande audiência esta tese, </w:t>
      </w:r>
      <w:r>
        <w:rPr>
          <w:rFonts w:ascii="Arial Narrow" w:hAnsi="Arial Narrow"/>
        </w:rPr>
        <w:lastRenderedPageBreak/>
        <w:t xml:space="preserve">premonitória do </w:t>
      </w:r>
      <w:r w:rsidRPr="00F95336">
        <w:rPr>
          <w:rFonts w:ascii="Arial Narrow" w:hAnsi="Arial Narrow"/>
        </w:rPr>
        <w:t xml:space="preserve">pessimismo cultural que haveria de se difundir nos meios conservadores durante as décadas que mediaram entre as duas guerras mundiais. Lucien Rebatet, que não sabia ainda soletrar quando foi publicada a primeira edição das </w:t>
      </w:r>
      <w:r w:rsidRPr="00F95336">
        <w:rPr>
          <w:rFonts w:ascii="Arial Narrow" w:hAnsi="Arial Narrow"/>
          <w:i/>
        </w:rPr>
        <w:t>Réflexions sur la Violence,</w:t>
      </w:r>
      <w:r w:rsidRPr="00F95336">
        <w:rPr>
          <w:rFonts w:ascii="Arial Narrow" w:hAnsi="Arial Narrow"/>
        </w:rPr>
        <w:t xml:space="preserve"> escandaliz</w:t>
      </w:r>
      <w:r>
        <w:rPr>
          <w:rFonts w:ascii="Arial Narrow" w:hAnsi="Arial Narrow"/>
        </w:rPr>
        <w:t>ou</w:t>
      </w:r>
      <w:r w:rsidRPr="00F95336">
        <w:rPr>
          <w:rFonts w:ascii="Arial Narrow" w:hAnsi="Arial Narrow"/>
        </w:rPr>
        <w:t>-se de que na França de 1939 as relações «entre os simples soldados e todo o tipo de oficiais subalternos» copiassem as existentes entre o proletariado e a burguesia, «já não de uma maneira autoritária e violentamente triunfante, mas à maneira do capitalismo democrático, operários reles, patrões cobardes [...]»</w:t>
      </w:r>
      <w:r w:rsidRPr="00F95336">
        <w:rPr>
          <w:rStyle w:val="Refdenotaderodap"/>
          <w:rFonts w:ascii="Arial Narrow" w:hAnsi="Arial Narrow"/>
        </w:rPr>
        <w:footnoteReference w:id="303"/>
      </w:r>
      <w:r w:rsidRPr="00F95336">
        <w:rPr>
          <w:rFonts w:ascii="Arial Narrow" w:hAnsi="Arial Narrow"/>
        </w:rPr>
        <w:t xml:space="preserve">. </w:t>
      </w:r>
      <w:r>
        <w:rPr>
          <w:rFonts w:ascii="Arial Narrow" w:hAnsi="Arial Narrow"/>
        </w:rPr>
        <w:t>Afinal</w:t>
      </w:r>
      <w:r w:rsidRPr="00F95336">
        <w:rPr>
          <w:rFonts w:ascii="Arial Narrow" w:hAnsi="Arial Narrow"/>
        </w:rPr>
        <w:t>, apesar de ser um leitor atento de Marx e em boa parte o ter entendido melhor do que os ortodoxos do seu tempo</w:t>
      </w:r>
      <w:r w:rsidRPr="00F95336">
        <w:rPr>
          <w:rStyle w:val="Refdenotaderodap"/>
          <w:rFonts w:ascii="Arial Narrow" w:hAnsi="Arial Narrow"/>
        </w:rPr>
        <w:footnoteReference w:id="304"/>
      </w:r>
      <w:r w:rsidRPr="00F95336">
        <w:rPr>
          <w:rFonts w:ascii="Arial Narrow" w:hAnsi="Arial Narrow"/>
        </w:rPr>
        <w:t xml:space="preserve">, </w:t>
      </w:r>
      <w:r>
        <w:rPr>
          <w:rFonts w:ascii="Arial Narrow" w:hAnsi="Arial Narrow"/>
        </w:rPr>
        <w:t xml:space="preserve">Sorel </w:t>
      </w:r>
      <w:r w:rsidRPr="00F95336">
        <w:rPr>
          <w:rFonts w:ascii="Arial Narrow" w:hAnsi="Arial Narrow"/>
        </w:rPr>
        <w:t>manteve-se cego perante os mecanismos da mais-valia relativa, que geram a conciliação entre as classes, enquanto o recurso exclusivo à violência por parte dos patrões apenas serv</w:t>
      </w:r>
      <w:r>
        <w:rPr>
          <w:rFonts w:ascii="Arial Narrow" w:hAnsi="Arial Narrow"/>
        </w:rPr>
        <w:t>e</w:t>
      </w:r>
      <w:r w:rsidRPr="00F95336">
        <w:rPr>
          <w:rFonts w:ascii="Arial Narrow" w:hAnsi="Arial Narrow"/>
        </w:rPr>
        <w:t xml:space="preserve"> de quadro à mais-valia absoluta, incapaz de estimular o progresso económico. Foi porque Sorel não concebeu os trabalhadores como uma classe dotada de organização interna e não lhes analisou a estrutura social que não percebeu que o único factor a incentivar a produtividade consiste na prática capitalista de recuperação das lutas. A que se reduzia então a autonomia de uma classe, se a sua organização interna não era concebida como autónoma? </w:t>
      </w:r>
    </w:p>
    <w:p w:rsidR="00CD12DC" w:rsidRPr="00F95336" w:rsidRDefault="00CD12DC" w:rsidP="00CD12DC">
      <w:pPr>
        <w:rPr>
          <w:rFonts w:ascii="Arial Narrow" w:hAnsi="Arial Narrow"/>
        </w:rPr>
      </w:pPr>
      <w:r w:rsidRPr="00F95336">
        <w:rPr>
          <w:rFonts w:ascii="Arial Narrow" w:hAnsi="Arial Narrow"/>
        </w:rPr>
        <w:t xml:space="preserve">Já que lhe fora retirado o fundamento social prático, a greve geral só poderia esperar-se da acção de uma vanguarda. A revolução foi substituída pela acção </w:t>
      </w:r>
      <w:r w:rsidR="009A5910">
        <w:rPr>
          <w:rFonts w:ascii="Arial Narrow" w:hAnsi="Arial Narrow"/>
        </w:rPr>
        <w:t>—</w:t>
      </w:r>
      <w:r w:rsidRPr="00F95336">
        <w:rPr>
          <w:rFonts w:ascii="Arial Narrow" w:hAnsi="Arial Narrow"/>
        </w:rPr>
        <w:t xml:space="preserve"> qualquer acção. E a política, em vez de constituir uma estratégia de agudização das contradições, reduziu-se ao impulso voluntarioso de um número diminuto de iluminados. Considerar a classe trabalhadora como desprovida de organização própria é convertê-la numa massa e criar as condições ideológicas necessárias à promoção de uma elite. Sorel resumiu o enredo do drama social às manobras dos políticos profissionais e à actuação dos militantes do sindicalismo revolucionário. A leitura das </w:t>
      </w:r>
      <w:r w:rsidRPr="00F95336">
        <w:rPr>
          <w:rFonts w:ascii="Arial Narrow" w:hAnsi="Arial Narrow"/>
          <w:i/>
        </w:rPr>
        <w:t>Réflexions sur la Violence</w:t>
      </w:r>
      <w:r w:rsidRPr="00F95336">
        <w:rPr>
          <w:rFonts w:ascii="Arial Narrow" w:hAnsi="Arial Narrow"/>
        </w:rPr>
        <w:t xml:space="preserve"> mostra que para Sorel a única organização possível da classe trabalhadora lhe era exterior e residia nos sindicatos</w:t>
      </w:r>
      <w:r w:rsidRPr="00F95336">
        <w:rPr>
          <w:rStyle w:val="Refdenotaderodap"/>
          <w:rFonts w:ascii="Arial Narrow" w:hAnsi="Arial Narrow"/>
        </w:rPr>
        <w:footnoteReference w:id="305"/>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lastRenderedPageBreak/>
        <w:t>Contudo, na primeira edição des</w:t>
      </w:r>
      <w:r w:rsidR="00BD7EC1">
        <w:rPr>
          <w:rFonts w:ascii="Arial Narrow" w:hAnsi="Arial Narrow"/>
        </w:rPr>
        <w:t>s</w:t>
      </w:r>
      <w:r w:rsidRPr="00F95336">
        <w:rPr>
          <w:rFonts w:ascii="Arial Narrow" w:hAnsi="Arial Narrow"/>
        </w:rPr>
        <w:t>a sua obra Sorel parece ter guardado certa lucidez e criticou o elitismo que surgia no próprio movimento revolucionário</w:t>
      </w:r>
      <w:r w:rsidR="00BD7EC1">
        <w:rPr>
          <w:rFonts w:ascii="Arial Narrow" w:hAnsi="Arial Narrow"/>
        </w:rPr>
        <w:t>.</w:t>
      </w:r>
      <w:r w:rsidRPr="00F95336">
        <w:rPr>
          <w:rFonts w:ascii="Arial Narrow" w:hAnsi="Arial Narrow"/>
        </w:rPr>
        <w:t xml:space="preserve"> «[...] o grande perigo que ameaça o sindicalismo são as tentativas de imitar a democracia. É preferível contentar-se durante algum tempo com organizações fracas e caóticas do que ficar sujeito ao domínio de sindicatos que copiem as formas políticas da burguesia»</w:t>
      </w:r>
      <w:r w:rsidRPr="00F95336">
        <w:rPr>
          <w:rStyle w:val="Refdenotaderodap"/>
          <w:rFonts w:ascii="Arial Narrow" w:hAnsi="Arial Narrow"/>
        </w:rPr>
        <w:footnoteReference w:id="306"/>
      </w:r>
      <w:r w:rsidRPr="00F95336">
        <w:rPr>
          <w:rFonts w:ascii="Arial Narrow" w:hAnsi="Arial Narrow"/>
        </w:rPr>
        <w:t>. Aliás, este aspecto tumultuoso foi apresentado como o segredo da vitória</w:t>
      </w:r>
      <w:r w:rsidR="00BD7EC1">
        <w:rPr>
          <w:rFonts w:ascii="Arial Narrow" w:hAnsi="Arial Narrow"/>
        </w:rPr>
        <w:t>.</w:t>
      </w:r>
      <w:r w:rsidRPr="00F95336">
        <w:rPr>
          <w:rFonts w:ascii="Arial Narrow" w:hAnsi="Arial Narrow"/>
        </w:rPr>
        <w:t xml:space="preserve"> «[...] a greve geral [...] é a manifestação mais patente da força individualista nas massas sublevadas»</w:t>
      </w:r>
      <w:r w:rsidRPr="00F95336">
        <w:rPr>
          <w:rStyle w:val="Refdenotaderodap"/>
          <w:rFonts w:ascii="Arial Narrow" w:hAnsi="Arial Narrow"/>
        </w:rPr>
        <w:footnoteReference w:id="307"/>
      </w:r>
      <w:r w:rsidRPr="00F95336">
        <w:rPr>
          <w:rFonts w:ascii="Arial Narrow" w:hAnsi="Arial Narrow"/>
        </w:rPr>
        <w:t>. Um pouco antes a ideia fora melhor explicada</w:t>
      </w:r>
      <w:r w:rsidR="00BD7EC1">
        <w:rPr>
          <w:rFonts w:ascii="Arial Narrow" w:hAnsi="Arial Narrow"/>
        </w:rPr>
        <w:t>.</w:t>
      </w:r>
      <w:r w:rsidRPr="00F95336">
        <w:rPr>
          <w:rFonts w:ascii="Arial Narrow" w:hAnsi="Arial Narrow"/>
        </w:rPr>
        <w:t xml:space="preserve"> «[...] os grupos de operários que se entusiasmam com a greve geral [...] concebem [...] a revolução como uma imensa sublevação que pode ainda considerar-se individualista: cada um avançando com todo o ardor, agindo por conta própria, sem se preocupar em subordinar o seu procedimento a qualquer plano de conjunto, sabiamente preparado. Este carácter da greve geral proletária [...] não deixa de atemorizar os políticos gananciosos, que compreendem perfeitamente que uma revolução conduzida deste modo lhes tiraria qualquer oportunidade de se apoderarem do governo»</w:t>
      </w:r>
      <w:r w:rsidRPr="00F95336">
        <w:rPr>
          <w:rStyle w:val="Refdenotaderodap"/>
          <w:rFonts w:ascii="Arial Narrow" w:hAnsi="Arial Narrow"/>
        </w:rPr>
        <w:footnoteReference w:id="308"/>
      </w:r>
      <w:r w:rsidRPr="00F95336">
        <w:rPr>
          <w:rFonts w:ascii="Arial Narrow" w:hAnsi="Arial Narrow"/>
        </w:rPr>
        <w:t>. E de novo, num estilo mais conciso: «Este individualismo apaixonado jamais existiria entre classes operárias que tivessem sido educadas pela politicagem. Essas não seriam capazes senão de mudar de chefes»</w:t>
      </w:r>
      <w:r w:rsidRPr="00F95336">
        <w:rPr>
          <w:rStyle w:val="Refdenotaderodap"/>
          <w:rFonts w:ascii="Arial Narrow" w:hAnsi="Arial Narrow"/>
        </w:rPr>
        <w:footnoteReference w:id="309"/>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Numa edição posterior Sorel introduziu um capítulo suplementar e só aí atribuiu um papel decisivo aos propagandistas e organizadores da greve geral. «O catolicismo reservou sempre as funções de luta a instituições com um reduzido número de membros, severamente seleccionados através de provas destinadas a confirmar a sua vocação</w:t>
      </w:r>
      <w:r w:rsidR="00AF1705">
        <w:rPr>
          <w:rFonts w:ascii="Arial Narrow" w:hAnsi="Arial Narrow"/>
        </w:rPr>
        <w:t>», escreveu ele então. «</w:t>
      </w:r>
      <w:r w:rsidRPr="00F95336">
        <w:rPr>
          <w:rFonts w:ascii="Arial Narrow" w:hAnsi="Arial Narrow"/>
        </w:rPr>
        <w:t>Foi com tropas de elite, perfeitamente treinadas graças à vida monástica, [...] que o catolicismo pôde, até aos dias de hoje, triunfar dos seus inimigos. [...] Para o proletariado seria extremamente perigoso não aplicar uma divisão de funções que teve tanto êxito com o catolicismo durante toda a sua longa história. Ele não seria mais do que uma massa inerte, destinada a cair, tal como a democracia, sob a direcção de políticos que vivem da subordinação dos seus eleitores. Os sindicatos não se devem preocupar tanto em possuir um grande número de aderentes como sobretudo em reunir elementos fortes. As greves revolucionárias são excelentes para operar uma selecção, afastando os timoratos que arruinariam as tropas de elite»</w:t>
      </w:r>
      <w:r w:rsidRPr="00F95336">
        <w:rPr>
          <w:rStyle w:val="Refdenotaderodap"/>
          <w:rFonts w:ascii="Arial Narrow" w:hAnsi="Arial Narrow"/>
        </w:rPr>
        <w:footnoteReference w:id="310"/>
      </w:r>
      <w:r w:rsidRPr="00F95336">
        <w:rPr>
          <w:rFonts w:ascii="Arial Narrow" w:hAnsi="Arial Narrow"/>
        </w:rPr>
        <w:t xml:space="preserve">. E um pouco adiante: «Um grande número de organizações intervém mais ou menos de perto na vida económico-jurídica do conjunto da sociedade, de maneira que o grau de unidade </w:t>
      </w:r>
      <w:r w:rsidRPr="00F95336">
        <w:rPr>
          <w:rFonts w:ascii="Arial Narrow" w:hAnsi="Arial Narrow"/>
        </w:rPr>
        <w:lastRenderedPageBreak/>
        <w:t>necessário numa sociedade é produzido automaticamente. Outras, menos numerosas e bem seleccionadas, conduzem a luta de classe. São estas que empolgam o pensamento proletário, criando a unidade ideológica de que o proletariado necessita para levar a cabo a sua obra revolucionária [...]»</w:t>
      </w:r>
      <w:r w:rsidRPr="00F95336">
        <w:rPr>
          <w:rStyle w:val="Refdenotaderodap"/>
          <w:rFonts w:ascii="Arial Narrow" w:hAnsi="Arial Narrow"/>
        </w:rPr>
        <w:footnoteReference w:id="311"/>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As novas ideias e a nova moral, que Sorel começara por apresentar no quadro de uma pedagogia da luta autónoma, passaram a ser enunciadas como feito e obra de elites seleccionadas. Isto pôde suceder porque já na primeira edição das </w:t>
      </w:r>
      <w:r w:rsidRPr="00F95336">
        <w:rPr>
          <w:rFonts w:ascii="Arial Narrow" w:hAnsi="Arial Narrow"/>
          <w:i/>
        </w:rPr>
        <w:t>Réflexions sur la Violence</w:t>
      </w:r>
      <w:r w:rsidRPr="00F95336">
        <w:rPr>
          <w:rFonts w:ascii="Arial Narrow" w:hAnsi="Arial Narrow"/>
        </w:rPr>
        <w:t xml:space="preserve"> a classe trabalhadora </w:t>
      </w:r>
      <w:r w:rsidR="00187600">
        <w:rPr>
          <w:rFonts w:ascii="Arial Narrow" w:hAnsi="Arial Narrow"/>
        </w:rPr>
        <w:t xml:space="preserve">fora concebida </w:t>
      </w:r>
      <w:r w:rsidRPr="00F95336">
        <w:rPr>
          <w:rFonts w:ascii="Arial Narrow" w:hAnsi="Arial Narrow"/>
        </w:rPr>
        <w:t>como uma massa dotada de enorme potencial de energia, mas desprovida da capacidade de canalizar a violência numa estratégia própria</w:t>
      </w:r>
      <w:r w:rsidRPr="00F95336">
        <w:rPr>
          <w:rStyle w:val="Refdenotaderodap"/>
          <w:rFonts w:ascii="Arial Narrow" w:hAnsi="Arial Narrow"/>
        </w:rPr>
        <w:footnoteReference w:id="312"/>
      </w:r>
      <w:r w:rsidRPr="00F95336">
        <w:rPr>
          <w:rFonts w:ascii="Arial Narrow" w:hAnsi="Arial Narrow"/>
        </w:rPr>
        <w:t>. O proletariado, que os sindicalistas revolucionários enalteciam como o grande objecto da história, seria afinal inapto para se assumir como sujeito histórico. Não era o paradigma incorporado nas organizações de resistência que rasgava o futuro, mas só o dinamismo que os trabalhadores ousassem manifestar nos confrontos sociais. «A economia tende a confundir todas as obras individuais numa massa»</w:t>
      </w:r>
      <w:r>
        <w:rPr>
          <w:rFonts w:ascii="Arial Narrow" w:hAnsi="Arial Narrow"/>
        </w:rPr>
        <w:t>,</w:t>
      </w:r>
      <w:r w:rsidRPr="00F95336">
        <w:rPr>
          <w:rFonts w:ascii="Arial Narrow" w:hAnsi="Arial Narrow"/>
        </w:rPr>
        <w:t xml:space="preserve"> escreveu Sorel, como citei há pouco, acrescent</w:t>
      </w:r>
      <w:r w:rsidR="00187600">
        <w:rPr>
          <w:rFonts w:ascii="Arial Narrow" w:hAnsi="Arial Narrow"/>
        </w:rPr>
        <w:t>ando</w:t>
      </w:r>
      <w:r w:rsidRPr="00F95336">
        <w:rPr>
          <w:rFonts w:ascii="Arial Narrow" w:hAnsi="Arial Narrow"/>
        </w:rPr>
        <w:t xml:space="preserve"> que «não é na economia que se deverá procurar a aplicação directa das noções de grandeza e de decadência»</w:t>
      </w:r>
      <w:r w:rsidRPr="00F95336">
        <w:rPr>
          <w:rStyle w:val="Refdenotaderodap"/>
          <w:rFonts w:ascii="Arial Narrow" w:hAnsi="Arial Narrow"/>
        </w:rPr>
        <w:footnoteReference w:id="313"/>
      </w:r>
      <w:r w:rsidRPr="00F95336">
        <w:rPr>
          <w:rFonts w:ascii="Arial Narrow" w:hAnsi="Arial Narrow"/>
        </w:rPr>
        <w:t xml:space="preserve">. </w:t>
      </w:r>
      <w:r w:rsidR="00E96B13">
        <w:rPr>
          <w:rFonts w:ascii="Arial Narrow" w:hAnsi="Arial Narrow"/>
        </w:rPr>
        <w:t>Por isso «</w:t>
      </w:r>
      <w:r w:rsidRPr="00F95336">
        <w:rPr>
          <w:rFonts w:ascii="Arial Narrow" w:hAnsi="Arial Narrow"/>
        </w:rPr>
        <w:t>o espírito revolucionário ganha terreno sempre que se enfraquece o sentimento da necessidade económica»</w:t>
      </w:r>
      <w:r w:rsidRPr="00F95336">
        <w:rPr>
          <w:rStyle w:val="Refdenotaderodap"/>
          <w:rFonts w:ascii="Arial Narrow" w:hAnsi="Arial Narrow"/>
        </w:rPr>
        <w:footnoteReference w:id="314"/>
      </w:r>
      <w:r w:rsidRPr="00F95336">
        <w:rPr>
          <w:rFonts w:ascii="Arial Narrow" w:hAnsi="Arial Narrow"/>
        </w:rPr>
        <w:t xml:space="preserve">. Quando se prescinde da perspectiva económica, </w:t>
      </w:r>
      <w:r>
        <w:rPr>
          <w:rFonts w:ascii="Arial Narrow" w:hAnsi="Arial Narrow"/>
        </w:rPr>
        <w:t xml:space="preserve">porém, </w:t>
      </w:r>
      <w:r w:rsidRPr="00F95336">
        <w:rPr>
          <w:rFonts w:ascii="Arial Narrow" w:hAnsi="Arial Narrow"/>
        </w:rPr>
        <w:t xml:space="preserve">o proletariado deixa de ser definido pelo lugar que ocupa no processo de </w:t>
      </w:r>
      <w:r w:rsidR="001B0213">
        <w:rPr>
          <w:rFonts w:ascii="Arial Narrow" w:hAnsi="Arial Narrow"/>
        </w:rPr>
        <w:t xml:space="preserve">exploração </w:t>
      </w:r>
      <w:r w:rsidRPr="00F95336">
        <w:rPr>
          <w:rFonts w:ascii="Arial Narrow" w:hAnsi="Arial Narrow"/>
        </w:rPr>
        <w:t xml:space="preserve">e fica remetido a um plano estritamente político, passando a ser considerado um mero factor de violência, substituível por qualquer outro factor a que se atribua uma </w:t>
      </w:r>
      <w:r w:rsidR="00E96B13">
        <w:rPr>
          <w:rFonts w:ascii="Arial Narrow" w:hAnsi="Arial Narrow"/>
        </w:rPr>
        <w:t>energia</w:t>
      </w:r>
      <w:r w:rsidRPr="00F95336">
        <w:rPr>
          <w:rFonts w:ascii="Arial Narrow" w:hAnsi="Arial Narrow"/>
        </w:rPr>
        <w:t xml:space="preserve"> </w:t>
      </w:r>
      <w:r w:rsidR="00187600">
        <w:rPr>
          <w:rFonts w:ascii="Arial Narrow" w:hAnsi="Arial Narrow"/>
        </w:rPr>
        <w:t>equivalente</w:t>
      </w:r>
      <w:r w:rsidRPr="00F95336">
        <w:rPr>
          <w:rFonts w:ascii="Arial Narrow" w:hAnsi="Arial Narrow"/>
        </w:rPr>
        <w:t xml:space="preserve">. Nestes termos, a incitação ao heroísmo nacional podia ser tão satisfatória </w:t>
      </w:r>
      <w:r>
        <w:rPr>
          <w:rFonts w:ascii="Arial Narrow" w:hAnsi="Arial Narrow"/>
        </w:rPr>
        <w:t>para os</w:t>
      </w:r>
      <w:r w:rsidRPr="00F95336">
        <w:rPr>
          <w:rFonts w:ascii="Arial Narrow" w:hAnsi="Arial Narrow"/>
        </w:rPr>
        <w:t xml:space="preserve"> sindicalistas revolucionários como a mobilização do dinamismo operário. </w:t>
      </w:r>
      <w:r w:rsidR="00E96B13">
        <w:rPr>
          <w:rFonts w:ascii="Arial Narrow" w:hAnsi="Arial Narrow"/>
        </w:rPr>
        <w:t xml:space="preserve">Embora </w:t>
      </w:r>
      <w:r w:rsidRPr="00F95336">
        <w:rPr>
          <w:rFonts w:ascii="Arial Narrow" w:hAnsi="Arial Narrow"/>
        </w:rPr>
        <w:t xml:space="preserve">a formulação explícita do elitismo sindicalista de Sorel </w:t>
      </w:r>
      <w:r w:rsidR="00E96B13">
        <w:rPr>
          <w:rFonts w:ascii="Arial Narrow" w:hAnsi="Arial Narrow"/>
        </w:rPr>
        <w:t xml:space="preserve">fosse </w:t>
      </w:r>
      <w:r w:rsidRPr="00F95336">
        <w:rPr>
          <w:rFonts w:ascii="Arial Narrow" w:hAnsi="Arial Narrow"/>
        </w:rPr>
        <w:t>tardia</w:t>
      </w:r>
      <w:r>
        <w:rPr>
          <w:rFonts w:ascii="Arial Narrow" w:hAnsi="Arial Narrow"/>
        </w:rPr>
        <w:t>,</w:t>
      </w:r>
      <w:r w:rsidRPr="00F95336">
        <w:rPr>
          <w:rFonts w:ascii="Arial Narrow" w:hAnsi="Arial Narrow"/>
        </w:rPr>
        <w:t xml:space="preserve"> o elitismo estava já contido na visão de uma classe trabalhadora </w:t>
      </w:r>
      <w:r w:rsidR="00F7188B">
        <w:rPr>
          <w:rFonts w:ascii="Arial Narrow" w:hAnsi="Arial Narrow"/>
        </w:rPr>
        <w:t>desprovida</w:t>
      </w:r>
      <w:r w:rsidRPr="00F95336">
        <w:rPr>
          <w:rFonts w:ascii="Arial Narrow" w:hAnsi="Arial Narrow"/>
        </w:rPr>
        <w:t xml:space="preserve"> de estrutura interna. Depois, a pressão das circunstâncias obrigou os pressupostos ideológicos a assumirem uma forma visível e revelou-</w:t>
      </w:r>
      <w:r w:rsidR="00E96B13">
        <w:rPr>
          <w:rFonts w:ascii="Arial Narrow" w:hAnsi="Arial Narrow"/>
        </w:rPr>
        <w:t>lhes</w:t>
      </w:r>
      <w:r w:rsidRPr="00F95336">
        <w:rPr>
          <w:rFonts w:ascii="Arial Narrow" w:hAnsi="Arial Narrow"/>
        </w:rPr>
        <w:t xml:space="preserve"> </w:t>
      </w:r>
      <w:r w:rsidR="00E96B13">
        <w:rPr>
          <w:rFonts w:ascii="Arial Narrow" w:hAnsi="Arial Narrow"/>
        </w:rPr>
        <w:t xml:space="preserve">as </w:t>
      </w:r>
      <w:r w:rsidRPr="00F95336">
        <w:rPr>
          <w:rFonts w:ascii="Arial Narrow" w:hAnsi="Arial Narrow"/>
        </w:rPr>
        <w:t xml:space="preserve">consequências práticas. </w:t>
      </w:r>
    </w:p>
    <w:p w:rsidR="00CD12DC" w:rsidRPr="00F95336" w:rsidRDefault="00CD12DC" w:rsidP="00CD12DC">
      <w:pPr>
        <w:rPr>
          <w:rFonts w:ascii="Arial Narrow" w:hAnsi="Arial Narrow"/>
        </w:rPr>
      </w:pPr>
      <w:r w:rsidRPr="00F95336">
        <w:rPr>
          <w:rFonts w:ascii="Arial Narrow" w:hAnsi="Arial Narrow"/>
        </w:rPr>
        <w:t>No sindicalismo revolucionário cruzavam-se e entrechocavam-se ideias variadas e teses contraditórias, cada uma com o seu peso específico. Mas os rumos tomados pela história mostram que o discurso começou a reestruturar</w:t>
      </w:r>
      <w:r>
        <w:rPr>
          <w:rFonts w:ascii="Arial Narrow" w:hAnsi="Arial Narrow"/>
        </w:rPr>
        <w:t>-</w:t>
      </w:r>
      <w:r w:rsidRPr="00F95336">
        <w:rPr>
          <w:rFonts w:ascii="Arial Narrow" w:hAnsi="Arial Narrow"/>
        </w:rPr>
        <w:t>se em torno das concepções elitistas</w:t>
      </w:r>
      <w:r>
        <w:rPr>
          <w:rFonts w:ascii="Arial Narrow" w:hAnsi="Arial Narrow"/>
        </w:rPr>
        <w:t>,</w:t>
      </w:r>
      <w:r w:rsidRPr="00F95336">
        <w:rPr>
          <w:rFonts w:ascii="Arial Narrow" w:hAnsi="Arial Narrow"/>
        </w:rPr>
        <w:t xml:space="preserve"> adquiri</w:t>
      </w:r>
      <w:r>
        <w:rPr>
          <w:rFonts w:ascii="Arial Narrow" w:hAnsi="Arial Narrow"/>
        </w:rPr>
        <w:t xml:space="preserve">ndo então </w:t>
      </w:r>
      <w:r w:rsidRPr="00F95336">
        <w:rPr>
          <w:rFonts w:ascii="Arial Narrow" w:hAnsi="Arial Narrow"/>
        </w:rPr>
        <w:t xml:space="preserve">outro carácter. Não ocorreu aqui, como aliás nunca ocorre, uma evolução em </w:t>
      </w:r>
      <w:r w:rsidRPr="00F95336">
        <w:rPr>
          <w:rFonts w:ascii="Arial Narrow" w:hAnsi="Arial Narrow"/>
        </w:rPr>
        <w:lastRenderedPageBreak/>
        <w:t xml:space="preserve">bloco, mas transformações internas, e elas puderam efectuar-se porque no quadro de pensamento anterior existia já um ponto de articulação </w:t>
      </w:r>
      <w:r>
        <w:rPr>
          <w:rFonts w:ascii="Arial Narrow" w:hAnsi="Arial Narrow"/>
        </w:rPr>
        <w:t xml:space="preserve">em redor </w:t>
      </w:r>
      <w:r w:rsidRPr="00F95336">
        <w:rPr>
          <w:rFonts w:ascii="Arial Narrow" w:hAnsi="Arial Narrow"/>
        </w:rPr>
        <w:t>do qual se desenvolveu o novo quadro ideológico, até que afinal o sindicalismo revolucionário se revelou como um dos factores decisivos no aparecimento do fascismo. Esta distância podemos hoje pe</w:t>
      </w:r>
      <w:r>
        <w:rPr>
          <w:rFonts w:ascii="Arial Narrow" w:hAnsi="Arial Narrow"/>
        </w:rPr>
        <w:t>r</w:t>
      </w:r>
      <w:r w:rsidRPr="00F95336">
        <w:rPr>
          <w:rFonts w:ascii="Arial Narrow" w:hAnsi="Arial Narrow"/>
        </w:rPr>
        <w:t xml:space="preserve">corrê-la sem esforço porque a história se encarregou de a preencher primeiro. Não é difícil afirmar que existe uma continuidade quando, depois de tudo sucedido, vemos que a evolução se processou. Mas antes? Poder-se-ia saber em 1906 que os anseios de um fascismo em gestação eram a conclusão necessária e única de páginas tão brilhantes sobre a autonomia dos trabalhadores? É esta a </w:t>
      </w:r>
      <w:r>
        <w:rPr>
          <w:rFonts w:ascii="Arial Narrow" w:hAnsi="Arial Narrow"/>
        </w:rPr>
        <w:t>trágica</w:t>
      </w:r>
      <w:r w:rsidRPr="00F95336">
        <w:rPr>
          <w:rFonts w:ascii="Arial Narrow" w:hAnsi="Arial Narrow"/>
        </w:rPr>
        <w:t xml:space="preserve"> assimetria da história. Tudo o que vemos </w:t>
      </w:r>
      <w:r w:rsidRPr="00F95336">
        <w:rPr>
          <w:rFonts w:ascii="Arial Narrow" w:hAnsi="Arial Narrow"/>
          <w:i/>
        </w:rPr>
        <w:t>a posteriori</w:t>
      </w:r>
      <w:r w:rsidRPr="00F95336">
        <w:rPr>
          <w:rFonts w:ascii="Arial Narrow" w:hAnsi="Arial Narrow"/>
        </w:rPr>
        <w:t xml:space="preserve"> é, por isso mesmo, razão suficiente. O que nos deixa sem saber com que razão perscrutar no </w:t>
      </w:r>
      <w:r w:rsidRPr="00F95336">
        <w:rPr>
          <w:rFonts w:ascii="Arial Narrow" w:hAnsi="Arial Narrow"/>
          <w:i/>
        </w:rPr>
        <w:t>a priori</w:t>
      </w:r>
      <w:r w:rsidRPr="00F95336">
        <w:rPr>
          <w:rFonts w:ascii="Arial Narrow" w:hAnsi="Arial Narrow"/>
        </w:rPr>
        <w:t xml:space="preserve">. Porque a questão fundamental não consiste em explicar o segredo da evolução de Sorel e, com ele, de </w:t>
      </w:r>
      <w:r>
        <w:rPr>
          <w:rFonts w:ascii="Arial Narrow" w:hAnsi="Arial Narrow"/>
        </w:rPr>
        <w:t>um</w:t>
      </w:r>
      <w:r w:rsidRPr="00F95336">
        <w:rPr>
          <w:rFonts w:ascii="Arial Narrow" w:hAnsi="Arial Narrow"/>
        </w:rPr>
        <w:t xml:space="preserve"> </w:t>
      </w:r>
      <w:r>
        <w:rPr>
          <w:rFonts w:ascii="Arial Narrow" w:hAnsi="Arial Narrow"/>
        </w:rPr>
        <w:t>número</w:t>
      </w:r>
      <w:r w:rsidRPr="00F95336">
        <w:rPr>
          <w:rFonts w:ascii="Arial Narrow" w:hAnsi="Arial Narrow"/>
        </w:rPr>
        <w:t xml:space="preserve"> tão considerável </w:t>
      </w:r>
      <w:r>
        <w:rPr>
          <w:rFonts w:ascii="Arial Narrow" w:hAnsi="Arial Narrow"/>
        </w:rPr>
        <w:t>de</w:t>
      </w:r>
      <w:r w:rsidRPr="00F95336">
        <w:rPr>
          <w:rFonts w:ascii="Arial Narrow" w:hAnsi="Arial Narrow"/>
        </w:rPr>
        <w:t xml:space="preserve"> sindicalis</w:t>
      </w:r>
      <w:r>
        <w:rPr>
          <w:rFonts w:ascii="Arial Narrow" w:hAnsi="Arial Narrow"/>
        </w:rPr>
        <w:t>tas</w:t>
      </w:r>
      <w:r w:rsidRPr="00F95336">
        <w:rPr>
          <w:rFonts w:ascii="Arial Narrow" w:hAnsi="Arial Narrow"/>
        </w:rPr>
        <w:t xml:space="preserve"> revolucionário</w:t>
      </w:r>
      <w:r>
        <w:rPr>
          <w:rFonts w:ascii="Arial Narrow" w:hAnsi="Arial Narrow"/>
        </w:rPr>
        <w:t>s</w:t>
      </w:r>
      <w:r w:rsidRPr="00F95336">
        <w:rPr>
          <w:rFonts w:ascii="Arial Narrow" w:hAnsi="Arial Narrow"/>
        </w:rPr>
        <w:t xml:space="preserve">. O decisivo seria desvendar o mistério da evolução, a partir do dia de hoje, das experiências mais recentes de autonomia. </w:t>
      </w:r>
    </w:p>
    <w:p w:rsidR="00CD12DC" w:rsidRPr="00F95336" w:rsidRDefault="00CD12DC" w:rsidP="0027740E">
      <w:pPr>
        <w:keepNext/>
        <w:spacing w:before="720" w:after="360"/>
        <w:ind w:firstLine="0"/>
        <w:jc w:val="center"/>
        <w:rPr>
          <w:rFonts w:ascii="Arial Narrow" w:hAnsi="Arial Narrow"/>
          <w:b/>
          <w:sz w:val="28"/>
        </w:rPr>
      </w:pPr>
      <w:r w:rsidRPr="00F95336">
        <w:rPr>
          <w:rFonts w:ascii="Arial Narrow" w:hAnsi="Arial Narrow"/>
          <w:b/>
          <w:sz w:val="28"/>
        </w:rPr>
        <w:t>6. Mussolini, o mais improvável dos fascistas</w:t>
      </w:r>
    </w:p>
    <w:p w:rsidR="00CD12DC" w:rsidRPr="00F95336" w:rsidRDefault="00CD12DC" w:rsidP="00CD12DC">
      <w:pPr>
        <w:rPr>
          <w:rFonts w:ascii="Arial Narrow" w:hAnsi="Arial Narrow"/>
        </w:rPr>
      </w:pPr>
      <w:r w:rsidRPr="00F95336">
        <w:rPr>
          <w:rFonts w:ascii="Arial Narrow" w:hAnsi="Arial Narrow"/>
        </w:rPr>
        <w:t>Para a Itália cheg</w:t>
      </w:r>
      <w:r>
        <w:rPr>
          <w:rFonts w:ascii="Arial Narrow" w:hAnsi="Arial Narrow"/>
        </w:rPr>
        <w:t>ara</w:t>
      </w:r>
      <w:r w:rsidRPr="00F95336">
        <w:rPr>
          <w:rFonts w:ascii="Arial Narrow" w:hAnsi="Arial Narrow"/>
        </w:rPr>
        <w:t xml:space="preserve"> finalmente a guerra sonhada por Corradini e por tantos sindicalistas revolucionários, não as esmagadoras </w:t>
      </w:r>
      <w:r w:rsidR="003877F4">
        <w:rPr>
          <w:rFonts w:ascii="Arial Narrow" w:hAnsi="Arial Narrow"/>
        </w:rPr>
        <w:t>derrotas como em Dogali e em Adw</w:t>
      </w:r>
      <w:r w:rsidRPr="00F95336">
        <w:rPr>
          <w:rFonts w:ascii="Arial Narrow" w:hAnsi="Arial Narrow"/>
        </w:rPr>
        <w:t xml:space="preserve">a, na Etiópia, </w:t>
      </w:r>
      <w:r w:rsidR="00106AFE">
        <w:rPr>
          <w:rFonts w:ascii="Arial Narrow" w:hAnsi="Arial Narrow"/>
        </w:rPr>
        <w:t>o</w:t>
      </w:r>
      <w:r w:rsidR="003877F4">
        <w:rPr>
          <w:rFonts w:ascii="Arial Narrow" w:hAnsi="Arial Narrow"/>
        </w:rPr>
        <w:t xml:space="preserve"> únic</w:t>
      </w:r>
      <w:r w:rsidR="00106AFE">
        <w:rPr>
          <w:rFonts w:ascii="Arial Narrow" w:hAnsi="Arial Narrow"/>
        </w:rPr>
        <w:t>o</w:t>
      </w:r>
      <w:r w:rsidR="003877F4">
        <w:rPr>
          <w:rFonts w:ascii="Arial Narrow" w:hAnsi="Arial Narrow"/>
        </w:rPr>
        <w:t xml:space="preserve"> grande </w:t>
      </w:r>
      <w:r w:rsidR="00106AFE">
        <w:rPr>
          <w:rFonts w:ascii="Arial Narrow" w:hAnsi="Arial Narrow"/>
        </w:rPr>
        <w:t xml:space="preserve">revés militar </w:t>
      </w:r>
      <w:r w:rsidR="003877F4">
        <w:rPr>
          <w:rFonts w:ascii="Arial Narrow" w:hAnsi="Arial Narrow"/>
        </w:rPr>
        <w:t>sofrid</w:t>
      </w:r>
      <w:r w:rsidR="00106AFE">
        <w:rPr>
          <w:rFonts w:ascii="Arial Narrow" w:hAnsi="Arial Narrow"/>
        </w:rPr>
        <w:t>o</w:t>
      </w:r>
      <w:r w:rsidR="003877F4">
        <w:rPr>
          <w:rFonts w:ascii="Arial Narrow" w:hAnsi="Arial Narrow"/>
        </w:rPr>
        <w:t xml:space="preserve"> em África por um Estado europeu em todo o século XIX</w:t>
      </w:r>
      <w:r w:rsidR="00106AFE">
        <w:rPr>
          <w:rStyle w:val="Refdenotaderodap"/>
          <w:rFonts w:ascii="Arial Narrow" w:hAnsi="Arial Narrow"/>
        </w:rPr>
        <w:footnoteReference w:id="315"/>
      </w:r>
      <w:r w:rsidR="003877F4">
        <w:rPr>
          <w:rFonts w:ascii="Arial Narrow" w:hAnsi="Arial Narrow"/>
        </w:rPr>
        <w:t xml:space="preserve">, </w:t>
      </w:r>
      <w:r w:rsidRPr="00F95336">
        <w:rPr>
          <w:rFonts w:ascii="Arial Narrow" w:hAnsi="Arial Narrow"/>
        </w:rPr>
        <w:t xml:space="preserve">nem as demais campanhas medíocres e as pequenas escaramuças de uma impotência imperial no norte da África, mas o grande massacre. </w:t>
      </w:r>
      <w:r w:rsidR="000530E6">
        <w:rPr>
          <w:rFonts w:ascii="Arial Narrow" w:hAnsi="Arial Narrow"/>
        </w:rPr>
        <w:t xml:space="preserve">Gentile recordou que para os intervencionistas tanto fazia alinharem de um lado ou do outro, porque o importante era que a Itália tivesse a sua primeira experiência de sangue e </w:t>
      </w:r>
      <w:r w:rsidR="00D64104">
        <w:rPr>
          <w:rFonts w:ascii="Arial Narrow" w:hAnsi="Arial Narrow"/>
        </w:rPr>
        <w:t>assim todos se unissem numa vontade comum e fizessem de um país uma nação</w:t>
      </w:r>
      <w:r w:rsidR="00D64104">
        <w:rPr>
          <w:rStyle w:val="Refdenotaderodap"/>
          <w:rFonts w:ascii="Arial Narrow" w:hAnsi="Arial Narrow"/>
        </w:rPr>
        <w:footnoteReference w:id="316"/>
      </w:r>
      <w:r w:rsidR="00D64104">
        <w:rPr>
          <w:rFonts w:ascii="Arial Narrow" w:hAnsi="Arial Narrow"/>
        </w:rPr>
        <w:t xml:space="preserve">. </w:t>
      </w:r>
      <w:r w:rsidRPr="00F95336">
        <w:rPr>
          <w:rFonts w:ascii="Arial Narrow" w:hAnsi="Arial Narrow"/>
        </w:rPr>
        <w:t>O sindicalismo revolucionário, na primeira linha dos que defendiam a intervenção da Itália no conflito, continuou a fornecer à esquerda radical a principal via de passagem para o nacionalismo mais aguerrido, um caminho que Mussolini seguiu e muitos outros com ele</w:t>
      </w:r>
      <w:r w:rsidRPr="00F95336">
        <w:rPr>
          <w:rStyle w:val="Refdenotaderodap"/>
          <w:rFonts w:ascii="Arial Narrow" w:hAnsi="Arial Narrow"/>
        </w:rPr>
        <w:footnoteReference w:id="317"/>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Para quem observe a história tal como se desenrolou, de trás para diante, Benito Mussolini seria o mais improvável dos fascistas. O seu pai, Alessandro, </w:t>
      </w:r>
      <w:r w:rsidR="005244DE">
        <w:rPr>
          <w:rFonts w:ascii="Arial Narrow" w:hAnsi="Arial Narrow"/>
        </w:rPr>
        <w:t xml:space="preserve">militara </w:t>
      </w:r>
      <w:r w:rsidRPr="00F95336">
        <w:rPr>
          <w:rFonts w:ascii="Arial Narrow" w:hAnsi="Arial Narrow"/>
        </w:rPr>
        <w:t xml:space="preserve">na corrente radical da </w:t>
      </w:r>
      <w:r w:rsidR="005244DE">
        <w:rPr>
          <w:rFonts w:ascii="Arial Narrow" w:hAnsi="Arial Narrow"/>
        </w:rPr>
        <w:t>AIT</w:t>
      </w:r>
      <w:r w:rsidRPr="00F95336">
        <w:rPr>
          <w:rFonts w:ascii="Arial Narrow" w:hAnsi="Arial Narrow"/>
        </w:rPr>
        <w:t xml:space="preserve">, numa época em que o socialismo italiano recebia sobretudo a inspiração de Bakunin. E se mais tarde, embora mantendo-se fiel aos ideais libertários, Alessandro Mussolini seguiu boa parte dos seus companheiros na adopção de uma táctica legalista, isto não </w:t>
      </w:r>
      <w:r w:rsidR="00364F3B">
        <w:rPr>
          <w:rFonts w:ascii="Arial Narrow" w:hAnsi="Arial Narrow"/>
        </w:rPr>
        <w:t xml:space="preserve">evitou </w:t>
      </w:r>
      <w:r w:rsidR="00364F3B">
        <w:rPr>
          <w:rFonts w:ascii="Arial Narrow" w:hAnsi="Arial Narrow"/>
        </w:rPr>
        <w:lastRenderedPageBreak/>
        <w:t>que</w:t>
      </w:r>
      <w:r w:rsidRPr="00F95336">
        <w:rPr>
          <w:rFonts w:ascii="Arial Narrow" w:hAnsi="Arial Narrow"/>
        </w:rPr>
        <w:t xml:space="preserve"> o jovem Benito expressa</w:t>
      </w:r>
      <w:r w:rsidR="00364F3B">
        <w:rPr>
          <w:rFonts w:ascii="Arial Narrow" w:hAnsi="Arial Narrow"/>
        </w:rPr>
        <w:t>sse</w:t>
      </w:r>
      <w:r w:rsidRPr="00F95336">
        <w:rPr>
          <w:rFonts w:ascii="Arial Narrow" w:hAnsi="Arial Narrow"/>
        </w:rPr>
        <w:t xml:space="preserve"> simpatia, com dezassete ou dezoito anos, por uma versão bakuninista e blanquista do socialismo</w:t>
      </w:r>
      <w:r w:rsidRPr="00F95336">
        <w:rPr>
          <w:rStyle w:val="Refdenotaderodap"/>
          <w:rFonts w:ascii="Arial Narrow" w:hAnsi="Arial Narrow"/>
        </w:rPr>
        <w:footnoteReference w:id="318"/>
      </w:r>
      <w:r w:rsidRPr="00F95336">
        <w:rPr>
          <w:rFonts w:ascii="Arial Narrow" w:hAnsi="Arial Narrow"/>
        </w:rPr>
        <w:t>. Discípulo de Sorel desde pelo menos o final de 1906</w:t>
      </w:r>
      <w:r w:rsidRPr="00F95336">
        <w:rPr>
          <w:rStyle w:val="Refdenotaderodap"/>
          <w:rFonts w:ascii="Arial Narrow" w:hAnsi="Arial Narrow"/>
        </w:rPr>
        <w:footnoteReference w:id="319"/>
      </w:r>
      <w:r w:rsidRPr="00F95336">
        <w:rPr>
          <w:rFonts w:ascii="Arial Narrow" w:hAnsi="Arial Narrow"/>
        </w:rPr>
        <w:t>, censurou asperamente o mestre quando o viu aliar-se à Action Française</w:t>
      </w:r>
      <w:r w:rsidRPr="00F95336">
        <w:rPr>
          <w:rStyle w:val="Refdenotaderodap"/>
          <w:rFonts w:ascii="Arial Narrow" w:hAnsi="Arial Narrow"/>
        </w:rPr>
        <w:footnoteReference w:id="320"/>
      </w:r>
      <w:r w:rsidRPr="00F95336">
        <w:rPr>
          <w:rFonts w:ascii="Arial Narrow" w:hAnsi="Arial Narrow"/>
        </w:rPr>
        <w:t xml:space="preserve"> e no interior do PSI defendeu de maneira intransigente posições extremas, contando-se entre os que propuseram no congresso de 1910 a cisão da ala revolucionária, da qual se tornou um dos dirigentes. Descontente com o compromisso unitário que prevalecera nesse congresso, Mussolini tentou precipitar a ruptura no ano seguinte, a partir da sua posição de secretário da federação de Forlì e chefe dos socialistas da Romagna, mas sem êxito, porque os seus correligionários das outras federações regionais não o acompanharam</w:t>
      </w:r>
      <w:r w:rsidRPr="00F95336">
        <w:rPr>
          <w:rStyle w:val="Refdenotaderodap"/>
          <w:rFonts w:ascii="Arial Narrow" w:hAnsi="Arial Narrow"/>
        </w:rPr>
        <w:footnoteReference w:id="321"/>
      </w:r>
      <w:r w:rsidRPr="00F95336">
        <w:rPr>
          <w:rFonts w:ascii="Arial Narrow" w:hAnsi="Arial Narrow"/>
        </w:rPr>
        <w:t xml:space="preserve">. A coerência deste percurso político encontrava os termos de referência na abertura às ideias anarquistas e no simultâneo interesse pelas correntes radicais do marxismo, de maneira que para Mussolini cada um destes horizontes ideológicos servia de limite e de correctivo ao outro. Parece-me especialmente significativo que em 1912, precisamente quando começava a impor-se no Partido Socialista como o mais popular dos dirigentes da facção revolucionária, Mussolini tivesse publicado alguns artigos num pequeno jornal libertário sob o pseudónimo francês </w:t>
      </w:r>
      <w:r w:rsidRPr="00F95336">
        <w:rPr>
          <w:rFonts w:ascii="Arial Narrow" w:hAnsi="Arial Narrow"/>
          <w:i/>
        </w:rPr>
        <w:t>«L’homme qui cherche»,</w:t>
      </w:r>
      <w:r w:rsidRPr="00F95336">
        <w:rPr>
          <w:rFonts w:ascii="Arial Narrow" w:hAnsi="Arial Narrow"/>
        </w:rPr>
        <w:t xml:space="preserve"> confessando-se descrente das mentiras convencionais, de onde quer que viessem</w:t>
      </w:r>
      <w:r w:rsidRPr="00F95336">
        <w:rPr>
          <w:rStyle w:val="Refdenotaderodap"/>
          <w:rFonts w:ascii="Arial Narrow" w:hAnsi="Arial Narrow"/>
        </w:rPr>
        <w:footnoteReference w:id="322"/>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O facto de Mussolini </w:t>
      </w:r>
      <w:r>
        <w:rPr>
          <w:rFonts w:ascii="Arial Narrow" w:hAnsi="Arial Narrow"/>
        </w:rPr>
        <w:t xml:space="preserve">colaborar desde </w:t>
      </w:r>
      <w:r w:rsidRPr="00F95336">
        <w:rPr>
          <w:rFonts w:ascii="Arial Narrow" w:hAnsi="Arial Narrow"/>
        </w:rPr>
        <w:t xml:space="preserve">1903 </w:t>
      </w:r>
      <w:r>
        <w:rPr>
          <w:rFonts w:ascii="Arial Narrow" w:hAnsi="Arial Narrow"/>
        </w:rPr>
        <w:t xml:space="preserve">com </w:t>
      </w:r>
      <w:r w:rsidRPr="00F95336">
        <w:rPr>
          <w:rFonts w:ascii="Arial Narrow" w:hAnsi="Arial Narrow"/>
        </w:rPr>
        <w:t>a imprensa sindicalista revolucionári</w:t>
      </w:r>
      <w:r>
        <w:rPr>
          <w:rFonts w:ascii="Arial Narrow" w:hAnsi="Arial Narrow"/>
        </w:rPr>
        <w:t>a</w:t>
      </w:r>
      <w:r w:rsidRPr="00F95336">
        <w:rPr>
          <w:rStyle w:val="Refdenotaderodap"/>
          <w:rFonts w:ascii="Arial Narrow" w:hAnsi="Arial Narrow"/>
        </w:rPr>
        <w:footnoteReference w:id="323"/>
      </w:r>
      <w:r w:rsidRPr="00F95336">
        <w:rPr>
          <w:rFonts w:ascii="Arial Narrow" w:hAnsi="Arial Narrow"/>
        </w:rPr>
        <w:t xml:space="preserve"> não o impediu de criticar o militarismo que se manifestava neste meio</w:t>
      </w:r>
      <w:r>
        <w:rPr>
          <w:rFonts w:ascii="Arial Narrow" w:hAnsi="Arial Narrow"/>
        </w:rPr>
        <w:t>,</w:t>
      </w:r>
      <w:r w:rsidRPr="00F95336">
        <w:rPr>
          <w:rFonts w:ascii="Arial Narrow" w:hAnsi="Arial Narrow"/>
        </w:rPr>
        <w:t xml:space="preserve"> e em 1911, por ocasião da campanha da Líbia, destacou-se entre os animadores da tendência internacionalista, sendo um dos cabecilhas da greve geral desencadeada contra a guerra. Aliás, </w:t>
      </w:r>
      <w:r>
        <w:rPr>
          <w:rFonts w:ascii="Arial Narrow" w:hAnsi="Arial Narrow"/>
        </w:rPr>
        <w:t>Mussolini</w:t>
      </w:r>
      <w:r w:rsidRPr="00F95336">
        <w:rPr>
          <w:rFonts w:ascii="Arial Narrow" w:hAnsi="Arial Narrow"/>
        </w:rPr>
        <w:t xml:space="preserve"> procurou colocar a questão numa perspectiva mais ampla, evocando em Agosto desse ano a eventualidade de uma greve geral revolucionária caso se iniciasse uma guerra europeia e repetindo o aviso no mês seguinte</w:t>
      </w:r>
      <w:r w:rsidRPr="00F95336">
        <w:rPr>
          <w:rStyle w:val="Refdenotaderodap"/>
          <w:rFonts w:ascii="Arial Narrow" w:hAnsi="Arial Narrow"/>
        </w:rPr>
        <w:footnoteReference w:id="324"/>
      </w:r>
      <w:r w:rsidRPr="00F95336">
        <w:rPr>
          <w:rFonts w:ascii="Arial Narrow" w:hAnsi="Arial Narrow"/>
        </w:rPr>
        <w:t>. Todavia, apesar da cautela com que encarava as posições belicistas de muitos deles, Mussolini usava os sindicalistas revolucionários como antídoto à facção reformista do socialismo, e esta aliança é tanto mais significativa quanto em 1908 os sindicalistas revolucionários haviam abandonado o PSI</w:t>
      </w:r>
      <w:r w:rsidRPr="00F95336">
        <w:rPr>
          <w:rStyle w:val="Refdenotaderodap"/>
          <w:rFonts w:ascii="Arial Narrow" w:hAnsi="Arial Narrow"/>
        </w:rPr>
        <w:footnoteReference w:id="325"/>
      </w:r>
      <w:r w:rsidRPr="00F95336">
        <w:rPr>
          <w:rFonts w:ascii="Arial Narrow" w:hAnsi="Arial Narrow"/>
        </w:rPr>
        <w:t>. Condenado à prisão</w:t>
      </w:r>
      <w:r w:rsidR="00AE15DE">
        <w:rPr>
          <w:rFonts w:ascii="Arial Narrow" w:hAnsi="Arial Narrow"/>
        </w:rPr>
        <w:t xml:space="preserve"> em 1911 pela sua participação na campanha contra a expedição militar na Tripolitânia</w:t>
      </w:r>
      <w:r w:rsidRPr="00F95336">
        <w:rPr>
          <w:rFonts w:ascii="Arial Narrow" w:hAnsi="Arial Narrow"/>
        </w:rPr>
        <w:t xml:space="preserve">, ao ser libertado no ano seguinte ele surgia já como a principal personalidade da ala revolucionária do partido, que se tornara maioritária precisamente então, no congresso de Julho de 1912, e foi eleito para a </w:t>
      </w:r>
      <w:r w:rsidRPr="00F95336">
        <w:rPr>
          <w:rFonts w:ascii="Arial Narrow" w:hAnsi="Arial Narrow"/>
        </w:rPr>
        <w:lastRenderedPageBreak/>
        <w:t>direcção nacional e, alguns meses depois, encarregado de chefiar a redacção do mais importante diário socialista</w:t>
      </w:r>
      <w:r w:rsidRPr="00F95336">
        <w:rPr>
          <w:rStyle w:val="Refdenotaderodap"/>
          <w:rFonts w:ascii="Arial Narrow" w:hAnsi="Arial Narrow"/>
        </w:rPr>
        <w:footnoteReference w:id="326"/>
      </w:r>
      <w:r w:rsidRPr="00F95336">
        <w:rPr>
          <w:rFonts w:ascii="Arial Narrow" w:hAnsi="Arial Narrow"/>
        </w:rPr>
        <w:t>. Ao mesmo tempo que expurgava do jornal os elementos reformistas, Mussolini convidava a colaborarem sindicalistas revolucionários de ambas as facções, tanto aqueles que, como Enrico Leone, tinham conduzido em 1911 a agitação contra a guerra na Líbia, como outros que haviam aplaudido entusiasticamente a expansão colonial, por exemplo Arturo Labriola</w:t>
      </w:r>
      <w:r w:rsidRPr="00F95336">
        <w:rPr>
          <w:rStyle w:val="Refdenotaderodap"/>
          <w:rFonts w:ascii="Arial Narrow" w:hAnsi="Arial Narrow"/>
        </w:rPr>
        <w:footnoteReference w:id="327"/>
      </w:r>
      <w:r w:rsidRPr="00F95336">
        <w:rPr>
          <w:rFonts w:ascii="Arial Narrow" w:hAnsi="Arial Narrow"/>
        </w:rPr>
        <w:t>. A conjugação contraditória dos ideais libertários e da doutrina marxista, que sempre guiara o percurso de Mussolini, era agora aceite pela primeira vez nas altas esferas do partido, e com indubitável êxito, porque o novo chefe de redacção fez a tiragem do jornal subir, em pouco mais de um ano, de 20.000 para cerca de 100.000 exemplares</w:t>
      </w:r>
      <w:r w:rsidRPr="00F95336">
        <w:rPr>
          <w:rStyle w:val="Refdenotaderodap"/>
          <w:rFonts w:ascii="Arial Narrow" w:hAnsi="Arial Narrow"/>
        </w:rPr>
        <w:footnoteReference w:id="328"/>
      </w:r>
      <w:r w:rsidRPr="00F95336">
        <w:rPr>
          <w:rFonts w:ascii="Arial Narrow" w:hAnsi="Arial Narrow"/>
        </w:rPr>
        <w:t>. E embora tivesse abandonado parcialmente as teses do sindicalismo revolucionário e passado a defender a subordinação dos sindicatos ao partido, Mussolini manifestou o seu apoio aos movimentos de greve desencadeados na primeira metade de 1913 pela confederação sindicalista revolucionária, a USI, contra a opinião dos sindicalistas socialistas da CGL e dos dirigentes reformistas</w:t>
      </w:r>
      <w:r w:rsidRPr="00F95336">
        <w:rPr>
          <w:rStyle w:val="Refdenotaderodap"/>
          <w:rFonts w:ascii="Arial Narrow" w:hAnsi="Arial Narrow"/>
        </w:rPr>
        <w:footnoteReference w:id="329"/>
      </w:r>
      <w:r w:rsidRPr="00F95336">
        <w:rPr>
          <w:rFonts w:ascii="Arial Narrow" w:hAnsi="Arial Narrow"/>
        </w:rPr>
        <w:t>. Este radicalismo viu-se consagrado em Abril de 1914 no 14º Congresso do PSI, quando a ala esquerda da tendência maximalista triunfou plenamente e Mussolini se converteu num dos três principais dirigentes do partido</w:t>
      </w:r>
      <w:r w:rsidRPr="00F95336">
        <w:rPr>
          <w:rStyle w:val="Refdenotaderodap"/>
          <w:rFonts w:ascii="Arial Narrow" w:hAnsi="Arial Narrow"/>
        </w:rPr>
        <w:footnoteReference w:id="330"/>
      </w:r>
      <w:r w:rsidRPr="00F95336">
        <w:rPr>
          <w:rFonts w:ascii="Arial Narrow" w:hAnsi="Arial Narrow"/>
        </w:rPr>
        <w:t xml:space="preserve">. Dois meses depois, nas vésperas da Grande Guerra, o proletariado italiano lançou-se numa vastíssima agitação, que em alguns lugares atingiu um carácter francamente insurreccional </w:t>
      </w:r>
      <w:r w:rsidR="008A2533">
        <w:rPr>
          <w:rFonts w:ascii="Arial Narrow" w:hAnsi="Arial Narrow"/>
        </w:rPr>
        <w:t>—</w:t>
      </w:r>
      <w:r w:rsidRPr="00F95336">
        <w:rPr>
          <w:rFonts w:ascii="Arial Narrow" w:hAnsi="Arial Narrow"/>
        </w:rPr>
        <w:t xml:space="preserve"> a Semana Vermelha, não só pelos ideais revolucionários mas também pelo sangue vertido em abundância </w:t>
      </w:r>
      <w:r w:rsidR="008A2533">
        <w:rPr>
          <w:rFonts w:ascii="Arial Narrow" w:hAnsi="Arial Narrow"/>
        </w:rPr>
        <w:t>—</w:t>
      </w:r>
      <w:r w:rsidRPr="00F95336">
        <w:rPr>
          <w:rFonts w:ascii="Arial Narrow" w:hAnsi="Arial Narrow"/>
        </w:rPr>
        <w:t xml:space="preserve"> e Mussolini empenhou-se sem receio no movimento, apesar da franca oposição da CGL e dos reformistas e das hesitações da própria direcção maximalista do partido</w:t>
      </w:r>
      <w:r w:rsidRPr="00F95336">
        <w:rPr>
          <w:rStyle w:val="Refdenotaderodap"/>
          <w:rFonts w:ascii="Arial Narrow" w:hAnsi="Arial Narrow"/>
        </w:rPr>
        <w:footnoteReference w:id="331"/>
      </w:r>
      <w:r w:rsidRPr="00F95336">
        <w:rPr>
          <w:rFonts w:ascii="Arial Narrow" w:hAnsi="Arial Narrow"/>
        </w:rPr>
        <w:t xml:space="preserve">. </w:t>
      </w:r>
    </w:p>
    <w:p w:rsidR="00CD12DC" w:rsidRPr="00F95336" w:rsidRDefault="00CD12DC" w:rsidP="00CD12DC">
      <w:pPr>
        <w:rPr>
          <w:rFonts w:ascii="Arial Narrow" w:hAnsi="Arial Narrow"/>
        </w:rPr>
      </w:pPr>
      <w:r w:rsidRPr="00F95336">
        <w:rPr>
          <w:rFonts w:ascii="Arial Narrow" w:hAnsi="Arial Narrow"/>
        </w:rPr>
        <w:t xml:space="preserve">Para não depender exclusivamente dos equilíbrios internos do PSI, cujos resultados eram em boa medida aleatórios e imprevisíveis, Mussolini fundou no final de 1913 uma revista, chamada </w:t>
      </w:r>
      <w:r w:rsidRPr="00F95336">
        <w:rPr>
          <w:rFonts w:ascii="Arial Narrow" w:hAnsi="Arial Narrow"/>
          <w:i/>
        </w:rPr>
        <w:t>Utopia</w:t>
      </w:r>
      <w:r w:rsidRPr="00F95336">
        <w:rPr>
          <w:rFonts w:ascii="Arial Narrow" w:hAnsi="Arial Narrow"/>
        </w:rPr>
        <w:t xml:space="preserve"> em homenagem a Thomas More, onde, segundo confessou, se propunha exprimir o seu pensamento individual, que não correspondia forçosamente às atitudes públicas exigidas a um dirigente partidário</w:t>
      </w:r>
      <w:r w:rsidRPr="00F95336">
        <w:rPr>
          <w:rStyle w:val="Refdenotaderodap"/>
          <w:rFonts w:ascii="Arial Narrow" w:hAnsi="Arial Narrow"/>
        </w:rPr>
        <w:footnoteReference w:id="332"/>
      </w:r>
      <w:r w:rsidRPr="00F95336">
        <w:rPr>
          <w:rFonts w:ascii="Arial Narrow" w:hAnsi="Arial Narrow"/>
        </w:rPr>
        <w:t xml:space="preserve">. Nesta revista colaboraram alguns dos nomes mais notáveis do sindicalismo revolucionário, mas também representantes do marxismo radical, como Karl </w:t>
      </w:r>
      <w:r w:rsidRPr="00F95336">
        <w:rPr>
          <w:rFonts w:ascii="Arial Narrow" w:hAnsi="Arial Narrow"/>
        </w:rPr>
        <w:lastRenderedPageBreak/>
        <w:t>Liebknecht, Bordiga e Angelo Tasca</w:t>
      </w:r>
      <w:r w:rsidRPr="00F95336">
        <w:rPr>
          <w:rStyle w:val="Refdenotaderodap"/>
          <w:rFonts w:ascii="Arial Narrow" w:hAnsi="Arial Narrow"/>
        </w:rPr>
        <w:footnoteReference w:id="333"/>
      </w:r>
      <w:r w:rsidRPr="00F95336">
        <w:rPr>
          <w:rFonts w:ascii="Arial Narrow" w:hAnsi="Arial Narrow"/>
        </w:rPr>
        <w:t xml:space="preserve">. Em suma, de todos os chefes políticos mais ou menos influenciados pelo sindicalismo revolucionário, </w:t>
      </w:r>
      <w:r>
        <w:rPr>
          <w:rFonts w:ascii="Arial Narrow" w:hAnsi="Arial Narrow"/>
        </w:rPr>
        <w:t xml:space="preserve">nenhum foi tão </w:t>
      </w:r>
      <w:r w:rsidRPr="00F95336">
        <w:rPr>
          <w:rFonts w:ascii="Arial Narrow" w:hAnsi="Arial Narrow"/>
        </w:rPr>
        <w:t xml:space="preserve">renitente </w:t>
      </w:r>
      <w:r>
        <w:rPr>
          <w:rFonts w:ascii="Arial Narrow" w:hAnsi="Arial Narrow"/>
        </w:rPr>
        <w:t xml:space="preserve">como </w:t>
      </w:r>
      <w:r w:rsidRPr="00F95336">
        <w:rPr>
          <w:rFonts w:ascii="Arial Narrow" w:hAnsi="Arial Narrow"/>
        </w:rPr>
        <w:t>Mussolini a aceitar a passagem do tema do proletariado para o tema da nação e a substituir o quadro da luta entre classes pelo da guerra entre países. Sem nunca ter renunciado ao conjunto de teses proposto por Sorel e pelos seus discípulos, ele conseguiu durante mais de uma década evitar as consequências práticas que para muitos estavam forçosamente implícitas naquela doutrina. E, todavia, nos três últimos meses de 1914 Mussolini juntou-se a outras figuras da esquerda radical na primeira fila da campanha intervencionista</w:t>
      </w:r>
      <w:r w:rsidR="00C06422">
        <w:rPr>
          <w:rFonts w:ascii="Arial Narrow" w:hAnsi="Arial Narrow"/>
        </w:rPr>
        <w:t>.</w:t>
      </w:r>
      <w:r w:rsidRPr="00F95336">
        <w:rPr>
          <w:rFonts w:ascii="Arial Narrow" w:hAnsi="Arial Narrow"/>
        </w:rPr>
        <w:t xml:space="preserve"> </w:t>
      </w:r>
      <w:r w:rsidR="00C06422">
        <w:rPr>
          <w:rFonts w:ascii="Arial Narrow" w:hAnsi="Arial Narrow"/>
        </w:rPr>
        <w:t>Se fosse só isto, teria feito o que muitos outros socialistas fizeram num e outro lado dos beligerantes, apoia</w:t>
      </w:r>
      <w:r w:rsidR="00C23F65">
        <w:rPr>
          <w:rFonts w:ascii="Arial Narrow" w:hAnsi="Arial Narrow"/>
        </w:rPr>
        <w:t>n</w:t>
      </w:r>
      <w:r w:rsidR="00C06422">
        <w:rPr>
          <w:rFonts w:ascii="Arial Narrow" w:hAnsi="Arial Narrow"/>
        </w:rPr>
        <w:t xml:space="preserve">do a guerra. Mas Mussolini fez mais, ou sobretudo fez outra coisa, porque </w:t>
      </w:r>
      <w:r w:rsidRPr="00F95336">
        <w:rPr>
          <w:rFonts w:ascii="Arial Narrow" w:hAnsi="Arial Narrow"/>
        </w:rPr>
        <w:t xml:space="preserve">foi </w:t>
      </w:r>
      <w:r w:rsidR="00C06422">
        <w:rPr>
          <w:rFonts w:ascii="Arial Narrow" w:hAnsi="Arial Narrow"/>
        </w:rPr>
        <w:t xml:space="preserve">ele </w:t>
      </w:r>
      <w:r w:rsidRPr="00F95336">
        <w:rPr>
          <w:rFonts w:ascii="Arial Narrow" w:hAnsi="Arial Narrow"/>
        </w:rPr>
        <w:t>o único capaz de equilibrar tantas contradições e tanta gente inimiga num movimento coerente e, em breve, disciplinado</w:t>
      </w:r>
      <w:r w:rsidR="00C06422">
        <w:rPr>
          <w:rFonts w:ascii="Arial Narrow" w:hAnsi="Arial Narrow"/>
        </w:rPr>
        <w:t>,</w:t>
      </w:r>
      <w:r w:rsidRPr="00F95336">
        <w:rPr>
          <w:rFonts w:ascii="Arial Narrow" w:hAnsi="Arial Narrow"/>
        </w:rPr>
        <w:t xml:space="preserve"> </w:t>
      </w:r>
      <w:r w:rsidR="00C06422">
        <w:rPr>
          <w:rFonts w:ascii="Arial Narrow" w:hAnsi="Arial Narrow"/>
        </w:rPr>
        <w:t xml:space="preserve">que haveria de trazer para a vida civil um modo militar de fazer política. </w:t>
      </w:r>
    </w:p>
    <w:p w:rsidR="00CD12DC" w:rsidRPr="00F95336" w:rsidRDefault="00CD12DC" w:rsidP="00CD12DC">
      <w:pPr>
        <w:rPr>
          <w:rFonts w:ascii="Arial Narrow" w:hAnsi="Arial Narrow"/>
        </w:rPr>
      </w:pPr>
      <w:r w:rsidRPr="00F95336">
        <w:rPr>
          <w:rFonts w:ascii="Arial Narrow" w:hAnsi="Arial Narrow"/>
          <w:i/>
        </w:rPr>
        <w:t>A posteriori</w:t>
      </w:r>
      <w:r w:rsidRPr="00F95336">
        <w:rPr>
          <w:rFonts w:ascii="Arial Narrow" w:hAnsi="Arial Narrow"/>
        </w:rPr>
        <w:t xml:space="preserve"> é sempre possível arranjar explicações e descobrir sintomas de evolução. Ponho de parte a questão de saber se Mussolini teria servido de informador à polícia secreta francesa em 1904, o que o deixaria de então em diante sujeito a pressões ocultas e poderia justificar a sua atitude durante a primeira guerra mundial</w:t>
      </w:r>
      <w:r w:rsidRPr="00F95336">
        <w:rPr>
          <w:rStyle w:val="Refdenotaderodap"/>
          <w:rFonts w:ascii="Arial Narrow" w:hAnsi="Arial Narrow"/>
        </w:rPr>
        <w:footnoteReference w:id="334"/>
      </w:r>
      <w:r w:rsidRPr="00F95336">
        <w:rPr>
          <w:rFonts w:ascii="Arial Narrow" w:hAnsi="Arial Narrow"/>
        </w:rPr>
        <w:t>. Circunstâncias deste tipo, se se confirmarem, explicam talvez a evolução de um homem, mas não a d</w:t>
      </w:r>
      <w:r w:rsidR="007E389C">
        <w:rPr>
          <w:rFonts w:ascii="Arial Narrow" w:hAnsi="Arial Narrow"/>
        </w:rPr>
        <w:t>e</w:t>
      </w:r>
      <w:r w:rsidRPr="00F95336">
        <w:rPr>
          <w:rFonts w:ascii="Arial Narrow" w:hAnsi="Arial Narrow"/>
        </w:rPr>
        <w:t xml:space="preserve"> milhares </w:t>
      </w:r>
      <w:r w:rsidR="007E389C">
        <w:rPr>
          <w:rFonts w:ascii="Arial Narrow" w:hAnsi="Arial Narrow"/>
        </w:rPr>
        <w:t xml:space="preserve">de </w:t>
      </w:r>
      <w:r w:rsidRPr="00F95336">
        <w:rPr>
          <w:rFonts w:ascii="Arial Narrow" w:hAnsi="Arial Narrow"/>
        </w:rPr>
        <w:t xml:space="preserve">seguidores, e é precisamente esta a questão que interessa quando se trata de um chefe de partido. A análise deve prosseguir no plano da acção política colectiva. </w:t>
      </w:r>
    </w:p>
    <w:p w:rsidR="00CD12DC" w:rsidRPr="00F95336" w:rsidRDefault="00CD12DC" w:rsidP="00CD12DC">
      <w:pPr>
        <w:rPr>
          <w:rFonts w:ascii="Arial Narrow" w:hAnsi="Arial Narrow"/>
        </w:rPr>
      </w:pPr>
      <w:r w:rsidRPr="00F95336">
        <w:rPr>
          <w:rFonts w:ascii="Arial Narrow" w:hAnsi="Arial Narrow"/>
        </w:rPr>
        <w:t xml:space="preserve">Talvez não tivesse havido para o jovem Benito </w:t>
      </w:r>
      <w:r w:rsidR="00AD1F14">
        <w:rPr>
          <w:rFonts w:ascii="Arial Narrow" w:hAnsi="Arial Narrow"/>
        </w:rPr>
        <w:t>nenhum</w:t>
      </w:r>
      <w:r w:rsidRPr="00F95336">
        <w:rPr>
          <w:rFonts w:ascii="Arial Narrow" w:hAnsi="Arial Narrow"/>
        </w:rPr>
        <w:t xml:space="preserve"> antagonismo entre socialismo e nacionalismo, tal como não o houvera para Mazzini nem para Garibaldi nem para Blanqui, que lhe servi</w:t>
      </w:r>
      <w:r>
        <w:rPr>
          <w:rFonts w:ascii="Arial Narrow" w:hAnsi="Arial Narrow"/>
        </w:rPr>
        <w:t>r</w:t>
      </w:r>
      <w:r w:rsidRPr="00F95336">
        <w:rPr>
          <w:rFonts w:ascii="Arial Narrow" w:hAnsi="Arial Narrow"/>
        </w:rPr>
        <w:t>am de fonte de inspiração</w:t>
      </w:r>
      <w:r w:rsidRPr="00F95336">
        <w:rPr>
          <w:rStyle w:val="Refdenotaderodap"/>
          <w:rFonts w:ascii="Arial Narrow" w:hAnsi="Arial Narrow"/>
        </w:rPr>
        <w:footnoteReference w:id="335"/>
      </w:r>
      <w:r w:rsidRPr="00F95336">
        <w:rPr>
          <w:rFonts w:ascii="Arial Narrow" w:hAnsi="Arial Narrow"/>
        </w:rPr>
        <w:t>. Mas as influências sentidas na juventude e as atitudes que então se tomam só adquirem raízes graças a experiências posteriores, e nesta perspectiva cabe recordar que em Janeiro de 1909 os dirigentes da Câmara do Trabalho de Trento, uma cidade italiana integrada no Império Austro-Húngaro, sabendo que Mussolini era um bom conhecedor da língua alemã, ofereceram-lhe o lugar de secretário daquele organismo e director de um pequeno semanário do ramo italiano do Partido Social-Democrata austríaco</w:t>
      </w:r>
      <w:r w:rsidRPr="00F95336">
        <w:rPr>
          <w:rStyle w:val="Refdenotaderodap"/>
          <w:rFonts w:ascii="Arial Narrow" w:hAnsi="Arial Narrow"/>
        </w:rPr>
        <w:footnoteReference w:id="336"/>
      </w:r>
      <w:r w:rsidRPr="00F95336">
        <w:rPr>
          <w:rFonts w:ascii="Arial Narrow" w:hAnsi="Arial Narrow"/>
        </w:rPr>
        <w:t xml:space="preserve">. Expulso </w:t>
      </w:r>
      <w:r w:rsidRPr="00F95336">
        <w:rPr>
          <w:rFonts w:ascii="Arial Narrow" w:hAnsi="Arial Narrow"/>
        </w:rPr>
        <w:lastRenderedPageBreak/>
        <w:t xml:space="preserve">de Trento pelas autoridades em Setembro de 1909, Mussolini começou no final do ano a redigir um ensaio, </w:t>
      </w:r>
      <w:r w:rsidRPr="00F95336">
        <w:rPr>
          <w:rFonts w:ascii="Arial Narrow" w:hAnsi="Arial Narrow"/>
          <w:i/>
        </w:rPr>
        <w:t>Il Trentino Veduto da un Socialista,</w:t>
      </w:r>
      <w:r w:rsidRPr="00F95336">
        <w:rPr>
          <w:rFonts w:ascii="Arial Narrow" w:hAnsi="Arial Narrow"/>
        </w:rPr>
        <w:t xml:space="preserve"> que publicou em 1911. À luz dos acontecimentos posteriores, a obra é muito ambígua. Por um lado, e apesar de o italianismo progredir na esfera linguística a expensas do germanismo, Mussolini concluiu que não existia na generalidade da população da província </w:t>
      </w:r>
      <w:r w:rsidR="000B7833">
        <w:rPr>
          <w:rFonts w:ascii="Arial Narrow" w:hAnsi="Arial Narrow"/>
        </w:rPr>
        <w:t>nenhum</w:t>
      </w:r>
      <w:r w:rsidRPr="00F95336">
        <w:rPr>
          <w:rFonts w:ascii="Arial Narrow" w:hAnsi="Arial Narrow"/>
        </w:rPr>
        <w:t xml:space="preserve"> desejo de lutar e muito menos de morrer pela anexação à Itália, o que deixava sem conteúdo as esperanças dos irredentistas, para quem a unidade nacional estaria incompleta enquanto o Trentino e o Trieste não se juntassem à pátria italiana</w:t>
      </w:r>
      <w:r w:rsidRPr="00F95336">
        <w:rPr>
          <w:rStyle w:val="Refdenotaderodap"/>
          <w:rFonts w:ascii="Arial Narrow" w:hAnsi="Arial Narrow"/>
        </w:rPr>
        <w:footnoteReference w:id="337"/>
      </w:r>
      <w:r w:rsidRPr="00F95336">
        <w:rPr>
          <w:rFonts w:ascii="Arial Narrow" w:hAnsi="Arial Narrow"/>
        </w:rPr>
        <w:t>. Mas, por outro lado, Mussolini considerou que aquela situação era prejudicial. Na sua opinião seria utópica a tentativa de passar por cima das divisões étnicas e linguísticas para unificar política e culturalmente o proletariado do Império Austro-Húngaro, como pretendia a pesada burocracia centralizadora e parlamentarista do Partido Social-Democrata, que Mussolini execrava; enquanto o proletariado radical, defensor da autonomia política e da descentralização e activo nos organismos sindicais de base, revelaria obrigatoriamente uma tendência separatista</w:t>
      </w:r>
      <w:r w:rsidRPr="00F95336">
        <w:rPr>
          <w:rStyle w:val="Refdenotaderodap"/>
          <w:rFonts w:ascii="Arial Narrow" w:hAnsi="Arial Narrow"/>
        </w:rPr>
        <w:footnoteReference w:id="338"/>
      </w:r>
      <w:r w:rsidRPr="00F95336">
        <w:rPr>
          <w:rFonts w:ascii="Arial Narrow" w:hAnsi="Arial Narrow"/>
        </w:rPr>
        <w:t>. No entanto, explic</w:t>
      </w:r>
      <w:r>
        <w:rPr>
          <w:rFonts w:ascii="Arial Narrow" w:hAnsi="Arial Narrow"/>
        </w:rPr>
        <w:t>ou</w:t>
      </w:r>
      <w:r w:rsidRPr="00F95336">
        <w:rPr>
          <w:rFonts w:ascii="Arial Narrow" w:hAnsi="Arial Narrow"/>
        </w:rPr>
        <w:t xml:space="preserve"> Mussolini, o atraso económico da região, impedindo que existisse um operariado industrial forte, comprometia a luta pela autonomia e além disso determinava que a burguesia fosse composta por comerciantes timoratos, capazes quando muito de apoiar passivamente o irredentismo, mas sem um verdadeiro empenho</w:t>
      </w:r>
      <w:r w:rsidRPr="00F95336">
        <w:rPr>
          <w:rStyle w:val="Refdenotaderodap"/>
          <w:rFonts w:ascii="Arial Narrow" w:hAnsi="Arial Narrow"/>
        </w:rPr>
        <w:footnoteReference w:id="339"/>
      </w:r>
      <w:r w:rsidRPr="00F95336">
        <w:rPr>
          <w:rFonts w:ascii="Arial Narrow" w:hAnsi="Arial Narrow"/>
        </w:rPr>
        <w:t xml:space="preserve">. O nacionalismo agressivo </w:t>
      </w:r>
      <w:r>
        <w:rPr>
          <w:rFonts w:ascii="Arial Narrow" w:hAnsi="Arial Narrow"/>
        </w:rPr>
        <w:t>foi</w:t>
      </w:r>
      <w:r w:rsidRPr="00F95336">
        <w:rPr>
          <w:rFonts w:ascii="Arial Narrow" w:hAnsi="Arial Narrow"/>
        </w:rPr>
        <w:t xml:space="preserve"> apresentado por Mussolini como o quadro em que poderiam ter</w:t>
      </w:r>
      <w:r>
        <w:rPr>
          <w:rFonts w:ascii="Arial Narrow" w:hAnsi="Arial Narrow"/>
        </w:rPr>
        <w:t>-</w:t>
      </w:r>
      <w:r w:rsidRPr="00F95336">
        <w:rPr>
          <w:rFonts w:ascii="Arial Narrow" w:hAnsi="Arial Narrow"/>
        </w:rPr>
        <w:t xml:space="preserve">se encontrado, se tivessem tido força social para tanto, um empresariado vigoroso e um operariado sindicalista e revolucionário. Esta convergência, que viria mais tarde a ser o </w:t>
      </w:r>
      <w:r>
        <w:rPr>
          <w:rFonts w:ascii="Arial Narrow" w:hAnsi="Arial Narrow"/>
        </w:rPr>
        <w:t xml:space="preserve">programa </w:t>
      </w:r>
      <w:r w:rsidRPr="00F95336">
        <w:rPr>
          <w:rFonts w:ascii="Arial Narrow" w:hAnsi="Arial Narrow"/>
        </w:rPr>
        <w:t xml:space="preserve">do fascismo, detecta-se </w:t>
      </w:r>
      <w:r>
        <w:rPr>
          <w:rFonts w:ascii="Arial Narrow" w:hAnsi="Arial Narrow"/>
        </w:rPr>
        <w:t xml:space="preserve">pela </w:t>
      </w:r>
      <w:r w:rsidRPr="00F95336">
        <w:rPr>
          <w:rFonts w:ascii="Arial Narrow" w:hAnsi="Arial Narrow"/>
        </w:rPr>
        <w:t xml:space="preserve">negativa em </w:t>
      </w:r>
      <w:r w:rsidRPr="00F95336">
        <w:rPr>
          <w:rFonts w:ascii="Arial Narrow" w:hAnsi="Arial Narrow"/>
          <w:i/>
        </w:rPr>
        <w:t>Il Trentino Veduto da un Socialista</w:t>
      </w:r>
      <w:r>
        <w:rPr>
          <w:rFonts w:ascii="Arial Narrow" w:hAnsi="Arial Narrow"/>
          <w:i/>
        </w:rPr>
        <w:t>,</w:t>
      </w:r>
      <w:r w:rsidRPr="00F95336">
        <w:rPr>
          <w:rFonts w:ascii="Arial Narrow" w:hAnsi="Arial Narrow"/>
        </w:rPr>
        <w:t xml:space="preserve"> </w:t>
      </w:r>
      <w:r>
        <w:rPr>
          <w:rFonts w:ascii="Arial Narrow" w:hAnsi="Arial Narrow"/>
        </w:rPr>
        <w:t xml:space="preserve">e </w:t>
      </w:r>
      <w:r w:rsidR="009023BF">
        <w:rPr>
          <w:rFonts w:ascii="Arial Narrow" w:hAnsi="Arial Narrow"/>
        </w:rPr>
        <w:t>Paul Marion considerou que, ao regressar de Trento, Mussolini «está, sem o saber, muito antiaustríaco e nacionalista»</w:t>
      </w:r>
      <w:r w:rsidR="009023BF">
        <w:rPr>
          <w:rStyle w:val="Refdenotaderodap"/>
          <w:rFonts w:ascii="Arial Narrow" w:hAnsi="Arial Narrow"/>
        </w:rPr>
        <w:footnoteReference w:id="340"/>
      </w:r>
      <w:r w:rsidR="009023BF">
        <w:rPr>
          <w:rFonts w:ascii="Arial Narrow" w:hAnsi="Arial Narrow"/>
        </w:rPr>
        <w:t xml:space="preserve">. Por seu lado, </w:t>
      </w:r>
      <w:r w:rsidRPr="00F95336">
        <w:rPr>
          <w:rFonts w:ascii="Arial Narrow" w:hAnsi="Arial Narrow"/>
        </w:rPr>
        <w:t>Gioacchino Volpe pretendeu que Mussolini «tinha começado a sentir e a viver» em Trento os valores de «pátria, nação, ideais nacionais, solidariedade de classe»</w:t>
      </w:r>
      <w:r w:rsidRPr="00F95336">
        <w:rPr>
          <w:rStyle w:val="Refdenotaderodap"/>
          <w:rFonts w:ascii="Arial Narrow" w:hAnsi="Arial Narrow"/>
        </w:rPr>
        <w:footnoteReference w:id="341"/>
      </w:r>
      <w:r w:rsidRPr="00F95336">
        <w:rPr>
          <w:rFonts w:ascii="Arial Narrow" w:hAnsi="Arial Narrow"/>
        </w:rPr>
        <w:t xml:space="preserve">. Mas não estaria Volpe, ou por vício profissional de historiador ou por conveniência política de fascista, a ler naquele ensaio mais as teses desenvolvidas por Mussolini a partir da campanha intervencionista do que as suas palavras de 1909, fornecendo assim à biografia do Duce a coerência que </w:t>
      </w:r>
      <w:r w:rsidR="008029C2">
        <w:rPr>
          <w:rFonts w:ascii="Arial Narrow" w:hAnsi="Arial Narrow"/>
        </w:rPr>
        <w:t>lhe faltava</w:t>
      </w:r>
      <w:r w:rsidRPr="00F95336">
        <w:rPr>
          <w:rFonts w:ascii="Arial Narrow" w:hAnsi="Arial Narrow"/>
        </w:rPr>
        <w:t>? Porque se é certo que enquanto participava na agitação no Trentino ele demonstrara o seu apreço pelas revistas animadas por Prezzolini e por Giovanni Papini</w:t>
      </w:r>
      <w:r w:rsidRPr="00F95336">
        <w:rPr>
          <w:rStyle w:val="Refdenotaderodap"/>
          <w:rFonts w:ascii="Arial Narrow" w:hAnsi="Arial Narrow"/>
        </w:rPr>
        <w:footnoteReference w:id="342"/>
      </w:r>
      <w:r w:rsidRPr="00F95336">
        <w:rPr>
          <w:rFonts w:ascii="Arial Narrow" w:hAnsi="Arial Narrow"/>
        </w:rPr>
        <w:t xml:space="preserve">, onde o nacionalismo radical procurava abrir-se ao activismo dos sindicalistas consoante a estratégia enunciada por Corradini, não </w:t>
      </w:r>
      <w:r w:rsidRPr="00F95336">
        <w:rPr>
          <w:rFonts w:ascii="Arial Narrow" w:hAnsi="Arial Narrow"/>
        </w:rPr>
        <w:lastRenderedPageBreak/>
        <w:t>podemos também esquecer que três anos mais tarde criticou Sorel por se ter aliado à Action Française</w:t>
      </w:r>
      <w:r w:rsidRPr="00F95336">
        <w:rPr>
          <w:rStyle w:val="Refdenotaderodap"/>
          <w:rFonts w:ascii="Arial Narrow" w:hAnsi="Arial Narrow"/>
        </w:rPr>
        <w:footnoteReference w:id="343"/>
      </w:r>
      <w:r w:rsidRPr="00F95336">
        <w:rPr>
          <w:rFonts w:ascii="Arial Narrow" w:hAnsi="Arial Narrow"/>
        </w:rPr>
        <w:t>. Seria talvez então que Mussolini vituperou «esses intelectuais do sindicalismo italiano [...] oscilando entre Sorel e Corradini» e que «depois de um parênteses de sindicalismo profissional, anseiam pela nação e geram um nacionalismo que, se hoje é literário, será amanhã fautor de guerra»</w:t>
      </w:r>
      <w:r w:rsidRPr="00F95336">
        <w:rPr>
          <w:rStyle w:val="Refdenotaderodap"/>
          <w:rFonts w:ascii="Arial Narrow" w:hAnsi="Arial Narrow"/>
        </w:rPr>
        <w:footnoteReference w:id="344"/>
      </w:r>
      <w:r w:rsidRPr="00F95336">
        <w:rPr>
          <w:rFonts w:ascii="Arial Narrow" w:hAnsi="Arial Narrow"/>
        </w:rPr>
        <w:t xml:space="preserve">. Tudo somado, a viragem de Mussolini em 1914 foi inesperada e abrupta. </w:t>
      </w:r>
    </w:p>
    <w:p w:rsidR="00CD12DC" w:rsidRPr="00F95336" w:rsidRDefault="00CD12DC" w:rsidP="00CD12DC">
      <w:pPr>
        <w:rPr>
          <w:rFonts w:ascii="Arial Narrow" w:hAnsi="Arial Narrow"/>
        </w:rPr>
      </w:pPr>
      <w:r w:rsidRPr="00F95336">
        <w:rPr>
          <w:rFonts w:ascii="Arial Narrow" w:hAnsi="Arial Narrow"/>
        </w:rPr>
        <w:t>A primeira guerra mundial, no seu rasto de jovens corpos trucidados e velhas instituições derrocadas, tornou caducas, porque demasiado restritas ou demasiado sectárias, as doutrinas dos sindicalistas revolucionários e remodelou estas e outras aspirações, fundiu-as, projectou-as para uma nova dimensão, onde depararam confusamente com problemas diferentes e insuspeitados meios de acção. Um jovem socialista intervencionista escrev</w:t>
      </w:r>
      <w:r>
        <w:rPr>
          <w:rFonts w:ascii="Arial Narrow" w:hAnsi="Arial Narrow"/>
        </w:rPr>
        <w:t>eu</w:t>
      </w:r>
      <w:r w:rsidRPr="00F95336">
        <w:rPr>
          <w:rFonts w:ascii="Arial Narrow" w:hAnsi="Arial Narrow"/>
        </w:rPr>
        <w:t xml:space="preserve"> durante o conflito que «será necessário enquadrar a luta de classes [...] no âmbito nacional»</w:t>
      </w:r>
      <w:r w:rsidRPr="00F95336">
        <w:rPr>
          <w:rStyle w:val="Refdenotaderodap"/>
          <w:rFonts w:ascii="Arial Narrow" w:hAnsi="Arial Narrow"/>
        </w:rPr>
        <w:footnoteReference w:id="345"/>
      </w:r>
      <w:r w:rsidRPr="00F95336">
        <w:rPr>
          <w:rFonts w:ascii="Arial Narrow" w:hAnsi="Arial Narrow"/>
        </w:rPr>
        <w:t>. Era a conhecida estratégia de Corradini, transposta agora para o plano grandioso de um morticínio à escala planetária e reproduzida a partir do extremo oposto, não como uma nação que buscava um proletariado para a revigorar, mas como um proletariado que procurava na nação um novo horizonte. A entrada em guerra contra o Império Austro-Húngaro surgiu a muitos italianos como o necessário epílogo da unificação do país, que a política de compromissos da monarquia havia deixado sem concluir. Engels escrevera que o movimento socialista só se desenvolve depois de a nação estar unificada e ter adquirido a independência</w:t>
      </w:r>
      <w:r w:rsidRPr="00F95336">
        <w:rPr>
          <w:rStyle w:val="Refdenotaderodap"/>
          <w:rFonts w:ascii="Arial Narrow" w:hAnsi="Arial Narrow"/>
        </w:rPr>
        <w:footnoteReference w:id="346"/>
      </w:r>
      <w:r w:rsidRPr="00F95336">
        <w:rPr>
          <w:rFonts w:ascii="Arial Narrow" w:hAnsi="Arial Narrow"/>
        </w:rPr>
        <w:t xml:space="preserve">. E se em termos marxistas a unidade nacional fora saudada como progressiva, não deveria a derradeira etapa da unificação ser considerada do mesmo modo? Já não se tratava, nesta óptica, de uma expansão colonial, como sucedera com as campanhas na Líbia, mas, pelo contrário, de uma guerra destinada a libertar os últimos territórios italianos ainda submetidos à cobiça estrangeira. O que os defensores desta tese não viam, porém, ou não queriam ver, é que em 1914 o conflito era mundial e os interesses da classe trabalhadora se colocavam directamente no plano internacional, não no quadro retardatário do nacionalismo. </w:t>
      </w:r>
    </w:p>
    <w:p w:rsidR="00CD12DC" w:rsidRPr="00F95336" w:rsidRDefault="00CD12DC" w:rsidP="00CD12DC">
      <w:pPr>
        <w:rPr>
          <w:rFonts w:ascii="Arial Narrow" w:hAnsi="Arial Narrow"/>
        </w:rPr>
      </w:pPr>
      <w:r w:rsidRPr="00F95336">
        <w:rPr>
          <w:rFonts w:ascii="Arial Narrow" w:hAnsi="Arial Narrow"/>
        </w:rPr>
        <w:t xml:space="preserve">Enquanto Lenin e os seus companheiros da minoria na conferência de Zimmerwald atacavam a guerra para transformá-la em revolução, os sindicalistas revolucionários pretendiam chegar ao mesmo objectivo através da participação no conflito. Confundido o radicalismo de classe com a violência de qualquer tipo e descobertos outros parâmetros para a democracia na fraternidade do perigo e da morte, as trincheiras surgiram </w:t>
      </w:r>
      <w:r w:rsidR="00FA5315">
        <w:rPr>
          <w:rFonts w:ascii="Arial Narrow" w:hAnsi="Arial Narrow"/>
        </w:rPr>
        <w:t>àqueles</w:t>
      </w:r>
      <w:r w:rsidRPr="00F95336">
        <w:rPr>
          <w:rFonts w:ascii="Arial Narrow" w:hAnsi="Arial Narrow"/>
        </w:rPr>
        <w:t xml:space="preserve"> ren</w:t>
      </w:r>
      <w:r w:rsidR="001A3911">
        <w:rPr>
          <w:rFonts w:ascii="Arial Narrow" w:hAnsi="Arial Narrow"/>
        </w:rPr>
        <w:t xml:space="preserve">ovadores da política </w:t>
      </w:r>
      <w:r w:rsidRPr="00F95336">
        <w:rPr>
          <w:rFonts w:ascii="Arial Narrow" w:hAnsi="Arial Narrow"/>
        </w:rPr>
        <w:t xml:space="preserve">como </w:t>
      </w:r>
      <w:r w:rsidRPr="00F95336">
        <w:rPr>
          <w:rFonts w:ascii="Arial Narrow" w:hAnsi="Arial Narrow"/>
        </w:rPr>
        <w:lastRenderedPageBreak/>
        <w:t xml:space="preserve">o lugar onde o militante do proletariado haveria de </w:t>
      </w:r>
      <w:r w:rsidR="00596620" w:rsidRPr="00F95336">
        <w:rPr>
          <w:rFonts w:ascii="Arial Narrow" w:hAnsi="Arial Narrow"/>
        </w:rPr>
        <w:t xml:space="preserve">se </w:t>
      </w:r>
      <w:r w:rsidRPr="00F95336">
        <w:rPr>
          <w:rFonts w:ascii="Arial Narrow" w:hAnsi="Arial Narrow"/>
        </w:rPr>
        <w:t>converter em soldado de uma nação e, ao fazê-lo, transformaria a nação, imprimindo-lhe outra audácia. «Os militares hoje feridos e com baixa são a vanguarda do grande exército que regressará amanhã», promet</w:t>
      </w:r>
      <w:r>
        <w:rPr>
          <w:rFonts w:ascii="Arial Narrow" w:hAnsi="Arial Narrow"/>
        </w:rPr>
        <w:t>eu</w:t>
      </w:r>
      <w:r w:rsidRPr="00F95336">
        <w:rPr>
          <w:rFonts w:ascii="Arial Narrow" w:hAnsi="Arial Narrow"/>
        </w:rPr>
        <w:t xml:space="preserve"> Mussolini nos últimos dias de 1917, e continu</w:t>
      </w:r>
      <w:r>
        <w:rPr>
          <w:rFonts w:ascii="Arial Narrow" w:hAnsi="Arial Narrow"/>
        </w:rPr>
        <w:t>ou</w:t>
      </w:r>
      <w:r w:rsidRPr="00F95336">
        <w:rPr>
          <w:rFonts w:ascii="Arial Narrow" w:hAnsi="Arial Narrow"/>
        </w:rPr>
        <w:t>: «As palavras “república”, “democracia”, “radicalismo”, “liberalismo”, a própria palavra “socialismo” já não têm mais qualquer sentido. Terão um amanhã, mas ser-lho-á dado pelos milhões “daqueles que voltaram”. E poderá ser algo bastante diferente. Poderá ser, por exemplo, um socialismo antimarxista e nacional. Os milhões de trabalhadores que regressarão para rasgar a terra com as suas charruas, depois de terem estado na terra rasgada das trincheiras, realizarão a síntese da antítese entre classe e nação»</w:t>
      </w:r>
      <w:r w:rsidRPr="00F95336">
        <w:rPr>
          <w:rStyle w:val="Refdenotaderodap"/>
          <w:rFonts w:ascii="Arial Narrow" w:hAnsi="Arial Narrow"/>
        </w:rPr>
        <w:footnoteReference w:id="347"/>
      </w:r>
      <w:r w:rsidRPr="00F95336">
        <w:rPr>
          <w:rFonts w:ascii="Arial Narrow" w:hAnsi="Arial Narrow"/>
        </w:rPr>
        <w:t xml:space="preserve">. </w:t>
      </w:r>
    </w:p>
    <w:p w:rsidR="00F21840" w:rsidRPr="00CD12DC" w:rsidRDefault="00CD12DC" w:rsidP="00CD12DC">
      <w:pPr>
        <w:rPr>
          <w:rFonts w:ascii="Arial Narrow" w:hAnsi="Arial Narrow"/>
        </w:rPr>
      </w:pPr>
      <w:r w:rsidRPr="00F95336">
        <w:rPr>
          <w:rFonts w:ascii="Arial Narrow" w:hAnsi="Arial Narrow"/>
        </w:rPr>
        <w:t>O socialismo nacional apresentava-</w:t>
      </w:r>
      <w:r w:rsidR="004336D7">
        <w:rPr>
          <w:rFonts w:ascii="Arial Narrow" w:hAnsi="Arial Narrow"/>
        </w:rPr>
        <w:t xml:space="preserve">se como a emancipação óbvia da </w:t>
      </w:r>
      <w:r w:rsidRPr="00F95336">
        <w:rPr>
          <w:rFonts w:ascii="Arial Narrow" w:hAnsi="Arial Narrow"/>
        </w:rPr>
        <w:t>nação proletária. Em 23 de Março de 1919, no discurso fundador do fascismo, Mussolini deix</w:t>
      </w:r>
      <w:r>
        <w:rPr>
          <w:rFonts w:ascii="Arial Narrow" w:hAnsi="Arial Narrow"/>
        </w:rPr>
        <w:t>ou</w:t>
      </w:r>
      <w:r w:rsidRPr="00F95336">
        <w:rPr>
          <w:rFonts w:ascii="Arial Narrow" w:hAnsi="Arial Narrow"/>
        </w:rPr>
        <w:t xml:space="preserve"> patentes os termos da questão</w:t>
      </w:r>
      <w:r w:rsidR="004336D7">
        <w:rPr>
          <w:rFonts w:ascii="Arial Narrow" w:hAnsi="Arial Narrow"/>
        </w:rPr>
        <w:t>:</w:t>
      </w:r>
      <w:r w:rsidRPr="00F95336">
        <w:rPr>
          <w:rFonts w:ascii="Arial Narrow" w:hAnsi="Arial Narrow"/>
        </w:rPr>
        <w:t xml:space="preserve"> «Declaramos guerra ao socialismo não por ser socialista, mas por se ter oposto à nação»</w:t>
      </w:r>
      <w:r w:rsidRPr="00F95336">
        <w:rPr>
          <w:rStyle w:val="Refdenotaderodap"/>
          <w:rFonts w:ascii="Arial Narrow" w:hAnsi="Arial Narrow"/>
        </w:rPr>
        <w:footnoteReference w:id="348"/>
      </w:r>
      <w:r w:rsidRPr="00F95336">
        <w:rPr>
          <w:rFonts w:ascii="Arial Narrow" w:hAnsi="Arial Narrow"/>
        </w:rPr>
        <w:t xml:space="preserve">. </w:t>
      </w:r>
      <w:r w:rsidRPr="00B7335B">
        <w:rPr>
          <w:rFonts w:ascii="Arial Narrow" w:hAnsi="Arial Narrow"/>
        </w:rPr>
        <w:t xml:space="preserve">As consequências lógicas haviam sido extraídas, o quadro estava definido, daqui em diante a regra do jogo só podia ser uma. </w:t>
      </w:r>
      <w:r w:rsidR="00E673EF" w:rsidRPr="00B7335B">
        <w:rPr>
          <w:rFonts w:ascii="Arial Narrow" w:hAnsi="Arial Narrow"/>
        </w:rPr>
        <w:t>Mais tarde um jornalista recordou o que D’Annunzio lhe anunciara em Fiume: «Haverá uma nova cruzada das nações pobres e empobrecidas, dos homens pobres e dos homens livres, contra as nações, contra a casta dos usurários que ontem tiveram os lucros da guerra e hoje lucram com a paz»</w:t>
      </w:r>
      <w:r w:rsidR="00BE792B">
        <w:rPr>
          <w:rStyle w:val="Refdenotaderodap"/>
          <w:rFonts w:ascii="Arial Narrow" w:hAnsi="Arial Narrow"/>
          <w:lang w:val="en-US"/>
        </w:rPr>
        <w:footnoteReference w:id="349"/>
      </w:r>
      <w:r w:rsidR="00E673EF" w:rsidRPr="00B7335B">
        <w:rPr>
          <w:rFonts w:ascii="Arial Narrow" w:hAnsi="Arial Narrow"/>
        </w:rPr>
        <w:t xml:space="preserve">. </w:t>
      </w:r>
      <w:r w:rsidR="00D9691D" w:rsidRPr="00F95336">
        <w:rPr>
          <w:rFonts w:ascii="Arial Narrow" w:hAnsi="Arial Narrow"/>
        </w:rPr>
        <w:t xml:space="preserve">Mas os paradoxos do nacionalismo ocasionam inevitavelmente uma armadilha prática, porque não existe </w:t>
      </w:r>
      <w:r w:rsidR="00626DA8">
        <w:rPr>
          <w:rFonts w:ascii="Arial Narrow" w:hAnsi="Arial Narrow"/>
        </w:rPr>
        <w:t>nenhuma</w:t>
      </w:r>
      <w:r w:rsidR="00D9691D" w:rsidRPr="00F95336">
        <w:rPr>
          <w:rFonts w:ascii="Arial Narrow" w:hAnsi="Arial Narrow"/>
        </w:rPr>
        <w:t xml:space="preserve"> linha divisória entre a edificação de uma pátria e a sua projecção imperial. Nacionalismo e expansionismo formam um </w:t>
      </w:r>
      <w:r w:rsidR="00D9691D" w:rsidRPr="00F95336">
        <w:rPr>
          <w:rFonts w:ascii="Arial Narrow" w:hAnsi="Arial Narrow"/>
          <w:i/>
        </w:rPr>
        <w:t>continuum</w:t>
      </w:r>
      <w:r w:rsidR="00D9691D" w:rsidRPr="00F95336">
        <w:rPr>
          <w:rFonts w:ascii="Arial Narrow" w:hAnsi="Arial Narrow"/>
        </w:rPr>
        <w:t xml:space="preserve">. Nos finais de 1935 Mussolini </w:t>
      </w:r>
      <w:r w:rsidR="00D9691D">
        <w:rPr>
          <w:rFonts w:ascii="Arial Narrow" w:hAnsi="Arial Narrow"/>
        </w:rPr>
        <w:t>teve</w:t>
      </w:r>
      <w:r w:rsidR="00D9691D" w:rsidRPr="00F95336">
        <w:rPr>
          <w:rFonts w:ascii="Arial Narrow" w:hAnsi="Arial Narrow"/>
        </w:rPr>
        <w:t xml:space="preserve"> a desfaçatez de proclamar «à Itália proletária e fascista»: «A guerra que começámos em terras de África é uma guerra de civilização e de libertação. [...] É a guerra dos pobres, dos deserdados, dos proletários»</w:t>
      </w:r>
      <w:r w:rsidR="00D9691D" w:rsidRPr="00F95336">
        <w:rPr>
          <w:rStyle w:val="Refdenotaderodap"/>
          <w:rFonts w:ascii="Arial Narrow" w:hAnsi="Arial Narrow"/>
        </w:rPr>
        <w:footnoteReference w:id="350"/>
      </w:r>
      <w:r w:rsidR="00D9691D" w:rsidRPr="00F95336">
        <w:rPr>
          <w:rFonts w:ascii="Arial Narrow" w:hAnsi="Arial Narrow"/>
        </w:rPr>
        <w:t xml:space="preserve">. </w:t>
      </w:r>
      <w:r w:rsidR="00D9691D">
        <w:rPr>
          <w:rFonts w:ascii="Arial Narrow" w:hAnsi="Arial Narrow"/>
        </w:rPr>
        <w:t>E a rádio oficial anunciou em Maio do ano seguinte que «pela primeira vez na história das guerras coloniais, esta foi uma guerra proletária [...]»</w:t>
      </w:r>
      <w:r w:rsidR="00D9691D">
        <w:rPr>
          <w:rStyle w:val="Refdenotaderodap"/>
          <w:rFonts w:ascii="Arial Narrow" w:hAnsi="Arial Narrow"/>
        </w:rPr>
        <w:footnoteReference w:id="351"/>
      </w:r>
      <w:r w:rsidR="00D9691D">
        <w:rPr>
          <w:rFonts w:ascii="Arial Narrow" w:hAnsi="Arial Narrow"/>
        </w:rPr>
        <w:t>.</w:t>
      </w:r>
      <w:r w:rsidR="00EE793B">
        <w:rPr>
          <w:rFonts w:ascii="Arial Narrow" w:hAnsi="Arial Narrow"/>
        </w:rPr>
        <w:t xml:space="preserve"> </w:t>
      </w:r>
      <w:r w:rsidR="00347E25">
        <w:rPr>
          <w:rFonts w:ascii="Arial Narrow" w:hAnsi="Arial Narrow"/>
        </w:rPr>
        <w:t xml:space="preserve">Tratava-se de </w:t>
      </w:r>
      <w:r w:rsidR="00B7335B">
        <w:rPr>
          <w:rFonts w:ascii="Arial Narrow" w:hAnsi="Arial Narrow"/>
        </w:rPr>
        <w:t xml:space="preserve">um desafio lançado às nações plutocráticas por uma nação proletária a quem era negado o direito a possuir </w:t>
      </w:r>
      <w:r w:rsidR="00B7335B">
        <w:rPr>
          <w:rFonts w:ascii="Arial Narrow" w:hAnsi="Arial Narrow"/>
        </w:rPr>
        <w:lastRenderedPageBreak/>
        <w:t>espaços coloniais</w:t>
      </w:r>
      <w:r w:rsidR="009C0BCD">
        <w:rPr>
          <w:rStyle w:val="Refdenotaderodap"/>
          <w:rFonts w:ascii="Arial Narrow" w:hAnsi="Arial Narrow"/>
        </w:rPr>
        <w:footnoteReference w:id="352"/>
      </w:r>
      <w:r w:rsidR="00B7335B">
        <w:rPr>
          <w:rFonts w:ascii="Arial Narrow" w:hAnsi="Arial Narrow"/>
        </w:rPr>
        <w:t xml:space="preserve">. </w:t>
      </w:r>
      <w:r w:rsidR="00D9691D" w:rsidRPr="00F95336">
        <w:rPr>
          <w:rFonts w:ascii="Arial Narrow" w:hAnsi="Arial Narrow"/>
        </w:rPr>
        <w:t xml:space="preserve">E um Duce já cansado, no seu discurso de 10 de Junho de 1940, quando abandonou a não-beligerância e anunciou a entrada da Itália na nova guerra mundial, retomou os termos da </w:t>
      </w:r>
      <w:r w:rsidR="0082263D">
        <w:rPr>
          <w:rFonts w:ascii="Arial Narrow" w:hAnsi="Arial Narrow"/>
        </w:rPr>
        <w:t>mesma dicotomia</w:t>
      </w:r>
      <w:r w:rsidR="00626DA8">
        <w:rPr>
          <w:rFonts w:ascii="Arial Narrow" w:hAnsi="Arial Narrow"/>
        </w:rPr>
        <w:t>:</w:t>
      </w:r>
      <w:r w:rsidR="00D9691D" w:rsidRPr="00F95336">
        <w:rPr>
          <w:rFonts w:ascii="Arial Narrow" w:hAnsi="Arial Narrow"/>
        </w:rPr>
        <w:t xml:space="preserve"> «Esta luta gigantesca não é mais do que uma fase do desenvolvimento lógico da nossa revolução: é a luta dos povos pobres e com mão-de-obra abundante contra os açambarcadores que detêm ferozmente o monopólio de todas as riquezas e de todo o ouro da terra; é a luta dos povos fecundos e jovens contra os povos estéreis e votados ao desaparecimento; é a luta entre dois séculos e duas ideias»</w:t>
      </w:r>
      <w:r w:rsidR="00D9691D" w:rsidRPr="00F95336">
        <w:rPr>
          <w:rStyle w:val="Refdenotaderodap"/>
          <w:rFonts w:ascii="Arial Narrow" w:hAnsi="Arial Narrow"/>
        </w:rPr>
        <w:footnoteReference w:id="353"/>
      </w:r>
      <w:r w:rsidR="00D9691D" w:rsidRPr="00F95336">
        <w:rPr>
          <w:rFonts w:ascii="Arial Narrow" w:hAnsi="Arial Narrow"/>
        </w:rPr>
        <w:t>. Do princípio ao fim, foi este o fio condutor do fascismo.</w:t>
      </w:r>
      <w:r w:rsidR="00D9691D">
        <w:rPr>
          <w:rFonts w:ascii="Arial Narrow" w:hAnsi="Arial Narrow"/>
        </w:rPr>
        <w:t xml:space="preserve"> </w:t>
      </w:r>
    </w:p>
    <w:sectPr w:rsidR="00F21840" w:rsidRPr="00CD12DC" w:rsidSect="001410CD">
      <w:footerReference w:type="even" r:id="rId7"/>
      <w:footerReference w:type="default" r:id="rId8"/>
      <w:pgSz w:w="11907" w:h="16840" w:code="9"/>
      <w:pgMar w:top="1417" w:right="1701" w:bottom="1417" w:left="1701" w:header="720" w:footer="720" w:gutter="0"/>
      <w:pgNumType w:start="49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80E" w:rsidRDefault="000B080E" w:rsidP="00CD12DC">
      <w:pPr>
        <w:spacing w:line="240" w:lineRule="auto"/>
      </w:pPr>
      <w:r>
        <w:separator/>
      </w:r>
    </w:p>
  </w:endnote>
  <w:endnote w:type="continuationSeparator" w:id="0">
    <w:p w:rsidR="000B080E" w:rsidRDefault="000B080E" w:rsidP="00CD12D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BCB" w:rsidRDefault="00C84BCB">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C84BCB" w:rsidRDefault="00C84BCB">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BCB" w:rsidRPr="00850D3D" w:rsidRDefault="00C84BCB">
    <w:pPr>
      <w:pStyle w:val="Rodap"/>
      <w:framePr w:wrap="around" w:vAnchor="text" w:hAnchor="margin" w:xAlign="center" w:y="1"/>
      <w:ind w:firstLine="0"/>
      <w:rPr>
        <w:rStyle w:val="Nmerodepgina"/>
        <w:rFonts w:ascii="Arial Narrow" w:hAnsi="Arial Narrow"/>
        <w:i/>
      </w:rPr>
    </w:pPr>
    <w:r w:rsidRPr="00850D3D">
      <w:rPr>
        <w:rStyle w:val="Nmerodepgina"/>
        <w:rFonts w:ascii="Arial Narrow" w:hAnsi="Arial Narrow"/>
        <w:i/>
      </w:rPr>
      <w:fldChar w:fldCharType="begin"/>
    </w:r>
    <w:r w:rsidRPr="00850D3D">
      <w:rPr>
        <w:rStyle w:val="Nmerodepgina"/>
        <w:rFonts w:ascii="Arial Narrow" w:hAnsi="Arial Narrow"/>
        <w:i/>
      </w:rPr>
      <w:instrText xml:space="preserve">PAGE  </w:instrText>
    </w:r>
    <w:r w:rsidRPr="00850D3D">
      <w:rPr>
        <w:rStyle w:val="Nmerodepgina"/>
        <w:rFonts w:ascii="Arial Narrow" w:hAnsi="Arial Narrow"/>
        <w:i/>
      </w:rPr>
      <w:fldChar w:fldCharType="separate"/>
    </w:r>
    <w:r w:rsidR="00FA5315">
      <w:rPr>
        <w:rStyle w:val="Nmerodepgina"/>
        <w:rFonts w:ascii="Arial Narrow" w:hAnsi="Arial Narrow"/>
        <w:i/>
        <w:noProof/>
      </w:rPr>
      <w:t>588</w:t>
    </w:r>
    <w:r w:rsidRPr="00850D3D">
      <w:rPr>
        <w:rStyle w:val="Nmerodepgina"/>
        <w:rFonts w:ascii="Arial Narrow" w:hAnsi="Arial Narrow"/>
        <w:i/>
      </w:rPr>
      <w:fldChar w:fldCharType="end"/>
    </w:r>
  </w:p>
  <w:p w:rsidR="00C84BCB" w:rsidRDefault="00C84BCB">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80E" w:rsidRDefault="000B080E" w:rsidP="00CD12DC">
      <w:pPr>
        <w:spacing w:line="240" w:lineRule="auto"/>
        <w:ind w:firstLine="0"/>
      </w:pPr>
      <w:r>
        <w:separator/>
      </w:r>
    </w:p>
  </w:footnote>
  <w:footnote w:type="continuationSeparator" w:id="0">
    <w:p w:rsidR="000B080E" w:rsidRDefault="000B080E" w:rsidP="00CD12DC">
      <w:pPr>
        <w:spacing w:line="240" w:lineRule="auto"/>
        <w:ind w:firstLine="0"/>
      </w:pPr>
      <w:r>
        <w:continuationSeparator/>
      </w:r>
    </w:p>
  </w:footnote>
  <w:footnote w:id="1">
    <w:p w:rsidR="00C84BCB" w:rsidRPr="00CC781D" w:rsidRDefault="00C84BCB" w:rsidP="00CD12DC">
      <w:pPr>
        <w:pStyle w:val="Textodenotaderodap"/>
        <w:rPr>
          <w:rFonts w:ascii="Arial Narrow" w:hAnsi="Arial Narrow"/>
          <w:lang w:val="de-DE"/>
        </w:rPr>
      </w:pPr>
      <w:r w:rsidRPr="00F95336">
        <w:rPr>
          <w:rStyle w:val="Refdenotaderodap"/>
          <w:rFonts w:ascii="Arial Narrow" w:hAnsi="Arial Narrow"/>
        </w:rPr>
        <w:footnoteRef/>
      </w:r>
      <w:r w:rsidRPr="00F95336">
        <w:rPr>
          <w:rFonts w:ascii="Arial Narrow" w:hAnsi="Arial Narrow"/>
        </w:rPr>
        <w:t xml:space="preserve"> Para este conjunto de teses ver K. Mannheim (1986) 63-66. A passagem citada vem na pág. 65. É interessante considerar a este respeito que para Fichte a busca do irracional, que ele chamou o «supra-sensível», no interior da própria razão teria começado com Leibniz, que deste modo fundara a filosofia alemã moderna. </w:t>
      </w:r>
      <w:r w:rsidRPr="00CC781D">
        <w:rPr>
          <w:rFonts w:ascii="Arial Narrow" w:hAnsi="Arial Narrow"/>
          <w:lang w:val="de-DE"/>
        </w:rPr>
        <w:t>Ver J. G. Fichte (1975) 144.</w:t>
      </w:r>
    </w:p>
  </w:footnote>
  <w:footnote w:id="2">
    <w:p w:rsidR="00C84BCB" w:rsidRPr="00CC781D" w:rsidRDefault="00C84BCB" w:rsidP="00CD12DC">
      <w:pPr>
        <w:pStyle w:val="Textodenotaderodap"/>
        <w:rPr>
          <w:rFonts w:ascii="Arial Narrow" w:hAnsi="Arial Narrow"/>
          <w:lang w:val="de-DE"/>
        </w:rPr>
      </w:pPr>
      <w:r w:rsidRPr="00F95336">
        <w:rPr>
          <w:rStyle w:val="Refdenotaderodap"/>
          <w:rFonts w:ascii="Arial Narrow" w:hAnsi="Arial Narrow"/>
        </w:rPr>
        <w:footnoteRef/>
      </w:r>
      <w:r w:rsidRPr="00CC781D">
        <w:rPr>
          <w:rFonts w:ascii="Arial Narrow" w:hAnsi="Arial Narrow"/>
          <w:lang w:val="de-DE"/>
        </w:rPr>
        <w:t xml:space="preserve"> K. Mannheim (1986) 67-68.</w:t>
      </w:r>
    </w:p>
  </w:footnote>
  <w:footnote w:id="3">
    <w:p w:rsidR="00C84BCB" w:rsidRPr="00CC781D" w:rsidRDefault="00C84BCB" w:rsidP="00CD12DC">
      <w:pPr>
        <w:pStyle w:val="Textodenotaderodap"/>
        <w:rPr>
          <w:rFonts w:ascii="Arial Narrow" w:hAnsi="Arial Narrow"/>
          <w:lang w:val="de-DE"/>
        </w:rPr>
      </w:pPr>
      <w:r w:rsidRPr="00F95336">
        <w:rPr>
          <w:rStyle w:val="Refdenotaderodap"/>
          <w:rFonts w:ascii="Arial Narrow" w:hAnsi="Arial Narrow"/>
        </w:rPr>
        <w:footnoteRef/>
      </w:r>
      <w:r w:rsidRPr="00CC781D">
        <w:rPr>
          <w:rFonts w:ascii="Arial Narrow" w:hAnsi="Arial Narrow"/>
          <w:lang w:val="de-DE"/>
        </w:rPr>
        <w:t xml:space="preserve"> Id., ibid., 90, 151.</w:t>
      </w:r>
    </w:p>
  </w:footnote>
  <w:footnote w:id="4">
    <w:p w:rsidR="00C84BCB" w:rsidRPr="00CC781D" w:rsidRDefault="00C84BCB" w:rsidP="00CD12DC">
      <w:pPr>
        <w:pStyle w:val="Textodenotaderodap"/>
        <w:rPr>
          <w:rFonts w:ascii="Arial Narrow" w:hAnsi="Arial Narrow"/>
          <w:lang w:val="de-DE"/>
        </w:rPr>
      </w:pPr>
      <w:r w:rsidRPr="00F95336">
        <w:rPr>
          <w:rStyle w:val="Refdenotaderodap"/>
          <w:rFonts w:ascii="Arial Narrow" w:hAnsi="Arial Narrow"/>
        </w:rPr>
        <w:footnoteRef/>
      </w:r>
      <w:r w:rsidRPr="00CC781D">
        <w:rPr>
          <w:rFonts w:ascii="Arial Narrow" w:hAnsi="Arial Narrow"/>
          <w:lang w:val="de-DE"/>
        </w:rPr>
        <w:t xml:space="preserve"> Id., ibid., 68.</w:t>
      </w:r>
    </w:p>
  </w:footnote>
  <w:footnote w:id="5">
    <w:p w:rsidR="00C84BCB" w:rsidRPr="00CE4D1C" w:rsidRDefault="00C84BCB" w:rsidP="00CD12DC">
      <w:pPr>
        <w:pStyle w:val="Textodenotaderodap"/>
        <w:rPr>
          <w:rFonts w:ascii="Arial Narrow" w:hAnsi="Arial Narrow"/>
        </w:rPr>
      </w:pPr>
      <w:r w:rsidRPr="00CE4D1C">
        <w:rPr>
          <w:rStyle w:val="Refdenotaderodap"/>
          <w:rFonts w:ascii="Arial Narrow" w:hAnsi="Arial Narrow"/>
        </w:rPr>
        <w:footnoteRef/>
      </w:r>
      <w:r w:rsidRPr="00CD12DC">
        <w:rPr>
          <w:rFonts w:ascii="Arial Narrow" w:hAnsi="Arial Narrow"/>
          <w:lang w:val="en-US"/>
        </w:rPr>
        <w:t xml:space="preserve"> O. Spengler (1942-1944) I 152. </w:t>
      </w:r>
      <w:r>
        <w:rPr>
          <w:rFonts w:ascii="Arial Narrow" w:hAnsi="Arial Narrow"/>
        </w:rPr>
        <w:t>Quanto à aversão que Müller sentia pelos números, ver R. D’O. Butler (1943) 83.</w:t>
      </w:r>
    </w:p>
  </w:footnote>
  <w:footnote w:id="6">
    <w:p w:rsidR="00C84BCB" w:rsidRPr="00CD12DC" w:rsidRDefault="00C84BCB" w:rsidP="00CD12DC">
      <w:pPr>
        <w:pStyle w:val="Textodenotaderodap"/>
        <w:rPr>
          <w:rFonts w:ascii="Arial Narrow" w:hAnsi="Arial Narrow"/>
          <w:lang w:val="en-US"/>
        </w:rPr>
      </w:pPr>
      <w:r w:rsidRPr="00A70153">
        <w:rPr>
          <w:rStyle w:val="Refdenotaderodap"/>
          <w:rFonts w:ascii="Arial Narrow" w:hAnsi="Arial Narrow"/>
        </w:rPr>
        <w:footnoteRef/>
      </w:r>
      <w:r w:rsidRPr="00CD12DC">
        <w:rPr>
          <w:rFonts w:ascii="Arial Narrow" w:hAnsi="Arial Narrow"/>
          <w:lang w:val="en-US"/>
        </w:rPr>
        <w:t xml:space="preserve"> K. Mannheim (1986) 141-142.</w:t>
      </w:r>
    </w:p>
  </w:footnote>
  <w:footnote w:id="7">
    <w:p w:rsidR="00C84BCB" w:rsidRPr="00CD12DC" w:rsidRDefault="00C84BCB" w:rsidP="00CD12DC">
      <w:pPr>
        <w:pStyle w:val="Textodenotaderodap"/>
        <w:rPr>
          <w:rFonts w:ascii="Arial Narrow" w:hAnsi="Arial Narrow"/>
          <w:lang w:val="en-US"/>
        </w:rPr>
      </w:pPr>
      <w:r w:rsidRPr="00A70153">
        <w:rPr>
          <w:rStyle w:val="Refdenotaderodap"/>
          <w:rFonts w:ascii="Arial Narrow" w:hAnsi="Arial Narrow"/>
        </w:rPr>
        <w:footnoteRef/>
      </w:r>
      <w:r w:rsidRPr="00CD12DC">
        <w:rPr>
          <w:rFonts w:ascii="Arial Narrow" w:hAnsi="Arial Narrow"/>
          <w:lang w:val="en-US"/>
        </w:rPr>
        <w:t xml:space="preserve"> Id., ibid., 145 (subs. orig.).</w:t>
      </w:r>
    </w:p>
  </w:footnote>
  <w:footnote w:id="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O percurso seguido pela concepção dinâmica de pensamento desde a sua génese na crítica romântica do racionalismo até à sua transformação pela dialéctica hegeliana foi analisado em id., ibid., 138-153. Acerca do sistema de polaridades antitéticas na obra de Adam Müller ver igualmente R. Aris (1965) 310 e H. S. Reiss (org. 1955) 28, 143 e segs.</w:t>
      </w:r>
    </w:p>
  </w:footnote>
  <w:footnote w:id="9">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Esta sequência de teses encontra-se em K. Mannheim (1986) 69-70 (sub. orig.).</w:t>
      </w:r>
    </w:p>
  </w:footnote>
  <w:footnote w:id="10">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G. Lukács (1980) 97-100, 104, 145, 161, 167, 322, 413, 424.</w:t>
      </w:r>
    </w:p>
  </w:footnote>
  <w:footnote w:id="11">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100, 104 (sub. orig.).</w:t>
      </w:r>
    </w:p>
  </w:footnote>
  <w:footnote w:id="12">
    <w:p w:rsidR="00C84BCB" w:rsidRPr="00350159" w:rsidRDefault="00C84BCB" w:rsidP="00CD12DC">
      <w:pPr>
        <w:pStyle w:val="Textodenotaderodap"/>
        <w:ind w:firstLine="708"/>
        <w:rPr>
          <w:rFonts w:ascii="Arial Narrow" w:hAnsi="Arial Narrow"/>
          <w:lang w:val="en-US"/>
        </w:rPr>
      </w:pPr>
      <w:r w:rsidRPr="00F95336">
        <w:rPr>
          <w:rStyle w:val="Refdenotaderodap"/>
          <w:rFonts w:ascii="Arial Narrow" w:hAnsi="Arial Narrow"/>
        </w:rPr>
        <w:footnoteRef/>
      </w:r>
      <w:r w:rsidRPr="00350159">
        <w:rPr>
          <w:rFonts w:ascii="Arial Narrow" w:hAnsi="Arial Narrow"/>
          <w:lang w:val="en-US"/>
        </w:rPr>
        <w:t xml:space="preserve"> Id., ibid., 634-636.</w:t>
      </w:r>
    </w:p>
  </w:footnote>
  <w:footnote w:id="13">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81.</w:t>
      </w:r>
    </w:p>
  </w:footnote>
  <w:footnote w:id="14">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82.</w:t>
      </w:r>
    </w:p>
  </w:footnote>
  <w:footnote w:id="15">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849-850 (subs. orig.).</w:t>
      </w:r>
    </w:p>
  </w:footnote>
  <w:footnote w:id="16">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424.</w:t>
      </w:r>
    </w:p>
  </w:footnote>
  <w:footnote w:id="17">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547-581.</w:t>
      </w:r>
    </w:p>
  </w:footnote>
  <w:footnote w:id="18">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362, 449-451, 731.</w:t>
      </w:r>
    </w:p>
  </w:footnote>
  <w:footnote w:id="19">
    <w:p w:rsidR="00C84BCB" w:rsidRPr="00350159" w:rsidRDefault="00C84BCB" w:rsidP="00CD12DC">
      <w:pPr>
        <w:pStyle w:val="Textodenotaderodap"/>
        <w:ind w:firstLine="708"/>
        <w:rPr>
          <w:rFonts w:ascii="Arial Narrow" w:hAnsi="Arial Narrow"/>
          <w:lang w:val="en-US"/>
        </w:rPr>
      </w:pPr>
      <w:r w:rsidRPr="00F95336">
        <w:rPr>
          <w:rStyle w:val="Refdenotaderodap"/>
          <w:rFonts w:ascii="Arial Narrow" w:hAnsi="Arial Narrow"/>
        </w:rPr>
        <w:footnoteRef/>
      </w:r>
      <w:r w:rsidRPr="00350159">
        <w:rPr>
          <w:rFonts w:ascii="Arial Narrow" w:hAnsi="Arial Narrow"/>
          <w:lang w:val="en-US"/>
        </w:rPr>
        <w:t xml:space="preserve"> Id., ibid., 635.</w:t>
      </w:r>
    </w:p>
  </w:footnote>
  <w:footnote w:id="20">
    <w:p w:rsidR="00C84BCB" w:rsidRPr="00B10504" w:rsidRDefault="00C84BCB">
      <w:pPr>
        <w:pStyle w:val="Textodenotaderodap"/>
        <w:rPr>
          <w:rFonts w:ascii="Arial Narrow" w:hAnsi="Arial Narrow"/>
        </w:rPr>
      </w:pPr>
      <w:r w:rsidRPr="00B10504">
        <w:rPr>
          <w:rStyle w:val="Refdenotaderodap"/>
          <w:rFonts w:ascii="Arial Narrow" w:hAnsi="Arial Narrow"/>
        </w:rPr>
        <w:footnoteRef/>
      </w:r>
      <w:r w:rsidRPr="00B10504">
        <w:rPr>
          <w:rFonts w:ascii="Arial Narrow" w:hAnsi="Arial Narrow"/>
        </w:rPr>
        <w:t xml:space="preserve"> </w:t>
      </w:r>
      <w:r>
        <w:rPr>
          <w:rFonts w:ascii="Arial Narrow" w:hAnsi="Arial Narrow"/>
        </w:rPr>
        <w:t>Observou G. Arrighi (2008) 74 n. 2 que «em algumas das suas análises históricas — mais especialmente da luta de classes em França — o próprio Marx desiste da sua crítica à economia política, define os interesses de classe em referência a um espaço político-económico nacional [...] e nunca menciona o lar oculto da produção».</w:t>
      </w:r>
    </w:p>
  </w:footnote>
  <w:footnote w:id="21">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Ver a carta de Engels a Kautsky, com data de 20 de Fevereiro de 1889, em R. Dangeville (org. 1970) 115-117 e a sua carta a Adler, de 4 de Dezembro do mesmo ano, em id., ibid., 113-115.</w:t>
      </w:r>
    </w:p>
  </w:footnote>
  <w:footnote w:id="22">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Ver </w:t>
      </w:r>
      <w:r>
        <w:rPr>
          <w:rFonts w:ascii="Arial Narrow" w:hAnsi="Arial Narrow"/>
        </w:rPr>
        <w:t xml:space="preserve">por exemplo </w:t>
      </w:r>
      <w:r w:rsidRPr="00F95336">
        <w:rPr>
          <w:rFonts w:ascii="Arial Narrow" w:hAnsi="Arial Narrow"/>
        </w:rPr>
        <w:t xml:space="preserve">o artigo de Engels «O Debate em Frankfurt acerca da Polónia», na </w:t>
      </w:r>
      <w:r w:rsidRPr="00F95336">
        <w:rPr>
          <w:rFonts w:ascii="Arial Narrow" w:hAnsi="Arial Narrow"/>
          <w:i/>
        </w:rPr>
        <w:t>Neue Rheinische Zeitung</w:t>
      </w:r>
      <w:r w:rsidRPr="00F95336">
        <w:rPr>
          <w:rFonts w:ascii="Arial Narrow" w:hAnsi="Arial Narrow"/>
        </w:rPr>
        <w:t xml:space="preserve"> </w:t>
      </w:r>
      <w:r w:rsidRPr="00F95336">
        <w:rPr>
          <w:rFonts w:ascii="Arial Narrow" w:hAnsi="Arial Narrow"/>
          <w:i/>
        </w:rPr>
        <w:t>(Nova Gazeta Renana)</w:t>
      </w:r>
      <w:r>
        <w:rPr>
          <w:rFonts w:ascii="Arial Narrow" w:hAnsi="Arial Narrow"/>
          <w:i/>
        </w:rPr>
        <w:t>,</w:t>
      </w:r>
      <w:r w:rsidRPr="00F95336">
        <w:rPr>
          <w:rFonts w:ascii="Arial Narrow" w:hAnsi="Arial Narrow"/>
        </w:rPr>
        <w:t xml:space="preserve"> Agosto de 1848, em P. W. Blackstock et al. (orgs. 1952) 94.</w:t>
      </w:r>
    </w:p>
  </w:footnote>
  <w:footnote w:id="2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Para as </w:t>
      </w:r>
      <w:r>
        <w:rPr>
          <w:rFonts w:ascii="Arial Narrow" w:hAnsi="Arial Narrow"/>
        </w:rPr>
        <w:t xml:space="preserve">declarações </w:t>
      </w:r>
      <w:r w:rsidRPr="00F95336">
        <w:rPr>
          <w:rFonts w:ascii="Arial Narrow" w:hAnsi="Arial Narrow"/>
        </w:rPr>
        <w:t>de Engels a este respeito em 1848 e 1849 ver R. Rosdolsky (1980) 12-13, 40 n. 31, 80 e 83-85. Consultar também R. Dangeville (org. 1970) 260.</w:t>
      </w:r>
      <w:r>
        <w:rPr>
          <w:rFonts w:ascii="Arial Narrow" w:hAnsi="Arial Narrow"/>
        </w:rPr>
        <w:t xml:space="preserve"> </w:t>
      </w:r>
      <w:r w:rsidRPr="00F95336">
        <w:rPr>
          <w:rFonts w:ascii="Arial Narrow" w:hAnsi="Arial Narrow"/>
        </w:rPr>
        <w:t>A. Kriegel (1972) 632 record</w:t>
      </w:r>
      <w:r>
        <w:rPr>
          <w:rFonts w:ascii="Arial Narrow" w:hAnsi="Arial Narrow"/>
        </w:rPr>
        <w:t>ou</w:t>
      </w:r>
      <w:r w:rsidRPr="00F95336">
        <w:rPr>
          <w:rFonts w:ascii="Arial Narrow" w:hAnsi="Arial Narrow"/>
        </w:rPr>
        <w:t xml:space="preserve"> «a luta contra o absolutismo russo que, como é sabido, obcecou Marx até ao final da vida». Na verdade, o empenho de Engels nes</w:t>
      </w:r>
      <w:r>
        <w:rPr>
          <w:rFonts w:ascii="Arial Narrow" w:hAnsi="Arial Narrow"/>
        </w:rPr>
        <w:t>t</w:t>
      </w:r>
      <w:r w:rsidRPr="00F95336">
        <w:rPr>
          <w:rFonts w:ascii="Arial Narrow" w:hAnsi="Arial Narrow"/>
        </w:rPr>
        <w:t>a cruzada não foi menor.</w:t>
      </w:r>
    </w:p>
  </w:footnote>
  <w:footnote w:id="24">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J. Droz (1972) 462.</w:t>
      </w:r>
    </w:p>
  </w:footnote>
  <w:footnote w:id="25">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463.</w:t>
      </w:r>
    </w:p>
  </w:footnote>
  <w:footnote w:id="26">
    <w:p w:rsidR="00C84BCB" w:rsidRPr="008958D1" w:rsidRDefault="00C84BCB">
      <w:pPr>
        <w:pStyle w:val="Textodenotaderodap"/>
        <w:rPr>
          <w:rFonts w:ascii="Arial Narrow" w:hAnsi="Arial Narrow"/>
          <w:lang w:val="en-US"/>
        </w:rPr>
      </w:pPr>
      <w:r w:rsidRPr="00A00C2E">
        <w:rPr>
          <w:rStyle w:val="Refdenotaderodap"/>
          <w:rFonts w:ascii="Arial Narrow" w:hAnsi="Arial Narrow"/>
        </w:rPr>
        <w:footnoteRef/>
      </w:r>
      <w:r w:rsidRPr="008958D1">
        <w:rPr>
          <w:rFonts w:ascii="Arial Narrow" w:hAnsi="Arial Narrow"/>
          <w:lang w:val="en-US"/>
        </w:rPr>
        <w:t xml:space="preserve"> Id., ibid., 463-465, 475-476; A. Rosenberg (1936) 24.</w:t>
      </w:r>
    </w:p>
  </w:footnote>
  <w:footnote w:id="27">
    <w:p w:rsidR="00C84BCB" w:rsidRPr="008958D1" w:rsidRDefault="00C84BCB" w:rsidP="00CD12DC">
      <w:pPr>
        <w:pStyle w:val="Textodenotaderodap"/>
        <w:ind w:firstLine="708"/>
        <w:rPr>
          <w:rFonts w:ascii="Arial Narrow" w:hAnsi="Arial Narrow"/>
          <w:lang w:val="en-US"/>
        </w:rPr>
      </w:pPr>
      <w:r w:rsidRPr="00F95336">
        <w:rPr>
          <w:rStyle w:val="Refdenotaderodap"/>
          <w:rFonts w:ascii="Arial Narrow" w:hAnsi="Arial Narrow"/>
        </w:rPr>
        <w:footnoteRef/>
      </w:r>
      <w:r>
        <w:rPr>
          <w:rFonts w:ascii="Arial Narrow" w:hAnsi="Arial Narrow"/>
          <w:lang w:val="en-US"/>
        </w:rPr>
        <w:t xml:space="preserve"> J. Droz (1972) </w:t>
      </w:r>
      <w:r w:rsidRPr="008958D1">
        <w:rPr>
          <w:rFonts w:ascii="Arial Narrow" w:hAnsi="Arial Narrow"/>
          <w:lang w:val="en-US"/>
        </w:rPr>
        <w:t>466-468.</w:t>
      </w:r>
    </w:p>
  </w:footnote>
  <w:footnote w:id="2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Nessa </w:t>
      </w:r>
      <w:r>
        <w:rPr>
          <w:rFonts w:ascii="Arial Narrow" w:hAnsi="Arial Narrow"/>
        </w:rPr>
        <w:t>época</w:t>
      </w:r>
      <w:r w:rsidRPr="00F95336">
        <w:rPr>
          <w:rFonts w:ascii="Arial Narrow" w:hAnsi="Arial Narrow"/>
        </w:rPr>
        <w:t xml:space="preserve"> não existiam mais do que rudimentos de uma classe burguesa na Hungria, afirm</w:t>
      </w:r>
      <w:r>
        <w:rPr>
          <w:rFonts w:ascii="Arial Narrow" w:hAnsi="Arial Narrow"/>
        </w:rPr>
        <w:t>ou</w:t>
      </w:r>
      <w:r w:rsidRPr="00F95336">
        <w:rPr>
          <w:rFonts w:ascii="Arial Narrow" w:hAnsi="Arial Narrow"/>
        </w:rPr>
        <w:t xml:space="preserve"> R. Rosdolsky (1980) 141 n. 14.</w:t>
      </w:r>
    </w:p>
  </w:footnote>
  <w:footnote w:id="29">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F95336">
        <w:rPr>
          <w:rFonts w:ascii="Arial Narrow" w:hAnsi="Arial Narrow"/>
        </w:rPr>
        <w:t xml:space="preserve"> Id., ibid., 97, 152 (subs. orig.). Ver no mesmo sentido as págs. 133 e 146-149. «Foi o carácter limitadamente burguês (ou antes, burguês-nobiliárquico) da revolução austro-húngara de 1848», escreve</w:t>
      </w:r>
      <w:r>
        <w:rPr>
          <w:rFonts w:ascii="Arial Narrow" w:hAnsi="Arial Narrow"/>
        </w:rPr>
        <w:t>u</w:t>
      </w:r>
      <w:r w:rsidRPr="00F95336">
        <w:rPr>
          <w:rFonts w:ascii="Arial Narrow" w:hAnsi="Arial Narrow"/>
        </w:rPr>
        <w:t xml:space="preserve"> ainda Roman Rosdolsky </w:t>
      </w:r>
      <w:r>
        <w:rPr>
          <w:rFonts w:ascii="Arial Narrow" w:hAnsi="Arial Narrow"/>
        </w:rPr>
        <w:t>(</w:t>
      </w:r>
      <w:r w:rsidRPr="00F95336">
        <w:rPr>
          <w:rFonts w:ascii="Arial Narrow" w:hAnsi="Arial Narrow"/>
        </w:rPr>
        <w:t>pág. 170</w:t>
      </w:r>
      <w:r>
        <w:rPr>
          <w:rFonts w:ascii="Arial Narrow" w:hAnsi="Arial Narrow"/>
        </w:rPr>
        <w:t>)</w:t>
      </w:r>
      <w:r w:rsidRPr="00F95336">
        <w:rPr>
          <w:rFonts w:ascii="Arial Narrow" w:hAnsi="Arial Narrow"/>
        </w:rPr>
        <w:t xml:space="preserve">, «que </w:t>
      </w:r>
      <w:r w:rsidRPr="00F95336">
        <w:rPr>
          <w:rFonts w:ascii="Arial Narrow" w:hAnsi="Arial Narrow"/>
          <w:i/>
        </w:rPr>
        <w:t>impediu</w:t>
      </w:r>
      <w:r w:rsidRPr="00F95336">
        <w:rPr>
          <w:rFonts w:ascii="Arial Narrow" w:hAnsi="Arial Narrow"/>
        </w:rPr>
        <w:t xml:space="preserve"> qualquer solução real dos problemas existentes entre as nacionalidades da época, </w:t>
      </w:r>
      <w:r w:rsidRPr="00F95336">
        <w:rPr>
          <w:rFonts w:ascii="Arial Narrow" w:hAnsi="Arial Narrow"/>
          <w:i/>
        </w:rPr>
        <w:t>fazendo aparecer como uma necessidade fatal e inevitável</w:t>
      </w:r>
      <w:r w:rsidRPr="00F95336">
        <w:rPr>
          <w:rFonts w:ascii="Arial Narrow" w:hAnsi="Arial Narrow"/>
        </w:rPr>
        <w:t xml:space="preserve"> a atitude contra-revolucionária dos eslavos!» </w:t>
      </w:r>
      <w:r w:rsidRPr="00CC781D">
        <w:rPr>
          <w:rFonts w:ascii="Arial Narrow" w:hAnsi="Arial Narrow"/>
          <w:lang w:val="en-GB"/>
        </w:rPr>
        <w:t>(subs. orig.).</w:t>
      </w:r>
    </w:p>
  </w:footnote>
  <w:footnote w:id="30">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49 e segs., 151-152.</w:t>
      </w:r>
    </w:p>
  </w:footnote>
  <w:footnote w:id="31">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P. W. Blackstock et al. </w:t>
      </w:r>
      <w:r w:rsidRPr="00F95336">
        <w:rPr>
          <w:rFonts w:ascii="Arial Narrow" w:hAnsi="Arial Narrow"/>
        </w:rPr>
        <w:t>(orgs. 1952) 59. «Por estranho que pareça», salient</w:t>
      </w:r>
      <w:r>
        <w:rPr>
          <w:rFonts w:ascii="Arial Narrow" w:hAnsi="Arial Narrow"/>
        </w:rPr>
        <w:t>ou</w:t>
      </w:r>
      <w:r w:rsidRPr="00F95336">
        <w:rPr>
          <w:rFonts w:ascii="Arial Narrow" w:hAnsi="Arial Narrow"/>
        </w:rPr>
        <w:t xml:space="preserve"> R. Rosdolsky (1980) 66-67, «nem sequer a extrema-esquerda da revolução de 1848, que tinha como guia espiritual a </w:t>
      </w:r>
      <w:r w:rsidRPr="00F95336">
        <w:rPr>
          <w:rFonts w:ascii="Arial Narrow" w:hAnsi="Arial Narrow"/>
          <w:i/>
        </w:rPr>
        <w:t>N[eue] R[heinische] Z[eitung],</w:t>
      </w:r>
      <w:r w:rsidRPr="00F95336">
        <w:rPr>
          <w:rFonts w:ascii="Arial Narrow" w:hAnsi="Arial Narrow"/>
        </w:rPr>
        <w:t xml:space="preserve"> avaliou correctamente as fecundas implicações da questão camponesa na Áustria e as extraordinárias oportunidades que proporcionava à revolução, bem como os graves perigos com que a ameaçava. </w:t>
      </w:r>
      <w:r w:rsidRPr="00F95336">
        <w:rPr>
          <w:rFonts w:ascii="Arial Narrow" w:hAnsi="Arial Narrow"/>
          <w:i/>
        </w:rPr>
        <w:t>É em vão que se procurará na</w:t>
      </w:r>
      <w:r w:rsidRPr="00F95336">
        <w:rPr>
          <w:rFonts w:ascii="Arial Narrow" w:hAnsi="Arial Narrow"/>
        </w:rPr>
        <w:t xml:space="preserve"> N[eue] R[heinische] Z[eitung] </w:t>
      </w:r>
      <w:r w:rsidRPr="00F95336">
        <w:rPr>
          <w:rFonts w:ascii="Arial Narrow" w:hAnsi="Arial Narrow"/>
          <w:i/>
        </w:rPr>
        <w:t>uma análise dos problemas agrários austríacos, um programa concreto para a questão camponesa austríaca</w:t>
      </w:r>
      <w:r w:rsidRPr="00F95336">
        <w:rPr>
          <w:rFonts w:ascii="Arial Narrow" w:hAnsi="Arial Narrow"/>
        </w:rPr>
        <w:t xml:space="preserve"> ou, pelo menos, artigos e correspondências de princípios que se ocupassem desta questão» (sub. orig.). Ve</w:t>
      </w:r>
      <w:r>
        <w:rPr>
          <w:rFonts w:ascii="Arial Narrow" w:hAnsi="Arial Narrow"/>
        </w:rPr>
        <w:t>r</w:t>
      </w:r>
      <w:r w:rsidRPr="00F95336">
        <w:rPr>
          <w:rFonts w:ascii="Arial Narrow" w:hAnsi="Arial Narrow"/>
        </w:rPr>
        <w:t xml:space="preserve"> igualmente a pág. 147.</w:t>
      </w:r>
    </w:p>
  </w:footnote>
  <w:footnote w:id="32">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R. Rosdolsky (1980) 101 e segs. Especialmente sugestiva é uma passagem transcrita em P. W. Blackstock et al. (orgs. 1952) 74 e Roman Rosdolsky, </w:t>
      </w:r>
      <w:r w:rsidRPr="00FC46BA">
        <w:rPr>
          <w:rFonts w:ascii="Arial Narrow" w:hAnsi="Arial Narrow"/>
        </w:rPr>
        <w:t>op. cit.,</w:t>
      </w:r>
      <w:r w:rsidRPr="00F95336">
        <w:rPr>
          <w:rFonts w:ascii="Arial Narrow" w:hAnsi="Arial Narrow"/>
        </w:rPr>
        <w:t xml:space="preserve"> 109</w:t>
      </w:r>
      <w:r>
        <w:rPr>
          <w:rFonts w:ascii="Arial Narrow" w:hAnsi="Arial Narrow"/>
        </w:rPr>
        <w:t>:</w:t>
      </w:r>
      <w:r w:rsidRPr="00F95336">
        <w:rPr>
          <w:rFonts w:ascii="Arial Narrow" w:hAnsi="Arial Narrow"/>
        </w:rPr>
        <w:t xml:space="preserve"> «[...] os alemães deram-se ao trabalho de civilizar os teimosos checos e eslovenos e de introduzir entre eles o comércio, a indústria, uma agricultura razoável e a educação». Na mesma perspectiva ver Paul Blackstock et al.</w:t>
      </w:r>
      <w:r>
        <w:rPr>
          <w:rFonts w:ascii="Arial Narrow" w:hAnsi="Arial Narrow"/>
        </w:rPr>
        <w:t>,</w:t>
      </w:r>
      <w:r w:rsidRPr="00F95336">
        <w:rPr>
          <w:rFonts w:ascii="Arial Narrow" w:hAnsi="Arial Narrow"/>
        </w:rPr>
        <w:t xml:space="preserve"> </w:t>
      </w:r>
      <w:r w:rsidRPr="00FC46BA">
        <w:rPr>
          <w:rFonts w:ascii="Arial Narrow" w:hAnsi="Arial Narrow"/>
        </w:rPr>
        <w:t>op. cit.,</w:t>
      </w:r>
      <w:r w:rsidRPr="00F95336">
        <w:rPr>
          <w:rFonts w:ascii="Arial Narrow" w:hAnsi="Arial Narrow"/>
        </w:rPr>
        <w:t xml:space="preserve"> 60-61, 72 e R. Dangeville (org. 1970) 233.</w:t>
      </w:r>
    </w:p>
  </w:footnote>
  <w:footnote w:id="3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Este artigo de Engels, publicado na </w:t>
      </w:r>
      <w:r w:rsidRPr="00F95336">
        <w:rPr>
          <w:rFonts w:ascii="Arial Narrow" w:hAnsi="Arial Narrow"/>
          <w:i/>
        </w:rPr>
        <w:t>Neue Rheinische Zeitung</w:t>
      </w:r>
      <w:r>
        <w:rPr>
          <w:rFonts w:ascii="Arial Narrow" w:hAnsi="Arial Narrow"/>
          <w:i/>
        </w:rPr>
        <w:t>,</w:t>
      </w:r>
      <w:r w:rsidRPr="00F95336">
        <w:rPr>
          <w:rFonts w:ascii="Arial Narrow" w:hAnsi="Arial Narrow"/>
        </w:rPr>
        <w:t xml:space="preserve"> 13 de Janeiro de 1849, está antologiado em P. W. Blackstock et al. (orgs. 1952) 59-67 e R. Dangeville (org. 1970) 225-239. A passagem citada vem nas págs. 59 e 229, respectivamente, encontrando-se ainda transcrita em R. Rosdolsky (1980) 126.</w:t>
      </w:r>
    </w:p>
  </w:footnote>
  <w:footnote w:id="34">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R. Rosdolsky (1980) 10, 45 n. 48, 73, 135. Aliás, a ausência de tradição estatal constituía para Engels um critério geral, por isso negava também o direito de autodeterminação aos escoceses, aos galeses, aos bretões e aos bascos. Ver R. Dangeville (org. 1970) 234 e Roman Rosdolsky</w:t>
      </w:r>
      <w:r>
        <w:rPr>
          <w:rFonts w:ascii="Arial Narrow" w:hAnsi="Arial Narrow"/>
        </w:rPr>
        <w:t>,</w:t>
      </w:r>
      <w:r w:rsidRPr="00F95336">
        <w:rPr>
          <w:rFonts w:ascii="Arial Narrow" w:hAnsi="Arial Narrow"/>
        </w:rPr>
        <w:t xml:space="preserve"> </w:t>
      </w:r>
      <w:r w:rsidRPr="00B04EE5">
        <w:rPr>
          <w:rFonts w:ascii="Arial Narrow" w:hAnsi="Arial Narrow"/>
        </w:rPr>
        <w:t>op. cit.,</w:t>
      </w:r>
      <w:r w:rsidRPr="00F95336">
        <w:rPr>
          <w:rFonts w:ascii="Arial Narrow" w:hAnsi="Arial Narrow"/>
        </w:rPr>
        <w:t xml:space="preserve"> 123, 135. Numa passagem do seu artigo de 13 de Janeiro de 1849, Engels afirmou que os únicos eslavos que não estavam do lado da contra-revolução eram os polacos, os romenos e os saxões da Transilvânia. </w:t>
      </w:r>
      <w:r w:rsidRPr="00CC781D">
        <w:rPr>
          <w:rFonts w:ascii="Arial Narrow" w:hAnsi="Arial Narrow"/>
          <w:lang w:val="en-GB"/>
        </w:rPr>
        <w:t xml:space="preserve">Ver P. W. Blackstock et al. (orgs. 1952) 59 e Roger Dangeville, </w:t>
      </w:r>
      <w:r w:rsidRPr="00B04EE5">
        <w:rPr>
          <w:rFonts w:ascii="Arial Narrow" w:hAnsi="Arial Narrow"/>
          <w:lang w:val="en-GB"/>
        </w:rPr>
        <w:t>op. cit.,</w:t>
      </w:r>
      <w:r w:rsidRPr="00CC781D">
        <w:rPr>
          <w:rFonts w:ascii="Arial Narrow" w:hAnsi="Arial Narrow"/>
          <w:lang w:val="en-GB"/>
        </w:rPr>
        <w:t xml:space="preserve"> 229. </w:t>
      </w:r>
      <w:r w:rsidRPr="00F95336">
        <w:rPr>
          <w:rFonts w:ascii="Arial Narrow" w:hAnsi="Arial Narrow"/>
        </w:rPr>
        <w:t>Mais adiante, porém, Engels classificou os saxões da Transilvânia como «uma nacionalidade absurda» (Dangeville, pág. 232) e, apodando os saxões e os romenos da Transilvânia de «nações [...] degeneradas desde há muito e desprovidas de qualquer força histórica», afirmou que eles se aliaram aos povos contra-revolucionários (Blackstock et al., pág. 65; Dangeville, pág. 236).</w:t>
      </w:r>
    </w:p>
  </w:footnote>
  <w:footnote w:id="3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R. Rosdolsky (1980) 43.</w:t>
      </w:r>
      <w:r>
        <w:rPr>
          <w:rFonts w:ascii="Arial Narrow" w:hAnsi="Arial Narrow"/>
        </w:rPr>
        <w:t xml:space="preserve"> Engels referia-se ao </w:t>
      </w:r>
      <w:r w:rsidRPr="001055C8">
        <w:rPr>
          <w:rFonts w:ascii="Arial Narrow" w:hAnsi="Arial Narrow"/>
        </w:rPr>
        <w:t>governo formado em Novembro de 1848, com o príncipe zu Schwarzenberg no lugar de primeiro-ministro. Este governo prosseguiu uma política centralizadora, aglutinando as várias nacionalidades do império em torno do exército e do funcionalismo público e ao mesmo tempo assegurando a completa hegemonia germânica em ambas as instituições. Todavia, estes planos foram comprometidos pela rivalidade com a Prússia, que impediu a Áustria de assumir o predomínio na esfera germânica. Schwarzenberg morreu em Abril de 1852.</w:t>
      </w:r>
    </w:p>
  </w:footnote>
  <w:footnote w:id="3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Antologiado em P. W. Blackstock et al. (orgs. 1952) 71 e citado em R. Rosdolsky (1980) 31 n. 72</w:t>
      </w:r>
      <w:r>
        <w:rPr>
          <w:rFonts w:ascii="Arial Narrow" w:hAnsi="Arial Narrow"/>
        </w:rPr>
        <w:t>,</w:t>
      </w:r>
      <w:r w:rsidRPr="00F95336">
        <w:rPr>
          <w:rFonts w:ascii="Arial Narrow" w:hAnsi="Arial Narrow"/>
        </w:rPr>
        <w:t xml:space="preserve"> 99. Ver também Paul Blackstock et al., </w:t>
      </w:r>
      <w:r w:rsidRPr="00F225B2">
        <w:rPr>
          <w:rFonts w:ascii="Arial Narrow" w:hAnsi="Arial Narrow"/>
        </w:rPr>
        <w:t>op. cit.,</w:t>
      </w:r>
      <w:r w:rsidRPr="00F95336">
        <w:rPr>
          <w:rFonts w:ascii="Arial Narrow" w:hAnsi="Arial Narrow"/>
        </w:rPr>
        <w:t xml:space="preserve"> 65. «Os eslavos </w:t>
      </w:r>
      <w:r>
        <w:rPr>
          <w:rFonts w:ascii="Arial Narrow" w:hAnsi="Arial Narrow"/>
        </w:rPr>
        <w:t>—</w:t>
      </w:r>
      <w:r w:rsidRPr="00F95336">
        <w:rPr>
          <w:rFonts w:ascii="Arial Narrow" w:hAnsi="Arial Narrow"/>
        </w:rPr>
        <w:t xml:space="preserve"> voltamos a lembrar que excluímos aqui sistematicamente os polacos </w:t>
      </w:r>
      <w:r>
        <w:rPr>
          <w:rFonts w:ascii="Arial Narrow" w:hAnsi="Arial Narrow"/>
        </w:rPr>
        <w:t>—</w:t>
      </w:r>
      <w:r w:rsidRPr="00F95336">
        <w:rPr>
          <w:rFonts w:ascii="Arial Narrow" w:hAnsi="Arial Narrow"/>
        </w:rPr>
        <w:t xml:space="preserve"> foram sempre obrigatoriamente os principais instrumentos da contra-revolução», assever</w:t>
      </w:r>
      <w:r>
        <w:rPr>
          <w:rFonts w:ascii="Arial Narrow" w:hAnsi="Arial Narrow"/>
        </w:rPr>
        <w:t>ou</w:t>
      </w:r>
      <w:r w:rsidRPr="00F95336">
        <w:rPr>
          <w:rFonts w:ascii="Arial Narrow" w:hAnsi="Arial Narrow"/>
        </w:rPr>
        <w:t xml:space="preserve"> ainda Engels, consoante se lê em Roman Rosdolsky, </w:t>
      </w:r>
      <w:r w:rsidRPr="00F225B2">
        <w:rPr>
          <w:rFonts w:ascii="Arial Narrow" w:hAnsi="Arial Narrow"/>
        </w:rPr>
        <w:t>op. cit.,</w:t>
      </w:r>
      <w:r w:rsidRPr="00F95336">
        <w:rPr>
          <w:rFonts w:ascii="Arial Narrow" w:hAnsi="Arial Narrow"/>
        </w:rPr>
        <w:t xml:space="preserve"> 100-101. Ver igualmente as págs. 110, 122 e 164-165. Passagens no mesmo estilo a respeito dos eslavos meridionais vêm transcritas nas págs. 39-43. Ver igualmente, quanto aos eslavos meridionais, Paul Blackstock et al., </w:t>
      </w:r>
      <w:r w:rsidRPr="00F225B2">
        <w:rPr>
          <w:rFonts w:ascii="Arial Narrow" w:hAnsi="Arial Narrow"/>
        </w:rPr>
        <w:t>op. cit.,</w:t>
      </w:r>
      <w:r w:rsidRPr="00F95336">
        <w:rPr>
          <w:rFonts w:ascii="Arial Narrow" w:hAnsi="Arial Narrow"/>
        </w:rPr>
        <w:t xml:space="preserve"> 64-65, 72-74, 77 e segs. e R. Dangeville (org. 1970) 230-231, 234-236.</w:t>
      </w:r>
    </w:p>
  </w:footnote>
  <w:footnote w:id="37">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Estas passagens de um artigo de Engels na </w:t>
      </w:r>
      <w:r w:rsidRPr="00F95336">
        <w:rPr>
          <w:rFonts w:ascii="Arial Narrow" w:hAnsi="Arial Narrow"/>
          <w:i/>
        </w:rPr>
        <w:t>Neue Rheinische Zeitung</w:t>
      </w:r>
      <w:r>
        <w:rPr>
          <w:rFonts w:ascii="Arial Narrow" w:hAnsi="Arial Narrow"/>
          <w:i/>
        </w:rPr>
        <w:t xml:space="preserve">, </w:t>
      </w:r>
      <w:r w:rsidRPr="00F95336">
        <w:rPr>
          <w:rFonts w:ascii="Arial Narrow" w:hAnsi="Arial Narrow"/>
        </w:rPr>
        <w:t>1849</w:t>
      </w:r>
      <w:r>
        <w:rPr>
          <w:rFonts w:ascii="Arial Narrow" w:hAnsi="Arial Narrow"/>
        </w:rPr>
        <w:t>,</w:t>
      </w:r>
      <w:r w:rsidRPr="00F95336">
        <w:rPr>
          <w:rFonts w:ascii="Arial Narrow" w:hAnsi="Arial Narrow"/>
        </w:rPr>
        <w:t xml:space="preserve"> encontram-se em P. W. Blackstock et al. (orgs. 1952) 83-84 e R. Rosdolsky (1980) 31 n. 73, 79-80, 151 n. 3.</w:t>
      </w:r>
      <w:r>
        <w:rPr>
          <w:rFonts w:ascii="Arial Narrow" w:hAnsi="Arial Narrow"/>
        </w:rPr>
        <w:t xml:space="preserve"> A frase «</w:t>
      </w:r>
      <w:r w:rsidRPr="00F95336">
        <w:rPr>
          <w:rFonts w:ascii="Arial Narrow" w:hAnsi="Arial Narrow"/>
        </w:rPr>
        <w:t>luta implacável de vida ou morte</w:t>
      </w:r>
      <w:r>
        <w:rPr>
          <w:rFonts w:ascii="Arial Narrow" w:hAnsi="Arial Narrow"/>
        </w:rPr>
        <w:t xml:space="preserve">» é uma </w:t>
      </w:r>
      <w:r w:rsidRPr="00F95336">
        <w:rPr>
          <w:rFonts w:ascii="Arial Narrow" w:hAnsi="Arial Narrow"/>
        </w:rPr>
        <w:t>cit</w:t>
      </w:r>
      <w:r>
        <w:rPr>
          <w:rFonts w:ascii="Arial Narrow" w:hAnsi="Arial Narrow"/>
        </w:rPr>
        <w:t>ação</w:t>
      </w:r>
      <w:r w:rsidRPr="00F95336">
        <w:rPr>
          <w:rFonts w:ascii="Arial Narrow" w:hAnsi="Arial Narrow"/>
        </w:rPr>
        <w:t xml:space="preserve"> sarc</w:t>
      </w:r>
      <w:r>
        <w:rPr>
          <w:rFonts w:ascii="Arial Narrow" w:hAnsi="Arial Narrow"/>
        </w:rPr>
        <w:t>á</w:t>
      </w:r>
      <w:r w:rsidRPr="00F95336">
        <w:rPr>
          <w:rFonts w:ascii="Arial Narrow" w:hAnsi="Arial Narrow"/>
        </w:rPr>
        <w:t xml:space="preserve">stica </w:t>
      </w:r>
      <w:r>
        <w:rPr>
          <w:rFonts w:ascii="Arial Narrow" w:hAnsi="Arial Narrow"/>
        </w:rPr>
        <w:t>d</w:t>
      </w:r>
      <w:r w:rsidRPr="00F95336">
        <w:rPr>
          <w:rFonts w:ascii="Arial Narrow" w:hAnsi="Arial Narrow"/>
        </w:rPr>
        <w:t xml:space="preserve">o panfleto de Bakunin, </w:t>
      </w:r>
      <w:r w:rsidRPr="00F95336">
        <w:rPr>
          <w:rFonts w:ascii="Arial Narrow" w:hAnsi="Arial Narrow"/>
          <w:i/>
        </w:rPr>
        <w:t>Apelo aos Eslavos,</w:t>
      </w:r>
      <w:r w:rsidRPr="00F95336">
        <w:rPr>
          <w:rFonts w:ascii="Arial Narrow" w:hAnsi="Arial Narrow"/>
        </w:rPr>
        <w:t xml:space="preserve"> publicado em 1848.</w:t>
      </w:r>
    </w:p>
  </w:footnote>
  <w:footnote w:id="3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Esta passagem do artigo de Engels</w:t>
      </w:r>
      <w:r>
        <w:rPr>
          <w:rFonts w:ascii="Arial Narrow" w:hAnsi="Arial Narrow"/>
        </w:rPr>
        <w:t>,</w:t>
      </w:r>
      <w:r w:rsidRPr="00F95336">
        <w:rPr>
          <w:rFonts w:ascii="Arial Narrow" w:hAnsi="Arial Narrow"/>
        </w:rPr>
        <w:t xml:space="preserve"> 13 de Janeiro de 1849</w:t>
      </w:r>
      <w:r>
        <w:rPr>
          <w:rFonts w:ascii="Arial Narrow" w:hAnsi="Arial Narrow"/>
        </w:rPr>
        <w:t>,</w:t>
      </w:r>
      <w:r w:rsidRPr="00F95336">
        <w:rPr>
          <w:rFonts w:ascii="Arial Narrow" w:hAnsi="Arial Narrow"/>
        </w:rPr>
        <w:t xml:space="preserve"> encontra-se em P. W. Blackstock et al. (orgs. 1952) 67, R. Dangeville (org. 1970) 238-239 e R. Rosdolsky (1980) 31 n. 73, 80.</w:t>
      </w:r>
    </w:p>
  </w:footnote>
  <w:footnote w:id="39">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R. Rosdolsky (1980) </w:t>
      </w:r>
      <w:r w:rsidRPr="00F95336">
        <w:rPr>
          <w:rFonts w:ascii="Arial Narrow" w:hAnsi="Arial Narrow"/>
          <w:i/>
        </w:rPr>
        <w:t>passim</w:t>
      </w:r>
      <w:r w:rsidRPr="00F95336">
        <w:rPr>
          <w:rFonts w:ascii="Arial Narrow" w:hAnsi="Arial Narrow"/>
        </w:rPr>
        <w:t xml:space="preserve"> cit</w:t>
      </w:r>
      <w:r>
        <w:rPr>
          <w:rFonts w:ascii="Arial Narrow" w:hAnsi="Arial Narrow"/>
        </w:rPr>
        <w:t>ou</w:t>
      </w:r>
      <w:r w:rsidRPr="00F95336">
        <w:rPr>
          <w:rFonts w:ascii="Arial Narrow" w:hAnsi="Arial Narrow"/>
        </w:rPr>
        <w:t xml:space="preserve"> várias passagens em que Marx se pronunciou de maneira similar a Engels. Ver por exemplo as págs. 27-29.</w:t>
      </w:r>
    </w:p>
  </w:footnote>
  <w:footnote w:id="40">
    <w:p w:rsidR="00C84BCB" w:rsidRPr="003B5DE0"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F95336">
        <w:rPr>
          <w:rFonts w:ascii="Arial Narrow" w:hAnsi="Arial Narrow"/>
        </w:rPr>
        <w:t xml:space="preserve"> A. Kriegel (1972) 632-633 (subs. orig.). Numa série de artigos publicada em 1866 Engels distinguiu entre as «nações», dotadas de vitalidade histórica</w:t>
      </w:r>
      <w:r>
        <w:rPr>
          <w:rFonts w:ascii="Arial Narrow" w:hAnsi="Arial Narrow"/>
        </w:rPr>
        <w:t>,</w:t>
      </w:r>
      <w:r w:rsidRPr="00F95336">
        <w:rPr>
          <w:rFonts w:ascii="Arial Narrow" w:hAnsi="Arial Narrow"/>
        </w:rPr>
        <w:t xml:space="preserve"> que têm direito à soberania, e as «nacionalidades», que seriam restos de povos, incapazes de conduzir uma vida autónoma. </w:t>
      </w:r>
      <w:r w:rsidRPr="003B5DE0">
        <w:rPr>
          <w:rFonts w:ascii="Arial Narrow" w:hAnsi="Arial Narrow"/>
          <w:lang w:val="en-US"/>
        </w:rPr>
        <w:t>Ver P</w:t>
      </w:r>
      <w:r>
        <w:rPr>
          <w:rFonts w:ascii="Arial Narrow" w:hAnsi="Arial Narrow"/>
          <w:lang w:val="en-US"/>
        </w:rPr>
        <w:t xml:space="preserve">. </w:t>
      </w:r>
      <w:r w:rsidRPr="003B5DE0">
        <w:rPr>
          <w:rFonts w:ascii="Arial Narrow" w:hAnsi="Arial Narrow"/>
          <w:lang w:val="en-US"/>
        </w:rPr>
        <w:t>W. Blackstock et al. (orgs. 1952) 98-100.</w:t>
      </w:r>
    </w:p>
  </w:footnote>
  <w:footnote w:id="41">
    <w:p w:rsidR="00C84BCB" w:rsidRPr="003B5DE0"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3B5DE0">
        <w:rPr>
          <w:rFonts w:ascii="Arial Narrow" w:hAnsi="Arial Narrow"/>
          <w:lang w:val="en-US"/>
        </w:rPr>
        <w:t xml:space="preserve"> R. Rosdolsky (1980) 16.</w:t>
      </w:r>
    </w:p>
  </w:footnote>
  <w:footnote w:id="42">
    <w:p w:rsidR="00C84BCB" w:rsidRPr="00BB1B8C" w:rsidRDefault="00C84BCB">
      <w:pPr>
        <w:pStyle w:val="Textodenotaderodap"/>
        <w:rPr>
          <w:rFonts w:ascii="Arial Narrow" w:hAnsi="Arial Narrow"/>
        </w:rPr>
      </w:pPr>
      <w:r w:rsidRPr="006659A1">
        <w:rPr>
          <w:rStyle w:val="Refdenotaderodap"/>
          <w:rFonts w:ascii="Arial Narrow" w:hAnsi="Arial Narrow"/>
        </w:rPr>
        <w:footnoteRef/>
      </w:r>
      <w:r w:rsidRPr="003B5DE0">
        <w:rPr>
          <w:rFonts w:ascii="Arial Narrow" w:hAnsi="Arial Narrow"/>
          <w:lang w:val="en-US"/>
        </w:rPr>
        <w:t xml:space="preserve"> A. Rosenberg (1936) 24. </w:t>
      </w:r>
      <w:r>
        <w:rPr>
          <w:rFonts w:ascii="Arial Narrow" w:hAnsi="Arial Narrow"/>
        </w:rPr>
        <w:t xml:space="preserve">Na </w:t>
      </w:r>
      <w:r w:rsidRPr="00F95336">
        <w:rPr>
          <w:rFonts w:ascii="Arial Narrow" w:hAnsi="Arial Narrow"/>
          <w:i/>
        </w:rPr>
        <w:t>Neue Rheinische Zeitung</w:t>
      </w:r>
      <w:r>
        <w:rPr>
          <w:rFonts w:ascii="Arial Narrow" w:hAnsi="Arial Narrow"/>
          <w:i/>
        </w:rPr>
        <w:t>,</w:t>
      </w:r>
      <w:r>
        <w:rPr>
          <w:rFonts w:ascii="Arial Narrow" w:hAnsi="Arial Narrow"/>
        </w:rPr>
        <w:t xml:space="preserve"> escreveu Arthur Rosenberg, </w:t>
      </w:r>
      <w:r w:rsidRPr="00B52745">
        <w:rPr>
          <w:rFonts w:ascii="Arial Narrow" w:hAnsi="Arial Narrow"/>
        </w:rPr>
        <w:t>op. cit.,</w:t>
      </w:r>
      <w:r>
        <w:rPr>
          <w:rFonts w:ascii="Arial Narrow" w:hAnsi="Arial Narrow"/>
        </w:rPr>
        <w:t xml:space="preserve"> 24, Marx e Engels «pregavam a guerra revolucionária do povo alemão contra a Rússia e também contra a Dinamarca e os eslavos da Aústria».</w:t>
      </w:r>
    </w:p>
  </w:footnote>
  <w:footnote w:id="4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R. Rosdolsky (1980) </w:t>
      </w:r>
      <w:r w:rsidRPr="00F95336">
        <w:rPr>
          <w:rFonts w:ascii="Arial Narrow" w:hAnsi="Arial Narrow"/>
          <w:i/>
        </w:rPr>
        <w:t>passim</w:t>
      </w:r>
      <w:r w:rsidRPr="00F95336">
        <w:rPr>
          <w:rFonts w:ascii="Arial Narrow" w:hAnsi="Arial Narrow"/>
        </w:rPr>
        <w:t xml:space="preserve"> analis</w:t>
      </w:r>
      <w:r>
        <w:rPr>
          <w:rFonts w:ascii="Arial Narrow" w:hAnsi="Arial Narrow"/>
        </w:rPr>
        <w:t>ou</w:t>
      </w:r>
      <w:r w:rsidRPr="00F95336">
        <w:rPr>
          <w:rFonts w:ascii="Arial Narrow" w:hAnsi="Arial Narrow"/>
        </w:rPr>
        <w:t xml:space="preserve"> abundantemente não só as concepções de Engels a respeito das nacionalidades como também a orientação geral seguida pela </w:t>
      </w:r>
      <w:r w:rsidRPr="00F95336">
        <w:rPr>
          <w:rFonts w:ascii="Arial Narrow" w:hAnsi="Arial Narrow"/>
          <w:i/>
        </w:rPr>
        <w:t>Neue Rheinische Zeitung</w:t>
      </w:r>
      <w:r w:rsidRPr="00F95336">
        <w:rPr>
          <w:rFonts w:ascii="Arial Narrow" w:hAnsi="Arial Narrow"/>
        </w:rPr>
        <w:t>.</w:t>
      </w:r>
    </w:p>
  </w:footnote>
  <w:footnote w:id="44">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23-26. A citação vem na pág. 26.</w:t>
      </w:r>
    </w:p>
  </w:footnote>
  <w:footnote w:id="4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M. Bakunine (1975) 130.</w:t>
      </w:r>
    </w:p>
  </w:footnote>
  <w:footnote w:id="4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R. Rosdolsky (1980) 105-106.</w:t>
      </w:r>
    </w:p>
  </w:footnote>
  <w:footnote w:id="47">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39 n. 28. Roman Rosdolsky transcreve</w:t>
      </w:r>
      <w:r>
        <w:rPr>
          <w:rFonts w:ascii="Arial Narrow" w:hAnsi="Arial Narrow"/>
        </w:rPr>
        <w:t>u</w:t>
      </w:r>
      <w:r w:rsidRPr="00F95336">
        <w:rPr>
          <w:rFonts w:ascii="Arial Narrow" w:hAnsi="Arial Narrow"/>
        </w:rPr>
        <w:t xml:space="preserve"> (pág. 71) uma passagem de uma carta de Engels, datada de Abril de 1853, onde </w:t>
      </w:r>
      <w:r>
        <w:rPr>
          <w:rFonts w:ascii="Arial Narrow" w:hAnsi="Arial Narrow"/>
        </w:rPr>
        <w:t>admitira</w:t>
      </w:r>
      <w:r w:rsidRPr="00F95336">
        <w:rPr>
          <w:rFonts w:ascii="Arial Narrow" w:hAnsi="Arial Narrow"/>
        </w:rPr>
        <w:t xml:space="preserve"> que para os camponeses ucranianos a restauração da Polónia pudesse significar o restabelecimento da antiga dominação da nobreza. No entanto, precisamente na mesma altura, como vemos, Engels manifest</w:t>
      </w:r>
      <w:r>
        <w:rPr>
          <w:rFonts w:ascii="Arial Narrow" w:hAnsi="Arial Narrow"/>
        </w:rPr>
        <w:t>ou</w:t>
      </w:r>
      <w:r w:rsidRPr="00F95336">
        <w:rPr>
          <w:rFonts w:ascii="Arial Narrow" w:hAnsi="Arial Narrow"/>
        </w:rPr>
        <w:t xml:space="preserve"> uma completa incompreensão das razões sociais que levavam à revolta dos eslavos meridionais sujeitos ao império turco.</w:t>
      </w:r>
    </w:p>
  </w:footnote>
  <w:footnote w:id="48">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Esta passagem da carta dirigida por Marx a Engels em 10 de Março de 1859 encontra-se citada em R. Dangeville (org. 1970) 638 n. 110 cont.</w:t>
      </w:r>
    </w:p>
  </w:footnote>
  <w:footnote w:id="49">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 brochura anónima de Engels </w:t>
      </w:r>
      <w:r w:rsidRPr="00F95336">
        <w:rPr>
          <w:rFonts w:ascii="Arial Narrow" w:hAnsi="Arial Narrow"/>
          <w:i/>
        </w:rPr>
        <w:t>O Pó e o Reno</w:t>
      </w:r>
      <w:r w:rsidRPr="00F95336">
        <w:rPr>
          <w:rFonts w:ascii="Arial Narrow" w:hAnsi="Arial Narrow"/>
        </w:rPr>
        <w:t xml:space="preserve"> encontra-se transcrita em id., ibid., 332-383. A passagem citada vem na pág. 383. Vejo em Benoist-Méchin (1964-1966) V 372 que, no discurso pronunciado perante o congresso de Nuremberga de Setembro de 1938, Göring chamou aos checos «um pequeno fragmento de povo». Esta identidade terminológica é tanto mais perturbante quanto Engels usou repetidamente expressões equivalentes, e num artigo publicado em Janeiro de 1849 na </w:t>
      </w:r>
      <w:r w:rsidRPr="00F95336">
        <w:rPr>
          <w:rFonts w:ascii="Arial Narrow" w:hAnsi="Arial Narrow"/>
          <w:i/>
        </w:rPr>
        <w:t>Neue Rheinische Zeitung</w:t>
      </w:r>
      <w:r w:rsidRPr="00F95336">
        <w:rPr>
          <w:rFonts w:ascii="Arial Narrow" w:hAnsi="Arial Narrow"/>
        </w:rPr>
        <w:t xml:space="preserve"> mencionou mesmo o «lixo étnico», como leio em P. W. Blackstock et al. (orgs. 1952) 63.</w:t>
      </w:r>
    </w:p>
  </w:footnote>
  <w:footnote w:id="50">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R. Rosdolsky (1980) 83 n. 12 cont. Ver igualmente E. H. Carr (1966) I 418.</w:t>
      </w:r>
    </w:p>
  </w:footnote>
  <w:footnote w:id="51">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R. Rosdolsky (1980) 43-44 n. 44.</w:t>
      </w:r>
    </w:p>
  </w:footnote>
  <w:footnote w:id="52">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P. W. Blackstock et al. </w:t>
      </w:r>
      <w:r w:rsidRPr="00F95336">
        <w:rPr>
          <w:rFonts w:ascii="Arial Narrow" w:hAnsi="Arial Narrow"/>
        </w:rPr>
        <w:t>(orgs. 1952) 118.</w:t>
      </w:r>
    </w:p>
  </w:footnote>
  <w:footnote w:id="5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Antologiado em </w:t>
      </w:r>
      <w:r>
        <w:rPr>
          <w:rFonts w:ascii="Arial Narrow" w:hAnsi="Arial Narrow"/>
        </w:rPr>
        <w:t xml:space="preserve">id., ibid., </w:t>
      </w:r>
      <w:r w:rsidRPr="00F95336">
        <w:rPr>
          <w:rFonts w:ascii="Arial Narrow" w:hAnsi="Arial Narrow"/>
        </w:rPr>
        <w:t>119 e citado em R. Rosdolsky (1980) 136 n. 41.</w:t>
      </w:r>
    </w:p>
  </w:footnote>
  <w:footnote w:id="54">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R. Rosdolsky (1980) 44 n. 45.</w:t>
      </w:r>
    </w:p>
  </w:footnote>
  <w:footnote w:id="55">
    <w:p w:rsidR="00C84BCB" w:rsidRPr="00CD12D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Id., ibid., 134 (subs. orig.).</w:t>
      </w:r>
    </w:p>
  </w:footnote>
  <w:footnote w:id="56">
    <w:p w:rsidR="00C84BCB" w:rsidRPr="00517047"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517047">
        <w:rPr>
          <w:rFonts w:ascii="Arial Narrow" w:hAnsi="Arial Narrow"/>
          <w:lang w:val="en-GB"/>
        </w:rPr>
        <w:t xml:space="preserve"> K. Marx (1979) </w:t>
      </w:r>
      <w:r w:rsidRPr="00517047">
        <w:rPr>
          <w:rFonts w:ascii="Arial Narrow" w:hAnsi="Arial Narrow"/>
          <w:i/>
          <w:lang w:val="en-GB"/>
        </w:rPr>
        <w:t>passim</w:t>
      </w:r>
      <w:r w:rsidRPr="00517047">
        <w:rPr>
          <w:rFonts w:ascii="Arial Narrow" w:hAnsi="Arial Narrow"/>
          <w:lang w:val="en-GB"/>
        </w:rPr>
        <w:t>.</w:t>
      </w:r>
    </w:p>
  </w:footnote>
  <w:footnote w:id="57">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P. W. Blackstock et al. </w:t>
      </w:r>
      <w:r>
        <w:rPr>
          <w:rFonts w:ascii="Arial Narrow" w:hAnsi="Arial Narrow"/>
        </w:rPr>
        <w:t>(orgs. 1952) 25 e segs.</w:t>
      </w:r>
    </w:p>
  </w:footnote>
  <w:footnote w:id="58">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26.</w:t>
      </w:r>
    </w:p>
  </w:footnote>
  <w:footnote w:id="59">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Esta passagem da carta de Marx a Engels com data de 24 de Junho de 1865 encontra-se citada em L. Poliakov (1971) 252.</w:t>
      </w:r>
    </w:p>
  </w:footnote>
  <w:footnote w:id="60">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 carta de Marx para Liebknecht com data de 4 de Fevereiro de 1878 encontra-se parcialmente reproduzida em R. Dangeville (org. 1970) 605-608. A passagem citada vem na pág. 605.</w:t>
      </w:r>
    </w:p>
  </w:footnote>
  <w:footnote w:id="61">
    <w:p w:rsidR="00C84BCB" w:rsidRPr="00E5321E" w:rsidRDefault="00C84BCB">
      <w:pPr>
        <w:pStyle w:val="Textodenotaderodap"/>
        <w:rPr>
          <w:rFonts w:ascii="Arial Narrow" w:hAnsi="Arial Narrow"/>
        </w:rPr>
      </w:pPr>
      <w:r w:rsidRPr="00E5321E">
        <w:rPr>
          <w:rStyle w:val="Refdenotaderodap"/>
          <w:rFonts w:ascii="Arial Narrow" w:hAnsi="Arial Narrow"/>
        </w:rPr>
        <w:footnoteRef/>
      </w:r>
      <w:r w:rsidRPr="00E5321E">
        <w:rPr>
          <w:rFonts w:ascii="Arial Narrow" w:hAnsi="Arial Narrow"/>
        </w:rPr>
        <w:t xml:space="preserve"> </w:t>
      </w:r>
      <w:r>
        <w:rPr>
          <w:rFonts w:ascii="Arial Narrow" w:hAnsi="Arial Narrow"/>
        </w:rPr>
        <w:t>P. Hopkirk (2010) 336.</w:t>
      </w:r>
    </w:p>
  </w:footnote>
  <w:footnote w:id="62">
    <w:p w:rsidR="00C84BCB" w:rsidRPr="00E231B8" w:rsidRDefault="00C84BCB" w:rsidP="00CD12DC">
      <w:pPr>
        <w:pStyle w:val="Textodenotaderodap"/>
        <w:rPr>
          <w:rFonts w:ascii="Arial Narrow" w:hAnsi="Arial Narrow"/>
        </w:rPr>
      </w:pPr>
      <w:r w:rsidRPr="00E231B8">
        <w:rPr>
          <w:rStyle w:val="Refdenotaderodap"/>
          <w:rFonts w:ascii="Arial Narrow" w:hAnsi="Arial Narrow"/>
        </w:rPr>
        <w:footnoteRef/>
      </w:r>
      <w:r w:rsidRPr="00E231B8">
        <w:rPr>
          <w:rFonts w:ascii="Arial Narrow" w:hAnsi="Arial Narrow"/>
        </w:rPr>
        <w:t xml:space="preserve"> Ver a este respei</w:t>
      </w:r>
      <w:r>
        <w:rPr>
          <w:rFonts w:ascii="Arial Narrow" w:hAnsi="Arial Narrow"/>
        </w:rPr>
        <w:t xml:space="preserve">to o Prólogo em </w:t>
      </w:r>
      <w:r w:rsidRPr="00BF0891">
        <w:rPr>
          <w:rFonts w:ascii="Arial Narrow" w:hAnsi="Arial Narrow"/>
        </w:rPr>
        <w:t xml:space="preserve">K. Marx (1979) </w:t>
      </w:r>
      <w:r>
        <w:rPr>
          <w:rFonts w:ascii="Arial Narrow" w:hAnsi="Arial Narrow"/>
        </w:rPr>
        <w:t xml:space="preserve">6-7, onde se lê também que </w:t>
      </w:r>
      <w:r w:rsidRPr="00F95336">
        <w:rPr>
          <w:rFonts w:ascii="Arial Narrow" w:hAnsi="Arial Narrow"/>
        </w:rPr>
        <w:t>o livro só foi publicado em França em 1954 e em Itália em 1978.</w:t>
      </w:r>
    </w:p>
  </w:footnote>
  <w:footnote w:id="63">
    <w:p w:rsidR="00C84BCB" w:rsidRPr="0005136D" w:rsidRDefault="00C84BCB" w:rsidP="00CD12DC">
      <w:pPr>
        <w:pStyle w:val="Textodenotaderodap"/>
        <w:rPr>
          <w:rFonts w:ascii="Arial Narrow" w:hAnsi="Arial Narrow"/>
        </w:rPr>
      </w:pPr>
      <w:r w:rsidRPr="0005136D">
        <w:rPr>
          <w:rStyle w:val="Refdenotaderodap"/>
          <w:rFonts w:ascii="Arial Narrow" w:hAnsi="Arial Narrow"/>
        </w:rPr>
        <w:footnoteRef/>
      </w:r>
      <w:r w:rsidRPr="0005136D">
        <w:rPr>
          <w:rFonts w:ascii="Arial Narrow" w:hAnsi="Arial Narrow"/>
        </w:rPr>
        <w:t xml:space="preserve"> </w:t>
      </w:r>
      <w:r w:rsidRPr="00F95336">
        <w:rPr>
          <w:rFonts w:ascii="Arial Narrow" w:hAnsi="Arial Narrow"/>
        </w:rPr>
        <w:t>Em 1890</w:t>
      </w:r>
      <w:r>
        <w:rPr>
          <w:rFonts w:ascii="Arial Narrow" w:hAnsi="Arial Narrow"/>
        </w:rPr>
        <w:t xml:space="preserve"> </w:t>
      </w:r>
      <w:r w:rsidRPr="00F95336">
        <w:rPr>
          <w:rFonts w:ascii="Arial Narrow" w:hAnsi="Arial Narrow"/>
        </w:rPr>
        <w:t xml:space="preserve">o ensaio de Engels </w:t>
      </w:r>
      <w:r w:rsidRPr="00F95336">
        <w:rPr>
          <w:rFonts w:ascii="Arial Narrow" w:hAnsi="Arial Narrow"/>
          <w:i/>
        </w:rPr>
        <w:t>A Política Externa do Czarismo Russo</w:t>
      </w:r>
      <w:r w:rsidRPr="00F95336">
        <w:rPr>
          <w:rFonts w:ascii="Arial Narrow" w:hAnsi="Arial Narrow"/>
        </w:rPr>
        <w:t xml:space="preserve"> aparece</w:t>
      </w:r>
      <w:r>
        <w:rPr>
          <w:rFonts w:ascii="Arial Narrow" w:hAnsi="Arial Narrow"/>
        </w:rPr>
        <w:t>u</w:t>
      </w:r>
      <w:r w:rsidRPr="00F95336">
        <w:rPr>
          <w:rFonts w:ascii="Arial Narrow" w:hAnsi="Arial Narrow"/>
        </w:rPr>
        <w:t xml:space="preserve"> em russo n</w:t>
      </w:r>
      <w:r>
        <w:rPr>
          <w:rFonts w:ascii="Arial Narrow" w:hAnsi="Arial Narrow"/>
        </w:rPr>
        <w:t>um</w:t>
      </w:r>
      <w:r w:rsidRPr="00F95336">
        <w:rPr>
          <w:rFonts w:ascii="Arial Narrow" w:hAnsi="Arial Narrow"/>
        </w:rPr>
        <w:t xml:space="preserve">a revista </w:t>
      </w:r>
      <w:r>
        <w:rPr>
          <w:rFonts w:ascii="Arial Narrow" w:hAnsi="Arial Narrow"/>
        </w:rPr>
        <w:t xml:space="preserve">de </w:t>
      </w:r>
      <w:r w:rsidRPr="00F95336">
        <w:rPr>
          <w:rFonts w:ascii="Arial Narrow" w:hAnsi="Arial Narrow"/>
        </w:rPr>
        <w:t>marxistas emigrados, em alemão no principal órgão teórico da social-democracia alemã, também em inglês e, numa versão reduzida, em francês. Em 1934 Stalin proibiu a sua publicação na União Soviética, argumentando que Engels descurara a análise das contradições entre imperialismos e da rivalidade pela obtenção de espaços coloniais, para se concentrar abusivamente nas ameaças de guerra suscitadas pela política russa</w:t>
      </w:r>
      <w:r>
        <w:rPr>
          <w:rFonts w:ascii="Arial Narrow" w:hAnsi="Arial Narrow"/>
        </w:rPr>
        <w:t>.</w:t>
      </w:r>
      <w:r w:rsidRPr="00F95336">
        <w:rPr>
          <w:rFonts w:ascii="Arial Narrow" w:hAnsi="Arial Narrow"/>
        </w:rPr>
        <w:t xml:space="preserve"> Deste modo, continuou Stalin, uma guerra entre a Alemanha burguesa e a Rússia czarista podia ser apresentada não como um conflito imperialista mas como uma guerra de libertação nacional da parte da Alemanha. Ver </w:t>
      </w:r>
      <w:r w:rsidRPr="00645689">
        <w:rPr>
          <w:rFonts w:ascii="Arial Narrow" w:hAnsi="Arial Narrow"/>
        </w:rPr>
        <w:t xml:space="preserve">P. W. Blackstock et al. (orgs. 1952) </w:t>
      </w:r>
      <w:r w:rsidRPr="00F95336">
        <w:rPr>
          <w:rFonts w:ascii="Arial Narrow" w:hAnsi="Arial Narrow"/>
        </w:rPr>
        <w:t>242-243.</w:t>
      </w:r>
    </w:p>
  </w:footnote>
  <w:footnote w:id="64">
    <w:p w:rsidR="00C84BCB" w:rsidRPr="00645689" w:rsidRDefault="00C84BCB" w:rsidP="00CD12DC">
      <w:pPr>
        <w:pStyle w:val="Textodenotaderodap"/>
        <w:rPr>
          <w:rFonts w:ascii="Arial Narrow" w:hAnsi="Arial Narrow"/>
        </w:rPr>
      </w:pPr>
      <w:r w:rsidRPr="00645689">
        <w:rPr>
          <w:rStyle w:val="Refdenotaderodap"/>
          <w:rFonts w:ascii="Arial Narrow" w:hAnsi="Arial Narrow"/>
        </w:rPr>
        <w:footnoteRef/>
      </w:r>
      <w:r w:rsidRPr="00CD12DC">
        <w:rPr>
          <w:rFonts w:ascii="Arial Narrow" w:hAnsi="Arial Narrow"/>
        </w:rPr>
        <w:t xml:space="preserve"> Id., ibid., </w:t>
      </w:r>
      <w:r w:rsidRPr="00F95336">
        <w:rPr>
          <w:rFonts w:ascii="Arial Narrow" w:hAnsi="Arial Narrow"/>
        </w:rPr>
        <w:t>14</w:t>
      </w:r>
      <w:r>
        <w:rPr>
          <w:rFonts w:ascii="Arial Narrow" w:hAnsi="Arial Narrow"/>
        </w:rPr>
        <w:t>.</w:t>
      </w:r>
    </w:p>
  </w:footnote>
  <w:footnote w:id="6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Antologiado em id., ibid., 71 e citado em R. Rosdolsky (1980) 161. É muito curioso observar que neste artigo, publicado na </w:t>
      </w:r>
      <w:r w:rsidRPr="00F95336">
        <w:rPr>
          <w:rFonts w:ascii="Arial Narrow" w:hAnsi="Arial Narrow"/>
          <w:i/>
        </w:rPr>
        <w:t>Neue Rheinische Zeitung,</w:t>
      </w:r>
      <w:r w:rsidRPr="00F95336">
        <w:rPr>
          <w:rFonts w:ascii="Arial Narrow" w:hAnsi="Arial Narrow"/>
        </w:rPr>
        <w:t xml:space="preserve"> Fevereiro de 1849</w:t>
      </w:r>
      <w:r>
        <w:rPr>
          <w:rFonts w:ascii="Arial Narrow" w:hAnsi="Arial Narrow"/>
        </w:rPr>
        <w:t>,</w:t>
      </w:r>
      <w:r w:rsidRPr="00F95336">
        <w:rPr>
          <w:rFonts w:ascii="Arial Narrow" w:hAnsi="Arial Narrow"/>
        </w:rPr>
        <w:t xml:space="preserve"> Engels seguiu quase textualmente a argumentação usada a 24 de Julho de 1845 pelo </w:t>
      </w:r>
      <w:r w:rsidRPr="00F95336">
        <w:rPr>
          <w:rFonts w:ascii="Arial Narrow" w:hAnsi="Arial Narrow"/>
          <w:i/>
        </w:rPr>
        <w:t>Times</w:t>
      </w:r>
      <w:r w:rsidRPr="00F95336">
        <w:rPr>
          <w:rFonts w:ascii="Arial Narrow" w:hAnsi="Arial Narrow"/>
        </w:rPr>
        <w:t xml:space="preserve"> de Hartford, um jornal entusiasticamente expansionista publicado no Connecticut, como pode conferir</w:t>
      </w:r>
      <w:r>
        <w:rPr>
          <w:rFonts w:ascii="Arial Narrow" w:hAnsi="Arial Narrow"/>
        </w:rPr>
        <w:t>-se</w:t>
      </w:r>
      <w:r w:rsidRPr="00F95336">
        <w:rPr>
          <w:rFonts w:ascii="Arial Narrow" w:hAnsi="Arial Narrow"/>
        </w:rPr>
        <w:t xml:space="preserve"> em F. Merk (1963) 31.</w:t>
      </w:r>
    </w:p>
  </w:footnote>
  <w:footnote w:id="6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J. Zoraida Vázquez (1981) 805.</w:t>
      </w:r>
    </w:p>
  </w:footnote>
  <w:footnote w:id="67">
    <w:p w:rsidR="00C84BCB" w:rsidRPr="00E61867" w:rsidRDefault="00C84BCB" w:rsidP="00CD12DC">
      <w:pPr>
        <w:pStyle w:val="Textodenotaderodap"/>
        <w:rPr>
          <w:rFonts w:ascii="Arial Narrow" w:hAnsi="Arial Narrow"/>
        </w:rPr>
      </w:pPr>
      <w:r w:rsidRPr="00E61867">
        <w:rPr>
          <w:rStyle w:val="Refdenotaderodap"/>
          <w:rFonts w:ascii="Arial Narrow" w:hAnsi="Arial Narrow"/>
        </w:rPr>
        <w:footnoteRef/>
      </w:r>
      <w:r w:rsidRPr="00E61867">
        <w:rPr>
          <w:rFonts w:ascii="Arial Narrow" w:hAnsi="Arial Narrow"/>
        </w:rPr>
        <w:t xml:space="preserve"> </w:t>
      </w:r>
      <w:r>
        <w:rPr>
          <w:rFonts w:ascii="Arial Narrow" w:hAnsi="Arial Narrow"/>
        </w:rPr>
        <w:t xml:space="preserve">H. Man (1927) </w:t>
      </w:r>
      <w:r w:rsidRPr="00E61867">
        <w:rPr>
          <w:rFonts w:ascii="Arial Narrow" w:hAnsi="Arial Narrow"/>
        </w:rPr>
        <w:t>390</w:t>
      </w:r>
      <w:r>
        <w:rPr>
          <w:rFonts w:ascii="Arial Narrow" w:hAnsi="Arial Narrow"/>
        </w:rPr>
        <w:t>.</w:t>
      </w:r>
    </w:p>
  </w:footnote>
  <w:footnote w:id="68">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As três cartas dirigidas por Engels à revista britânica </w:t>
      </w:r>
      <w:r w:rsidRPr="00F95336">
        <w:rPr>
          <w:rFonts w:ascii="Arial Narrow" w:hAnsi="Arial Narrow"/>
          <w:i/>
        </w:rPr>
        <w:t>Commonwealth</w:t>
      </w:r>
      <w:r w:rsidRPr="00F95336">
        <w:rPr>
          <w:rFonts w:ascii="Arial Narrow" w:hAnsi="Arial Narrow"/>
        </w:rPr>
        <w:t xml:space="preserve"> e publicadas em Março e Abril de 1866 encontram-se antologiadas em P. W. Blackstock et al. (orgs. 1952) 95 e segs. Segundo afirma</w:t>
      </w:r>
      <w:r>
        <w:rPr>
          <w:rFonts w:ascii="Arial Narrow" w:hAnsi="Arial Narrow"/>
        </w:rPr>
        <w:t>ra</w:t>
      </w:r>
      <w:r w:rsidRPr="00F95336">
        <w:rPr>
          <w:rFonts w:ascii="Arial Narrow" w:hAnsi="Arial Narrow"/>
        </w:rPr>
        <w:t>m Paul Blackstock et al. (pág. 252), fo</w:t>
      </w:r>
      <w:r>
        <w:rPr>
          <w:rFonts w:ascii="Arial Narrow" w:hAnsi="Arial Narrow"/>
        </w:rPr>
        <w:t>ra</w:t>
      </w:r>
      <w:r w:rsidRPr="00F95336">
        <w:rPr>
          <w:rFonts w:ascii="Arial Narrow" w:hAnsi="Arial Narrow"/>
        </w:rPr>
        <w:t xml:space="preserve"> o próprio Marx quem incentiv</w:t>
      </w:r>
      <w:r>
        <w:rPr>
          <w:rFonts w:ascii="Arial Narrow" w:hAnsi="Arial Narrow"/>
        </w:rPr>
        <w:t>ara</w:t>
      </w:r>
      <w:r w:rsidRPr="00F95336">
        <w:rPr>
          <w:rFonts w:ascii="Arial Narrow" w:hAnsi="Arial Narrow"/>
        </w:rPr>
        <w:t xml:space="preserve"> o seu amigo a escrever estas cartas.</w:t>
      </w:r>
    </w:p>
  </w:footnote>
  <w:footnote w:id="69">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O discurso que Marx proferiu em Londres em Janeiro de 1867, numa sessão organizada para celebrar o quarto aniversário da insurreição polaca de 1863, encontra-se antologiado em id., ibid., 104-108.</w:t>
      </w:r>
    </w:p>
  </w:footnote>
  <w:footnote w:id="70">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K. Marx (1963) 30-31. A frase citada vem na pág. 30.</w:t>
      </w:r>
    </w:p>
  </w:footnote>
  <w:footnote w:id="71">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 carta enviada por Engels a Marx em 15 de Agosto de 1870 encontra-se antologiada em R. Dangeville (org. 1970) 514-517. As frases citadas vêm na pág. 515. Num texto redigido no último mês de 1887 e nos primeiros meses de 1888, e conhecido só após a sua morte, Engels referiu-se nos mesmos termos ao começo da guerra franco-prussiana, afirmando que, do lado alemão, «naquele ímpeto nacional assistimos ao desaparecimento de todas as diferenças de classe». Ver id., ibid., 571. Nesse manuscrito, em que se ocupou apenas com a diplomacia de bastidores e as intrigas de corte, Engels não dedicou uma palavra sequer ao facto de Liebknecht e Bebel, os principais dirigentes do partido marxista alemão, se terem abstido no parlamento aquando da votação dos primeiros créditos de guerra e terem votado contra os novos créditos, nem fez uma simples referência às moções contra a guerra adoptadas em comícios de trabalhadores alemães, nem uma única menção ao aprisionamento de numerosos socialistas que se haviam manifestado mais activamente a favor da paz. Algumas décadas </w:t>
      </w:r>
      <w:r>
        <w:rPr>
          <w:rFonts w:ascii="Arial Narrow" w:hAnsi="Arial Narrow"/>
        </w:rPr>
        <w:t>depois</w:t>
      </w:r>
      <w:r w:rsidRPr="00F95336">
        <w:rPr>
          <w:rFonts w:ascii="Arial Narrow" w:hAnsi="Arial Narrow"/>
        </w:rPr>
        <w:t>, numa obra publicada em pleno stalinismo, Lukács inspirou-se decerto naquelas análises de Engels para criticar «o comportamento de revolucionários importantes, como Johann Jacoby e Wilhelm Liebknecht, relativamente ao aspecto nacional das guerras de Bismarck que, apesar de tudo, levaram ao estabelecimento da unidade alemã». Com este «apesar de tudo» ficaram pudicamente ocultados os antagonismos de classe inerentes à maneira como fo</w:t>
      </w:r>
      <w:r>
        <w:rPr>
          <w:rFonts w:ascii="Arial Narrow" w:hAnsi="Arial Narrow"/>
        </w:rPr>
        <w:t>ra</w:t>
      </w:r>
      <w:r w:rsidRPr="00F95336">
        <w:rPr>
          <w:rFonts w:ascii="Arial Narrow" w:hAnsi="Arial Narrow"/>
        </w:rPr>
        <w:t xml:space="preserve"> instaurada a unificação da Alemanha e Lukács sentiu-se em terreno politicamente seguro para atacar o «moralismo provinciano» de Liebknecht e para censurar os seus continuadores na esquerda alemã pelo facto de não terem sabido usar «as armas de uma ideologia verdadeiramente patriótica». Ver G. Lukacs (1965) 314-315.</w:t>
      </w:r>
    </w:p>
  </w:footnote>
  <w:footnote w:id="72">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P. W. Blackstock et al. (orgs. 1952) 48-49.</w:t>
      </w:r>
    </w:p>
  </w:footnote>
  <w:footnote w:id="7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por M. Gallo (1971) 12. É curioso observar que a editora do Partido Comunista Francês não considerou oportuno incluir esta carta entre outras enviadas por Marx a Kugelmann acerca das lutas sociais em França, que </w:t>
      </w:r>
      <w:r>
        <w:rPr>
          <w:rFonts w:ascii="Arial Narrow" w:hAnsi="Arial Narrow"/>
        </w:rPr>
        <w:t xml:space="preserve">se encontram </w:t>
      </w:r>
      <w:r w:rsidRPr="00F95336">
        <w:rPr>
          <w:rFonts w:ascii="Arial Narrow" w:hAnsi="Arial Narrow"/>
        </w:rPr>
        <w:t>reproduzidas em K. Marx (1963) 94-104.</w:t>
      </w:r>
    </w:p>
  </w:footnote>
  <w:footnote w:id="74">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K. Marx (1963) 38-39.</w:t>
      </w:r>
    </w:p>
  </w:footnote>
  <w:footnote w:id="7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101-103. Ver a este respeito M. Gallo (1971) 12.</w:t>
      </w:r>
    </w:p>
  </w:footnote>
  <w:footnote w:id="76">
    <w:p w:rsidR="00C84BCB" w:rsidRPr="006A7EA1" w:rsidRDefault="00C84BCB">
      <w:pPr>
        <w:pStyle w:val="Textodenotaderodap"/>
        <w:rPr>
          <w:rFonts w:ascii="Arial Narrow" w:hAnsi="Arial Narrow"/>
        </w:rPr>
      </w:pPr>
      <w:r w:rsidRPr="006A7EA1">
        <w:rPr>
          <w:rStyle w:val="Refdenotaderodap"/>
          <w:rFonts w:ascii="Arial Narrow" w:hAnsi="Arial Narrow"/>
        </w:rPr>
        <w:footnoteRef/>
      </w:r>
      <w:r w:rsidRPr="006A7EA1">
        <w:rPr>
          <w:rFonts w:ascii="Arial Narrow" w:hAnsi="Arial Narrow"/>
        </w:rPr>
        <w:t xml:space="preserve"> </w:t>
      </w:r>
      <w:r>
        <w:rPr>
          <w:rFonts w:ascii="Arial Narrow" w:hAnsi="Arial Narrow"/>
        </w:rPr>
        <w:t>O facto de Marx se ter apropriado da memória da Comuna foi realçado por A. Rosenberg (1936) 31.</w:t>
      </w:r>
    </w:p>
  </w:footnote>
  <w:footnote w:id="77">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K. Marx (1963) 111.</w:t>
      </w:r>
    </w:p>
  </w:footnote>
  <w:footnote w:id="7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w:t>
      </w:r>
      <w:r>
        <w:rPr>
          <w:rFonts w:ascii="Arial Narrow" w:hAnsi="Arial Narrow"/>
        </w:rPr>
        <w:t xml:space="preserve">Estas linhas constam do prefácio de Engels </w:t>
      </w:r>
      <w:r w:rsidRPr="00F95336">
        <w:rPr>
          <w:rFonts w:ascii="Arial Narrow" w:hAnsi="Arial Narrow"/>
        </w:rPr>
        <w:t>à reedição inglesa do panfleto de Marx publicado originariamente enquanto proclamação do conselho geral da AIT, com data de 30 de Maio de 1871. A passagem citada vem transcrita em id., ibid., 21-22.</w:t>
      </w:r>
    </w:p>
  </w:footnote>
  <w:footnote w:id="79">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 H. Carr (1966) II 137.</w:t>
      </w:r>
    </w:p>
  </w:footnote>
  <w:footnote w:id="80">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É conveniente deixar claro o que representava para Saint-Simon a categoria dos «industriais». Escrev</w:t>
      </w:r>
      <w:r>
        <w:rPr>
          <w:rFonts w:ascii="Arial Narrow" w:hAnsi="Arial Narrow"/>
        </w:rPr>
        <w:t>eu</w:t>
      </w:r>
      <w:r w:rsidRPr="00F95336">
        <w:rPr>
          <w:rFonts w:ascii="Arial Narrow" w:hAnsi="Arial Narrow"/>
        </w:rPr>
        <w:t xml:space="preserve"> ele em 1817-1818, no Tomo IV de </w:t>
      </w:r>
      <w:r w:rsidRPr="00F95336">
        <w:rPr>
          <w:rFonts w:ascii="Arial Narrow" w:hAnsi="Arial Narrow"/>
          <w:i/>
        </w:rPr>
        <w:t>L’Industrie</w:t>
      </w:r>
      <w:r w:rsidRPr="00F95336">
        <w:rPr>
          <w:rFonts w:ascii="Arial Narrow" w:hAnsi="Arial Narrow"/>
        </w:rPr>
        <w:t xml:space="preserve">...: «O corpo industrial compõe-se [...] de duas grandes famílias: a dos sábios, ou industriais de teoria, e a dos produtores imediatos, ou sábios de aplicação» </w:t>
      </w:r>
      <w:r w:rsidRPr="00F95336">
        <w:rPr>
          <w:rFonts w:ascii="Arial Narrow" w:hAnsi="Arial Narrow"/>
        </w:rPr>
        <w:sym w:font="Symbol" w:char="F02D"/>
      </w:r>
      <w:r w:rsidRPr="00F95336">
        <w:rPr>
          <w:rFonts w:ascii="Arial Narrow" w:hAnsi="Arial Narrow"/>
        </w:rPr>
        <w:t xml:space="preserve"> C.-H. Saint-Simon (1966 b) 60. Na mesma obra Saint-Simon consider</w:t>
      </w:r>
      <w:r>
        <w:rPr>
          <w:rFonts w:ascii="Arial Narrow" w:hAnsi="Arial Narrow"/>
        </w:rPr>
        <w:t>ou</w:t>
      </w:r>
      <w:r w:rsidRPr="00F95336">
        <w:rPr>
          <w:rFonts w:ascii="Arial Narrow" w:hAnsi="Arial Narrow"/>
        </w:rPr>
        <w:t xml:space="preserve"> que a categoria dos industriais era composta em França por vinte milhões de homens (pág. 93). Ora, segundo A. Armengaud (1976) 186, em 1816 a população do país mal ultrapassava os trinta milhões de habitantes. Assim, conclui-se que entre os «industriais» se incluía também a classe trabalhadora. E em 1823-1824, no </w:t>
      </w:r>
      <w:r w:rsidRPr="00F95336">
        <w:rPr>
          <w:rFonts w:ascii="Arial Narrow" w:hAnsi="Arial Narrow"/>
          <w:i/>
        </w:rPr>
        <w:t>Catéchisme des Industriels,</w:t>
      </w:r>
      <w:r w:rsidRPr="00F95336">
        <w:rPr>
          <w:rFonts w:ascii="Arial Narrow" w:hAnsi="Arial Narrow"/>
        </w:rPr>
        <w:t xml:space="preserve"> Saint-Simon calculou em vinte e cinco milhões de pessoas os «industriais» de França </w:t>
      </w:r>
      <w:r w:rsidRPr="00F95336">
        <w:rPr>
          <w:rFonts w:ascii="Arial Narrow" w:hAnsi="Arial Narrow"/>
        </w:rPr>
        <w:sym w:font="Symbol" w:char="F02D"/>
      </w:r>
      <w:r w:rsidRPr="00F95336">
        <w:rPr>
          <w:rFonts w:ascii="Arial Narrow" w:hAnsi="Arial Narrow"/>
        </w:rPr>
        <w:t xml:space="preserve"> C.-H. Saint-Simon (1966 a) 143. A composição dos «industriais» foi enunciada claramente em 1819, em </w:t>
      </w:r>
      <w:r w:rsidRPr="00F95336">
        <w:rPr>
          <w:rFonts w:ascii="Arial Narrow" w:hAnsi="Arial Narrow"/>
          <w:i/>
        </w:rPr>
        <w:t>Le Parti National</w:t>
      </w:r>
      <w:r w:rsidRPr="00F95336">
        <w:rPr>
          <w:rFonts w:ascii="Arial Narrow" w:hAnsi="Arial Narrow"/>
        </w:rPr>
        <w:t xml:space="preserve">... «O partido nacional compõe-se: 1º) Daqueles que executam trabalhos com uma utilidade directa para a sociedade; 2º) daqueles que dirigem esses trabalhos ou cujos capitais estão investidos nos empreendimentos industriais; 3º) daqueles que contribuem para a produção mediante trabalhos úteis ou produtivos» </w:t>
      </w:r>
      <w:r w:rsidRPr="00F95336">
        <w:rPr>
          <w:rFonts w:ascii="Arial Narrow" w:hAnsi="Arial Narrow"/>
        </w:rPr>
        <w:sym w:font="Symbol" w:char="F02D"/>
      </w:r>
      <w:r w:rsidRPr="00F95336">
        <w:rPr>
          <w:rFonts w:ascii="Arial Narrow" w:hAnsi="Arial Narrow"/>
        </w:rPr>
        <w:t xml:space="preserve"> id. (1966 c) 195. E mais adiante: «No partido nacional ou industrial estão incluídos: 1º) Todos os que cultivam a terra, bem como os que dirigem os trabalhos agrícolas; 2º) [...] todos os artesãos, todos os manufactores, todos os negociantes, todos os empresários de transportes terrestres e marítimos, bem como todos aqueles cujos trabalhos servem directa ou indirectamente para a produção ou a utilização das coisas produzidas. [...] Os artistas devem também ser considerados como industriais, porque sob muitos aspectos eles são produtores; entre outras razões porque os desenhos e modelos que fornecem aos artesãos contribuem poderosamente para a prosperidade das nossas manufacturas». E inclu</w:t>
      </w:r>
      <w:r>
        <w:rPr>
          <w:rFonts w:ascii="Arial Narrow" w:hAnsi="Arial Narrow"/>
        </w:rPr>
        <w:t>ía</w:t>
      </w:r>
      <w:r w:rsidRPr="00F95336">
        <w:rPr>
          <w:rFonts w:ascii="Arial Narrow" w:hAnsi="Arial Narrow"/>
        </w:rPr>
        <w:t>m-se também todos os cidadãos, até padres e advogados, que defend</w:t>
      </w:r>
      <w:r>
        <w:rPr>
          <w:rFonts w:ascii="Arial Narrow" w:hAnsi="Arial Narrow"/>
        </w:rPr>
        <w:t>esse</w:t>
      </w:r>
      <w:r w:rsidRPr="00F95336">
        <w:rPr>
          <w:rFonts w:ascii="Arial Narrow" w:hAnsi="Arial Narrow"/>
        </w:rPr>
        <w:t xml:space="preserve">m politicamente os «industriais» </w:t>
      </w:r>
      <w:r w:rsidRPr="00F95336">
        <w:rPr>
          <w:rFonts w:ascii="Arial Narrow" w:hAnsi="Arial Narrow"/>
        </w:rPr>
        <w:sym w:font="Symbol" w:char="F02D"/>
      </w:r>
      <w:r w:rsidRPr="00F95336">
        <w:rPr>
          <w:rFonts w:ascii="Arial Narrow" w:hAnsi="Arial Narrow"/>
        </w:rPr>
        <w:t xml:space="preserve"> id., ibid., 203-204. O </w:t>
      </w:r>
      <w:r w:rsidRPr="00F95336">
        <w:rPr>
          <w:rFonts w:ascii="Arial Narrow" w:hAnsi="Arial Narrow"/>
          <w:i/>
        </w:rPr>
        <w:t>Catéchisme des Industriels</w:t>
      </w:r>
      <w:r w:rsidRPr="00F95336">
        <w:rPr>
          <w:rFonts w:ascii="Arial Narrow" w:hAnsi="Arial Narrow"/>
        </w:rPr>
        <w:t xml:space="preserve"> enumer</w:t>
      </w:r>
      <w:r>
        <w:rPr>
          <w:rFonts w:ascii="Arial Narrow" w:hAnsi="Arial Narrow"/>
        </w:rPr>
        <w:t>ou</w:t>
      </w:r>
      <w:r w:rsidRPr="00F95336">
        <w:rPr>
          <w:rFonts w:ascii="Arial Narrow" w:hAnsi="Arial Narrow"/>
        </w:rPr>
        <w:t xml:space="preserve"> as outras classes existentes além dos «industriais», e que lhes dev</w:t>
      </w:r>
      <w:r>
        <w:rPr>
          <w:rFonts w:ascii="Arial Narrow" w:hAnsi="Arial Narrow"/>
        </w:rPr>
        <w:t>ia</w:t>
      </w:r>
      <w:r w:rsidRPr="00F95336">
        <w:rPr>
          <w:rFonts w:ascii="Arial Narrow" w:hAnsi="Arial Narrow"/>
        </w:rPr>
        <w:t xml:space="preserve">m ser subordinadas: exército, legistas, proprietários rurais não-cultivadores </w:t>
      </w:r>
      <w:r w:rsidRPr="00F95336">
        <w:rPr>
          <w:rFonts w:ascii="Arial Narrow" w:hAnsi="Arial Narrow"/>
        </w:rPr>
        <w:sym w:font="Symbol" w:char="F02D"/>
      </w:r>
      <w:r w:rsidRPr="00F95336">
        <w:rPr>
          <w:rFonts w:ascii="Arial Narrow" w:hAnsi="Arial Narrow"/>
        </w:rPr>
        <w:t xml:space="preserve"> id. (1966 a) 41. Note-se que ao longo dos seus últimos escritos Saint-Simon passou cada vez mais da ideia de uma cooperação funcional entre operários e patrões reunidos na classe industrial para a ideia da subordinação passiva dos operários aos patrões. «A França tornou-se uma grande manufactura, e a Nação Francesa uma grande oficina», escreveu ele, por exemplo, em 1821, em </w:t>
      </w:r>
      <w:r w:rsidRPr="00F95336">
        <w:rPr>
          <w:rFonts w:ascii="Arial Narrow" w:hAnsi="Arial Narrow"/>
          <w:i/>
        </w:rPr>
        <w:t>Du Système Industriel</w:t>
      </w:r>
      <w:r w:rsidRPr="00F95336">
        <w:rPr>
          <w:rFonts w:ascii="Arial Narrow" w:hAnsi="Arial Narrow"/>
        </w:rPr>
        <w:t xml:space="preserve">. «Essa manufactura geral deve ser dirigida da mesma maneira que as fábricas particulares» </w:t>
      </w:r>
      <w:r w:rsidRPr="00F95336">
        <w:rPr>
          <w:rFonts w:ascii="Arial Narrow" w:hAnsi="Arial Narrow"/>
        </w:rPr>
        <w:sym w:font="Symbol" w:char="F02D"/>
      </w:r>
      <w:r w:rsidRPr="00F95336">
        <w:rPr>
          <w:rFonts w:ascii="Arial Narrow" w:hAnsi="Arial Narrow"/>
        </w:rPr>
        <w:t xml:space="preserve"> id. (1966 d) III-c 91-92.</w:t>
      </w:r>
    </w:p>
  </w:footnote>
  <w:footnote w:id="81">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(1966 d) III-a 46-47.</w:t>
      </w:r>
    </w:p>
  </w:footnote>
  <w:footnote w:id="82">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(1966 a) 136-137.</w:t>
      </w:r>
    </w:p>
  </w:footnote>
  <w:footnote w:id="8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por E. Kamenka (1989) 137.</w:t>
      </w:r>
    </w:p>
  </w:footnote>
  <w:footnote w:id="84">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L.-E. Varlin, «Les Sociétés Ouvrières», </w:t>
      </w:r>
      <w:r w:rsidRPr="00F95336">
        <w:rPr>
          <w:rFonts w:ascii="Arial Narrow" w:hAnsi="Arial Narrow"/>
          <w:i/>
        </w:rPr>
        <w:t>La Marseillaise,</w:t>
      </w:r>
      <w:r w:rsidRPr="00F95336">
        <w:rPr>
          <w:rFonts w:ascii="Arial Narrow" w:hAnsi="Arial Narrow"/>
        </w:rPr>
        <w:t xml:space="preserve"> nº 81, 11 de Março de 187</w:t>
      </w:r>
      <w:r>
        <w:rPr>
          <w:rFonts w:ascii="Arial Narrow" w:hAnsi="Arial Narrow"/>
        </w:rPr>
        <w:t>0</w:t>
      </w:r>
      <w:r w:rsidRPr="00F95336">
        <w:rPr>
          <w:rFonts w:ascii="Arial Narrow" w:hAnsi="Arial Narrow"/>
        </w:rPr>
        <w:t>, transcrito em J. Rougerie (1968) 126-127.</w:t>
      </w:r>
    </w:p>
  </w:footnote>
  <w:footnote w:id="8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J. Bruhat (1972) 530; J. Rougerie (1968) 117-118.</w:t>
      </w:r>
    </w:p>
  </w:footnote>
  <w:footnote w:id="8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«Os militantes e os contemporâneos da Comuna dirigem-se a Marx através de centenas de cartas», esclarece</w:t>
      </w:r>
      <w:r>
        <w:rPr>
          <w:rFonts w:ascii="Arial Narrow" w:hAnsi="Arial Narrow"/>
        </w:rPr>
        <w:t>u</w:t>
      </w:r>
      <w:r w:rsidRPr="00F95336">
        <w:rPr>
          <w:rFonts w:ascii="Arial Narrow" w:hAnsi="Arial Narrow"/>
        </w:rPr>
        <w:t xml:space="preserve"> a Nota do Editor em K. Marx (1963) 9. A correspondência com Varlin </w:t>
      </w:r>
      <w:r>
        <w:rPr>
          <w:rFonts w:ascii="Arial Narrow" w:hAnsi="Arial Narrow"/>
        </w:rPr>
        <w:t>foi</w:t>
      </w:r>
      <w:r w:rsidRPr="00F95336">
        <w:rPr>
          <w:rFonts w:ascii="Arial Narrow" w:hAnsi="Arial Narrow"/>
        </w:rPr>
        <w:t xml:space="preserve"> referida na pág. 10 e transcrita na pág. 113.</w:t>
      </w:r>
    </w:p>
  </w:footnote>
  <w:footnote w:id="87">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 18 de Junho de 1871, exactamente três semanas depois de a Comuna ter sido aniquilada e enquanto dezenas de milhares de trabalhadores eram massacrados em Paris, Marx escrev</w:t>
      </w:r>
      <w:r>
        <w:rPr>
          <w:rFonts w:ascii="Arial Narrow" w:hAnsi="Arial Narrow"/>
        </w:rPr>
        <w:t>eu</w:t>
      </w:r>
      <w:r w:rsidRPr="00F95336">
        <w:rPr>
          <w:rFonts w:ascii="Arial Narrow" w:hAnsi="Arial Narrow"/>
        </w:rPr>
        <w:t xml:space="preserve"> ao seu «caro Kugelmann» que «durante a última revolução parisiense eu fui denunciado como o “grande chefe da Internacional” [...] e tenho a honra de ser neste momento o homem mais caluniado e ameaçado de Londres. Isto faz com que me sinta realmente bem, depois de vinte anos de um enfadonho idílio» </w:t>
      </w:r>
      <w:r w:rsidRPr="00F95336">
        <w:rPr>
          <w:rFonts w:ascii="Arial Narrow" w:hAnsi="Arial Narrow"/>
        </w:rPr>
        <w:sym w:font="Symbol" w:char="F02D"/>
      </w:r>
      <w:r w:rsidRPr="00F95336">
        <w:rPr>
          <w:rFonts w:ascii="Arial Narrow" w:hAnsi="Arial Narrow"/>
        </w:rPr>
        <w:t xml:space="preserve"> id., ibid., 104. Aqui, hesitei entre vários comentários, e acabei por não escrever nenhum.</w:t>
      </w:r>
    </w:p>
  </w:footnote>
  <w:footnote w:id="8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w:t>
      </w:r>
      <w:r>
        <w:rPr>
          <w:rFonts w:ascii="Arial Narrow" w:hAnsi="Arial Narrow"/>
        </w:rPr>
        <w:t xml:space="preserve">Prefácio de Engels </w:t>
      </w:r>
      <w:r w:rsidRPr="00F95336">
        <w:rPr>
          <w:rFonts w:ascii="Arial Narrow" w:hAnsi="Arial Narrow"/>
        </w:rPr>
        <w:t xml:space="preserve">à reedição inglesa </w:t>
      </w:r>
      <w:r>
        <w:rPr>
          <w:rFonts w:ascii="Arial Narrow" w:hAnsi="Arial Narrow"/>
        </w:rPr>
        <w:t xml:space="preserve">de 1891 </w:t>
      </w:r>
      <w:r w:rsidRPr="00F95336">
        <w:rPr>
          <w:rFonts w:ascii="Arial Narrow" w:hAnsi="Arial Narrow"/>
        </w:rPr>
        <w:t>d</w:t>
      </w:r>
      <w:r>
        <w:rPr>
          <w:rFonts w:ascii="Arial Narrow" w:hAnsi="Arial Narrow"/>
        </w:rPr>
        <w:t>e um</w:t>
      </w:r>
      <w:r w:rsidRPr="00F95336">
        <w:rPr>
          <w:rFonts w:ascii="Arial Narrow" w:hAnsi="Arial Narrow"/>
        </w:rPr>
        <w:t xml:space="preserve"> panfleto de Marx publicado </w:t>
      </w:r>
      <w:r>
        <w:rPr>
          <w:rFonts w:ascii="Arial Narrow" w:hAnsi="Arial Narrow"/>
        </w:rPr>
        <w:t xml:space="preserve">em </w:t>
      </w:r>
      <w:r w:rsidRPr="00F95336">
        <w:rPr>
          <w:rFonts w:ascii="Arial Narrow" w:hAnsi="Arial Narrow"/>
        </w:rPr>
        <w:t>30 de Maio de 1871. A</w:t>
      </w:r>
      <w:r>
        <w:rPr>
          <w:rFonts w:ascii="Arial Narrow" w:hAnsi="Arial Narrow"/>
        </w:rPr>
        <w:t>s</w:t>
      </w:r>
      <w:r w:rsidRPr="00F95336">
        <w:rPr>
          <w:rFonts w:ascii="Arial Narrow" w:hAnsi="Arial Narrow"/>
        </w:rPr>
        <w:t xml:space="preserve"> passage</w:t>
      </w:r>
      <w:r>
        <w:rPr>
          <w:rFonts w:ascii="Arial Narrow" w:hAnsi="Arial Narrow"/>
        </w:rPr>
        <w:t>ns</w:t>
      </w:r>
      <w:r w:rsidRPr="00F95336">
        <w:rPr>
          <w:rFonts w:ascii="Arial Narrow" w:hAnsi="Arial Narrow"/>
        </w:rPr>
        <w:t xml:space="preserve"> citada</w:t>
      </w:r>
      <w:r>
        <w:rPr>
          <w:rFonts w:ascii="Arial Narrow" w:hAnsi="Arial Narrow"/>
        </w:rPr>
        <w:t>s</w:t>
      </w:r>
      <w:r w:rsidRPr="00F95336">
        <w:rPr>
          <w:rFonts w:ascii="Arial Narrow" w:hAnsi="Arial Narrow"/>
        </w:rPr>
        <w:t xml:space="preserve"> encontra</w:t>
      </w:r>
      <w:r>
        <w:rPr>
          <w:rFonts w:ascii="Arial Narrow" w:hAnsi="Arial Narrow"/>
        </w:rPr>
        <w:t>m</w:t>
      </w:r>
      <w:r w:rsidRPr="00F95336">
        <w:rPr>
          <w:rFonts w:ascii="Arial Narrow" w:hAnsi="Arial Narrow"/>
        </w:rPr>
        <w:t>-se em id., ibid., 19 e 22 (sub. orig.).</w:t>
      </w:r>
    </w:p>
  </w:footnote>
  <w:footnote w:id="89">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59.</w:t>
      </w:r>
    </w:p>
  </w:footnote>
  <w:footnote w:id="90">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67.</w:t>
      </w:r>
    </w:p>
  </w:footnote>
  <w:footnote w:id="91">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Dos textos de Engels que conheço, o primeiro a formular esta constatação foi publicado em Abril de 1875. Ver P. W. Blackstock et al. (orgs. 1952) 204.</w:t>
      </w:r>
    </w:p>
  </w:footnote>
  <w:footnote w:id="92">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Num artigo publicado no </w:t>
      </w:r>
      <w:r w:rsidRPr="00F95336">
        <w:rPr>
          <w:rFonts w:ascii="Arial Narrow" w:hAnsi="Arial Narrow"/>
          <w:i/>
        </w:rPr>
        <w:t>Volksstaat,</w:t>
      </w:r>
      <w:r w:rsidRPr="00F95336">
        <w:rPr>
          <w:rFonts w:ascii="Arial Narrow" w:hAnsi="Arial Narrow"/>
        </w:rPr>
        <w:t xml:space="preserve"> 21 de Abril de 1875, em id., ibid., 205.</w:t>
      </w:r>
    </w:p>
  </w:footnote>
  <w:footnote w:id="93">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Engels defendeu esta ordem de prioridades no seu artigo do </w:t>
      </w:r>
      <w:r w:rsidRPr="00F95336">
        <w:rPr>
          <w:rFonts w:ascii="Arial Narrow" w:hAnsi="Arial Narrow"/>
          <w:i/>
        </w:rPr>
        <w:t>Volksstaat</w:t>
      </w:r>
      <w:r>
        <w:rPr>
          <w:rFonts w:ascii="Arial Narrow" w:hAnsi="Arial Narrow"/>
          <w:i/>
        </w:rPr>
        <w:t>,</w:t>
      </w:r>
      <w:r w:rsidRPr="00F95336">
        <w:rPr>
          <w:rFonts w:ascii="Arial Narrow" w:hAnsi="Arial Narrow"/>
        </w:rPr>
        <w:t xml:space="preserve"> 21 de Abril de 1875, como se vê em id., ibid., 213, e manteve a mesma opinião num texto publicado em 1894 e antologiado em id., ibid., 232-235.</w:t>
      </w:r>
    </w:p>
  </w:footnote>
  <w:footnote w:id="94">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Engels sustentou esta tese em dois artigos publicados no </w:t>
      </w:r>
      <w:r w:rsidRPr="00F95336">
        <w:rPr>
          <w:rFonts w:ascii="Arial Narrow" w:hAnsi="Arial Narrow"/>
          <w:i/>
        </w:rPr>
        <w:t>Volksstaat</w:t>
      </w:r>
      <w:r>
        <w:rPr>
          <w:rFonts w:ascii="Arial Narrow" w:hAnsi="Arial Narrow"/>
          <w:i/>
        </w:rPr>
        <w:t>,</w:t>
      </w:r>
      <w:r w:rsidRPr="00F95336">
        <w:rPr>
          <w:rFonts w:ascii="Arial Narrow" w:hAnsi="Arial Narrow"/>
        </w:rPr>
        <w:t xml:space="preserve"> 11 de Junho de 1874 e 21 de Abril de 1875</w:t>
      </w:r>
      <w:r>
        <w:rPr>
          <w:rFonts w:ascii="Arial Narrow" w:hAnsi="Arial Narrow"/>
        </w:rPr>
        <w:t>,</w:t>
      </w:r>
      <w:r w:rsidRPr="00F95336">
        <w:rPr>
          <w:rFonts w:ascii="Arial Narrow" w:hAnsi="Arial Narrow"/>
        </w:rPr>
        <w:t xml:space="preserve"> antologiados em id., ibid., 110-115 e 203-213.</w:t>
      </w:r>
    </w:p>
  </w:footnote>
  <w:footnote w:id="95">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F95336">
        <w:rPr>
          <w:rFonts w:ascii="Arial Narrow" w:hAnsi="Arial Narrow"/>
        </w:rPr>
        <w:t xml:space="preserve"> M. S. Shatz (1989) 5-6. A repressão policial destruiu este partido em 1886, mas foi reconstituído dois anos mais tarde, embora por pouco tempo. </w:t>
      </w:r>
      <w:r w:rsidRPr="00CC781D">
        <w:rPr>
          <w:rFonts w:ascii="Arial Narrow" w:hAnsi="Arial Narrow"/>
          <w:lang w:val="en-GB"/>
        </w:rPr>
        <w:t>Ver id., ibid., 6 e 10.</w:t>
      </w:r>
    </w:p>
  </w:footnote>
  <w:footnote w:id="96">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P. W. Blackstock et al. (orgs. </w:t>
      </w:r>
      <w:r w:rsidRPr="00F95336">
        <w:rPr>
          <w:rFonts w:ascii="Arial Narrow" w:hAnsi="Arial Narrow"/>
        </w:rPr>
        <w:t>1952) 117.</w:t>
      </w:r>
    </w:p>
  </w:footnote>
  <w:footnote w:id="97">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 carta de Vera Zassulitch a Karl Marx, com data de 16 de Fevereiro de 1881, encontra-se reproduzida em id., ibid., 276-277 e M. Rubel (org. 1968) 1556-1557. A frase citada pode ler-se nas págs. 277 e 1557, respectivamente.</w:t>
      </w:r>
    </w:p>
  </w:footnote>
  <w:footnote w:id="98">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Em P. W. Blackstock et al. </w:t>
      </w:r>
      <w:r w:rsidRPr="00F95336">
        <w:rPr>
          <w:rFonts w:ascii="Arial Narrow" w:hAnsi="Arial Narrow"/>
        </w:rPr>
        <w:t>(orgs. 1952) 218-226 e M. Rubel (org. 1968) 1559-1573 encontram-se longos extractos dos três rascunhos da resposta de Marx a Vera Zassulitch. As frases citadas vêm respectivamente nas págs. 224 e 226 ou 1569 e 1573. Consultei também as passagens reproduzidas em E. J. Hobsbawm (org. 1964) 142-145, que incluem outro trecho do segundo manuscrito.</w:t>
      </w:r>
    </w:p>
  </w:footnote>
  <w:footnote w:id="99">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 carta enviada por Karl Marx a Vera Zassulitch, com data de 8 de Março de 1881, encontra-se em P. W. Blackstock et al. (orgs. 1952) 278-279 e M. Rubel (org. 1968) 1557-1558.</w:t>
      </w:r>
    </w:p>
  </w:footnote>
  <w:footnote w:id="100">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Riazanov descobriu os três rascunhos entre os documentos que haviam pertencido a uma das filhas de Marx, Laura Lafargue, o que o levou a suspeitar de que teria efectivamente sido enviada uma carta. Depois de interrogar sobre o assunto todos os sobreviventes da primeira geração de marxistas russos, sem que </w:t>
      </w:r>
      <w:r>
        <w:rPr>
          <w:rFonts w:ascii="Arial Narrow" w:hAnsi="Arial Narrow"/>
        </w:rPr>
        <w:t>nenhum</w:t>
      </w:r>
      <w:r w:rsidRPr="00F95336">
        <w:rPr>
          <w:rFonts w:ascii="Arial Narrow" w:hAnsi="Arial Narrow"/>
        </w:rPr>
        <w:t xml:space="preserve"> deles se lembrasse de tal correspondência, Riazanov acabou por achá-la nos arquivos de um dos principais pioneiros</w:t>
      </w:r>
      <w:r>
        <w:rPr>
          <w:rFonts w:ascii="Arial Narrow" w:hAnsi="Arial Narrow"/>
        </w:rPr>
        <w:t>,</w:t>
      </w:r>
      <w:r w:rsidRPr="00F95336">
        <w:rPr>
          <w:rFonts w:ascii="Arial Narrow" w:hAnsi="Arial Narrow"/>
        </w:rPr>
        <w:t xml:space="preserve"> o menchevista Pavel Axelrod. Ver a este respeito P. W. Blackstock et al. (orgs. 1952) 279-280 e M. Rubel (org. 1968) n. 3 referente à pág. 1558, na pág. 1864, e n. 1 referente à pág. 1557, também na pág. 1864.</w:t>
      </w:r>
    </w:p>
  </w:footnote>
  <w:footnote w:id="101">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P. W. Blackstock et al. </w:t>
      </w:r>
      <w:r w:rsidRPr="00F95336">
        <w:rPr>
          <w:rFonts w:ascii="Arial Narrow" w:hAnsi="Arial Narrow"/>
        </w:rPr>
        <w:t>(orgs. 1952) 228. Ver também T. A. Jackson (1936) 396.</w:t>
      </w:r>
    </w:p>
  </w:footnote>
  <w:footnote w:id="102">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M. Lewin (1966) 26. Ver igualmente as págs. 79 e segs.</w:t>
      </w:r>
    </w:p>
  </w:footnote>
  <w:footnote w:id="103">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26.</w:t>
      </w:r>
    </w:p>
  </w:footnote>
  <w:footnote w:id="104">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M. Rubel (org. 1968) 1867. Mas em seguida Maximilien </w:t>
      </w:r>
      <w:r w:rsidRPr="00F95336">
        <w:rPr>
          <w:rFonts w:ascii="Arial Narrow" w:hAnsi="Arial Narrow"/>
          <w:smallCaps/>
        </w:rPr>
        <w:t>R</w:t>
      </w:r>
      <w:r w:rsidRPr="00F95336">
        <w:rPr>
          <w:rFonts w:ascii="Arial Narrow" w:hAnsi="Arial Narrow"/>
        </w:rPr>
        <w:t>ubel apagou os traços incisivos da sua observação</w:t>
      </w:r>
      <w:r>
        <w:rPr>
          <w:rFonts w:ascii="Arial Narrow" w:hAnsi="Arial Narrow"/>
        </w:rPr>
        <w:t>,</w:t>
      </w:r>
      <w:r w:rsidRPr="00F95336">
        <w:rPr>
          <w:rFonts w:ascii="Arial Narrow" w:hAnsi="Arial Narrow"/>
        </w:rPr>
        <w:t xml:space="preserve"> lançando-se nas considerações líricas de que era adepto.</w:t>
      </w:r>
    </w:p>
  </w:footnote>
  <w:footnote w:id="105">
    <w:p w:rsidR="00C84BCB" w:rsidRPr="00E27552" w:rsidRDefault="00C84BCB">
      <w:pPr>
        <w:pStyle w:val="Textodenotaderodap"/>
        <w:rPr>
          <w:rFonts w:ascii="Arial Narrow" w:hAnsi="Arial Narrow"/>
        </w:rPr>
      </w:pPr>
      <w:r w:rsidRPr="00E27552">
        <w:rPr>
          <w:rStyle w:val="Refdenotaderodap"/>
          <w:rFonts w:ascii="Arial Narrow" w:hAnsi="Arial Narrow"/>
        </w:rPr>
        <w:footnoteRef/>
      </w:r>
      <w:r w:rsidRPr="00E27552">
        <w:rPr>
          <w:rFonts w:ascii="Arial Narrow" w:hAnsi="Arial Narrow"/>
        </w:rPr>
        <w:t xml:space="preserve"> N</w:t>
      </w:r>
      <w:r>
        <w:rPr>
          <w:rFonts w:ascii="Arial Narrow" w:hAnsi="Arial Narrow"/>
        </w:rPr>
        <w:t xml:space="preserve">. </w:t>
      </w:r>
      <w:r w:rsidRPr="00E27552">
        <w:rPr>
          <w:rFonts w:ascii="Arial Narrow" w:hAnsi="Arial Narrow"/>
        </w:rPr>
        <w:t>Harding</w:t>
      </w:r>
      <w:r>
        <w:rPr>
          <w:rFonts w:ascii="Arial Narrow" w:hAnsi="Arial Narrow"/>
        </w:rPr>
        <w:t xml:space="preserve"> (2003) 262.</w:t>
      </w:r>
    </w:p>
  </w:footnote>
  <w:footnote w:id="10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 a verdade, paradoxal, impõe-se», observ</w:t>
      </w:r>
      <w:r>
        <w:rPr>
          <w:rFonts w:ascii="Arial Narrow" w:hAnsi="Arial Narrow"/>
        </w:rPr>
        <w:t>ou</w:t>
      </w:r>
      <w:r w:rsidRPr="00F95336">
        <w:rPr>
          <w:rFonts w:ascii="Arial Narrow" w:hAnsi="Arial Narrow"/>
        </w:rPr>
        <w:t xml:space="preserve"> A. Kriegel (1972) 629; «a Internacional nasceu do problema das nacionalidades. O célebre </w:t>
      </w:r>
      <w:r w:rsidRPr="00F95336">
        <w:rPr>
          <w:rFonts w:ascii="Arial Narrow" w:hAnsi="Arial Narrow"/>
          <w:i/>
        </w:rPr>
        <w:t>meeting</w:t>
      </w:r>
      <w:r w:rsidRPr="00F95336">
        <w:rPr>
          <w:rFonts w:ascii="Arial Narrow" w:hAnsi="Arial Narrow"/>
        </w:rPr>
        <w:t xml:space="preserve"> do Saint James’s Hall fora explicitamente convocado para expressar a indignação dos operários franceses e ingleses perante o abandono da Polónia pelos governos e pelas classes que detinham o poder».</w:t>
      </w:r>
    </w:p>
  </w:footnote>
  <w:footnote w:id="107">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630-631.</w:t>
      </w:r>
    </w:p>
  </w:footnote>
  <w:footnote w:id="108">
    <w:p w:rsidR="00C84BCB" w:rsidRPr="00595282"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R. Rosdolsky (1980) 16, 33 n. 3</w:t>
      </w:r>
      <w:r>
        <w:rPr>
          <w:rFonts w:ascii="Arial Narrow" w:hAnsi="Arial Narrow"/>
          <w:lang w:val="en-GB"/>
        </w:rPr>
        <w:t>, 48-49, 52-53, 120 n. 54 cont.</w:t>
      </w:r>
    </w:p>
  </w:footnote>
  <w:footnote w:id="109">
    <w:p w:rsidR="00C84BCB" w:rsidRPr="003A6EB2" w:rsidRDefault="00C84BCB" w:rsidP="00CD12DC">
      <w:pPr>
        <w:pStyle w:val="Textodenotaderodap"/>
        <w:rPr>
          <w:rFonts w:ascii="Arial Narrow" w:hAnsi="Arial Narrow"/>
        </w:rPr>
      </w:pPr>
      <w:r w:rsidRPr="003A6EB2">
        <w:rPr>
          <w:rStyle w:val="Refdenotaderodap"/>
          <w:rFonts w:ascii="Arial Narrow" w:hAnsi="Arial Narrow"/>
        </w:rPr>
        <w:footnoteRef/>
      </w:r>
      <w:r w:rsidRPr="003A6EB2">
        <w:rPr>
          <w:rFonts w:ascii="Arial Narrow" w:hAnsi="Arial Narrow"/>
        </w:rPr>
        <w:t xml:space="preserve"> </w:t>
      </w:r>
      <w:r>
        <w:rPr>
          <w:rFonts w:ascii="Arial Narrow" w:hAnsi="Arial Narrow"/>
        </w:rPr>
        <w:t xml:space="preserve">O </w:t>
      </w:r>
      <w:r w:rsidRPr="003A6EB2">
        <w:rPr>
          <w:rFonts w:ascii="Arial Narrow" w:hAnsi="Arial Narrow"/>
        </w:rPr>
        <w:t xml:space="preserve">artigo </w:t>
      </w:r>
      <w:r>
        <w:rPr>
          <w:rFonts w:ascii="Arial Narrow" w:hAnsi="Arial Narrow"/>
        </w:rPr>
        <w:t xml:space="preserve">de Engels </w:t>
      </w:r>
      <w:r w:rsidRPr="003A6EB2">
        <w:rPr>
          <w:rFonts w:ascii="Arial Narrow" w:hAnsi="Arial Narrow"/>
        </w:rPr>
        <w:t xml:space="preserve">«O Debate em Frankfurt acerca da Polónia», na </w:t>
      </w:r>
      <w:r w:rsidRPr="003A6EB2">
        <w:rPr>
          <w:rFonts w:ascii="Arial Narrow" w:hAnsi="Arial Narrow"/>
          <w:i/>
        </w:rPr>
        <w:t>Neue Rheinische Zeitung</w:t>
      </w:r>
      <w:r>
        <w:rPr>
          <w:rFonts w:ascii="Arial Narrow" w:hAnsi="Arial Narrow"/>
          <w:i/>
        </w:rPr>
        <w:t>,</w:t>
      </w:r>
      <w:r w:rsidRPr="003A6EB2">
        <w:rPr>
          <w:rFonts w:ascii="Arial Narrow" w:hAnsi="Arial Narrow"/>
        </w:rPr>
        <w:t xml:space="preserve"> Agosto de 1848</w:t>
      </w:r>
      <w:r>
        <w:rPr>
          <w:rFonts w:ascii="Arial Narrow" w:hAnsi="Arial Narrow"/>
        </w:rPr>
        <w:t>,</w:t>
      </w:r>
      <w:r w:rsidRPr="003A6EB2">
        <w:rPr>
          <w:rFonts w:ascii="Arial Narrow" w:hAnsi="Arial Narrow"/>
        </w:rPr>
        <w:t xml:space="preserve"> </w:t>
      </w:r>
      <w:r>
        <w:rPr>
          <w:rFonts w:ascii="Arial Narrow" w:hAnsi="Arial Narrow"/>
        </w:rPr>
        <w:t xml:space="preserve">foi </w:t>
      </w:r>
      <w:r w:rsidRPr="003A6EB2">
        <w:rPr>
          <w:rFonts w:ascii="Arial Narrow" w:hAnsi="Arial Narrow"/>
        </w:rPr>
        <w:t>antologiado em P. W. Blackstock et al. (orgs. 1952) 93-94.</w:t>
      </w:r>
      <w:r>
        <w:rPr>
          <w:rFonts w:ascii="Arial Narrow" w:hAnsi="Arial Narrow"/>
        </w:rPr>
        <w:t xml:space="preserve"> </w:t>
      </w:r>
      <w:r w:rsidRPr="00F95336">
        <w:rPr>
          <w:rFonts w:ascii="Arial Narrow" w:hAnsi="Arial Narrow"/>
        </w:rPr>
        <w:t xml:space="preserve">Ver </w:t>
      </w:r>
      <w:r>
        <w:rPr>
          <w:rFonts w:ascii="Arial Narrow" w:hAnsi="Arial Narrow"/>
        </w:rPr>
        <w:t xml:space="preserve">também </w:t>
      </w:r>
      <w:r w:rsidRPr="00F95336">
        <w:rPr>
          <w:rFonts w:ascii="Arial Narrow" w:hAnsi="Arial Narrow"/>
        </w:rPr>
        <w:t>a este respeito R</w:t>
      </w:r>
      <w:r>
        <w:rPr>
          <w:rFonts w:ascii="Arial Narrow" w:hAnsi="Arial Narrow"/>
        </w:rPr>
        <w:t xml:space="preserve">. </w:t>
      </w:r>
      <w:r w:rsidRPr="00F95336">
        <w:rPr>
          <w:rFonts w:ascii="Arial Narrow" w:hAnsi="Arial Narrow"/>
        </w:rPr>
        <w:t xml:space="preserve">Rosdolsky </w:t>
      </w:r>
      <w:r w:rsidRPr="00DB1B7F">
        <w:rPr>
          <w:rFonts w:ascii="Arial Narrow" w:hAnsi="Arial Narrow"/>
        </w:rPr>
        <w:t xml:space="preserve">(1980) </w:t>
      </w:r>
      <w:r w:rsidRPr="00F95336">
        <w:rPr>
          <w:rFonts w:ascii="Arial Narrow" w:hAnsi="Arial Narrow"/>
        </w:rPr>
        <w:t>45 e n. 47 e 140 n. 7 cont.</w:t>
      </w:r>
    </w:p>
  </w:footnote>
  <w:footnote w:id="110">
    <w:p w:rsidR="00C84BCB" w:rsidRPr="00301C02" w:rsidRDefault="00C84BCB" w:rsidP="00CD12DC">
      <w:pPr>
        <w:pStyle w:val="Textodenotaderodap"/>
        <w:rPr>
          <w:rFonts w:ascii="Arial Narrow" w:hAnsi="Arial Narrow"/>
        </w:rPr>
      </w:pPr>
      <w:r w:rsidRPr="00362197">
        <w:rPr>
          <w:rStyle w:val="Refdenotaderodap"/>
          <w:rFonts w:ascii="Arial Narrow" w:hAnsi="Arial Narrow"/>
        </w:rPr>
        <w:footnoteRef/>
      </w:r>
      <w:r w:rsidRPr="00301C02">
        <w:rPr>
          <w:rFonts w:ascii="Arial Narrow" w:hAnsi="Arial Narrow"/>
        </w:rPr>
        <w:t xml:space="preserve"> R. Rosdolsky (1980) 120 n. 54 cont.</w:t>
      </w:r>
    </w:p>
  </w:footnote>
  <w:footnote w:id="111">
    <w:p w:rsidR="00C84BCB" w:rsidRPr="0035573C" w:rsidRDefault="00C84BCB" w:rsidP="00CD12DC">
      <w:pPr>
        <w:pStyle w:val="Textodenotaderodap"/>
        <w:rPr>
          <w:rFonts w:ascii="Arial Narrow" w:hAnsi="Arial Narrow"/>
        </w:rPr>
      </w:pPr>
      <w:r w:rsidRPr="0035573C">
        <w:rPr>
          <w:rStyle w:val="Refdenotaderodap"/>
          <w:rFonts w:ascii="Arial Narrow" w:hAnsi="Arial Narrow"/>
        </w:rPr>
        <w:footnoteRef/>
      </w:r>
      <w:r w:rsidRPr="0035573C">
        <w:rPr>
          <w:rFonts w:ascii="Arial Narrow" w:hAnsi="Arial Narrow"/>
        </w:rPr>
        <w:t xml:space="preserve"> </w:t>
      </w:r>
      <w:r>
        <w:rPr>
          <w:rFonts w:ascii="Arial Narrow" w:hAnsi="Arial Narrow"/>
        </w:rPr>
        <w:t xml:space="preserve">A </w:t>
      </w:r>
      <w:r w:rsidRPr="00301C02">
        <w:rPr>
          <w:rFonts w:ascii="Arial Narrow" w:hAnsi="Arial Narrow"/>
        </w:rPr>
        <w:t xml:space="preserve">carta </w:t>
      </w:r>
      <w:r>
        <w:rPr>
          <w:rFonts w:ascii="Arial Narrow" w:hAnsi="Arial Narrow"/>
        </w:rPr>
        <w:t xml:space="preserve">de Engels </w:t>
      </w:r>
      <w:r w:rsidRPr="00301C02">
        <w:rPr>
          <w:rFonts w:ascii="Arial Narrow" w:hAnsi="Arial Narrow"/>
        </w:rPr>
        <w:t xml:space="preserve">publicada em 1866 pela revista britânica </w:t>
      </w:r>
      <w:r w:rsidRPr="00301C02">
        <w:rPr>
          <w:rFonts w:ascii="Arial Narrow" w:hAnsi="Arial Narrow"/>
          <w:i/>
        </w:rPr>
        <w:t>Commonwealth</w:t>
      </w:r>
      <w:r w:rsidRPr="00301C02">
        <w:rPr>
          <w:rFonts w:ascii="Arial Narrow" w:hAnsi="Arial Narrow"/>
        </w:rPr>
        <w:t xml:space="preserve"> </w:t>
      </w:r>
      <w:r>
        <w:rPr>
          <w:rFonts w:ascii="Arial Narrow" w:hAnsi="Arial Narrow"/>
        </w:rPr>
        <w:t xml:space="preserve">encontra-se </w:t>
      </w:r>
      <w:r w:rsidRPr="00301C02">
        <w:rPr>
          <w:rFonts w:ascii="Arial Narrow" w:hAnsi="Arial Narrow"/>
        </w:rPr>
        <w:t>antologiada em P. W. Blackstock et al. (orgs. 1952) 101 e segs.</w:t>
      </w:r>
    </w:p>
  </w:footnote>
  <w:footnote w:id="112">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301C02">
        <w:rPr>
          <w:rFonts w:ascii="Arial Narrow" w:hAnsi="Arial Narrow"/>
        </w:rPr>
        <w:t xml:space="preserve"> «[...] </w:t>
      </w:r>
      <w:r w:rsidRPr="00F95336">
        <w:rPr>
          <w:rFonts w:ascii="Arial Narrow" w:hAnsi="Arial Narrow"/>
        </w:rPr>
        <w:t>à medida que foram aparecendo “questões nacionais”, tornou-se visível que a Internacional não dispunha de uma teoria relativa ao problema das nacionalidades», observ</w:t>
      </w:r>
      <w:r>
        <w:rPr>
          <w:rFonts w:ascii="Arial Narrow" w:hAnsi="Arial Narrow"/>
        </w:rPr>
        <w:t>ou</w:t>
      </w:r>
      <w:r w:rsidRPr="00F95336">
        <w:rPr>
          <w:rFonts w:ascii="Arial Narrow" w:hAnsi="Arial Narrow"/>
        </w:rPr>
        <w:t xml:space="preserve"> pertinentemente A. Kriegel (1972) 631. E esta historiadora acrescent</w:t>
      </w:r>
      <w:r>
        <w:rPr>
          <w:rFonts w:ascii="Arial Narrow" w:hAnsi="Arial Narrow"/>
        </w:rPr>
        <w:t>ou</w:t>
      </w:r>
      <w:r w:rsidRPr="00F95336">
        <w:rPr>
          <w:rFonts w:ascii="Arial Narrow" w:hAnsi="Arial Narrow"/>
        </w:rPr>
        <w:t xml:space="preserve"> (págs. 629, 633) que «[...] a inclusão das “questões nacionais” numa iniciativa de vocação universal, que </w:t>
      </w:r>
      <w:r w:rsidRPr="00F95336">
        <w:rPr>
          <w:rFonts w:ascii="Arial Narrow" w:hAnsi="Arial Narrow"/>
          <w:i/>
        </w:rPr>
        <w:t>a priori</w:t>
      </w:r>
      <w:r w:rsidRPr="00F95336">
        <w:rPr>
          <w:rFonts w:ascii="Arial Narrow" w:hAnsi="Arial Narrow"/>
        </w:rPr>
        <w:t xml:space="preserve"> parecia rejeitá-las, e o desenvolvimento desigual da luta de classes no interior de cada conjunto nacional contribuíram para desagregar as bases em que assentava a AIT, ou seja, a noção de pertencer a uma comunidade de tipo diferente da comunidade nacional. [... ... ...] pelo facto de a questão nacional surgir essencialmente ligada à consumação da sociedade burguesa, não estava claro qual devia ser o papel da classe operária durante o período transitório, até que a revolução proletária tivesse podido introduzir nas relações entre os povos a teoria e a prática do internacionalismo proletário. Assim, a ausência de uma teoria efectivamente socialista a respeito do problema das nacionalidades prejudicou gravemente o desenvolvimento da Internacional na década de 1860. Após 1870, foi a edificação das próprias nações que liquidou a Internacional».</w:t>
      </w:r>
    </w:p>
  </w:footnote>
  <w:footnote w:id="113">
    <w:p w:rsidR="00C84BCB" w:rsidRPr="00D959AE" w:rsidRDefault="00C84BCB">
      <w:pPr>
        <w:pStyle w:val="Textodenotaderodap"/>
        <w:rPr>
          <w:rFonts w:ascii="Arial Narrow" w:hAnsi="Arial Narrow"/>
        </w:rPr>
      </w:pPr>
      <w:r w:rsidRPr="00D959AE">
        <w:rPr>
          <w:rStyle w:val="Refdenotaderodap"/>
          <w:rFonts w:ascii="Arial Narrow" w:hAnsi="Arial Narrow"/>
        </w:rPr>
        <w:footnoteRef/>
      </w:r>
      <w:r w:rsidRPr="00D959AE">
        <w:rPr>
          <w:rFonts w:ascii="Arial Narrow" w:hAnsi="Arial Narrow"/>
        </w:rPr>
        <w:t xml:space="preserve"> </w:t>
      </w:r>
      <w:r>
        <w:rPr>
          <w:rFonts w:ascii="Arial Narrow" w:hAnsi="Arial Narrow"/>
        </w:rPr>
        <w:t>F. Engels (1959) 198. Ver também a pág. 154.</w:t>
      </w:r>
    </w:p>
  </w:footnote>
  <w:footnote w:id="114">
    <w:p w:rsidR="00C84BCB" w:rsidRPr="00FE296A" w:rsidRDefault="00C84BCB">
      <w:pPr>
        <w:pStyle w:val="Textodenotaderodap"/>
        <w:rPr>
          <w:rFonts w:ascii="Arial Narrow" w:hAnsi="Arial Narrow"/>
          <w:lang w:val="en-US"/>
        </w:rPr>
      </w:pPr>
      <w:r w:rsidRPr="00D959AE">
        <w:rPr>
          <w:rStyle w:val="Refdenotaderodap"/>
          <w:rFonts w:ascii="Arial Narrow" w:hAnsi="Arial Narrow"/>
        </w:rPr>
        <w:footnoteRef/>
      </w:r>
      <w:r w:rsidRPr="00FE296A">
        <w:rPr>
          <w:rFonts w:ascii="Arial Narrow" w:hAnsi="Arial Narrow"/>
          <w:lang w:val="en-US"/>
        </w:rPr>
        <w:t xml:space="preserve"> Id., ibid., 44, 159.</w:t>
      </w:r>
    </w:p>
  </w:footnote>
  <w:footnote w:id="115">
    <w:p w:rsidR="00C84BCB" w:rsidRPr="00FE296A" w:rsidRDefault="00C84BCB">
      <w:pPr>
        <w:pStyle w:val="Textodenotaderodap"/>
        <w:rPr>
          <w:rFonts w:ascii="Arial Narrow" w:hAnsi="Arial Narrow"/>
          <w:lang w:val="en-US"/>
        </w:rPr>
      </w:pPr>
      <w:r w:rsidRPr="00FE296A">
        <w:rPr>
          <w:rStyle w:val="Refdenotaderodap"/>
          <w:rFonts w:ascii="Arial Narrow" w:hAnsi="Arial Narrow"/>
        </w:rPr>
        <w:footnoteRef/>
      </w:r>
      <w:r w:rsidRPr="00FE296A">
        <w:rPr>
          <w:rFonts w:ascii="Arial Narrow" w:hAnsi="Arial Narrow"/>
          <w:lang w:val="en-US"/>
        </w:rPr>
        <w:t xml:space="preserve"> E. Klautke (2011)</w:t>
      </w:r>
      <w:r>
        <w:rPr>
          <w:rFonts w:ascii="Arial Narrow" w:hAnsi="Arial Narrow"/>
          <w:lang w:val="en-US"/>
        </w:rPr>
        <w:t xml:space="preserve"> 75.</w:t>
      </w:r>
    </w:p>
  </w:footnote>
  <w:footnote w:id="116">
    <w:p w:rsidR="00C84BCB" w:rsidRPr="00B7187B" w:rsidRDefault="00C84BCB">
      <w:pPr>
        <w:pStyle w:val="Textodenotaderodap"/>
        <w:rPr>
          <w:rFonts w:ascii="Arial Narrow" w:hAnsi="Arial Narrow"/>
          <w:lang w:val="en-US"/>
        </w:rPr>
      </w:pPr>
      <w:r w:rsidRPr="00B7187B">
        <w:rPr>
          <w:rStyle w:val="Refdenotaderodap"/>
          <w:rFonts w:ascii="Arial Narrow" w:hAnsi="Arial Narrow"/>
        </w:rPr>
        <w:footnoteRef/>
      </w:r>
      <w:r w:rsidRPr="00B7187B">
        <w:rPr>
          <w:rFonts w:ascii="Arial Narrow" w:hAnsi="Arial Narrow"/>
          <w:lang w:val="en-US"/>
        </w:rPr>
        <w:t xml:space="preserve"> F. Engels (1959)</w:t>
      </w:r>
      <w:r>
        <w:rPr>
          <w:rFonts w:ascii="Arial Narrow" w:hAnsi="Arial Narrow"/>
          <w:lang w:val="en-US"/>
        </w:rPr>
        <w:t xml:space="preserve"> 219 e segs.</w:t>
      </w:r>
    </w:p>
  </w:footnote>
  <w:footnote w:id="117">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E296A">
        <w:rPr>
          <w:rFonts w:ascii="Arial Narrow" w:hAnsi="Arial Narrow"/>
          <w:lang w:val="en-US"/>
        </w:rPr>
        <w:t xml:space="preserve"> Th. Linehan (2000) 23-24, 25-27. </w:t>
      </w:r>
      <w:r w:rsidRPr="00F95336">
        <w:rPr>
          <w:rFonts w:ascii="Arial Narrow" w:hAnsi="Arial Narrow"/>
        </w:rPr>
        <w:t xml:space="preserve">E. Black (2003) 27 </w:t>
      </w:r>
      <w:r>
        <w:rPr>
          <w:rFonts w:ascii="Arial Narrow" w:hAnsi="Arial Narrow"/>
        </w:rPr>
        <w:t xml:space="preserve">considerou </w:t>
      </w:r>
      <w:r w:rsidRPr="00F95336">
        <w:rPr>
          <w:rFonts w:ascii="Arial Narrow" w:hAnsi="Arial Narrow"/>
        </w:rPr>
        <w:t>que Karl Pearson foi o mais importante discípulo de Galton. Todavia, convém saber que, segundo Edwin Black</w:t>
      </w:r>
      <w:r>
        <w:rPr>
          <w:rFonts w:ascii="Arial Narrow" w:hAnsi="Arial Narrow"/>
        </w:rPr>
        <w:t>,</w:t>
      </w:r>
      <w:r w:rsidRPr="00F95336">
        <w:rPr>
          <w:rFonts w:ascii="Arial Narrow" w:hAnsi="Arial Narrow"/>
        </w:rPr>
        <w:t xml:space="preserve"> </w:t>
      </w:r>
      <w:r w:rsidRPr="00B47D54">
        <w:rPr>
          <w:rFonts w:ascii="Arial Narrow" w:hAnsi="Arial Narrow"/>
        </w:rPr>
        <w:t>op. cit.,</w:t>
      </w:r>
      <w:r w:rsidRPr="00F95336">
        <w:rPr>
          <w:rFonts w:ascii="Arial Narrow" w:hAnsi="Arial Narrow"/>
        </w:rPr>
        <w:t xml:space="preserve"> 72, 99-100, 212-213 e 220, Pearson se opôs decididamente às pretensões dos eugenistas norte-americanos, o que não deve servir para negar o racismo de Pearson mas para salientar o extremismo racial alcançado nos Estados Unidos.</w:t>
      </w:r>
    </w:p>
  </w:footnote>
  <w:footnote w:id="118">
    <w:p w:rsidR="00C84BCB" w:rsidRPr="00CC781D" w:rsidRDefault="00C84BCB" w:rsidP="00CD12DC">
      <w:pPr>
        <w:pStyle w:val="Textodenotaderodap"/>
        <w:ind w:firstLine="708"/>
        <w:rPr>
          <w:rFonts w:ascii="Arial Narrow" w:hAnsi="Arial Narrow"/>
          <w:lang w:val="de-DE"/>
        </w:rPr>
      </w:pPr>
      <w:r w:rsidRPr="00F95336">
        <w:rPr>
          <w:rStyle w:val="Refdenotaderodap"/>
          <w:rFonts w:ascii="Arial Narrow" w:hAnsi="Arial Narrow"/>
        </w:rPr>
        <w:footnoteRef/>
      </w:r>
      <w:r w:rsidRPr="00CC781D">
        <w:rPr>
          <w:rFonts w:ascii="Arial Narrow" w:hAnsi="Arial Narrow"/>
          <w:lang w:val="de-DE"/>
        </w:rPr>
        <w:t xml:space="preserve"> Z. Sternhell (1978) 164.</w:t>
      </w:r>
    </w:p>
  </w:footnote>
  <w:footnote w:id="119">
    <w:p w:rsidR="00C84BCB" w:rsidRPr="00CC781D" w:rsidRDefault="00C84BCB" w:rsidP="00CD12DC">
      <w:pPr>
        <w:pStyle w:val="Textodenotaderodap"/>
        <w:rPr>
          <w:rFonts w:ascii="Arial Narrow" w:hAnsi="Arial Narrow"/>
          <w:lang w:val="de-DE"/>
        </w:rPr>
      </w:pPr>
      <w:r w:rsidRPr="00F95336">
        <w:rPr>
          <w:rStyle w:val="Refdenotaderodap"/>
          <w:rFonts w:ascii="Arial Narrow" w:hAnsi="Arial Narrow"/>
        </w:rPr>
        <w:footnoteRef/>
      </w:r>
      <w:r w:rsidRPr="00CC781D">
        <w:rPr>
          <w:rFonts w:ascii="Arial Narrow" w:hAnsi="Arial Narrow"/>
          <w:lang w:val="de-DE"/>
        </w:rPr>
        <w:t xml:space="preserve"> L. Poliakov (1971) 312.</w:t>
      </w:r>
    </w:p>
  </w:footnote>
  <w:footnote w:id="120">
    <w:p w:rsidR="00C84BCB" w:rsidRPr="00CC781D" w:rsidRDefault="00C84BCB" w:rsidP="00CD12DC">
      <w:pPr>
        <w:pStyle w:val="Textodenotaderodap"/>
        <w:ind w:firstLine="708"/>
        <w:rPr>
          <w:rFonts w:ascii="Arial Narrow" w:hAnsi="Arial Narrow"/>
          <w:lang w:val="de-DE"/>
        </w:rPr>
      </w:pPr>
      <w:r w:rsidRPr="00F95336">
        <w:rPr>
          <w:rStyle w:val="Refdenotaderodap"/>
          <w:rFonts w:ascii="Arial Narrow" w:hAnsi="Arial Narrow"/>
        </w:rPr>
        <w:footnoteRef/>
      </w:r>
      <w:r w:rsidRPr="00CC781D">
        <w:rPr>
          <w:rFonts w:ascii="Arial Narrow" w:hAnsi="Arial Narrow"/>
          <w:lang w:val="de-DE"/>
        </w:rPr>
        <w:t xml:space="preserve"> G. Lukács (1980) 694-697; Z. Sternhell (1978) 164-165.</w:t>
      </w:r>
    </w:p>
  </w:footnote>
  <w:footnote w:id="121">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C781D">
        <w:rPr>
          <w:rFonts w:ascii="Arial Narrow" w:hAnsi="Arial Narrow"/>
          <w:lang w:val="de-DE"/>
        </w:rPr>
        <w:t xml:space="preserve"> Acerca da influência de Woltmann sobre Lanz von Liebenfels ver A. Herman (1997) 138-139. </w:t>
      </w:r>
      <w:r w:rsidRPr="00F95336">
        <w:rPr>
          <w:rFonts w:ascii="Arial Narrow" w:hAnsi="Arial Narrow"/>
        </w:rPr>
        <w:t>Quanto à inluência que Lanz exerceu sobre Hitler ver J. P. Faye (1980) 518 e segs.</w:t>
      </w:r>
    </w:p>
  </w:footnote>
  <w:footnote w:id="122">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T. A. Jackson (1936) 399 classificou as teorias de Hyndman como uma «mistura ecléctica de lassalleanismo, democracia conservadora, patriotismo agressivo e declarações bombásticas». Mas talvez isto se </w:t>
      </w:r>
      <w:r>
        <w:rPr>
          <w:rFonts w:ascii="Arial Narrow" w:hAnsi="Arial Narrow"/>
        </w:rPr>
        <w:t>referisse</w:t>
      </w:r>
      <w:r w:rsidRPr="00F95336">
        <w:rPr>
          <w:rFonts w:ascii="Arial Narrow" w:hAnsi="Arial Narrow"/>
        </w:rPr>
        <w:t xml:space="preserve"> às posições que ele adopt</w:t>
      </w:r>
      <w:r>
        <w:rPr>
          <w:rFonts w:ascii="Arial Narrow" w:hAnsi="Arial Narrow"/>
        </w:rPr>
        <w:t>ara</w:t>
      </w:r>
      <w:r w:rsidRPr="00F95336">
        <w:rPr>
          <w:rFonts w:ascii="Arial Narrow" w:hAnsi="Arial Narrow"/>
        </w:rPr>
        <w:t xml:space="preserve"> a partir da primeira guerra mundial.</w:t>
      </w:r>
    </w:p>
  </w:footnote>
  <w:footnote w:id="12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G. Haupt et al. (1967) 24 n. 17.</w:t>
      </w:r>
    </w:p>
  </w:footnote>
  <w:footnote w:id="124">
    <w:p w:rsidR="00C84BCB" w:rsidRPr="00CC781D" w:rsidRDefault="00C84BCB" w:rsidP="00CD12DC">
      <w:pPr>
        <w:pStyle w:val="Textodenotaderodap"/>
        <w:rPr>
          <w:rFonts w:ascii="Arial Narrow" w:hAnsi="Arial Narrow"/>
          <w:lang w:val="de-DE"/>
        </w:rPr>
      </w:pPr>
      <w:r w:rsidRPr="00F95336">
        <w:rPr>
          <w:rStyle w:val="Refdenotaderodap"/>
          <w:rFonts w:ascii="Arial Narrow" w:hAnsi="Arial Narrow"/>
        </w:rPr>
        <w:footnoteRef/>
      </w:r>
      <w:r w:rsidRPr="00F95336">
        <w:rPr>
          <w:rFonts w:ascii="Arial Narrow" w:hAnsi="Arial Narrow"/>
        </w:rPr>
        <w:t xml:space="preserve"> Citada em id., ibid., 24. </w:t>
      </w:r>
      <w:r w:rsidRPr="00CC781D">
        <w:rPr>
          <w:rFonts w:ascii="Arial Narrow" w:hAnsi="Arial Narrow"/>
          <w:lang w:val="de-DE"/>
        </w:rPr>
        <w:t>Ver igualmente F. Tichelman (1967) 237.</w:t>
      </w:r>
    </w:p>
  </w:footnote>
  <w:footnote w:id="125">
    <w:p w:rsidR="00C84BCB" w:rsidRPr="00CC781D" w:rsidRDefault="00C84BCB" w:rsidP="00CD12DC">
      <w:pPr>
        <w:pStyle w:val="Textodenotaderodap"/>
        <w:rPr>
          <w:rFonts w:ascii="Arial Narrow" w:hAnsi="Arial Narrow"/>
          <w:lang w:val="de-DE"/>
        </w:rPr>
      </w:pPr>
      <w:r w:rsidRPr="00F95336">
        <w:rPr>
          <w:rStyle w:val="Refdenotaderodap"/>
          <w:rFonts w:ascii="Arial Narrow" w:hAnsi="Arial Narrow"/>
        </w:rPr>
        <w:footnoteRef/>
      </w:r>
      <w:r w:rsidRPr="00CC781D">
        <w:rPr>
          <w:rFonts w:ascii="Arial Narrow" w:hAnsi="Arial Narrow"/>
          <w:lang w:val="de-DE"/>
        </w:rPr>
        <w:t xml:space="preserve"> F. Tichelman (1967) 235.</w:t>
      </w:r>
    </w:p>
  </w:footnote>
  <w:footnote w:id="126">
    <w:p w:rsidR="00C84BCB" w:rsidRPr="00CC781D" w:rsidRDefault="00C84BCB" w:rsidP="00CD12DC">
      <w:pPr>
        <w:pStyle w:val="Textodenotaderodap"/>
        <w:ind w:firstLine="708"/>
        <w:rPr>
          <w:rFonts w:ascii="Arial Narrow" w:hAnsi="Arial Narrow"/>
          <w:lang w:val="de-DE"/>
        </w:rPr>
      </w:pPr>
      <w:r w:rsidRPr="00F95336">
        <w:rPr>
          <w:rStyle w:val="Refdenotaderodap"/>
          <w:rFonts w:ascii="Arial Narrow" w:hAnsi="Arial Narrow"/>
        </w:rPr>
        <w:footnoteRef/>
      </w:r>
      <w:r w:rsidRPr="00CC781D">
        <w:rPr>
          <w:rFonts w:ascii="Arial Narrow" w:hAnsi="Arial Narrow"/>
          <w:lang w:val="de-DE"/>
        </w:rPr>
        <w:t xml:space="preserve"> S. Kühl (1994) 24; A. Pichot (2000) 177 e segs.</w:t>
      </w:r>
    </w:p>
  </w:footnote>
  <w:footnote w:id="127">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C781D">
        <w:rPr>
          <w:rFonts w:ascii="Arial Narrow" w:hAnsi="Arial Narrow"/>
          <w:lang w:val="de-DE"/>
        </w:rPr>
        <w:t xml:space="preserve"> G. Haupt et al. </w:t>
      </w:r>
      <w:r w:rsidRPr="00F95336">
        <w:rPr>
          <w:rFonts w:ascii="Arial Narrow" w:hAnsi="Arial Narrow"/>
        </w:rPr>
        <w:t>(1967) 21.</w:t>
      </w:r>
    </w:p>
  </w:footnote>
  <w:footnote w:id="12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G. Arfe (1967) 205-206. Não confundir Antonio Labriola, filósofo marxista, com o sindicalista revolucionário Arturo Labriola, também ele um activo promotor do colonialismo socialista.</w:t>
      </w:r>
    </w:p>
  </w:footnote>
  <w:footnote w:id="129">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Estas citações encontram-se em M. Steinberg (1967) 119. Mesmo com excelentes vísceras, nem todos </w:t>
      </w:r>
      <w:r>
        <w:rPr>
          <w:rFonts w:ascii="Arial Narrow" w:hAnsi="Arial Narrow"/>
        </w:rPr>
        <w:t xml:space="preserve">se deixaram </w:t>
      </w:r>
      <w:r w:rsidRPr="00F95336">
        <w:rPr>
          <w:rFonts w:ascii="Arial Narrow" w:hAnsi="Arial Narrow"/>
        </w:rPr>
        <w:t>seduzi</w:t>
      </w:r>
      <w:r>
        <w:rPr>
          <w:rFonts w:ascii="Arial Narrow" w:hAnsi="Arial Narrow"/>
        </w:rPr>
        <w:t>r</w:t>
      </w:r>
      <w:r w:rsidRPr="00F95336">
        <w:rPr>
          <w:rFonts w:ascii="Arial Narrow" w:hAnsi="Arial Narrow"/>
        </w:rPr>
        <w:t xml:space="preserve"> pelo apelo. «Num congresso extraordinário do Partido Operário Belga, Vandervelde, jovem ainda, magro, moreno, com muita garra, preconizava a anexação do Congo. Nós levantámo-nos, protestando, e saímos da sala com gestos veementes». «Nós» eram alguns adolescentes das juventudes socialistas com simpatia pelo anarquismo, como record</w:t>
      </w:r>
      <w:r>
        <w:rPr>
          <w:rFonts w:ascii="Arial Narrow" w:hAnsi="Arial Narrow"/>
        </w:rPr>
        <w:t>ou</w:t>
      </w:r>
      <w:r w:rsidRPr="00F95336">
        <w:rPr>
          <w:rFonts w:ascii="Arial Narrow" w:hAnsi="Arial Narrow"/>
        </w:rPr>
        <w:t xml:space="preserve"> Victor Serge nas </w:t>
      </w:r>
      <w:r w:rsidRPr="00F95336">
        <w:rPr>
          <w:rFonts w:ascii="Arial Narrow" w:hAnsi="Arial Narrow"/>
          <w:i/>
        </w:rPr>
        <w:t>Mémoires d’un Révolutionnaire, 1905-1941,</w:t>
      </w:r>
      <w:r w:rsidRPr="00F95336">
        <w:rPr>
          <w:rFonts w:ascii="Arial Narrow" w:hAnsi="Arial Narrow"/>
        </w:rPr>
        <w:t xml:space="preserve"> em J. Rière et al. (orgs. 2001) 510.</w:t>
      </w:r>
    </w:p>
  </w:footnote>
  <w:footnote w:id="130">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M. Steinberg (1967) 120.</w:t>
      </w:r>
    </w:p>
  </w:footnote>
  <w:footnote w:id="131">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M. Rebérioux (1967) 150.</w:t>
      </w:r>
    </w:p>
  </w:footnote>
  <w:footnote w:id="132">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F. Tichelman (1967) 229-230, 233-235.</w:t>
      </w:r>
    </w:p>
  </w:footnote>
  <w:footnote w:id="13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L. Blum (1945) 105-106.</w:t>
      </w:r>
    </w:p>
  </w:footnote>
  <w:footnote w:id="134">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D. Ligou (1962) 78-84. A citação encontra-se na pág. 80.</w:t>
      </w:r>
    </w:p>
  </w:footnote>
  <w:footnote w:id="13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I. Petit (1967) 95. Ver também F. Tichelman (1967) 240. Bernstein usou uma fórmula quase idêntica num artigo publicado nesse mesmo ano. Ver Irène Petit, </w:t>
      </w:r>
      <w:r w:rsidRPr="008B5973">
        <w:rPr>
          <w:rFonts w:ascii="Arial Narrow" w:hAnsi="Arial Narrow"/>
        </w:rPr>
        <w:t>op. cit.,</w:t>
      </w:r>
      <w:r w:rsidRPr="00F95336">
        <w:rPr>
          <w:rFonts w:ascii="Arial Narrow" w:hAnsi="Arial Narrow"/>
        </w:rPr>
        <w:t xml:space="preserve"> 82.</w:t>
      </w:r>
    </w:p>
  </w:footnote>
  <w:footnote w:id="136">
    <w:p w:rsidR="00C84BCB" w:rsidRPr="00CD12D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F95336">
        <w:rPr>
          <w:rFonts w:ascii="Arial Narrow" w:hAnsi="Arial Narrow"/>
        </w:rPr>
        <w:t xml:space="preserve"> Esta frase de Engels, juntamente com a argumentação a que recorreu naquele caso, encontra-se reproduzida em P. W. Blackstock et al. </w:t>
      </w:r>
      <w:r w:rsidRPr="00CD12DC">
        <w:rPr>
          <w:rFonts w:ascii="Arial Narrow" w:hAnsi="Arial Narrow"/>
          <w:lang w:val="en-US"/>
        </w:rPr>
        <w:t>(orgs. 1952) 71 e R. Rosdolsky (1980) 161.</w:t>
      </w:r>
    </w:p>
  </w:footnote>
  <w:footnote w:id="137">
    <w:p w:rsidR="00C84BCB" w:rsidRPr="00CD12DC" w:rsidRDefault="00C84BCB" w:rsidP="00CD12DC">
      <w:pPr>
        <w:pStyle w:val="Textodenotaderodap"/>
        <w:ind w:firstLine="708"/>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R. Dangeville (org. 1970) 631-632 n. 72.</w:t>
      </w:r>
    </w:p>
  </w:footnote>
  <w:footnote w:id="13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D12DC">
        <w:rPr>
          <w:rFonts w:ascii="Arial Narrow" w:hAnsi="Arial Narrow"/>
          <w:lang w:val="en-US"/>
        </w:rPr>
        <w:t xml:space="preserve"> G. Haupt et al. </w:t>
      </w:r>
      <w:r w:rsidRPr="00F95336">
        <w:rPr>
          <w:rFonts w:ascii="Arial Narrow" w:hAnsi="Arial Narrow"/>
        </w:rPr>
        <w:t>(1967) 33; I. Petit (1967) 95.</w:t>
      </w:r>
    </w:p>
  </w:footnote>
  <w:footnote w:id="139">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Reproduzido em I. Petit (1967) 96.</w:t>
      </w:r>
    </w:p>
  </w:footnote>
  <w:footnote w:id="140">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G. Haupt et al. (1967) 30 e I. Petit (1967) 95. Ver ainda F. Tichelman (1967) 239-240.</w:t>
      </w:r>
    </w:p>
  </w:footnote>
  <w:footnote w:id="141">
    <w:p w:rsidR="00C84BCB" w:rsidRPr="00061B3C" w:rsidRDefault="00C84BCB" w:rsidP="00CD12DC">
      <w:pPr>
        <w:pStyle w:val="Textodenotaderodap"/>
        <w:ind w:firstLine="708"/>
        <w:rPr>
          <w:rFonts w:ascii="Arial Narrow" w:hAnsi="Arial Narrow"/>
          <w:lang w:val="en-US"/>
        </w:rPr>
      </w:pPr>
      <w:r w:rsidRPr="00F95336">
        <w:rPr>
          <w:rStyle w:val="Refdenotaderodap"/>
          <w:rFonts w:ascii="Arial Narrow" w:hAnsi="Arial Narrow"/>
        </w:rPr>
        <w:footnoteRef/>
      </w:r>
      <w:r w:rsidRPr="00F95336">
        <w:rPr>
          <w:rFonts w:ascii="Arial Narrow" w:hAnsi="Arial Narrow"/>
        </w:rPr>
        <w:t xml:space="preserve"> Citado em D. Ligou (1962) 221. Acerca das posições anticolonialistas de Jules Guesde ver </w:t>
      </w:r>
      <w:r>
        <w:rPr>
          <w:rFonts w:ascii="Arial Narrow" w:hAnsi="Arial Narrow"/>
        </w:rPr>
        <w:t xml:space="preserve">as págs. </w:t>
      </w:r>
      <w:r w:rsidRPr="00061B3C">
        <w:rPr>
          <w:rFonts w:ascii="Arial Narrow" w:hAnsi="Arial Narrow"/>
          <w:lang w:val="en-US"/>
        </w:rPr>
        <w:t>55-56.</w:t>
      </w:r>
    </w:p>
  </w:footnote>
  <w:footnote w:id="142">
    <w:p w:rsidR="00C84BCB" w:rsidRPr="00CC781D" w:rsidRDefault="00C84BCB" w:rsidP="00CD12DC">
      <w:pPr>
        <w:pStyle w:val="Textodenotaderodap"/>
        <w:rPr>
          <w:rFonts w:ascii="Arial Narrow" w:hAnsi="Arial Narrow"/>
          <w:lang w:val="de-DE"/>
        </w:rPr>
      </w:pPr>
      <w:r w:rsidRPr="00F95336">
        <w:rPr>
          <w:rStyle w:val="Refdenotaderodap"/>
          <w:rFonts w:ascii="Arial Narrow" w:hAnsi="Arial Narrow"/>
        </w:rPr>
        <w:footnoteRef/>
      </w:r>
      <w:r w:rsidRPr="00CC781D">
        <w:rPr>
          <w:rFonts w:ascii="Arial Narrow" w:hAnsi="Arial Narrow"/>
          <w:lang w:val="de-DE"/>
        </w:rPr>
        <w:t xml:space="preserve"> F. Tichelman (1967) 240.</w:t>
      </w:r>
    </w:p>
  </w:footnote>
  <w:footnote w:id="143">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de-DE"/>
        </w:rPr>
        <w:t xml:space="preserve"> G. Haupt et al. </w:t>
      </w:r>
      <w:r w:rsidRPr="00CC781D">
        <w:rPr>
          <w:rFonts w:ascii="Arial Narrow" w:hAnsi="Arial Narrow"/>
          <w:lang w:val="en-GB"/>
        </w:rPr>
        <w:t xml:space="preserve">(1967) 30; </w:t>
      </w:r>
      <w:smartTag w:uri="urn:schemas-microsoft-com:office:smarttags" w:element="place">
        <w:r w:rsidRPr="00CC781D">
          <w:rPr>
            <w:rFonts w:ascii="Arial Narrow" w:hAnsi="Arial Narrow"/>
            <w:lang w:val="en-GB"/>
          </w:rPr>
          <w:t>I.</w:t>
        </w:r>
      </w:smartTag>
      <w:r w:rsidRPr="00CC781D">
        <w:rPr>
          <w:rFonts w:ascii="Arial Narrow" w:hAnsi="Arial Narrow"/>
          <w:lang w:val="en-GB"/>
        </w:rPr>
        <w:t xml:space="preserve"> Petit (1967) 87 n. 16.</w:t>
      </w:r>
    </w:p>
  </w:footnote>
  <w:footnote w:id="144">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 Z. Laqueur (1965) 157.</w:t>
      </w:r>
    </w:p>
  </w:footnote>
  <w:footnote w:id="145">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Uma exposição das teses de Corradini encontra-se em </w:t>
      </w:r>
      <w:r w:rsidRPr="00C06422">
        <w:rPr>
          <w:rFonts w:ascii="Arial Narrow" w:hAnsi="Arial Narrow"/>
        </w:rPr>
        <w:t xml:space="preserve">A. J. Gregor (2005) 56-72, </w:t>
      </w:r>
      <w:r>
        <w:rPr>
          <w:rFonts w:ascii="Arial Narrow" w:hAnsi="Arial Narrow"/>
        </w:rPr>
        <w:t xml:space="preserve">J. Ploncard d’Assac (1971) 91-101 e </w:t>
      </w:r>
      <w:r w:rsidRPr="00F95336">
        <w:rPr>
          <w:rFonts w:ascii="Arial Narrow" w:hAnsi="Arial Narrow"/>
        </w:rPr>
        <w:t>S. Saladino (1965) 233-235</w:t>
      </w:r>
      <w:r>
        <w:rPr>
          <w:rFonts w:ascii="Arial Narrow" w:hAnsi="Arial Narrow"/>
        </w:rPr>
        <w:t>,</w:t>
      </w:r>
      <w:r w:rsidRPr="00F95336">
        <w:rPr>
          <w:rFonts w:ascii="Arial Narrow" w:hAnsi="Arial Narrow"/>
        </w:rPr>
        <w:t xml:space="preserve"> 237-238. Segundo A. Lyttelton (1982) 27-28 e 31, foi na obra do poeta Giovanni Pascoli que ele encontrou a imagem da Itália como «nação proletária». Mas o que </w:t>
      </w:r>
      <w:r>
        <w:rPr>
          <w:rFonts w:ascii="Arial Narrow" w:hAnsi="Arial Narrow"/>
        </w:rPr>
        <w:t>me</w:t>
      </w:r>
      <w:r w:rsidRPr="00F95336">
        <w:rPr>
          <w:rFonts w:ascii="Arial Narrow" w:hAnsi="Arial Narrow"/>
        </w:rPr>
        <w:t xml:space="preserve"> interessa aqui é o conceito político, não a expressão literária.</w:t>
      </w:r>
    </w:p>
  </w:footnote>
  <w:footnote w:id="146">
    <w:p w:rsidR="00C84BCB" w:rsidRPr="004849BF" w:rsidRDefault="00C84BCB" w:rsidP="00CD12DC">
      <w:pPr>
        <w:pStyle w:val="Textodenotaderodap"/>
        <w:rPr>
          <w:rFonts w:ascii="Arial Narrow" w:hAnsi="Arial Narrow"/>
        </w:rPr>
      </w:pPr>
      <w:r w:rsidRPr="004849BF">
        <w:rPr>
          <w:rStyle w:val="Refdenotaderodap"/>
          <w:rFonts w:ascii="Arial Narrow" w:hAnsi="Arial Narrow"/>
        </w:rPr>
        <w:footnoteRef/>
      </w:r>
      <w:r w:rsidRPr="004849BF">
        <w:rPr>
          <w:rFonts w:ascii="Arial Narrow" w:hAnsi="Arial Narrow"/>
        </w:rPr>
        <w:t xml:space="preserve"> </w:t>
      </w:r>
      <w:r>
        <w:rPr>
          <w:rFonts w:ascii="Arial Narrow" w:hAnsi="Arial Narrow"/>
        </w:rPr>
        <w:t>J. Ploncard d’Assac (1971) 96 chamou a atenção para a influência que a obra de Nietzsche exerceu sobre Corradini.</w:t>
      </w:r>
    </w:p>
  </w:footnote>
  <w:footnote w:id="147">
    <w:p w:rsidR="00C84BCB" w:rsidRPr="00302038" w:rsidRDefault="00C84BCB" w:rsidP="00CD12DC">
      <w:pPr>
        <w:pStyle w:val="Textodenotaderodap"/>
        <w:rPr>
          <w:rFonts w:ascii="Arial Narrow" w:hAnsi="Arial Narrow"/>
        </w:rPr>
      </w:pPr>
      <w:r w:rsidRPr="00302038">
        <w:rPr>
          <w:rStyle w:val="Refdenotaderodap"/>
          <w:rFonts w:ascii="Arial Narrow" w:hAnsi="Arial Narrow"/>
        </w:rPr>
        <w:footnoteRef/>
      </w:r>
      <w:r w:rsidRPr="00302038">
        <w:rPr>
          <w:rFonts w:ascii="Arial Narrow" w:hAnsi="Arial Narrow"/>
        </w:rPr>
        <w:t xml:space="preserve"> </w:t>
      </w:r>
      <w:r>
        <w:rPr>
          <w:rFonts w:ascii="Arial Narrow" w:hAnsi="Arial Narrow"/>
        </w:rPr>
        <w:t>Citado em id., ibid., 98.</w:t>
      </w:r>
    </w:p>
  </w:footnote>
  <w:footnote w:id="14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Z. Sternhell et al. (1994) 10.</w:t>
      </w:r>
      <w:r>
        <w:rPr>
          <w:rFonts w:ascii="Arial Narrow" w:hAnsi="Arial Narrow"/>
        </w:rPr>
        <w:t xml:space="preserve"> Ver também </w:t>
      </w:r>
      <w:r w:rsidRPr="00C06422">
        <w:rPr>
          <w:rFonts w:ascii="Arial Narrow" w:hAnsi="Arial Narrow"/>
        </w:rPr>
        <w:t>A. J. Gregor (2005) 59-61.</w:t>
      </w:r>
    </w:p>
  </w:footnote>
  <w:footnote w:id="149">
    <w:p w:rsidR="00C84BCB" w:rsidRPr="006F310C" w:rsidRDefault="00C84BCB" w:rsidP="00CD12DC">
      <w:pPr>
        <w:pStyle w:val="Textodenotaderodap"/>
        <w:rPr>
          <w:rFonts w:ascii="Arial Narrow" w:hAnsi="Arial Narrow"/>
        </w:rPr>
      </w:pPr>
      <w:r w:rsidRPr="006F310C">
        <w:rPr>
          <w:rStyle w:val="Refdenotaderodap"/>
          <w:rFonts w:ascii="Arial Narrow" w:hAnsi="Arial Narrow"/>
        </w:rPr>
        <w:footnoteRef/>
      </w:r>
      <w:r w:rsidRPr="006F310C">
        <w:rPr>
          <w:rFonts w:ascii="Arial Narrow" w:hAnsi="Arial Narrow"/>
        </w:rPr>
        <w:t xml:space="preserve"> </w:t>
      </w:r>
      <w:r>
        <w:rPr>
          <w:rFonts w:ascii="Arial Narrow" w:hAnsi="Arial Narrow"/>
        </w:rPr>
        <w:t>Citado em J. Ploncard d’Assac (1971) 100.</w:t>
      </w:r>
    </w:p>
  </w:footnote>
  <w:footnote w:id="150">
    <w:p w:rsidR="00C84BCB" w:rsidRPr="00352EA6" w:rsidRDefault="00C84BCB">
      <w:pPr>
        <w:pStyle w:val="Textodenotaderodap"/>
        <w:rPr>
          <w:rFonts w:ascii="Arial Narrow" w:hAnsi="Arial Narrow"/>
        </w:rPr>
      </w:pPr>
      <w:r w:rsidRPr="00352EA6">
        <w:rPr>
          <w:rStyle w:val="Refdenotaderodap"/>
          <w:rFonts w:ascii="Arial Narrow" w:hAnsi="Arial Narrow"/>
        </w:rPr>
        <w:footnoteRef/>
      </w:r>
      <w:r w:rsidRPr="00352EA6">
        <w:rPr>
          <w:rFonts w:ascii="Arial Narrow" w:hAnsi="Arial Narrow"/>
        </w:rPr>
        <w:t xml:space="preserve"> </w:t>
      </w:r>
      <w:r w:rsidRPr="00C06422">
        <w:rPr>
          <w:rFonts w:ascii="Arial Narrow" w:hAnsi="Arial Narrow"/>
        </w:rPr>
        <w:t>A. J. Gregor (2005) 67-69.</w:t>
      </w:r>
    </w:p>
  </w:footnote>
  <w:footnote w:id="151">
    <w:p w:rsidR="00C84BCB" w:rsidRPr="00C8731F" w:rsidRDefault="00C84BCB" w:rsidP="00CD12DC">
      <w:pPr>
        <w:pStyle w:val="Textodenotaderodap"/>
        <w:rPr>
          <w:rFonts w:ascii="Arial Narrow" w:hAnsi="Arial Narrow"/>
          <w:lang w:val="it-CH"/>
        </w:rPr>
      </w:pPr>
      <w:r w:rsidRPr="00F95336">
        <w:rPr>
          <w:rStyle w:val="Refdenotaderodap"/>
          <w:rFonts w:ascii="Arial Narrow" w:hAnsi="Arial Narrow"/>
        </w:rPr>
        <w:footnoteRef/>
      </w:r>
      <w:r w:rsidRPr="00F95336">
        <w:rPr>
          <w:rFonts w:ascii="Arial Narrow" w:hAnsi="Arial Narrow"/>
        </w:rPr>
        <w:t xml:space="preserve"> Citado em </w:t>
      </w:r>
      <w:r w:rsidRPr="006F310C">
        <w:rPr>
          <w:rFonts w:ascii="Arial Narrow" w:hAnsi="Arial Narrow"/>
        </w:rPr>
        <w:t xml:space="preserve">Z. Sternhell et al. </w:t>
      </w:r>
      <w:r w:rsidRPr="00C8731F">
        <w:rPr>
          <w:rFonts w:ascii="Arial Narrow" w:hAnsi="Arial Narrow"/>
          <w:lang w:val="it-CH"/>
        </w:rPr>
        <w:t>(1994) 164.</w:t>
      </w:r>
    </w:p>
  </w:footnote>
  <w:footnote w:id="152">
    <w:p w:rsidR="00C84BCB" w:rsidRPr="00C8731F" w:rsidRDefault="00C84BCB" w:rsidP="00CD12DC">
      <w:pPr>
        <w:pStyle w:val="Textodenotaderodap"/>
        <w:rPr>
          <w:rFonts w:ascii="Arial Narrow" w:hAnsi="Arial Narrow"/>
          <w:lang w:val="it-CH"/>
        </w:rPr>
      </w:pPr>
      <w:r w:rsidRPr="00F95336">
        <w:rPr>
          <w:rStyle w:val="Refdenotaderodap"/>
          <w:rFonts w:ascii="Arial Narrow" w:hAnsi="Arial Narrow"/>
        </w:rPr>
        <w:footnoteRef/>
      </w:r>
      <w:r w:rsidRPr="00C8731F">
        <w:rPr>
          <w:rFonts w:ascii="Arial Narrow" w:hAnsi="Arial Narrow"/>
          <w:lang w:val="it-CH"/>
        </w:rPr>
        <w:t xml:space="preserve"> J. </w:t>
      </w:r>
      <w:r>
        <w:rPr>
          <w:rFonts w:ascii="Arial Narrow" w:hAnsi="Arial Narrow"/>
          <w:lang w:val="it-CH"/>
        </w:rPr>
        <w:t xml:space="preserve">Ploncard d’Assac (1971) 91, 93, 95; </w:t>
      </w:r>
      <w:r w:rsidRPr="00C8731F">
        <w:rPr>
          <w:rFonts w:ascii="Arial Narrow" w:hAnsi="Arial Narrow"/>
          <w:lang w:val="it-CH"/>
        </w:rPr>
        <w:t>S. Saladino (1965) 237.</w:t>
      </w:r>
    </w:p>
  </w:footnote>
  <w:footnote w:id="153">
    <w:p w:rsidR="00C84BCB" w:rsidRPr="00C8731F" w:rsidRDefault="00C84BCB" w:rsidP="00CD12DC">
      <w:pPr>
        <w:pStyle w:val="Textodenotaderodap"/>
        <w:rPr>
          <w:rFonts w:ascii="Arial Narrow" w:hAnsi="Arial Narrow"/>
          <w:lang w:val="it-CH"/>
        </w:rPr>
      </w:pPr>
      <w:r w:rsidRPr="00F95336">
        <w:rPr>
          <w:rStyle w:val="Refdenotaderodap"/>
          <w:rFonts w:ascii="Arial Narrow" w:hAnsi="Arial Narrow"/>
        </w:rPr>
        <w:footnoteRef/>
      </w:r>
      <w:r w:rsidRPr="00C8731F">
        <w:rPr>
          <w:rFonts w:ascii="Arial Narrow" w:hAnsi="Arial Narrow"/>
          <w:lang w:val="it-CH"/>
        </w:rPr>
        <w:t xml:space="preserve"> E. Santarelli (1981) I 6 n. 1.</w:t>
      </w:r>
    </w:p>
  </w:footnote>
  <w:footnote w:id="154">
    <w:p w:rsidR="00C84BCB" w:rsidRPr="00C8731F" w:rsidRDefault="00C84BCB" w:rsidP="00CD12DC">
      <w:pPr>
        <w:pStyle w:val="Textodenotaderodap"/>
        <w:rPr>
          <w:rFonts w:ascii="Arial Narrow" w:hAnsi="Arial Narrow"/>
          <w:lang w:val="it-CH"/>
        </w:rPr>
      </w:pPr>
      <w:r w:rsidRPr="00F95336">
        <w:rPr>
          <w:rStyle w:val="Refdenotaderodap"/>
          <w:rFonts w:ascii="Arial Narrow" w:hAnsi="Arial Narrow"/>
        </w:rPr>
        <w:footnoteRef/>
      </w:r>
      <w:r w:rsidRPr="00C8731F">
        <w:rPr>
          <w:rFonts w:ascii="Arial Narrow" w:hAnsi="Arial Narrow"/>
          <w:lang w:val="it-CH"/>
        </w:rPr>
        <w:t xml:space="preserve"> G. Bortolotto (1938) 222; A. Lyttelton (1982) 31; P. Milza (1999) 46.</w:t>
      </w:r>
    </w:p>
  </w:footnote>
  <w:footnote w:id="155">
    <w:p w:rsidR="00C84BCB" w:rsidRPr="00CD12DC" w:rsidRDefault="00C84BCB" w:rsidP="00CD12DC">
      <w:pPr>
        <w:pStyle w:val="Textodenotaderodap"/>
        <w:rPr>
          <w:rFonts w:ascii="Arial Narrow" w:hAnsi="Arial Narrow"/>
        </w:rPr>
      </w:pPr>
      <w:r w:rsidRPr="00F95336">
        <w:rPr>
          <w:rStyle w:val="Refdenotaderodap"/>
          <w:rFonts w:ascii="Arial Narrow" w:hAnsi="Arial Narrow"/>
        </w:rPr>
        <w:footnoteRef/>
      </w:r>
      <w:r w:rsidRPr="00C8731F">
        <w:rPr>
          <w:rFonts w:ascii="Arial Narrow" w:hAnsi="Arial Narrow"/>
          <w:lang w:val="it-CH"/>
        </w:rPr>
        <w:t xml:space="preserve"> E. Santarelli (198</w:t>
      </w:r>
      <w:r w:rsidRPr="00CD12DC">
        <w:rPr>
          <w:rFonts w:ascii="Arial Narrow" w:hAnsi="Arial Narrow"/>
        </w:rPr>
        <w:t>1) I 12.</w:t>
      </w:r>
    </w:p>
  </w:footnote>
  <w:footnote w:id="156">
    <w:p w:rsidR="00C84BCB" w:rsidRPr="00CD12DC" w:rsidRDefault="00C84BCB" w:rsidP="00CD12DC">
      <w:pPr>
        <w:pStyle w:val="Textodenotaderodap"/>
        <w:rPr>
          <w:rFonts w:ascii="Arial Narrow" w:hAnsi="Arial Narrow"/>
        </w:rPr>
      </w:pPr>
      <w:r w:rsidRPr="00F95336">
        <w:rPr>
          <w:rStyle w:val="Refdenotaderodap"/>
          <w:rFonts w:ascii="Arial Narrow" w:hAnsi="Arial Narrow"/>
        </w:rPr>
        <w:footnoteRef/>
      </w:r>
      <w:r w:rsidRPr="00CD12DC">
        <w:rPr>
          <w:rFonts w:ascii="Arial Narrow" w:hAnsi="Arial Narrow"/>
        </w:rPr>
        <w:t xml:space="preserve"> Id., ibid., I 29-30.</w:t>
      </w:r>
    </w:p>
  </w:footnote>
  <w:footnote w:id="157">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F. Neumann (1943) 226.</w:t>
      </w:r>
      <w:r>
        <w:rPr>
          <w:rFonts w:ascii="Arial Narrow" w:hAnsi="Arial Narrow"/>
        </w:rPr>
        <w:t xml:space="preserve"> </w:t>
      </w:r>
      <w:r w:rsidRPr="00F95336">
        <w:rPr>
          <w:rFonts w:ascii="Arial Narrow" w:hAnsi="Arial Narrow"/>
        </w:rPr>
        <w:t>Giovanni Papini afirm</w:t>
      </w:r>
      <w:r>
        <w:rPr>
          <w:rFonts w:ascii="Arial Narrow" w:hAnsi="Arial Narrow"/>
        </w:rPr>
        <w:t>ou</w:t>
      </w:r>
      <w:r w:rsidRPr="00F95336">
        <w:rPr>
          <w:rFonts w:ascii="Arial Narrow" w:hAnsi="Arial Narrow"/>
        </w:rPr>
        <w:t xml:space="preserve"> ter sido ele, e não Corradini, o primeiro a apresentar esta orientação, num discurso proferido em 1904. Ver a este respeito E. Santarelli (1981) I 34 n. 1. Com justiça ou sem ela, porém, na vida política, tal como no âmbito da técnica, os inventores são quem fornece às ideias os meios práticos da sua realização, e o literato Papini, que jamais conseguiu ser um político eficaz, não podia competir com Corradini, o literato convertido em chefe político. De qualquer forma, parece-me que ambos estavam então demasiado próximos para que possamos definir com exactidão o que pertencia a cada um e o que lhes era comum, já que Papini, como indic</w:t>
      </w:r>
      <w:r>
        <w:rPr>
          <w:rFonts w:ascii="Arial Narrow" w:hAnsi="Arial Narrow"/>
        </w:rPr>
        <w:t>ou</w:t>
      </w:r>
      <w:r w:rsidRPr="00F95336">
        <w:rPr>
          <w:rFonts w:ascii="Arial Narrow" w:hAnsi="Arial Narrow"/>
        </w:rPr>
        <w:t xml:space="preserve"> S. Saladino (1965) 231, era o chefe de redacção do periódico dirigido por Corradini, desde a sua fundação em 1903 até ao seu termo menos de três anos depois. Não deixa, todavia, de ser interessante ler em id., ibid., 231-233 que, segundo um dos mais próximos associados de Papini, a extinção do jornal ter-se-ia devido à incompatibilidade entre os furores utópicos e líricos de Corradini e as preocupações práticas de Papini, que nessa época estaria sobretudo interessado pelos aspectos socioeconómicos do socialismo e admitiria mesmo a implantação de um regime de base sindicalista. A ser verdade, que estranha inversão de papéis! Mas P. Milza (1999) 113 apresent</w:t>
      </w:r>
      <w:r>
        <w:rPr>
          <w:rFonts w:ascii="Arial Narrow" w:hAnsi="Arial Narrow"/>
        </w:rPr>
        <w:t>ou</w:t>
      </w:r>
      <w:r w:rsidRPr="00F95336">
        <w:rPr>
          <w:rFonts w:ascii="Arial Narrow" w:hAnsi="Arial Narrow"/>
        </w:rPr>
        <w:t xml:space="preserve"> a questão sob a luz oposta e pretende</w:t>
      </w:r>
      <w:r>
        <w:rPr>
          <w:rFonts w:ascii="Arial Narrow" w:hAnsi="Arial Narrow"/>
        </w:rPr>
        <w:t>u</w:t>
      </w:r>
      <w:r w:rsidRPr="00F95336">
        <w:rPr>
          <w:rFonts w:ascii="Arial Narrow" w:hAnsi="Arial Narrow"/>
        </w:rPr>
        <w:t xml:space="preserve"> que os intelectuais que circulavam em torno de Papini e de Giuseppe Prezzolini defendiam a primazia das forças espirituais e da missão civilizadora da Itália, e por isso se opunham a Corradini.</w:t>
      </w:r>
    </w:p>
  </w:footnote>
  <w:footnote w:id="158">
    <w:p w:rsidR="00C84BCB" w:rsidRPr="00CD12DC" w:rsidRDefault="00C84BCB" w:rsidP="00CD12DC">
      <w:pPr>
        <w:pStyle w:val="Textodenotaderodap"/>
        <w:rPr>
          <w:rFonts w:ascii="Arial Narrow" w:hAnsi="Arial Narrow"/>
        </w:rPr>
      </w:pPr>
      <w:r w:rsidRPr="00F95336">
        <w:rPr>
          <w:rStyle w:val="Refdenotaderodap"/>
          <w:rFonts w:ascii="Arial Narrow" w:hAnsi="Arial Narrow"/>
        </w:rPr>
        <w:footnoteRef/>
      </w:r>
      <w:r w:rsidRPr="003F7A66">
        <w:rPr>
          <w:rFonts w:ascii="Arial Narrow" w:hAnsi="Arial Narrow"/>
          <w:lang w:val="fr-FR"/>
        </w:rPr>
        <w:t xml:space="preserve"> J. Ploncard d’Assac (1971) </w:t>
      </w:r>
      <w:r>
        <w:rPr>
          <w:rFonts w:ascii="Arial Narrow" w:hAnsi="Arial Narrow"/>
          <w:lang w:val="fr-FR"/>
        </w:rPr>
        <w:t>32</w:t>
      </w:r>
      <w:r w:rsidRPr="003F7A66">
        <w:rPr>
          <w:rFonts w:ascii="Arial Narrow" w:hAnsi="Arial Narrow"/>
          <w:lang w:val="fr-FR"/>
        </w:rPr>
        <w:t xml:space="preserve">; Z. Sternhell et al. </w:t>
      </w:r>
      <w:r w:rsidRPr="00CD12DC">
        <w:rPr>
          <w:rFonts w:ascii="Arial Narrow" w:hAnsi="Arial Narrow"/>
        </w:rPr>
        <w:t>(1994) 11.</w:t>
      </w:r>
    </w:p>
  </w:footnote>
  <w:footnote w:id="159">
    <w:p w:rsidR="00C84BCB" w:rsidRPr="00ED6540" w:rsidRDefault="00C84BCB" w:rsidP="00CD12DC">
      <w:pPr>
        <w:pStyle w:val="Textodenotaderodap"/>
        <w:rPr>
          <w:rFonts w:ascii="Arial Narrow" w:hAnsi="Arial Narrow"/>
        </w:rPr>
      </w:pPr>
      <w:r w:rsidRPr="00ED6540">
        <w:rPr>
          <w:rStyle w:val="Refdenotaderodap"/>
          <w:rFonts w:ascii="Arial Narrow" w:hAnsi="Arial Narrow"/>
        </w:rPr>
        <w:footnoteRef/>
      </w:r>
      <w:r w:rsidRPr="00ED6540">
        <w:rPr>
          <w:rFonts w:ascii="Arial Narrow" w:hAnsi="Arial Narrow"/>
        </w:rPr>
        <w:t xml:space="preserve"> </w:t>
      </w:r>
      <w:r>
        <w:rPr>
          <w:rFonts w:ascii="Arial Narrow" w:hAnsi="Arial Narrow"/>
        </w:rPr>
        <w:t>J. Ploncard d’Assac (1971) 17, 33.</w:t>
      </w:r>
    </w:p>
  </w:footnote>
  <w:footnote w:id="160">
    <w:p w:rsidR="00C84BCB" w:rsidRPr="00CB5F5F" w:rsidRDefault="00C84BCB" w:rsidP="00CD12DC">
      <w:pPr>
        <w:pStyle w:val="Textodenotaderodap"/>
        <w:rPr>
          <w:rFonts w:ascii="Arial Narrow" w:hAnsi="Arial Narrow"/>
        </w:rPr>
      </w:pPr>
      <w:r w:rsidRPr="00CB5F5F">
        <w:rPr>
          <w:rStyle w:val="Refdenotaderodap"/>
          <w:rFonts w:ascii="Arial Narrow" w:hAnsi="Arial Narrow"/>
        </w:rPr>
        <w:footnoteRef/>
      </w:r>
      <w:r w:rsidRPr="00CB5F5F">
        <w:rPr>
          <w:rFonts w:ascii="Arial Narrow" w:hAnsi="Arial Narrow"/>
        </w:rPr>
        <w:t xml:space="preserve"> Citado em </w:t>
      </w:r>
      <w:r>
        <w:rPr>
          <w:rFonts w:ascii="Arial Narrow" w:hAnsi="Arial Narrow"/>
        </w:rPr>
        <w:t>id., ibid., 32-33.</w:t>
      </w:r>
    </w:p>
  </w:footnote>
  <w:footnote w:id="161">
    <w:p w:rsidR="00C84BCB" w:rsidRPr="00C23D56" w:rsidRDefault="00C84BCB">
      <w:pPr>
        <w:pStyle w:val="Textodenotaderodap"/>
        <w:rPr>
          <w:rFonts w:ascii="Arial Narrow" w:hAnsi="Arial Narrow"/>
          <w:lang w:val="en-US"/>
        </w:rPr>
      </w:pPr>
      <w:r w:rsidRPr="00C23D56">
        <w:rPr>
          <w:rStyle w:val="Refdenotaderodap"/>
          <w:rFonts w:ascii="Arial Narrow" w:hAnsi="Arial Narrow"/>
        </w:rPr>
        <w:footnoteRef/>
      </w:r>
      <w:r w:rsidRPr="00C23D56">
        <w:rPr>
          <w:rFonts w:ascii="Arial Narrow" w:hAnsi="Arial Narrow"/>
          <w:lang w:val="en-US"/>
        </w:rPr>
        <w:t xml:space="preserve"> </w:t>
      </w:r>
      <w:r w:rsidRPr="00C23D56">
        <w:rPr>
          <w:rFonts w:ascii="Arial Narrow" w:hAnsi="Arial Narrow"/>
          <w:bCs/>
          <w:lang w:val="en-US"/>
        </w:rPr>
        <w:t xml:space="preserve">S. G. Payne </w:t>
      </w:r>
      <w:r w:rsidRPr="00C23D56">
        <w:rPr>
          <w:rFonts w:ascii="Arial Narrow" w:hAnsi="Arial Narrow"/>
          <w:lang w:val="en-US"/>
        </w:rPr>
        <w:t>(2003 b)</w:t>
      </w:r>
      <w:r>
        <w:rPr>
          <w:rFonts w:ascii="Arial Narrow" w:hAnsi="Arial Narrow"/>
          <w:lang w:val="en-US"/>
        </w:rPr>
        <w:t xml:space="preserve"> 64.</w:t>
      </w:r>
    </w:p>
  </w:footnote>
  <w:footnote w:id="162">
    <w:p w:rsidR="00C84BCB" w:rsidRPr="00AD0770"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AD0770">
        <w:rPr>
          <w:rFonts w:ascii="Arial Narrow" w:hAnsi="Arial Narrow"/>
          <w:lang w:val="en-GB"/>
        </w:rPr>
        <w:t xml:space="preserve"> </w:t>
      </w:r>
      <w:r w:rsidRPr="00C23D56">
        <w:rPr>
          <w:rFonts w:ascii="Arial Narrow" w:hAnsi="Arial Narrow"/>
          <w:lang w:val="en-US"/>
        </w:rPr>
        <w:t xml:space="preserve">J. Ploncard d’Assac (1971) </w:t>
      </w:r>
      <w:r>
        <w:rPr>
          <w:rFonts w:ascii="Arial Narrow" w:hAnsi="Arial Narrow"/>
          <w:lang w:val="en-GB"/>
        </w:rPr>
        <w:t xml:space="preserve">92; J. Rossi (1946) 570; </w:t>
      </w:r>
      <w:r w:rsidRPr="00AD0770">
        <w:rPr>
          <w:rFonts w:ascii="Arial Narrow" w:hAnsi="Arial Narrow"/>
          <w:lang w:val="en-GB"/>
        </w:rPr>
        <w:t>S. Saladino (1965) 235; Z. Sternhell (1978) 398.</w:t>
      </w:r>
    </w:p>
  </w:footnote>
  <w:footnote w:id="163">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P. Milza (1999) 107. Note-se que segundo G. Volpe (1941) 13 estas apreciações de Corradini datariam de 1910.</w:t>
      </w:r>
      <w:r>
        <w:rPr>
          <w:rFonts w:ascii="Arial Narrow" w:hAnsi="Arial Narrow"/>
        </w:rPr>
        <w:t xml:space="preserve"> Quanto à abertura de Corradini aos sindicalistas ver igualmente </w:t>
      </w:r>
      <w:r w:rsidRPr="00C06422">
        <w:rPr>
          <w:rFonts w:ascii="Arial Narrow" w:hAnsi="Arial Narrow"/>
        </w:rPr>
        <w:t>A. J. Gregor (2005) 61 e 63-67.</w:t>
      </w:r>
    </w:p>
  </w:footnote>
  <w:footnote w:id="164">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D12DC">
        <w:rPr>
          <w:rFonts w:ascii="Arial Narrow" w:hAnsi="Arial Narrow"/>
          <w:lang w:val="en-US"/>
        </w:rPr>
        <w:t xml:space="preserve"> </w:t>
      </w:r>
      <w:r w:rsidRPr="00CC781D">
        <w:rPr>
          <w:rFonts w:ascii="Arial Narrow" w:hAnsi="Arial Narrow"/>
          <w:lang w:val="en-GB"/>
        </w:rPr>
        <w:t>A. Lyttelton (1982) 593.</w:t>
      </w:r>
    </w:p>
  </w:footnote>
  <w:footnote w:id="165">
    <w:p w:rsidR="00C84BCB" w:rsidRPr="002274DE" w:rsidRDefault="00C84BCB" w:rsidP="00CD12DC">
      <w:pPr>
        <w:pStyle w:val="Textodenotaderodap"/>
        <w:rPr>
          <w:rFonts w:ascii="Arial Narrow" w:hAnsi="Arial Narrow"/>
          <w:lang w:val="it-CH"/>
        </w:rPr>
      </w:pPr>
      <w:r w:rsidRPr="00F95336">
        <w:rPr>
          <w:rStyle w:val="Refdenotaderodap"/>
          <w:rFonts w:ascii="Arial Narrow" w:hAnsi="Arial Narrow"/>
        </w:rPr>
        <w:footnoteRef/>
      </w:r>
      <w:r w:rsidRPr="002274DE">
        <w:rPr>
          <w:rFonts w:ascii="Arial Narrow" w:hAnsi="Arial Narrow"/>
          <w:lang w:val="it-CH"/>
        </w:rPr>
        <w:t xml:space="preserve"> </w:t>
      </w:r>
      <w:r>
        <w:rPr>
          <w:rFonts w:ascii="Arial Narrow" w:hAnsi="Arial Narrow"/>
          <w:lang w:val="it-CH"/>
        </w:rPr>
        <w:t xml:space="preserve">Id., ibid., </w:t>
      </w:r>
      <w:r w:rsidRPr="002274DE">
        <w:rPr>
          <w:rFonts w:ascii="Arial Narrow" w:hAnsi="Arial Narrow"/>
          <w:lang w:val="it-CH"/>
        </w:rPr>
        <w:t>191; Ch. S. Maier (1988) 440; M. Ribeiro [1930] 117; E. Santarelli (1981) I 336-337; P. Togliatti (1971) 34-35.</w:t>
      </w:r>
    </w:p>
  </w:footnote>
  <w:footnote w:id="166">
    <w:p w:rsidR="00C84BCB" w:rsidRPr="00023C41" w:rsidRDefault="00C84BCB" w:rsidP="00CD12DC">
      <w:pPr>
        <w:pStyle w:val="Textodenotaderodap"/>
        <w:rPr>
          <w:rFonts w:ascii="Arial Narrow" w:hAnsi="Arial Narrow"/>
        </w:rPr>
      </w:pPr>
      <w:r w:rsidRPr="002274DE">
        <w:rPr>
          <w:rStyle w:val="Refdenotaderodap"/>
          <w:rFonts w:ascii="Arial Narrow" w:hAnsi="Arial Narrow"/>
        </w:rPr>
        <w:footnoteRef/>
      </w:r>
      <w:r w:rsidRPr="00CD12DC">
        <w:rPr>
          <w:rFonts w:ascii="Arial Narrow" w:hAnsi="Arial Narrow"/>
          <w:lang w:val="en-US"/>
        </w:rPr>
        <w:t xml:space="preserve"> J. Ploncard d’Assac (1971) 92, 93 (sub. orig.). </w:t>
      </w:r>
      <w:r>
        <w:rPr>
          <w:rFonts w:ascii="Arial Narrow" w:hAnsi="Arial Narrow"/>
        </w:rPr>
        <w:t>Acerca de Corradini enquanto precursor de Mussolini ver ainda as págs. 94, 95 e 99.</w:t>
      </w:r>
    </w:p>
  </w:footnote>
  <w:footnote w:id="167">
    <w:p w:rsidR="00C84BCB" w:rsidRPr="00E84473" w:rsidRDefault="00C84BCB" w:rsidP="00E84473">
      <w:pPr>
        <w:pStyle w:val="Textodenotaderodap"/>
        <w:rPr>
          <w:rFonts w:ascii="Arial Narrow" w:hAnsi="Arial Narrow"/>
        </w:rPr>
      </w:pPr>
      <w:r w:rsidRPr="00A53682">
        <w:rPr>
          <w:rStyle w:val="Refdenotaderodap"/>
          <w:rFonts w:ascii="Arial Narrow" w:hAnsi="Arial Narrow"/>
        </w:rPr>
        <w:footnoteRef/>
      </w:r>
      <w:r w:rsidRPr="00E84473">
        <w:rPr>
          <w:rFonts w:ascii="Arial Narrow" w:hAnsi="Arial Narrow"/>
        </w:rPr>
        <w:t xml:space="preserve"> A. Milhaud [s. d.] 150.</w:t>
      </w:r>
    </w:p>
  </w:footnote>
  <w:footnote w:id="16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 Berth, «Anarquismo y Sindicalismo», em G. Sorel et al. (1978) 38-39. Também Mussolini, em Maio de 1934, citou Proudhon em defesa do carácter natural e inevitável da guerra. Ver G. S. Spinetti (org. 1938) 93. Acerca da identificação a que os sindicalistas revolucionários, na sequência de Proudhon, procediam entre as virtudes laboriosas e as virtudes bélicas ver G. Guy-Grand (1911) 169 e 209-211.</w:t>
      </w:r>
    </w:p>
  </w:footnote>
  <w:footnote w:id="169">
    <w:p w:rsidR="00C84BCB" w:rsidRPr="00CD12D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P. Milza (1999) 91; Z. Sternhell et al. (1994) 131, 132, 135, 136.</w:t>
      </w:r>
    </w:p>
  </w:footnote>
  <w:footnote w:id="170">
    <w:p w:rsidR="00C84BCB" w:rsidRPr="00CD12D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P. Milza (1999) 91; Z. Sternhell et al. (1994) 135-136.</w:t>
      </w:r>
    </w:p>
  </w:footnote>
  <w:footnote w:id="171">
    <w:p w:rsidR="00C84BCB" w:rsidRPr="00CD12D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Z. Sternhell (1978) 398; id. et al. (1994) 32, 138.</w:t>
      </w:r>
    </w:p>
  </w:footnote>
  <w:footnote w:id="172">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D12DC">
        <w:rPr>
          <w:rFonts w:ascii="Arial Narrow" w:hAnsi="Arial Narrow"/>
          <w:lang w:val="en-US"/>
        </w:rPr>
        <w:t xml:space="preserve"> G. Bortolotto (1938) 216; P. Milza (1999) 134; Z. Sternhell et al. </w:t>
      </w:r>
      <w:r w:rsidRPr="00F95336">
        <w:rPr>
          <w:rFonts w:ascii="Arial Narrow" w:hAnsi="Arial Narrow"/>
        </w:rPr>
        <w:t>(1994) 32, 166.</w:t>
      </w:r>
    </w:p>
  </w:footnote>
  <w:footnote w:id="17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Z. Sternhell et al. (1994) 168.</w:t>
      </w:r>
    </w:p>
  </w:footnote>
  <w:footnote w:id="174">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137.</w:t>
      </w:r>
    </w:p>
  </w:footnote>
  <w:footnote w:id="17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S. Saladino (1965) 242.</w:t>
      </w:r>
    </w:p>
  </w:footnote>
  <w:footnote w:id="17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Z. Sternhell et al. (1994) 166. Aquela tese, onde a coragem política se confundia com o mito da virilidade, foi persistente na esquerda. No Outono de 1940 escrev</w:t>
      </w:r>
      <w:r>
        <w:rPr>
          <w:rFonts w:ascii="Arial Narrow" w:hAnsi="Arial Narrow"/>
        </w:rPr>
        <w:t>eu</w:t>
      </w:r>
      <w:r w:rsidRPr="00F95336">
        <w:rPr>
          <w:rFonts w:ascii="Arial Narrow" w:hAnsi="Arial Narrow"/>
        </w:rPr>
        <w:t xml:space="preserve"> George Orwell em «My Country Right or Left», a propósito da atitude a tomar na guerra mundial: «São exactamente aquelas pessoas cujos corações </w:t>
      </w:r>
      <w:r w:rsidRPr="00F95336">
        <w:rPr>
          <w:rFonts w:ascii="Arial Narrow" w:hAnsi="Arial Narrow"/>
          <w:i/>
        </w:rPr>
        <w:t>nunca</w:t>
      </w:r>
      <w:r w:rsidRPr="00F95336">
        <w:rPr>
          <w:rFonts w:ascii="Arial Narrow" w:hAnsi="Arial Narrow"/>
        </w:rPr>
        <w:t xml:space="preserve"> pulsaram de entusiasmo à vista de uma bandeira nacional que recuarão perante a revolução quando o momento chegar». Aliás, todo o artigo constitui uma apologia do nacionalismo enquanto mito mobilizador, num verdadeiro sentido soreliano. Este artigo vem reproduzido em G. Orwell (1998 c) 197-202 e a passagem citada encontra-se na pág. 202 (sub. orig.).</w:t>
      </w:r>
    </w:p>
  </w:footnote>
  <w:footnote w:id="177">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Afirm</w:t>
      </w:r>
      <w:r>
        <w:rPr>
          <w:rFonts w:ascii="Arial Narrow" w:hAnsi="Arial Narrow"/>
        </w:rPr>
        <w:t>ou</w:t>
      </w:r>
      <w:r w:rsidRPr="00F95336">
        <w:rPr>
          <w:rFonts w:ascii="Arial Narrow" w:hAnsi="Arial Narrow"/>
        </w:rPr>
        <w:t xml:space="preserve"> G. Arfe (1967) 206 n. 12 que perante as campanhas na Líbia os sindicalistas revolucionários se dividiram sobretudo em duas correntes. Uma, favorável ao colonialismo, era encabeçada por Arturo Labriola e a outra, contrária à aventura africana, tinha como figura mais notável Enrico Leone, um dos principais teóricos do movimento. A respeito da posição assumida por Leone ver igualmente Z. Sternhell et al. (1994) 169. Por seu lado, P. Milza (1999) 134 e 169 inclui</w:t>
      </w:r>
      <w:r>
        <w:rPr>
          <w:rFonts w:ascii="Arial Narrow" w:hAnsi="Arial Narrow"/>
        </w:rPr>
        <w:t>u</w:t>
      </w:r>
      <w:r w:rsidRPr="00F95336">
        <w:rPr>
          <w:rFonts w:ascii="Arial Narrow" w:hAnsi="Arial Narrow"/>
        </w:rPr>
        <w:t xml:space="preserve"> também Alceste De Ambris, Michele Bianchi e Paolo Mantica na tendência contrária à guerra na Líbia e, na tendência favorável, Paolo Orano e Angelo Oliviero Olivetti, além de Labriola. Mas Gaetano Arfe</w:t>
      </w:r>
      <w:r>
        <w:rPr>
          <w:rFonts w:ascii="Arial Narrow" w:hAnsi="Arial Narrow"/>
        </w:rPr>
        <w:t>,</w:t>
      </w:r>
      <w:r w:rsidRPr="00F95336">
        <w:rPr>
          <w:rFonts w:ascii="Arial Narrow" w:hAnsi="Arial Narrow"/>
        </w:rPr>
        <w:t xml:space="preserve"> </w:t>
      </w:r>
      <w:r w:rsidRPr="00C30DBA">
        <w:rPr>
          <w:rFonts w:ascii="Arial Narrow" w:hAnsi="Arial Narrow"/>
        </w:rPr>
        <w:t>op. cit.,</w:t>
      </w:r>
      <w:r w:rsidRPr="00F95336">
        <w:rPr>
          <w:rFonts w:ascii="Arial Narrow" w:hAnsi="Arial Narrow"/>
        </w:rPr>
        <w:t xml:space="preserve"> ibid. mencion</w:t>
      </w:r>
      <w:r>
        <w:rPr>
          <w:rFonts w:ascii="Arial Narrow" w:hAnsi="Arial Narrow"/>
        </w:rPr>
        <w:t>ou</w:t>
      </w:r>
      <w:r w:rsidRPr="00F95336">
        <w:rPr>
          <w:rFonts w:ascii="Arial Narrow" w:hAnsi="Arial Narrow"/>
        </w:rPr>
        <w:t xml:space="preserve"> ainda uma terceira corrente, que «se separa do filão sindicalista», representada por Orano e outros, «destinados a tornarem-se os primeiros teóricos do fascismo». Não me parece que haja qualquer razão para distinguir esta corrente da primeira. Fundador e director de </w:t>
      </w:r>
      <w:r w:rsidRPr="00F95336">
        <w:rPr>
          <w:rFonts w:ascii="Arial Narrow" w:hAnsi="Arial Narrow"/>
          <w:i/>
        </w:rPr>
        <w:t>La Lupa,</w:t>
      </w:r>
      <w:r w:rsidRPr="00F95336">
        <w:rPr>
          <w:rFonts w:ascii="Arial Narrow" w:hAnsi="Arial Narrow"/>
        </w:rPr>
        <w:t xml:space="preserve"> Orano estabeleceu um elo de ligação entre o colonialismo agressivo defendido à esquerda por Arturo Labriola e o nacionalismo radical animado na direita por Corradini. Não foi separando-se do sindicalismo revolucionário que ele e os seus amigos formularam os temas originários do fascismo, mas, pelo contrário, desenvolvendo uma tendência que estava implícita no próprio sindicalismo revolucionário.</w:t>
      </w:r>
    </w:p>
  </w:footnote>
  <w:footnote w:id="17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D12DC">
        <w:rPr>
          <w:rFonts w:ascii="Arial Narrow" w:hAnsi="Arial Narrow"/>
          <w:lang w:val="en-US"/>
        </w:rPr>
        <w:t xml:space="preserve"> P. Milza (1999) 136; Z. Sternhell et al. </w:t>
      </w:r>
      <w:r w:rsidRPr="00F95336">
        <w:rPr>
          <w:rFonts w:ascii="Arial Narrow" w:hAnsi="Arial Narrow"/>
        </w:rPr>
        <w:t>(1994) 138, 169.</w:t>
      </w:r>
    </w:p>
  </w:footnote>
  <w:footnote w:id="179">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Z. Sternhell et al. (1994) 139. Porém, P. Milza (1999) 92 atribui</w:t>
      </w:r>
      <w:r>
        <w:rPr>
          <w:rFonts w:ascii="Arial Narrow" w:hAnsi="Arial Narrow"/>
        </w:rPr>
        <w:t>u</w:t>
      </w:r>
      <w:r w:rsidRPr="00F95336">
        <w:rPr>
          <w:rFonts w:ascii="Arial Narrow" w:hAnsi="Arial Narrow"/>
        </w:rPr>
        <w:t xml:space="preserve"> apenas cem mil membros à USI e pretende</w:t>
      </w:r>
      <w:r>
        <w:rPr>
          <w:rFonts w:ascii="Arial Narrow" w:hAnsi="Arial Narrow"/>
        </w:rPr>
        <w:t>u</w:t>
      </w:r>
      <w:r w:rsidRPr="00F95336">
        <w:rPr>
          <w:rFonts w:ascii="Arial Narrow" w:hAnsi="Arial Narrow"/>
        </w:rPr>
        <w:t xml:space="preserve"> que a CGL mobilizava meio milhão de trabalhadores.</w:t>
      </w:r>
    </w:p>
  </w:footnote>
  <w:footnote w:id="180">
    <w:p w:rsidR="00C84BCB" w:rsidRPr="00CD12D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Z. Sternhell et al. (1994) 139-140.</w:t>
      </w:r>
    </w:p>
  </w:footnote>
  <w:footnote w:id="181">
    <w:p w:rsidR="00C84BCB" w:rsidRPr="00CD12D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Id., ibid., 32, 140, 171 e segs.</w:t>
      </w:r>
    </w:p>
  </w:footnote>
  <w:footnote w:id="182">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D12DC">
        <w:rPr>
          <w:rFonts w:ascii="Arial Narrow" w:hAnsi="Arial Narrow"/>
          <w:lang w:val="en-US"/>
        </w:rPr>
        <w:t xml:space="preserve"> P. Milza (1999) 174; Z. Sternhell et al. </w:t>
      </w:r>
      <w:r w:rsidRPr="00F95336">
        <w:rPr>
          <w:rFonts w:ascii="Arial Narrow" w:hAnsi="Arial Narrow"/>
        </w:rPr>
        <w:t>(1994) 140, 175, 205.</w:t>
      </w:r>
    </w:p>
  </w:footnote>
  <w:footnote w:id="18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Z. Sternhell et al. (1994) 205.</w:t>
      </w:r>
    </w:p>
  </w:footnote>
  <w:footnote w:id="184">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O manifesto de Mussolini de Dezembro de 1914, </w:t>
      </w:r>
      <w:r w:rsidRPr="00F95336">
        <w:rPr>
          <w:rFonts w:ascii="Arial Narrow" w:hAnsi="Arial Narrow"/>
          <w:i/>
        </w:rPr>
        <w:t>Contro la Neutralità,</w:t>
      </w:r>
      <w:r w:rsidRPr="00F95336">
        <w:rPr>
          <w:rFonts w:ascii="Arial Narrow" w:hAnsi="Arial Narrow"/>
        </w:rPr>
        <w:t xml:space="preserve"> encontra-se citado em G. S. Spinetti (org. 1938) 49.</w:t>
      </w:r>
    </w:p>
  </w:footnote>
  <w:footnote w:id="185">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P. W. Blackstock et al. </w:t>
      </w:r>
      <w:r w:rsidRPr="00F95336">
        <w:rPr>
          <w:rFonts w:ascii="Arial Narrow" w:hAnsi="Arial Narrow"/>
        </w:rPr>
        <w:t>(orgs. 1952) 116-117.</w:t>
      </w:r>
    </w:p>
  </w:footnote>
  <w:footnote w:id="18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G. Sorel (1936) 51-52.</w:t>
      </w:r>
    </w:p>
  </w:footnote>
  <w:footnote w:id="187">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Com efeito, segundo um estudo referido por T. B. Bottomore (1967) 85, dos cerca de seis mil deputados que ocuparam os lugares do parlamento francês entre 1871 e 1958, nas Terceira e Quarta Repúblicas, mais de metade era composta por intelectuais, ou seja, professores universitários e do ensino elementar, cientistas, engenheiros, advogados, escritores e jornalistas.</w:t>
      </w:r>
    </w:p>
  </w:footnote>
  <w:footnote w:id="188">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G. Sorel (1936) 54.</w:t>
      </w:r>
    </w:p>
  </w:footnote>
  <w:footnote w:id="189">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113-114.</w:t>
      </w:r>
    </w:p>
  </w:footnote>
  <w:footnote w:id="190">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240.</w:t>
      </w:r>
    </w:p>
  </w:footnote>
  <w:footnote w:id="191">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(1947) 122-123. A primeira edição desta obra data de 1908, mas a segunda edição, que foi objecto de vários acrescentos e modificações e inclui o Apêndice I, data de 1910; posteriormente o autor acrescentou o Apêndice II, escrito em 1920.</w:t>
      </w:r>
    </w:p>
  </w:footnote>
  <w:footnote w:id="192">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60, 285-286.</w:t>
      </w:r>
    </w:p>
  </w:footnote>
  <w:footnote w:id="193">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135-136.</w:t>
      </w:r>
    </w:p>
  </w:footnote>
  <w:footnote w:id="194">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D. Ligou (1962) 78-84.</w:t>
      </w:r>
    </w:p>
  </w:footnote>
  <w:footnote w:id="19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G. Sorel, «El Sindicalismo Revolucionario», em G. Sorel et al. (1978) 14.</w:t>
      </w:r>
    </w:p>
  </w:footnote>
  <w:footnote w:id="19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H. Lagardelle, «Los Caracteres Generales del Sindicalismo», em </w:t>
      </w:r>
      <w:r>
        <w:rPr>
          <w:rFonts w:ascii="Arial Narrow" w:hAnsi="Arial Narrow"/>
        </w:rPr>
        <w:t xml:space="preserve">id., ibid., </w:t>
      </w:r>
      <w:r w:rsidRPr="00F95336">
        <w:rPr>
          <w:rFonts w:ascii="Arial Narrow" w:hAnsi="Arial Narrow"/>
        </w:rPr>
        <w:t>75-76. Esta antologia public</w:t>
      </w:r>
      <w:r>
        <w:rPr>
          <w:rFonts w:ascii="Arial Narrow" w:hAnsi="Arial Narrow"/>
        </w:rPr>
        <w:t>ou</w:t>
      </w:r>
      <w:r w:rsidRPr="00F95336">
        <w:rPr>
          <w:rFonts w:ascii="Arial Narrow" w:hAnsi="Arial Narrow"/>
        </w:rPr>
        <w:t xml:space="preserve"> os textos sem data, mas pela referência ao ministério Combes vê-se que o artigo de Lagardelle foi escrito entre 1902 e 1905.</w:t>
      </w:r>
    </w:p>
  </w:footnote>
  <w:footnote w:id="197">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53.</w:t>
      </w:r>
    </w:p>
  </w:footnote>
  <w:footnote w:id="198">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68-69.</w:t>
      </w:r>
    </w:p>
  </w:footnote>
  <w:footnote w:id="199">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61.</w:t>
      </w:r>
    </w:p>
  </w:footnote>
  <w:footnote w:id="200">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F95336">
        <w:rPr>
          <w:rFonts w:ascii="Arial Narrow" w:hAnsi="Arial Narrow"/>
        </w:rPr>
        <w:t xml:space="preserve"> Id., ibid., 78. Noutra passagem do mesmo artigo escreveu Lagardelle: «O movimento operário, [...] ao organizar os operários no campo ecónomico, [...] cria novas formas de vida sobre princípios proletários, que podem ser mais ou menos os de uma sociedade socialista. O triunfo do socialismo está, assim, subordinado ao desenvolvimento do movimento operário [...]» </w:t>
      </w:r>
      <w:r w:rsidRPr="00F95336">
        <w:rPr>
          <w:rFonts w:ascii="Arial Narrow" w:hAnsi="Arial Narrow"/>
        </w:rPr>
        <w:sym w:font="Symbol" w:char="F02D"/>
      </w:r>
      <w:r w:rsidRPr="00F95336">
        <w:rPr>
          <w:rFonts w:ascii="Arial Narrow" w:hAnsi="Arial Narrow"/>
        </w:rPr>
        <w:t xml:space="preserve"> </w:t>
      </w:r>
      <w:r w:rsidRPr="00CC781D">
        <w:rPr>
          <w:rFonts w:ascii="Arial Narrow" w:hAnsi="Arial Narrow"/>
          <w:lang w:val="en-GB"/>
        </w:rPr>
        <w:t>id., ibid., 70.</w:t>
      </w:r>
    </w:p>
  </w:footnote>
  <w:footnote w:id="201">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Citado em Z. Sternhell (1978) 339.</w:t>
      </w:r>
    </w:p>
  </w:footnote>
  <w:footnote w:id="202">
    <w:p w:rsidR="00C84BCB" w:rsidRPr="00CD12D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Id., ibid., 339-340.</w:t>
      </w:r>
    </w:p>
  </w:footnote>
  <w:footnote w:id="203">
    <w:p w:rsidR="00C84BCB" w:rsidRPr="00742A9E" w:rsidRDefault="00C84BCB">
      <w:pPr>
        <w:pStyle w:val="Textodenotaderodap"/>
        <w:rPr>
          <w:rFonts w:ascii="Arial Narrow" w:hAnsi="Arial Narrow"/>
          <w:lang w:val="en-US"/>
        </w:rPr>
      </w:pPr>
      <w:r w:rsidRPr="00C14630">
        <w:rPr>
          <w:rStyle w:val="Refdenotaderodap"/>
          <w:rFonts w:ascii="Arial Narrow" w:hAnsi="Arial Narrow"/>
        </w:rPr>
        <w:footnoteRef/>
      </w:r>
      <w:r w:rsidRPr="00742A9E">
        <w:rPr>
          <w:rFonts w:ascii="Arial Narrow" w:hAnsi="Arial Narrow"/>
          <w:lang w:val="en-US"/>
        </w:rPr>
        <w:t xml:space="preserve"> E. Berth (1923) 67.</w:t>
      </w:r>
    </w:p>
  </w:footnote>
  <w:footnote w:id="204">
    <w:p w:rsidR="00C84BCB" w:rsidRPr="00742A9E" w:rsidRDefault="00C84BCB">
      <w:pPr>
        <w:pStyle w:val="Textodenotaderodap"/>
        <w:rPr>
          <w:rFonts w:ascii="Arial Narrow" w:hAnsi="Arial Narrow"/>
          <w:lang w:val="en-US"/>
        </w:rPr>
      </w:pPr>
      <w:r w:rsidRPr="00742A9E">
        <w:rPr>
          <w:rStyle w:val="Refdenotaderodap"/>
          <w:rFonts w:ascii="Arial Narrow" w:hAnsi="Arial Narrow"/>
        </w:rPr>
        <w:footnoteRef/>
      </w:r>
      <w:r w:rsidRPr="00742A9E">
        <w:rPr>
          <w:rFonts w:ascii="Arial Narrow" w:hAnsi="Arial Narrow"/>
          <w:lang w:val="en-US"/>
        </w:rPr>
        <w:t xml:space="preserve"> </w:t>
      </w:r>
      <w:r>
        <w:rPr>
          <w:rFonts w:ascii="Arial Narrow" w:hAnsi="Arial Narrow"/>
          <w:lang w:val="en-US"/>
        </w:rPr>
        <w:t>Id., ibid., 52.</w:t>
      </w:r>
    </w:p>
  </w:footnote>
  <w:footnote w:id="205">
    <w:p w:rsidR="00C84BCB" w:rsidRPr="00F013C2" w:rsidRDefault="00C84BCB">
      <w:pPr>
        <w:pStyle w:val="Textodenotaderodap"/>
        <w:rPr>
          <w:rFonts w:ascii="Arial Narrow" w:hAnsi="Arial Narrow"/>
          <w:lang w:val="en-US"/>
        </w:rPr>
      </w:pPr>
      <w:r w:rsidRPr="00F013C2">
        <w:rPr>
          <w:rStyle w:val="Refdenotaderodap"/>
          <w:rFonts w:ascii="Arial Narrow" w:hAnsi="Arial Narrow"/>
        </w:rPr>
        <w:footnoteRef/>
      </w:r>
      <w:r w:rsidRPr="00F013C2">
        <w:rPr>
          <w:rFonts w:ascii="Arial Narrow" w:hAnsi="Arial Narrow"/>
          <w:lang w:val="en-US"/>
        </w:rPr>
        <w:t xml:space="preserve"> </w:t>
      </w:r>
      <w:r>
        <w:rPr>
          <w:rFonts w:ascii="Arial Narrow" w:hAnsi="Arial Narrow"/>
          <w:lang w:val="en-US"/>
        </w:rPr>
        <w:t>Id., ibid., 65 (sub. orig.).</w:t>
      </w:r>
    </w:p>
  </w:footnote>
  <w:footnote w:id="206">
    <w:p w:rsidR="00C84BCB" w:rsidRPr="00732CAC" w:rsidRDefault="00C84BCB">
      <w:pPr>
        <w:pStyle w:val="Textodenotaderodap"/>
        <w:rPr>
          <w:rFonts w:ascii="Arial Narrow" w:hAnsi="Arial Narrow"/>
          <w:lang w:val="en-US"/>
        </w:rPr>
      </w:pPr>
      <w:r w:rsidRPr="00732CAC">
        <w:rPr>
          <w:rStyle w:val="Refdenotaderodap"/>
          <w:rFonts w:ascii="Arial Narrow" w:hAnsi="Arial Narrow"/>
        </w:rPr>
        <w:footnoteRef/>
      </w:r>
      <w:r w:rsidRPr="00732CAC">
        <w:rPr>
          <w:rFonts w:ascii="Arial Narrow" w:hAnsi="Arial Narrow"/>
          <w:lang w:val="en-US"/>
        </w:rPr>
        <w:t xml:space="preserve"> </w:t>
      </w:r>
      <w:r>
        <w:rPr>
          <w:rFonts w:ascii="Arial Narrow" w:hAnsi="Arial Narrow"/>
          <w:lang w:val="en-US"/>
        </w:rPr>
        <w:t>Id., ibid., 56-57.</w:t>
      </w:r>
    </w:p>
  </w:footnote>
  <w:footnote w:id="207">
    <w:p w:rsidR="00C84BCB" w:rsidRPr="00097E8F" w:rsidRDefault="00C84BCB">
      <w:pPr>
        <w:pStyle w:val="Textodenotaderodap"/>
        <w:rPr>
          <w:rFonts w:ascii="Arial Narrow" w:hAnsi="Arial Narrow"/>
          <w:lang w:val="en-US"/>
        </w:rPr>
      </w:pPr>
      <w:r w:rsidRPr="00097E8F">
        <w:rPr>
          <w:rStyle w:val="Refdenotaderodap"/>
          <w:rFonts w:ascii="Arial Narrow" w:hAnsi="Arial Narrow"/>
        </w:rPr>
        <w:footnoteRef/>
      </w:r>
      <w:r w:rsidRPr="00097E8F">
        <w:rPr>
          <w:rFonts w:ascii="Arial Narrow" w:hAnsi="Arial Narrow"/>
          <w:lang w:val="en-US"/>
        </w:rPr>
        <w:t xml:space="preserve"> </w:t>
      </w:r>
      <w:r>
        <w:rPr>
          <w:rFonts w:ascii="Arial Narrow" w:hAnsi="Arial Narrow"/>
          <w:lang w:val="en-US"/>
        </w:rPr>
        <w:t>Id., ibid., 69 (subs. orig.).</w:t>
      </w:r>
    </w:p>
  </w:footnote>
  <w:footnote w:id="208">
    <w:p w:rsidR="00C84BCB" w:rsidRPr="00CD12D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Y. Guchet (2001) 98.</w:t>
      </w:r>
    </w:p>
  </w:footnote>
  <w:footnote w:id="209">
    <w:p w:rsidR="00C84BCB" w:rsidRPr="00276528"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Z. Sternhell et al. </w:t>
      </w:r>
      <w:r w:rsidRPr="00276528">
        <w:rPr>
          <w:rFonts w:ascii="Arial Narrow" w:hAnsi="Arial Narrow"/>
          <w:lang w:val="en-US"/>
        </w:rPr>
        <w:t>(1994) 78 e segs., 85-86.</w:t>
      </w:r>
    </w:p>
  </w:footnote>
  <w:footnote w:id="210">
    <w:p w:rsidR="00C84BCB" w:rsidRPr="00CC781D" w:rsidRDefault="00C84BCB" w:rsidP="000B4149">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Y. Guchet (1965) 1122-1123 n. 32; id. (2001) 98-99; Z. Sternhell (1978) 390-391; E. Weber (1964) 132; id. (1965 a) 74.</w:t>
      </w:r>
    </w:p>
  </w:footnote>
  <w:footnote w:id="211">
    <w:p w:rsidR="00C84BCB" w:rsidRPr="00CC781D" w:rsidRDefault="00C84BCB" w:rsidP="000B4149">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Y. Guchet (2001) 94-97.</w:t>
      </w:r>
    </w:p>
  </w:footnote>
  <w:footnote w:id="212">
    <w:p w:rsidR="00C84BCB" w:rsidRPr="00F95336" w:rsidRDefault="00C84BCB" w:rsidP="000B4149">
      <w:pPr>
        <w:pStyle w:val="Textodenotaderodap"/>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xml:space="preserve">, ibid., 99-102; D. Guérin (1969) II 161-162; Z. Sternhell (1978) 372, 384, 391-392; id. et al. </w:t>
      </w:r>
      <w:r w:rsidRPr="00F95336">
        <w:rPr>
          <w:rFonts w:ascii="Arial Narrow" w:hAnsi="Arial Narrow"/>
        </w:rPr>
        <w:t>(1994) 87-88, 124-127; E. Weber (1964) 131-132.</w:t>
      </w:r>
    </w:p>
  </w:footnote>
  <w:footnote w:id="213">
    <w:p w:rsidR="00C84BCB" w:rsidRPr="007463BE" w:rsidRDefault="00C84BCB" w:rsidP="000B4149">
      <w:pPr>
        <w:pStyle w:val="Textodenotaderodap"/>
        <w:rPr>
          <w:rFonts w:ascii="Arial Narrow" w:hAnsi="Arial Narrow"/>
        </w:rPr>
      </w:pPr>
      <w:r w:rsidRPr="007463BE">
        <w:rPr>
          <w:rStyle w:val="Refdenotaderodap"/>
          <w:rFonts w:ascii="Arial Narrow" w:hAnsi="Arial Narrow"/>
        </w:rPr>
        <w:footnoteRef/>
      </w:r>
      <w:r w:rsidRPr="007463BE">
        <w:rPr>
          <w:rFonts w:ascii="Arial Narrow" w:hAnsi="Arial Narrow"/>
        </w:rPr>
        <w:t xml:space="preserve"> Z. Sternhell et al. (1994) 124.</w:t>
      </w:r>
    </w:p>
  </w:footnote>
  <w:footnote w:id="214">
    <w:p w:rsidR="00C84BCB" w:rsidRPr="00607BF1" w:rsidRDefault="00C84BCB" w:rsidP="000B4149">
      <w:pPr>
        <w:pStyle w:val="Textodenotaderodap"/>
        <w:rPr>
          <w:rFonts w:ascii="Arial Narrow" w:hAnsi="Arial Narrow"/>
        </w:rPr>
      </w:pPr>
      <w:r w:rsidRPr="00607BF1">
        <w:rPr>
          <w:rStyle w:val="Refdenotaderodap"/>
          <w:rFonts w:ascii="Arial Narrow" w:hAnsi="Arial Narrow"/>
        </w:rPr>
        <w:footnoteRef/>
      </w:r>
      <w:r w:rsidRPr="00607BF1">
        <w:rPr>
          <w:rFonts w:ascii="Arial Narrow" w:hAnsi="Arial Narrow"/>
        </w:rPr>
        <w:t xml:space="preserve"> </w:t>
      </w:r>
      <w:r>
        <w:rPr>
          <w:rFonts w:ascii="Arial Narrow" w:hAnsi="Arial Narrow"/>
        </w:rPr>
        <w:t xml:space="preserve">No seu livro </w:t>
      </w:r>
      <w:r w:rsidRPr="00291380">
        <w:rPr>
          <w:rFonts w:ascii="Arial Narrow" w:hAnsi="Arial Narrow"/>
          <w:i/>
        </w:rPr>
        <w:t>Les Nouveaux Aspects du Soci</w:t>
      </w:r>
      <w:r>
        <w:rPr>
          <w:rFonts w:ascii="Arial Narrow" w:hAnsi="Arial Narrow"/>
          <w:i/>
        </w:rPr>
        <w:t>a</w:t>
      </w:r>
      <w:r w:rsidRPr="00291380">
        <w:rPr>
          <w:rFonts w:ascii="Arial Narrow" w:hAnsi="Arial Narrow"/>
          <w:i/>
        </w:rPr>
        <w:t>lisme</w:t>
      </w:r>
      <w:r>
        <w:rPr>
          <w:rFonts w:ascii="Arial Narrow" w:hAnsi="Arial Narrow"/>
        </w:rPr>
        <w:t xml:space="preserve"> em E. Berth (1923) 85 e 110, e repetiu a afirmação em 1923 em </w:t>
      </w:r>
      <w:r w:rsidRPr="00AD31C4">
        <w:rPr>
          <w:rFonts w:ascii="Arial Narrow" w:hAnsi="Arial Narrow"/>
        </w:rPr>
        <w:t>op. cit.,</w:t>
      </w:r>
      <w:r>
        <w:rPr>
          <w:rFonts w:ascii="Arial Narrow" w:hAnsi="Arial Narrow"/>
        </w:rPr>
        <w:t xml:space="preserve"> 33.</w:t>
      </w:r>
    </w:p>
  </w:footnote>
  <w:footnote w:id="215">
    <w:p w:rsidR="00C84BCB" w:rsidRPr="00052120" w:rsidRDefault="00C84BCB" w:rsidP="000B4149">
      <w:pPr>
        <w:pStyle w:val="Textodenotaderodap"/>
        <w:rPr>
          <w:rFonts w:ascii="Arial Narrow" w:hAnsi="Arial Narrow"/>
          <w:lang w:val="en-US"/>
        </w:rPr>
      </w:pPr>
      <w:r w:rsidRPr="00F95336">
        <w:rPr>
          <w:rStyle w:val="Refdenotaderodap"/>
          <w:rFonts w:ascii="Arial Narrow" w:hAnsi="Arial Narrow"/>
        </w:rPr>
        <w:footnoteRef/>
      </w:r>
      <w:r w:rsidRPr="00052120">
        <w:rPr>
          <w:rFonts w:ascii="Arial Narrow" w:hAnsi="Arial Narrow"/>
          <w:lang w:val="en-US"/>
        </w:rPr>
        <w:t xml:space="preserve"> L. Rebatet (1942) 565.</w:t>
      </w:r>
    </w:p>
  </w:footnote>
  <w:footnote w:id="216">
    <w:p w:rsidR="00C84BCB" w:rsidRPr="00052120" w:rsidRDefault="00C84BCB" w:rsidP="000B4149">
      <w:pPr>
        <w:pStyle w:val="Textodenotaderodap"/>
        <w:rPr>
          <w:rFonts w:ascii="Arial Narrow" w:hAnsi="Arial Narrow"/>
          <w:lang w:val="en-US"/>
        </w:rPr>
      </w:pPr>
      <w:r w:rsidRPr="00515282">
        <w:rPr>
          <w:rStyle w:val="Refdenotaderodap"/>
          <w:rFonts w:ascii="Arial Narrow" w:hAnsi="Arial Narrow"/>
        </w:rPr>
        <w:footnoteRef/>
      </w:r>
      <w:r w:rsidRPr="00052120">
        <w:rPr>
          <w:rFonts w:ascii="Arial Narrow" w:hAnsi="Arial Narrow"/>
          <w:lang w:val="en-US"/>
        </w:rPr>
        <w:t xml:space="preserve"> </w:t>
      </w:r>
      <w:r w:rsidRPr="00515282">
        <w:rPr>
          <w:rFonts w:ascii="Arial Narrow" w:hAnsi="Arial Narrow"/>
          <w:lang w:val="en-US"/>
        </w:rPr>
        <w:t>R. J. Soucy (1966)</w:t>
      </w:r>
      <w:r>
        <w:rPr>
          <w:rFonts w:ascii="Arial Narrow" w:hAnsi="Arial Narrow"/>
          <w:lang w:val="en-US"/>
        </w:rPr>
        <w:t xml:space="preserve"> 29.</w:t>
      </w:r>
    </w:p>
  </w:footnote>
  <w:footnote w:id="217">
    <w:p w:rsidR="00C84BCB" w:rsidRPr="007463BE" w:rsidRDefault="00C84BCB" w:rsidP="000B4149">
      <w:pPr>
        <w:pStyle w:val="Textodenotaderodap"/>
        <w:rPr>
          <w:rFonts w:ascii="Arial Narrow" w:hAnsi="Arial Narrow"/>
        </w:rPr>
      </w:pPr>
      <w:r w:rsidRPr="007463BE">
        <w:rPr>
          <w:rStyle w:val="Refdenotaderodap"/>
          <w:rFonts w:ascii="Arial Narrow" w:hAnsi="Arial Narrow"/>
        </w:rPr>
        <w:footnoteRef/>
      </w:r>
      <w:r w:rsidRPr="007463BE">
        <w:rPr>
          <w:rFonts w:ascii="Arial Narrow" w:hAnsi="Arial Narrow"/>
        </w:rPr>
        <w:t xml:space="preserve"> Como se lê na passagem citada em P. Sérant (1959) 69</w:t>
      </w:r>
      <w:r>
        <w:rPr>
          <w:rFonts w:ascii="Arial Narrow" w:hAnsi="Arial Narrow"/>
        </w:rPr>
        <w:t>.</w:t>
      </w:r>
    </w:p>
  </w:footnote>
  <w:footnote w:id="218">
    <w:p w:rsidR="00C84BCB" w:rsidRPr="007463BE" w:rsidRDefault="00C84BCB" w:rsidP="000B4149">
      <w:pPr>
        <w:pStyle w:val="Textodenotaderodap"/>
        <w:rPr>
          <w:rFonts w:ascii="Arial Narrow" w:hAnsi="Arial Narrow"/>
        </w:rPr>
      </w:pPr>
      <w:r w:rsidRPr="007463BE">
        <w:rPr>
          <w:rStyle w:val="Refdenotaderodap"/>
          <w:rFonts w:ascii="Arial Narrow" w:hAnsi="Arial Narrow"/>
        </w:rPr>
        <w:footnoteRef/>
      </w:r>
      <w:r w:rsidRPr="007463BE">
        <w:rPr>
          <w:rFonts w:ascii="Arial Narrow" w:hAnsi="Arial Narrow"/>
        </w:rPr>
        <w:t xml:space="preserve"> G. Lukács (1980) 653</w:t>
      </w:r>
      <w:r>
        <w:rPr>
          <w:rFonts w:ascii="Arial Narrow" w:hAnsi="Arial Narrow"/>
        </w:rPr>
        <w:t>.</w:t>
      </w:r>
    </w:p>
  </w:footnote>
  <w:footnote w:id="219">
    <w:p w:rsidR="00C84BCB" w:rsidRPr="007C6477" w:rsidRDefault="00C84BCB" w:rsidP="000B4149">
      <w:pPr>
        <w:pStyle w:val="Textodenotaderodap"/>
        <w:rPr>
          <w:rFonts w:ascii="Arial Narrow" w:hAnsi="Arial Narrow"/>
        </w:rPr>
      </w:pPr>
      <w:r w:rsidRPr="007C6477">
        <w:rPr>
          <w:rStyle w:val="Refdenotaderodap"/>
          <w:rFonts w:ascii="Arial Narrow" w:hAnsi="Arial Narrow"/>
        </w:rPr>
        <w:footnoteRef/>
      </w:r>
      <w:r w:rsidRPr="007C6477">
        <w:rPr>
          <w:rFonts w:ascii="Arial Narrow" w:hAnsi="Arial Narrow"/>
        </w:rPr>
        <w:t xml:space="preserve"> A. Munton (2010) 80. Ver igualmente </w:t>
      </w:r>
      <w:r w:rsidRPr="007C6477">
        <w:rPr>
          <w:rFonts w:ascii="Arial Narrow" w:hAnsi="Arial Narrow"/>
          <w:i/>
        </w:rPr>
        <w:t>Wyndham Lewis</w:t>
      </w:r>
      <w:r w:rsidRPr="007C6477">
        <w:rPr>
          <w:rFonts w:ascii="Arial Narrow" w:hAnsi="Arial Narrow"/>
        </w:rPr>
        <w:t>..., 352.</w:t>
      </w:r>
    </w:p>
  </w:footnote>
  <w:footnote w:id="220">
    <w:p w:rsidR="00C84BCB" w:rsidRPr="00F728B8" w:rsidRDefault="00C84BCB" w:rsidP="000B4149">
      <w:pPr>
        <w:pStyle w:val="Textodenotaderodap"/>
        <w:rPr>
          <w:rFonts w:ascii="Arial Narrow" w:hAnsi="Arial Narrow"/>
        </w:rPr>
      </w:pPr>
      <w:r w:rsidRPr="00F728B8">
        <w:rPr>
          <w:rStyle w:val="Refdenotaderodap"/>
          <w:rFonts w:ascii="Arial Narrow" w:hAnsi="Arial Narrow"/>
        </w:rPr>
        <w:footnoteRef/>
      </w:r>
      <w:r w:rsidRPr="00F728B8">
        <w:rPr>
          <w:rFonts w:ascii="Arial Narrow" w:hAnsi="Arial Narrow"/>
        </w:rPr>
        <w:t xml:space="preserve"> </w:t>
      </w:r>
      <w:r w:rsidRPr="00A607F2">
        <w:rPr>
          <w:rFonts w:ascii="Arial Narrow" w:hAnsi="Arial Narrow"/>
          <w:bCs/>
        </w:rPr>
        <w:t>O. Mosley (2006) 266.</w:t>
      </w:r>
    </w:p>
  </w:footnote>
  <w:footnote w:id="221">
    <w:p w:rsidR="00C84BCB" w:rsidRPr="00F95336" w:rsidRDefault="00C84BCB" w:rsidP="000B4149">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Y. Guchet (2001) 101.</w:t>
      </w:r>
    </w:p>
  </w:footnote>
  <w:footnote w:id="222">
    <w:p w:rsidR="00C84BCB" w:rsidRPr="00F95336" w:rsidRDefault="00C84BCB" w:rsidP="000B4149">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99 n. 80 indic</w:t>
      </w:r>
      <w:r>
        <w:rPr>
          <w:rFonts w:ascii="Arial Narrow" w:hAnsi="Arial Narrow"/>
        </w:rPr>
        <w:t>ou</w:t>
      </w:r>
      <w:r w:rsidRPr="00F95336">
        <w:rPr>
          <w:rFonts w:ascii="Arial Narrow" w:hAnsi="Arial Narrow"/>
        </w:rPr>
        <w:t xml:space="preserve"> que o Cercle Proudhon fo</w:t>
      </w:r>
      <w:r>
        <w:rPr>
          <w:rFonts w:ascii="Arial Narrow" w:hAnsi="Arial Narrow"/>
        </w:rPr>
        <w:t>ra</w:t>
      </w:r>
      <w:r w:rsidRPr="00F95336">
        <w:rPr>
          <w:rFonts w:ascii="Arial Narrow" w:hAnsi="Arial Narrow"/>
        </w:rPr>
        <w:t xml:space="preserve"> criado por oito pessoas e que na cerimónia comemorativa do primeiro aniversário da sua fundação est</w:t>
      </w:r>
      <w:r>
        <w:rPr>
          <w:rFonts w:ascii="Arial Narrow" w:hAnsi="Arial Narrow"/>
        </w:rPr>
        <w:t>i</w:t>
      </w:r>
      <w:r w:rsidRPr="00F95336">
        <w:rPr>
          <w:rFonts w:ascii="Arial Narrow" w:hAnsi="Arial Narrow"/>
        </w:rPr>
        <w:t>v</w:t>
      </w:r>
      <w:r>
        <w:rPr>
          <w:rFonts w:ascii="Arial Narrow" w:hAnsi="Arial Narrow"/>
        </w:rPr>
        <w:t>er</w:t>
      </w:r>
      <w:r w:rsidRPr="00F95336">
        <w:rPr>
          <w:rFonts w:ascii="Arial Narrow" w:hAnsi="Arial Narrow"/>
        </w:rPr>
        <w:t>am presentes, além de seis dos membros originais, mais quinze pessoas.</w:t>
      </w:r>
    </w:p>
  </w:footnote>
  <w:footnote w:id="223">
    <w:p w:rsidR="00C84BCB" w:rsidRPr="000B4149" w:rsidRDefault="00C84BCB" w:rsidP="000B4149">
      <w:pPr>
        <w:pStyle w:val="Textodenotaderodap"/>
        <w:rPr>
          <w:rFonts w:ascii="Arial Narrow" w:hAnsi="Arial Narrow"/>
        </w:rPr>
      </w:pPr>
      <w:r w:rsidRPr="00010966">
        <w:rPr>
          <w:rStyle w:val="Refdenotaderodap"/>
          <w:rFonts w:ascii="Arial Narrow" w:hAnsi="Arial Narrow"/>
        </w:rPr>
        <w:footnoteRef/>
      </w:r>
      <w:r w:rsidRPr="00010966">
        <w:rPr>
          <w:rFonts w:ascii="Arial Narrow" w:hAnsi="Arial Narrow"/>
        </w:rPr>
        <w:t xml:space="preserve"> Em 1908, em </w:t>
      </w:r>
      <w:r w:rsidRPr="00010966">
        <w:rPr>
          <w:rFonts w:ascii="Arial Narrow" w:hAnsi="Arial Narrow"/>
          <w:i/>
        </w:rPr>
        <w:t>Les Nouveaux Aspects du Socialisme,</w:t>
      </w:r>
      <w:r w:rsidRPr="00010966">
        <w:rPr>
          <w:rFonts w:ascii="Arial Narrow" w:hAnsi="Arial Narrow"/>
        </w:rPr>
        <w:t xml:space="preserve"> Bert</w:t>
      </w:r>
      <w:r>
        <w:rPr>
          <w:rFonts w:ascii="Arial Narrow" w:hAnsi="Arial Narrow"/>
        </w:rPr>
        <w:t>h</w:t>
      </w:r>
      <w:r w:rsidRPr="00010966">
        <w:rPr>
          <w:rFonts w:ascii="Arial Narrow" w:hAnsi="Arial Narrow"/>
        </w:rPr>
        <w:t xml:space="preserve"> </w:t>
      </w:r>
      <w:r>
        <w:rPr>
          <w:rFonts w:ascii="Arial Narrow" w:hAnsi="Arial Narrow"/>
        </w:rPr>
        <w:t xml:space="preserve">atacara com vigor Jules Guesde por ser um patriota à maneira dos jacobinos. </w:t>
      </w:r>
      <w:r w:rsidRPr="000B4149">
        <w:rPr>
          <w:rFonts w:ascii="Arial Narrow" w:hAnsi="Arial Narrow"/>
        </w:rPr>
        <w:t>Ver E. Berth (1923) 46-49.</w:t>
      </w:r>
    </w:p>
  </w:footnote>
  <w:footnote w:id="224">
    <w:p w:rsidR="00C84BCB" w:rsidRPr="000B4149" w:rsidRDefault="00C84BCB" w:rsidP="000B4149">
      <w:pPr>
        <w:pStyle w:val="Textodenotaderodap"/>
        <w:rPr>
          <w:rFonts w:ascii="Arial Narrow" w:hAnsi="Arial Narrow"/>
        </w:rPr>
      </w:pPr>
      <w:r w:rsidRPr="00F95336">
        <w:rPr>
          <w:rStyle w:val="Refdenotaderodap"/>
          <w:rFonts w:ascii="Arial Narrow" w:hAnsi="Arial Narrow"/>
        </w:rPr>
        <w:footnoteRef/>
      </w:r>
      <w:r w:rsidRPr="000B4149">
        <w:rPr>
          <w:rFonts w:ascii="Arial Narrow" w:hAnsi="Arial Narrow"/>
        </w:rPr>
        <w:t xml:space="preserve"> Z. Sternhell (1978) 347, 372, 384; id. et al. (1994) 92-93.</w:t>
      </w:r>
    </w:p>
  </w:footnote>
  <w:footnote w:id="225">
    <w:p w:rsidR="00C84BCB" w:rsidRPr="00F95336" w:rsidRDefault="00C84BCB" w:rsidP="00412C99">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Esta passagem de Victor Serge nas </w:t>
      </w:r>
      <w:r w:rsidRPr="00F95336">
        <w:rPr>
          <w:rFonts w:ascii="Arial Narrow" w:hAnsi="Arial Narrow"/>
          <w:i/>
        </w:rPr>
        <w:t>Mémoires d’un Révolutionnaire, 1905-1941,</w:t>
      </w:r>
      <w:r w:rsidRPr="00F95336">
        <w:rPr>
          <w:rFonts w:ascii="Arial Narrow" w:hAnsi="Arial Narrow"/>
        </w:rPr>
        <w:t xml:space="preserve"> encontra-se em J. Rière et al. (orgs. 2001) 526.</w:t>
      </w:r>
    </w:p>
  </w:footnote>
  <w:footnote w:id="226">
    <w:p w:rsidR="00C84BCB" w:rsidRPr="00F95336" w:rsidRDefault="00C84BCB" w:rsidP="00412C99">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Acerca de Georges Valois ver sobretudo Y. Guchet (1965) 1111 e segs. e id. (2001) </w:t>
      </w:r>
      <w:r w:rsidRPr="00F95336">
        <w:rPr>
          <w:rFonts w:ascii="Arial Narrow" w:hAnsi="Arial Narrow"/>
          <w:i/>
        </w:rPr>
        <w:t>passim</w:t>
      </w:r>
      <w:r w:rsidRPr="00F95336">
        <w:rPr>
          <w:rFonts w:ascii="Arial Narrow" w:hAnsi="Arial Narrow"/>
        </w:rPr>
        <w:t xml:space="preserve">. Consultar igualmente: P. Ory (1976) 269; </w:t>
      </w:r>
      <w:r w:rsidRPr="007A48A3">
        <w:rPr>
          <w:rFonts w:ascii="Arial Narrow" w:hAnsi="Arial Narrow"/>
          <w:bCs/>
        </w:rPr>
        <w:t xml:space="preserve">S. G. Payne </w:t>
      </w:r>
      <w:r w:rsidRPr="007A48A3">
        <w:rPr>
          <w:rFonts w:ascii="Arial Narrow" w:hAnsi="Arial Narrow"/>
        </w:rPr>
        <w:t xml:space="preserve">(2003 b) 292; </w:t>
      </w:r>
      <w:r w:rsidRPr="00F95336">
        <w:rPr>
          <w:rFonts w:ascii="Arial Narrow" w:hAnsi="Arial Narrow"/>
        </w:rPr>
        <w:t>E. Santarelli (1981) I 491 n. 1; Z. Sternhell (1978) 365, 384, 399; id. et al. (1994) 93-94, 96; E. Weber (1964) 132-133. Yves Guchet pretende</w:t>
      </w:r>
      <w:r>
        <w:rPr>
          <w:rFonts w:ascii="Arial Narrow" w:hAnsi="Arial Narrow"/>
        </w:rPr>
        <w:t>u</w:t>
      </w:r>
      <w:r w:rsidRPr="00F95336">
        <w:rPr>
          <w:rFonts w:ascii="Arial Narrow" w:hAnsi="Arial Narrow"/>
        </w:rPr>
        <w:t xml:space="preserve"> em (1965) 1134 n. 70 que o Faisceau não teria contado com a simpatia de Mussolini, mas </w:t>
      </w:r>
      <w:r>
        <w:rPr>
          <w:rFonts w:ascii="Arial Narrow" w:hAnsi="Arial Narrow"/>
        </w:rPr>
        <w:t>foi</w:t>
      </w:r>
      <w:r w:rsidRPr="00F95336">
        <w:rPr>
          <w:rFonts w:ascii="Arial Narrow" w:hAnsi="Arial Narrow"/>
        </w:rPr>
        <w:t xml:space="preserve"> mais prudente em (2001) 240 n. 44, limitando-se a colocar a hipótese de que a organização de Valois deixasse céptico o Duce; do mesmo modo, em (2001) 242 n. 50, depois de relatar que, segundo diversas fontes, o Faisceau teria recebido su</w:t>
      </w:r>
      <w:r>
        <w:rPr>
          <w:rFonts w:ascii="Arial Narrow" w:hAnsi="Arial Narrow"/>
        </w:rPr>
        <w:t>bsídios italianos, Guchet duvidou</w:t>
      </w:r>
      <w:r w:rsidRPr="00F95336">
        <w:rPr>
          <w:rFonts w:ascii="Arial Narrow" w:hAnsi="Arial Narrow"/>
        </w:rPr>
        <w:t xml:space="preserve"> </w:t>
      </w:r>
      <w:r>
        <w:rPr>
          <w:rFonts w:ascii="Arial Narrow" w:hAnsi="Arial Narrow"/>
        </w:rPr>
        <w:t xml:space="preserve">de </w:t>
      </w:r>
      <w:r w:rsidRPr="00F95336">
        <w:rPr>
          <w:rFonts w:ascii="Arial Narrow" w:hAnsi="Arial Narrow"/>
        </w:rPr>
        <w:t xml:space="preserve">que isto </w:t>
      </w:r>
      <w:r>
        <w:rPr>
          <w:rFonts w:ascii="Arial Narrow" w:hAnsi="Arial Narrow"/>
        </w:rPr>
        <w:t>fosse</w:t>
      </w:r>
      <w:r w:rsidRPr="00F95336">
        <w:rPr>
          <w:rFonts w:ascii="Arial Narrow" w:hAnsi="Arial Narrow"/>
        </w:rPr>
        <w:t xml:space="preserve"> exacto, argumentando que nada se provou. Note-se que G. Volpe (1941) 228 evoc</w:t>
      </w:r>
      <w:r>
        <w:rPr>
          <w:rFonts w:ascii="Arial Narrow" w:hAnsi="Arial Narrow"/>
        </w:rPr>
        <w:t>ou</w:t>
      </w:r>
      <w:r w:rsidRPr="00F95336">
        <w:rPr>
          <w:rFonts w:ascii="Arial Narrow" w:hAnsi="Arial Narrow"/>
        </w:rPr>
        <w:t xml:space="preserve"> com apreço «o grupo de Georges Valois». A frase de crítica ao regime de Mussolini encontra-se citada em Y. Guchet (2001) 256 e a frase de crítica ao plano de acção da CGT está em id., ibid., 9.</w:t>
      </w:r>
    </w:p>
  </w:footnote>
  <w:footnote w:id="227">
    <w:p w:rsidR="00C84BCB" w:rsidRPr="00F95336" w:rsidRDefault="00C84BCB" w:rsidP="00412C99">
      <w:pPr>
        <w:pStyle w:val="Textodenotaderodap"/>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P. Broué (1996) 243; P. Novick (1985) 283; P. Ory (1976) 143-144; R. O. Paxton (1973) 260; Z. Sternhell et al. </w:t>
      </w:r>
      <w:r w:rsidRPr="00F95336">
        <w:rPr>
          <w:rFonts w:ascii="Arial Narrow" w:hAnsi="Arial Narrow"/>
        </w:rPr>
        <w:t>(1994) 88, 94-99.</w:t>
      </w:r>
    </w:p>
  </w:footnote>
  <w:footnote w:id="228">
    <w:p w:rsidR="00C84BCB" w:rsidRPr="00F95336" w:rsidRDefault="00C84BCB" w:rsidP="0004498A">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Segundo E. Weber (1964) 130, a primeira convergência dos temas socialistas e nacionalistas em França teria ocorrido em 1894 e 1895 no jornal </w:t>
      </w:r>
      <w:r w:rsidRPr="00F95336">
        <w:rPr>
          <w:rFonts w:ascii="Arial Narrow" w:hAnsi="Arial Narrow"/>
          <w:i/>
        </w:rPr>
        <w:t>La Cocarde</w:t>
      </w:r>
      <w:r w:rsidRPr="00F95336">
        <w:rPr>
          <w:rFonts w:ascii="Arial Narrow" w:hAnsi="Arial Narrow"/>
        </w:rPr>
        <w:t>. Referindo-se exactamente a esta época, Y. Guchet (2001) 30 n. 61 afirm</w:t>
      </w:r>
      <w:r>
        <w:rPr>
          <w:rFonts w:ascii="Arial Narrow" w:hAnsi="Arial Narrow"/>
        </w:rPr>
        <w:t>ou</w:t>
      </w:r>
      <w:r w:rsidRPr="00F95336">
        <w:rPr>
          <w:rFonts w:ascii="Arial Narrow" w:hAnsi="Arial Narrow"/>
        </w:rPr>
        <w:t xml:space="preserve"> que «nos meios anarquistas existia um sólido anti-semitismo». Perto do meio operário e ao mesmo tempo expressando simpatia pela ala populista da Action Française, o grupo reunido de 1909 a 1912 em torno da revista </w:t>
      </w:r>
      <w:r w:rsidRPr="00F95336">
        <w:rPr>
          <w:rFonts w:ascii="Arial Narrow" w:hAnsi="Arial Narrow"/>
          <w:i/>
        </w:rPr>
        <w:t>Terre Libre</w:t>
      </w:r>
      <w:r w:rsidRPr="00F95336">
        <w:rPr>
          <w:rFonts w:ascii="Arial Narrow" w:hAnsi="Arial Narrow"/>
        </w:rPr>
        <w:t xml:space="preserve"> conjugava o anarquismo e o sindicalismo revolucionário com o nacionalismo anti-semita, consoante indic</w:t>
      </w:r>
      <w:r>
        <w:rPr>
          <w:rFonts w:ascii="Arial Narrow" w:hAnsi="Arial Narrow"/>
        </w:rPr>
        <w:t>ou</w:t>
      </w:r>
      <w:r w:rsidRPr="00F95336">
        <w:rPr>
          <w:rFonts w:ascii="Arial Narrow" w:hAnsi="Arial Narrow"/>
        </w:rPr>
        <w:t xml:space="preserve"> Z. Sternhell (1978) 279, 372 e 385-390. Com efeito, em H. Dubief (org. 1969) 215-216 lê-se um artigo elucidativo publicado no número de 15 de Outubro de 1911 da </w:t>
      </w:r>
      <w:r w:rsidRPr="00F95336">
        <w:rPr>
          <w:rFonts w:ascii="Arial Narrow" w:hAnsi="Arial Narrow"/>
          <w:i/>
        </w:rPr>
        <w:t>Terre Libre,</w:t>
      </w:r>
      <w:r w:rsidRPr="00F95336">
        <w:rPr>
          <w:rFonts w:ascii="Arial Narrow" w:hAnsi="Arial Narrow"/>
        </w:rPr>
        <w:t xml:space="preserve"> </w:t>
      </w:r>
      <w:r>
        <w:rPr>
          <w:rFonts w:ascii="Arial Narrow" w:hAnsi="Arial Narrow"/>
        </w:rPr>
        <w:t xml:space="preserve">tomando </w:t>
      </w:r>
      <w:r w:rsidRPr="00F95336">
        <w:rPr>
          <w:rFonts w:ascii="Arial Narrow" w:hAnsi="Arial Narrow"/>
        </w:rPr>
        <w:t xml:space="preserve">posição contra o internacionalismo, </w:t>
      </w:r>
      <w:r>
        <w:rPr>
          <w:rFonts w:ascii="Arial Narrow" w:hAnsi="Arial Narrow"/>
        </w:rPr>
        <w:t xml:space="preserve">bramando </w:t>
      </w:r>
      <w:r w:rsidRPr="00F95336">
        <w:rPr>
          <w:rFonts w:ascii="Arial Narrow" w:hAnsi="Arial Narrow"/>
        </w:rPr>
        <w:t xml:space="preserve">contra a concorrência exercida pela mão-de-obra estrangeira e </w:t>
      </w:r>
      <w:r>
        <w:rPr>
          <w:rFonts w:ascii="Arial Narrow" w:hAnsi="Arial Narrow"/>
        </w:rPr>
        <w:t xml:space="preserve">afirmando </w:t>
      </w:r>
      <w:r w:rsidRPr="00F95336">
        <w:rPr>
          <w:rFonts w:ascii="Arial Narrow" w:hAnsi="Arial Narrow"/>
        </w:rPr>
        <w:t xml:space="preserve">que ela resultava de uma invasão judaica sofrida pela França. Esta revista ostentava como subtítulo </w:t>
      </w:r>
      <w:r w:rsidRPr="00F95336">
        <w:rPr>
          <w:rFonts w:ascii="Arial Narrow" w:hAnsi="Arial Narrow"/>
          <w:i/>
        </w:rPr>
        <w:t>Organe Syndical d’Action Directe</w:t>
      </w:r>
      <w:r w:rsidRPr="00F95336">
        <w:rPr>
          <w:rFonts w:ascii="Arial Narrow" w:hAnsi="Arial Narrow"/>
        </w:rPr>
        <w:t xml:space="preserve">. Também os anarquistas de </w:t>
      </w:r>
      <w:r w:rsidRPr="00F95336">
        <w:rPr>
          <w:rFonts w:ascii="Arial Narrow" w:hAnsi="Arial Narrow"/>
          <w:i/>
        </w:rPr>
        <w:t>La Guerre Sociale</w:t>
      </w:r>
      <w:r w:rsidRPr="00F95336">
        <w:rPr>
          <w:rFonts w:ascii="Arial Narrow" w:hAnsi="Arial Narrow"/>
        </w:rPr>
        <w:t xml:space="preserve"> teriam mantido ligações com a Action Française no final da primeira década do século XX, a crer nos relatórios de polícia referidos em Y</w:t>
      </w:r>
      <w:r>
        <w:rPr>
          <w:rFonts w:ascii="Arial Narrow" w:hAnsi="Arial Narrow"/>
        </w:rPr>
        <w:t>ves</w:t>
      </w:r>
      <w:r w:rsidRPr="00F95336">
        <w:rPr>
          <w:rFonts w:ascii="Arial Narrow" w:hAnsi="Arial Narrow"/>
        </w:rPr>
        <w:t xml:space="preserve"> Guchet</w:t>
      </w:r>
      <w:r>
        <w:rPr>
          <w:rFonts w:ascii="Arial Narrow" w:hAnsi="Arial Narrow"/>
        </w:rPr>
        <w:t>,</w:t>
      </w:r>
      <w:r w:rsidRPr="00F95336">
        <w:rPr>
          <w:rFonts w:ascii="Arial Narrow" w:hAnsi="Arial Narrow"/>
        </w:rPr>
        <w:t xml:space="preserve"> </w:t>
      </w:r>
      <w:r w:rsidRPr="0083461E">
        <w:rPr>
          <w:rFonts w:ascii="Arial Narrow" w:hAnsi="Arial Narrow"/>
        </w:rPr>
        <w:t>op. cit.,</w:t>
      </w:r>
      <w:r>
        <w:rPr>
          <w:rFonts w:ascii="Arial Narrow" w:hAnsi="Arial Narrow"/>
        </w:rPr>
        <w:t xml:space="preserve"> </w:t>
      </w:r>
      <w:r w:rsidRPr="00F95336">
        <w:rPr>
          <w:rFonts w:ascii="Arial Narrow" w:hAnsi="Arial Narrow"/>
        </w:rPr>
        <w:t xml:space="preserve">95. Acerca do percurso político da figura mais destacada de </w:t>
      </w:r>
      <w:r w:rsidRPr="00F95336">
        <w:rPr>
          <w:rFonts w:ascii="Arial Narrow" w:hAnsi="Arial Narrow"/>
          <w:i/>
        </w:rPr>
        <w:t>La Guerre Sociale,</w:t>
      </w:r>
      <w:r w:rsidRPr="00F95336">
        <w:rPr>
          <w:rFonts w:ascii="Arial Narrow" w:hAnsi="Arial Narrow"/>
        </w:rPr>
        <w:t xml:space="preserve"> Gustave Hervé, que passou do anarquismo antimilitarista para a apologia do exército e do fascismo, ver Z. Sternhell et al. (1994) 243-245. Nas suas Memórias, J</w:t>
      </w:r>
      <w:r>
        <w:rPr>
          <w:rFonts w:ascii="Arial Narrow" w:hAnsi="Arial Narrow"/>
        </w:rPr>
        <w:t xml:space="preserve">. </w:t>
      </w:r>
      <w:r w:rsidRPr="00F95336">
        <w:rPr>
          <w:rFonts w:ascii="Arial Narrow" w:hAnsi="Arial Narrow"/>
        </w:rPr>
        <w:t>Caillaux (1942-1947) II 84 contou que, durante o período em que chefi</w:t>
      </w:r>
      <w:r>
        <w:rPr>
          <w:rFonts w:ascii="Arial Narrow" w:hAnsi="Arial Narrow"/>
        </w:rPr>
        <w:t>ara</w:t>
      </w:r>
      <w:r w:rsidRPr="00F95336">
        <w:rPr>
          <w:rFonts w:ascii="Arial Narrow" w:hAnsi="Arial Narrow"/>
        </w:rPr>
        <w:t xml:space="preserve"> o governo, orden</w:t>
      </w:r>
      <w:r>
        <w:rPr>
          <w:rFonts w:ascii="Arial Narrow" w:hAnsi="Arial Narrow"/>
        </w:rPr>
        <w:t>ara</w:t>
      </w:r>
      <w:r w:rsidRPr="00F95336">
        <w:rPr>
          <w:rFonts w:ascii="Arial Narrow" w:hAnsi="Arial Narrow"/>
        </w:rPr>
        <w:t xml:space="preserve"> a transferência de Hervé «da prisão da Santé, onde cumpria uma pena a que estava condenado e onde, beneficiando do regime dos presos políticos, tinha liberdade e ensejo de conversar diariamente com os seus auxiliares, para a prisão central de Clairvaux, onde deixou de lhe ser possível comunicar com o exterior. Esta actuação decidida deu bons resultados. Gradualmente o tom do jornal </w:t>
      </w:r>
      <w:r w:rsidRPr="00F95336">
        <w:rPr>
          <w:rFonts w:ascii="Arial Narrow" w:hAnsi="Arial Narrow"/>
          <w:i/>
        </w:rPr>
        <w:t>[La Guerre Sociale]</w:t>
      </w:r>
      <w:r w:rsidRPr="00F95336">
        <w:rPr>
          <w:rFonts w:ascii="Arial Narrow" w:hAnsi="Arial Narrow"/>
        </w:rPr>
        <w:t xml:space="preserve"> tornou-se mais moderado. [...] Hervé não encetara ainda aquela evolução que, partindo do antimilitarismo, devia precipitá-lo no nacionalismo mais extremo, mas ia-se acalmando. A firmeza do governo tinha-lhe ministrado um salutar duche frio».</w:t>
      </w:r>
    </w:p>
  </w:footnote>
  <w:footnote w:id="229">
    <w:p w:rsidR="00C84BCB" w:rsidRPr="00CD12DC" w:rsidRDefault="00C84BCB" w:rsidP="0004498A">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Z. Sternhell et al. (1994) 53.</w:t>
      </w:r>
    </w:p>
  </w:footnote>
  <w:footnote w:id="230">
    <w:p w:rsidR="00C84BCB" w:rsidRPr="00F95336" w:rsidRDefault="00C84BCB" w:rsidP="0004498A">
      <w:pPr>
        <w:pStyle w:val="Textodenotaderodap"/>
        <w:rPr>
          <w:rFonts w:ascii="Arial Narrow" w:hAnsi="Arial Narrow"/>
        </w:rPr>
      </w:pPr>
      <w:r w:rsidRPr="00F95336">
        <w:rPr>
          <w:rStyle w:val="Refdenotaderodap"/>
          <w:rFonts w:ascii="Arial Narrow" w:hAnsi="Arial Narrow"/>
        </w:rPr>
        <w:footnoteRef/>
      </w:r>
      <w:r w:rsidRPr="00CD12DC">
        <w:rPr>
          <w:rFonts w:ascii="Arial Narrow" w:hAnsi="Arial Narrow"/>
          <w:lang w:val="en-US"/>
        </w:rPr>
        <w:t xml:space="preserve"> Id. (1978) 322. </w:t>
      </w:r>
      <w:r w:rsidRPr="00F95336">
        <w:rPr>
          <w:rFonts w:ascii="Arial Narrow" w:hAnsi="Arial Narrow"/>
        </w:rPr>
        <w:t xml:space="preserve">Zeev Sternhell </w:t>
      </w:r>
      <w:r>
        <w:rPr>
          <w:rFonts w:ascii="Arial Narrow" w:hAnsi="Arial Narrow"/>
        </w:rPr>
        <w:t xml:space="preserve">referiu </w:t>
      </w:r>
      <w:r w:rsidRPr="00F95336">
        <w:rPr>
          <w:rFonts w:ascii="Arial Narrow" w:hAnsi="Arial Narrow"/>
        </w:rPr>
        <w:t>o secretário do Sindicato dos Carvoeiros do Havre, mas H. Dubief (org. 1969) 49 e 214 mencion</w:t>
      </w:r>
      <w:r>
        <w:rPr>
          <w:rFonts w:ascii="Arial Narrow" w:hAnsi="Arial Narrow"/>
        </w:rPr>
        <w:t>ou</w:t>
      </w:r>
      <w:r w:rsidRPr="00F95336">
        <w:rPr>
          <w:rFonts w:ascii="Arial Narrow" w:hAnsi="Arial Narrow"/>
        </w:rPr>
        <w:t xml:space="preserve"> «o secretário dos estivadores do Havre» e «o estivador do Havre».</w:t>
      </w:r>
    </w:p>
  </w:footnote>
  <w:footnote w:id="231">
    <w:p w:rsidR="00C84BCB" w:rsidRPr="00F95336" w:rsidRDefault="00C84BCB" w:rsidP="0004498A">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Z. Sternhell (1978) 27.</w:t>
      </w:r>
    </w:p>
  </w:footnote>
  <w:footnote w:id="232">
    <w:p w:rsidR="00C84BCB" w:rsidRPr="00F95336" w:rsidRDefault="00C84BCB" w:rsidP="006B7E38">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Sorel previa que o sindicalismo revolucionário encontrasse em Itália um campo de desenvolvimento especialmente favorável. Ver G. Sorel et al. (1978) 22.</w:t>
      </w:r>
      <w:r>
        <w:rPr>
          <w:rFonts w:ascii="Arial Narrow" w:hAnsi="Arial Narrow"/>
        </w:rPr>
        <w:t xml:space="preserve"> Com efeito, em 1923 Berth pôde escrever: «não esqueçamos que Sorel e as ideias sindicalistas são ainda mais populares em Itália» e «a Itália tem o direito de reclamar Sorel tanto quanto, se não mais do que, a França». Ver E. Berth (1923) 27 e 29. Acerca da popularidade de Sorel na Itália ver também J. Rossi (1946) 565.</w:t>
      </w:r>
    </w:p>
  </w:footnote>
  <w:footnote w:id="233">
    <w:p w:rsidR="00C84BCB" w:rsidRPr="00F95336" w:rsidRDefault="00C84BCB" w:rsidP="006B7E38">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P. Sérant (1959) 69.</w:t>
      </w:r>
      <w:r>
        <w:rPr>
          <w:rFonts w:ascii="Arial Narrow" w:hAnsi="Arial Narrow"/>
        </w:rPr>
        <w:t xml:space="preserve"> Ver também </w:t>
      </w:r>
      <w:r w:rsidRPr="0002746E">
        <w:rPr>
          <w:rFonts w:ascii="Arial Narrow" w:hAnsi="Arial Narrow"/>
        </w:rPr>
        <w:t>G. Gentile (1928) 296.</w:t>
      </w:r>
    </w:p>
  </w:footnote>
  <w:footnote w:id="234">
    <w:p w:rsidR="00C84BCB" w:rsidRPr="00F95336" w:rsidRDefault="00C84BCB" w:rsidP="006B7E38">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G. Bortolotto (1938) 18 n. 2. </w:t>
      </w:r>
      <w:r>
        <w:rPr>
          <w:rFonts w:ascii="Arial Narrow" w:hAnsi="Arial Narrow"/>
        </w:rPr>
        <w:t xml:space="preserve">Ver igualmente G. Seldes (1935) 24. </w:t>
      </w:r>
      <w:r w:rsidRPr="00F95336">
        <w:rPr>
          <w:rFonts w:ascii="Arial Narrow" w:hAnsi="Arial Narrow"/>
        </w:rPr>
        <w:t>Também um inspector-geral da polícia, num relatório secreto dirigido em 1919 ao primeiro-ministro, admiti</w:t>
      </w:r>
      <w:r>
        <w:rPr>
          <w:rFonts w:ascii="Arial Narrow" w:hAnsi="Arial Narrow"/>
        </w:rPr>
        <w:t>u</w:t>
      </w:r>
      <w:r w:rsidRPr="00F95336">
        <w:rPr>
          <w:rFonts w:ascii="Arial Narrow" w:hAnsi="Arial Narrow"/>
        </w:rPr>
        <w:t xml:space="preserve"> que Mussolini pudesse tornar-se «um </w:t>
      </w:r>
      <w:r w:rsidRPr="00F95336">
        <w:rPr>
          <w:rFonts w:ascii="Arial Narrow" w:hAnsi="Arial Narrow"/>
          <w:i/>
        </w:rPr>
        <w:t>condottiero,</w:t>
      </w:r>
      <w:r w:rsidRPr="00F95336">
        <w:rPr>
          <w:rFonts w:ascii="Arial Narrow" w:hAnsi="Arial Narrow"/>
        </w:rPr>
        <w:t xml:space="preserve"> um </w:t>
      </w:r>
      <w:r w:rsidRPr="00F95336">
        <w:rPr>
          <w:rFonts w:ascii="Arial Narrow" w:hAnsi="Arial Narrow"/>
          <w:i/>
        </w:rPr>
        <w:t>meneur</w:t>
      </w:r>
      <w:r w:rsidRPr="00F95336">
        <w:rPr>
          <w:rFonts w:ascii="Arial Narrow" w:hAnsi="Arial Narrow"/>
        </w:rPr>
        <w:t xml:space="preserve"> temível». Citado em P. C. Masini (1999) 17. É curioso que Salazar tivesse procedido à mesma comparação, mas em sentido crítico, quando classificou o Duce como um «italiano descendente dos </w:t>
      </w:r>
      <w:r w:rsidRPr="00F95336">
        <w:rPr>
          <w:rFonts w:ascii="Arial Narrow" w:hAnsi="Arial Narrow"/>
          <w:i/>
        </w:rPr>
        <w:t>condottieri</w:t>
      </w:r>
      <w:r w:rsidRPr="00F95336">
        <w:rPr>
          <w:rFonts w:ascii="Arial Narrow" w:hAnsi="Arial Narrow"/>
        </w:rPr>
        <w:t xml:space="preserve"> da Idade Média». Ver A. Ferro (1933) 74. Se soubessem um pouco mais de história, porém, equiparariam Mussolini a um </w:t>
      </w:r>
      <w:r w:rsidRPr="00F95336">
        <w:rPr>
          <w:rFonts w:ascii="Arial Narrow" w:hAnsi="Arial Narrow"/>
          <w:i/>
        </w:rPr>
        <w:t>podestà</w:t>
      </w:r>
      <w:r w:rsidRPr="00F95336">
        <w:rPr>
          <w:rFonts w:ascii="Arial Narrow" w:hAnsi="Arial Narrow"/>
        </w:rPr>
        <w:t>.</w:t>
      </w:r>
    </w:p>
  </w:footnote>
  <w:footnote w:id="235">
    <w:p w:rsidR="00C84BCB" w:rsidRPr="004F5597" w:rsidRDefault="00C84BCB" w:rsidP="006B7E38">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em P. Milza (1999) 277.</w:t>
      </w:r>
      <w:r>
        <w:rPr>
          <w:rFonts w:ascii="Arial Narrow" w:hAnsi="Arial Narrow"/>
        </w:rPr>
        <w:t xml:space="preserve"> </w:t>
      </w:r>
      <w:r w:rsidRPr="004F5597">
        <w:rPr>
          <w:rFonts w:ascii="Arial Narrow" w:hAnsi="Arial Narrow"/>
        </w:rPr>
        <w:t>M. Charzat (1983) 42 considerou ess</w:t>
      </w:r>
      <w:r>
        <w:rPr>
          <w:rFonts w:ascii="Arial Narrow" w:hAnsi="Arial Narrow"/>
        </w:rPr>
        <w:t xml:space="preserve">a declaração </w:t>
      </w:r>
      <w:r w:rsidRPr="004F5597">
        <w:rPr>
          <w:rFonts w:ascii="Arial Narrow" w:hAnsi="Arial Narrow"/>
        </w:rPr>
        <w:t>«de uma autenticidade problem</w:t>
      </w:r>
      <w:r>
        <w:rPr>
          <w:rFonts w:ascii="Arial Narrow" w:hAnsi="Arial Narrow"/>
        </w:rPr>
        <w:t>ática».</w:t>
      </w:r>
    </w:p>
  </w:footnote>
  <w:footnote w:id="236">
    <w:p w:rsidR="00C84BCB" w:rsidRPr="000530E6" w:rsidRDefault="00C84BCB" w:rsidP="006B7E38">
      <w:pPr>
        <w:pStyle w:val="Textodenotaderodap"/>
        <w:rPr>
          <w:rFonts w:ascii="Arial Narrow" w:hAnsi="Arial Narrow"/>
          <w:lang w:val="en-US"/>
        </w:rPr>
      </w:pPr>
      <w:r w:rsidRPr="00F95336">
        <w:rPr>
          <w:rStyle w:val="Refdenotaderodap"/>
          <w:rFonts w:ascii="Arial Narrow" w:hAnsi="Arial Narrow"/>
        </w:rPr>
        <w:footnoteRef/>
      </w:r>
      <w:r w:rsidRPr="000530E6">
        <w:rPr>
          <w:rFonts w:ascii="Arial Narrow" w:hAnsi="Arial Narrow"/>
          <w:lang w:val="en-US"/>
        </w:rPr>
        <w:t xml:space="preserve"> M. Charzat (1983) 37-38; Z. Sternhell (1978) 347, 372, 391, 414.</w:t>
      </w:r>
    </w:p>
  </w:footnote>
  <w:footnote w:id="237">
    <w:p w:rsidR="00C84BCB" w:rsidRPr="007F3E72" w:rsidRDefault="00C84BCB" w:rsidP="006B7E38">
      <w:pPr>
        <w:pStyle w:val="Textodenotaderodap"/>
        <w:rPr>
          <w:rFonts w:ascii="Arial Narrow" w:hAnsi="Arial Narrow"/>
        </w:rPr>
      </w:pPr>
      <w:r w:rsidRPr="007F3E72">
        <w:rPr>
          <w:rStyle w:val="Refdenotaderodap"/>
          <w:rFonts w:ascii="Arial Narrow" w:hAnsi="Arial Narrow"/>
        </w:rPr>
        <w:footnoteRef/>
      </w:r>
      <w:r w:rsidRPr="000530E6">
        <w:rPr>
          <w:rFonts w:ascii="Arial Narrow" w:hAnsi="Arial Narrow"/>
          <w:lang w:val="en-US"/>
        </w:rPr>
        <w:t xml:space="preserve"> M. Charzat (1983) 39-43. </w:t>
      </w:r>
      <w:r w:rsidRPr="007F3E72">
        <w:rPr>
          <w:rFonts w:ascii="Arial Narrow" w:hAnsi="Arial Narrow"/>
        </w:rPr>
        <w:t>Neste artigo, em que pretende</w:t>
      </w:r>
      <w:r w:rsidR="0034519A">
        <w:rPr>
          <w:rFonts w:ascii="Arial Narrow" w:hAnsi="Arial Narrow"/>
        </w:rPr>
        <w:t>u</w:t>
      </w:r>
      <w:r w:rsidRPr="007F3E72">
        <w:rPr>
          <w:rFonts w:ascii="Arial Narrow" w:hAnsi="Arial Narrow"/>
        </w:rPr>
        <w:t xml:space="preserve"> demonstrar que Sorel n</w:t>
      </w:r>
      <w:r>
        <w:rPr>
          <w:rFonts w:ascii="Arial Narrow" w:hAnsi="Arial Narrow"/>
        </w:rPr>
        <w:t>ão apoi</w:t>
      </w:r>
      <w:r w:rsidR="0034519A">
        <w:rPr>
          <w:rFonts w:ascii="Arial Narrow" w:hAnsi="Arial Narrow"/>
        </w:rPr>
        <w:t>ara</w:t>
      </w:r>
      <w:r>
        <w:rPr>
          <w:rFonts w:ascii="Arial Narrow" w:hAnsi="Arial Narrow"/>
        </w:rPr>
        <w:t xml:space="preserve"> o movimento fascista, </w:t>
      </w:r>
      <w:r w:rsidRPr="007F3E72">
        <w:rPr>
          <w:rFonts w:ascii="Arial Narrow" w:hAnsi="Arial Narrow"/>
        </w:rPr>
        <w:t>Michel Charzat</w:t>
      </w:r>
      <w:r>
        <w:rPr>
          <w:rFonts w:ascii="Arial Narrow" w:hAnsi="Arial Narrow"/>
        </w:rPr>
        <w:t xml:space="preserve"> reproduziu (pág. 40), no entanto, um texto em que </w:t>
      </w:r>
      <w:r w:rsidR="0034519A">
        <w:rPr>
          <w:rFonts w:ascii="Arial Narrow" w:hAnsi="Arial Narrow"/>
        </w:rPr>
        <w:t>Sorel</w:t>
      </w:r>
      <w:r>
        <w:rPr>
          <w:rFonts w:ascii="Arial Narrow" w:hAnsi="Arial Narrow"/>
        </w:rPr>
        <w:t xml:space="preserve"> declarou que «os fascistas não estão inteiramente errados quando invocam as minhas opiniões, porque o poder que têm mostra de maneira muito clara o valor da violência triunfante».A argumentação de </w:t>
      </w:r>
      <w:r w:rsidRPr="007F3E72">
        <w:rPr>
          <w:rFonts w:ascii="Arial Narrow" w:hAnsi="Arial Narrow"/>
        </w:rPr>
        <w:t>Charzat</w:t>
      </w:r>
      <w:r>
        <w:rPr>
          <w:rFonts w:ascii="Arial Narrow" w:hAnsi="Arial Narrow"/>
        </w:rPr>
        <w:t xml:space="preserve"> resume-se a desvalorizar todos os testemunhos contrários à sua tese e é esclarecedor que não dedique nem uma palavra ao Cercle Proudhon.</w:t>
      </w:r>
    </w:p>
  </w:footnote>
  <w:footnote w:id="238">
    <w:p w:rsidR="00C84BCB" w:rsidRPr="00CD12DC" w:rsidRDefault="00C84BCB" w:rsidP="006B7E38">
      <w:pPr>
        <w:pStyle w:val="Textodenotaderodap"/>
        <w:rPr>
          <w:rFonts w:ascii="Arial Narrow" w:hAnsi="Arial Narrow"/>
          <w:lang w:val="en-US"/>
        </w:rPr>
      </w:pPr>
      <w:r w:rsidRPr="00F95336">
        <w:rPr>
          <w:rStyle w:val="Refdenotaderodap"/>
          <w:rFonts w:ascii="Arial Narrow" w:hAnsi="Arial Narrow"/>
        </w:rPr>
        <w:footnoteRef/>
      </w:r>
      <w:r w:rsidRPr="00F95336">
        <w:rPr>
          <w:rFonts w:ascii="Arial Narrow" w:hAnsi="Arial Narrow"/>
        </w:rPr>
        <w:t xml:space="preserve"> Acerca do apoio pelo menos tácito dado por Sorel ao movimento de Mussolini ver E. Santarelli (1981) I 99 e Z. Sternhell et al. </w:t>
      </w:r>
      <w:r w:rsidRPr="00CD12DC">
        <w:rPr>
          <w:rFonts w:ascii="Arial Narrow" w:hAnsi="Arial Narrow"/>
          <w:lang w:val="en-US"/>
        </w:rPr>
        <w:t>(1994) 26.</w:t>
      </w:r>
    </w:p>
  </w:footnote>
  <w:footnote w:id="239">
    <w:p w:rsidR="00C84BCB" w:rsidRPr="00CD12DC" w:rsidRDefault="00C84BCB" w:rsidP="006B7E38">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P. Milza (1999) 67, 83, 105; E. Santarelli (1981) I 49, 52; Z. Sternhell et al. (1994) 33, 196.</w:t>
      </w:r>
    </w:p>
  </w:footnote>
  <w:footnote w:id="240">
    <w:p w:rsidR="00C84BCB" w:rsidRPr="00F95336" w:rsidRDefault="00C84BCB" w:rsidP="006B7E38">
      <w:pPr>
        <w:pStyle w:val="Textodenotaderodap"/>
        <w:rPr>
          <w:rFonts w:ascii="Arial Narrow" w:hAnsi="Arial Narrow"/>
        </w:rPr>
      </w:pPr>
      <w:r w:rsidRPr="00F95336">
        <w:rPr>
          <w:rStyle w:val="Refdenotaderodap"/>
          <w:rFonts w:ascii="Arial Narrow" w:hAnsi="Arial Narrow"/>
        </w:rPr>
        <w:footnoteRef/>
      </w:r>
      <w:r w:rsidRPr="00CD12DC">
        <w:rPr>
          <w:rFonts w:ascii="Arial Narrow" w:hAnsi="Arial Narrow"/>
          <w:lang w:val="en-US"/>
        </w:rPr>
        <w:t xml:space="preserve"> D. Guérin (1969) II 162; Z. Sternhell et al. </w:t>
      </w:r>
      <w:r w:rsidRPr="00F95336">
        <w:rPr>
          <w:rFonts w:ascii="Arial Narrow" w:hAnsi="Arial Narrow"/>
        </w:rPr>
        <w:t>(1994) 199. Note-se que, embora inclu</w:t>
      </w:r>
      <w:r>
        <w:rPr>
          <w:rFonts w:ascii="Arial Narrow" w:hAnsi="Arial Narrow"/>
        </w:rPr>
        <w:t>ísse</w:t>
      </w:r>
      <w:r w:rsidRPr="00F95336">
        <w:rPr>
          <w:rFonts w:ascii="Arial Narrow" w:hAnsi="Arial Narrow"/>
        </w:rPr>
        <w:t xml:space="preserve"> (pág. 17) Sorel entre as fontes de inspiração filosófica de Mussolini, G. Lukács (1980) 32 consider</w:t>
      </w:r>
      <w:r>
        <w:rPr>
          <w:rFonts w:ascii="Arial Narrow" w:hAnsi="Arial Narrow"/>
        </w:rPr>
        <w:t>ou</w:t>
      </w:r>
      <w:r w:rsidRPr="00F95336">
        <w:rPr>
          <w:rFonts w:ascii="Arial Narrow" w:hAnsi="Arial Narrow"/>
        </w:rPr>
        <w:t xml:space="preserve"> que a sua relação com o fascismo italiano foi «muito mais ténue e formal» do que a relação do irracionalismo filosófico germânico com o nacional-socialismo.</w:t>
      </w:r>
    </w:p>
  </w:footnote>
  <w:footnote w:id="241">
    <w:p w:rsidR="00C84BCB" w:rsidRPr="00F95336" w:rsidRDefault="00C84BCB" w:rsidP="006B7E38">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B. Mussolini (1935) 17-18</w:t>
      </w:r>
      <w:r>
        <w:rPr>
          <w:rFonts w:ascii="Arial Narrow" w:hAnsi="Arial Narrow"/>
        </w:rPr>
        <w:t>.</w:t>
      </w:r>
      <w:r w:rsidRPr="00F95336">
        <w:rPr>
          <w:rFonts w:ascii="Arial Narrow" w:hAnsi="Arial Narrow"/>
        </w:rPr>
        <w:t xml:space="preserve"> Reproduzido em Ch. F. Delzell (org. 1971) 96-97</w:t>
      </w:r>
      <w:r>
        <w:rPr>
          <w:rFonts w:ascii="Arial Narrow" w:hAnsi="Arial Narrow"/>
        </w:rPr>
        <w:t>;</w:t>
      </w:r>
      <w:r w:rsidRPr="00F95336">
        <w:rPr>
          <w:rFonts w:ascii="Arial Narrow" w:hAnsi="Arial Narrow"/>
        </w:rPr>
        <w:t xml:space="preserve"> ver também G. S. Spinetti (org. 1938) 240. Note-se ainda, como indic</w:t>
      </w:r>
      <w:r>
        <w:rPr>
          <w:rFonts w:ascii="Arial Narrow" w:hAnsi="Arial Narrow"/>
        </w:rPr>
        <w:t>ou</w:t>
      </w:r>
      <w:r w:rsidRPr="00F95336">
        <w:rPr>
          <w:rFonts w:ascii="Arial Narrow" w:hAnsi="Arial Narrow"/>
        </w:rPr>
        <w:t xml:space="preserve"> G. Guy-Grand (1911) 9, que Charles Péguy fora um admirador de Sorel.</w:t>
      </w:r>
    </w:p>
  </w:footnote>
  <w:footnote w:id="242">
    <w:p w:rsidR="00C84BCB" w:rsidRPr="00F95336" w:rsidRDefault="00C84BCB" w:rsidP="006B7E38">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P. Milza (1999) 112.</w:t>
      </w:r>
    </w:p>
  </w:footnote>
  <w:footnote w:id="243">
    <w:p w:rsidR="00C84BCB" w:rsidRPr="00F95336" w:rsidRDefault="00C84BCB" w:rsidP="006B7E38">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B. Mussolini (1951) 167.</w:t>
      </w:r>
    </w:p>
  </w:footnote>
  <w:footnote w:id="244">
    <w:p w:rsidR="00C84BCB" w:rsidRPr="00357EAA" w:rsidRDefault="00C84BCB" w:rsidP="006B7E38">
      <w:pPr>
        <w:pStyle w:val="Textodenotaderodap"/>
        <w:rPr>
          <w:rFonts w:ascii="Arial Narrow" w:hAnsi="Arial Narrow"/>
        </w:rPr>
      </w:pPr>
      <w:r w:rsidRPr="00357EAA">
        <w:rPr>
          <w:rStyle w:val="Refdenotaderodap"/>
          <w:rFonts w:ascii="Arial Narrow" w:hAnsi="Arial Narrow"/>
        </w:rPr>
        <w:footnoteRef/>
      </w:r>
      <w:r w:rsidRPr="00357EAA">
        <w:rPr>
          <w:rFonts w:ascii="Arial Narrow" w:hAnsi="Arial Narrow"/>
        </w:rPr>
        <w:t xml:space="preserve"> </w:t>
      </w:r>
      <w:r w:rsidRPr="00F95336">
        <w:rPr>
          <w:rFonts w:ascii="Arial Narrow" w:hAnsi="Arial Narrow"/>
        </w:rPr>
        <w:t>Citado em P. C. Masini (1999) 26.</w:t>
      </w:r>
    </w:p>
  </w:footnote>
  <w:footnote w:id="245">
    <w:p w:rsidR="00C84BCB" w:rsidRPr="0002746E" w:rsidRDefault="00C84BCB" w:rsidP="006B7E38">
      <w:pPr>
        <w:pStyle w:val="Textodenotaderodap"/>
        <w:rPr>
          <w:rFonts w:ascii="Arial Narrow" w:hAnsi="Arial Narrow"/>
          <w:lang w:val="en-US"/>
        </w:rPr>
      </w:pPr>
      <w:r w:rsidRPr="00357EAA">
        <w:rPr>
          <w:rStyle w:val="Refdenotaderodap"/>
          <w:rFonts w:ascii="Arial Narrow" w:hAnsi="Arial Narrow"/>
        </w:rPr>
        <w:footnoteRef/>
      </w:r>
      <w:r w:rsidRPr="0002746E">
        <w:rPr>
          <w:rFonts w:ascii="Arial Narrow" w:hAnsi="Arial Narrow"/>
          <w:lang w:val="en-US"/>
        </w:rPr>
        <w:t xml:space="preserve"> M. Lane (2003) 325.</w:t>
      </w:r>
    </w:p>
  </w:footnote>
  <w:footnote w:id="246">
    <w:p w:rsidR="00C84BCB" w:rsidRPr="00F95336" w:rsidRDefault="00C84BCB" w:rsidP="006B7E38">
      <w:pPr>
        <w:pStyle w:val="Textodenotaderodap"/>
        <w:rPr>
          <w:rFonts w:ascii="Arial Narrow" w:hAnsi="Arial Narrow"/>
        </w:rPr>
      </w:pPr>
      <w:r w:rsidRPr="00F95336">
        <w:rPr>
          <w:rStyle w:val="Refdenotaderodap"/>
          <w:rFonts w:ascii="Arial Narrow" w:hAnsi="Arial Narrow"/>
        </w:rPr>
        <w:footnoteRef/>
      </w:r>
      <w:r w:rsidRPr="0002746E">
        <w:rPr>
          <w:rFonts w:ascii="Arial Narrow" w:hAnsi="Arial Narrow"/>
          <w:lang w:val="en-US"/>
        </w:rPr>
        <w:t xml:space="preserve"> G. Gentile (1928) 298; id. </w:t>
      </w:r>
      <w:r w:rsidRPr="00F95336">
        <w:rPr>
          <w:rFonts w:ascii="Arial Narrow" w:hAnsi="Arial Narrow"/>
        </w:rPr>
        <w:t>(1929) 29, 58.</w:t>
      </w:r>
    </w:p>
  </w:footnote>
  <w:footnote w:id="247">
    <w:p w:rsidR="00C84BCB" w:rsidRPr="007068FE" w:rsidRDefault="00C84BCB" w:rsidP="006B7E38">
      <w:pPr>
        <w:pStyle w:val="Textodenotaderodap"/>
        <w:rPr>
          <w:rFonts w:ascii="Arial Narrow" w:hAnsi="Arial Narrow"/>
        </w:rPr>
      </w:pPr>
      <w:r w:rsidRPr="007068FE">
        <w:rPr>
          <w:rStyle w:val="Refdenotaderodap"/>
          <w:rFonts w:ascii="Arial Narrow" w:hAnsi="Arial Narrow"/>
        </w:rPr>
        <w:footnoteRef/>
      </w:r>
      <w:r w:rsidRPr="007068FE">
        <w:rPr>
          <w:rFonts w:ascii="Arial Narrow" w:hAnsi="Arial Narrow"/>
        </w:rPr>
        <w:t xml:space="preserve"> </w:t>
      </w:r>
      <w:r>
        <w:rPr>
          <w:rFonts w:ascii="Arial Narrow" w:hAnsi="Arial Narrow"/>
        </w:rPr>
        <w:t>L. Rebatet (2007) 66.</w:t>
      </w:r>
    </w:p>
  </w:footnote>
  <w:footnote w:id="248">
    <w:p w:rsidR="00C84BCB" w:rsidRPr="00F95336" w:rsidRDefault="00C84BCB" w:rsidP="006B7E38">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E. Santarelli (1981) I 96-97, 564-565.</w:t>
      </w:r>
    </w:p>
  </w:footnote>
  <w:footnote w:id="249">
    <w:p w:rsidR="00C84BCB" w:rsidRPr="00F95336" w:rsidRDefault="00C84BCB" w:rsidP="006B7E38">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Rolão Preto em entrevista a J. Medina (1978) 187.</w:t>
      </w:r>
    </w:p>
  </w:footnote>
  <w:footnote w:id="250">
    <w:p w:rsidR="00C84BCB" w:rsidRPr="00F95336" w:rsidRDefault="00C84BCB" w:rsidP="00814F55">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D. Megherovsky referido por B. R. Lopukhov (1965) 249.</w:t>
      </w:r>
    </w:p>
  </w:footnote>
  <w:footnote w:id="251">
    <w:p w:rsidR="00C84BCB" w:rsidRPr="00F95336" w:rsidRDefault="00C84BCB" w:rsidP="00814F55">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G. Sandomirski referido por id., ibid., 239-241 e 251-252. Note-se que, se uma genealogia ideológica tão variada servi</w:t>
      </w:r>
      <w:r>
        <w:rPr>
          <w:rFonts w:ascii="Arial Narrow" w:hAnsi="Arial Narrow"/>
        </w:rPr>
        <w:t>u</w:t>
      </w:r>
      <w:r w:rsidRPr="00F95336">
        <w:rPr>
          <w:rFonts w:ascii="Arial Narrow" w:hAnsi="Arial Narrow"/>
        </w:rPr>
        <w:t xml:space="preserve"> a Guermann Sandomirski para considerar, e muito bem, que no fascismo convergiam interesses económicos e políticos distintos, ele conclu</w:t>
      </w:r>
      <w:r>
        <w:rPr>
          <w:rFonts w:ascii="Arial Narrow" w:hAnsi="Arial Narrow"/>
        </w:rPr>
        <w:t>iu</w:t>
      </w:r>
      <w:r w:rsidRPr="00F95336">
        <w:rPr>
          <w:rFonts w:ascii="Arial Narrow" w:hAnsi="Arial Narrow"/>
        </w:rPr>
        <w:t xml:space="preserve"> daqui que o fascismo, sem possuir uma ideologia coerente, se caracterizaria apenas pela acção terrorista e repressiva e não passaria de um fenómeno histórico temporário.</w:t>
      </w:r>
    </w:p>
  </w:footnote>
  <w:footnote w:id="252">
    <w:p w:rsidR="00C84BCB" w:rsidRPr="00F95336" w:rsidRDefault="00C84BCB" w:rsidP="000B0A2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Z. Sternhell (1978) 328-330.</w:t>
      </w:r>
    </w:p>
  </w:footnote>
  <w:footnote w:id="25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H. Lagardelle, «Los Caracteres Generales del Sindicalismo», em G. Sorel et al. (1978) 72-73</w:t>
      </w:r>
      <w:r>
        <w:rPr>
          <w:rFonts w:ascii="Arial Narrow" w:hAnsi="Arial Narrow"/>
        </w:rPr>
        <w:t xml:space="preserve"> (sub. orig.)</w:t>
      </w:r>
      <w:r w:rsidRPr="00F95336">
        <w:rPr>
          <w:rFonts w:ascii="Arial Narrow" w:hAnsi="Arial Narrow"/>
        </w:rPr>
        <w:t>.</w:t>
      </w:r>
    </w:p>
  </w:footnote>
  <w:footnote w:id="254">
    <w:p w:rsidR="00C84BCB" w:rsidRPr="003C1E39" w:rsidRDefault="00C84BCB">
      <w:pPr>
        <w:pStyle w:val="Textodenotaderodap"/>
        <w:rPr>
          <w:rFonts w:ascii="Arial Narrow" w:hAnsi="Arial Narrow"/>
        </w:rPr>
      </w:pPr>
      <w:r w:rsidRPr="003C1E39">
        <w:rPr>
          <w:rStyle w:val="Refdenotaderodap"/>
          <w:rFonts w:ascii="Arial Narrow" w:hAnsi="Arial Narrow"/>
        </w:rPr>
        <w:footnoteRef/>
      </w:r>
      <w:r w:rsidRPr="003C1E39">
        <w:rPr>
          <w:rFonts w:ascii="Arial Narrow" w:hAnsi="Arial Narrow"/>
        </w:rPr>
        <w:t xml:space="preserve"> </w:t>
      </w:r>
      <w:r>
        <w:rPr>
          <w:rFonts w:ascii="Arial Narrow" w:hAnsi="Arial Narrow"/>
        </w:rPr>
        <w:t>E. Berth (1923) 17.</w:t>
      </w:r>
    </w:p>
  </w:footnote>
  <w:footnote w:id="255">
    <w:p w:rsidR="00C84BCB" w:rsidRPr="007A235A" w:rsidRDefault="00C84BCB">
      <w:pPr>
        <w:pStyle w:val="Textodenotaderodap"/>
        <w:rPr>
          <w:rFonts w:ascii="Arial Narrow" w:hAnsi="Arial Narrow"/>
        </w:rPr>
      </w:pPr>
      <w:r w:rsidRPr="007A235A">
        <w:rPr>
          <w:rStyle w:val="Refdenotaderodap"/>
          <w:rFonts w:ascii="Arial Narrow" w:hAnsi="Arial Narrow"/>
        </w:rPr>
        <w:footnoteRef/>
      </w:r>
      <w:r w:rsidRPr="007A235A">
        <w:rPr>
          <w:rFonts w:ascii="Arial Narrow" w:hAnsi="Arial Narrow"/>
        </w:rPr>
        <w:t xml:space="preserve"> </w:t>
      </w:r>
      <w:r>
        <w:rPr>
          <w:rFonts w:ascii="Arial Narrow" w:hAnsi="Arial Narrow"/>
        </w:rPr>
        <w:t xml:space="preserve">No seu livro de 1908 </w:t>
      </w:r>
      <w:r w:rsidRPr="00291380">
        <w:rPr>
          <w:rFonts w:ascii="Arial Narrow" w:hAnsi="Arial Narrow"/>
          <w:i/>
        </w:rPr>
        <w:t>Les Nouveaux Aspects du Soci</w:t>
      </w:r>
      <w:r>
        <w:rPr>
          <w:rFonts w:ascii="Arial Narrow" w:hAnsi="Arial Narrow"/>
          <w:i/>
        </w:rPr>
        <w:t>a</w:t>
      </w:r>
      <w:r w:rsidRPr="00291380">
        <w:rPr>
          <w:rFonts w:ascii="Arial Narrow" w:hAnsi="Arial Narrow"/>
          <w:i/>
        </w:rPr>
        <w:t>lisme</w:t>
      </w:r>
      <w:r>
        <w:rPr>
          <w:rFonts w:ascii="Arial Narrow" w:hAnsi="Arial Narrow"/>
        </w:rPr>
        <w:t xml:space="preserve"> em E. Berth (1923) 61-63 e 71.</w:t>
      </w:r>
    </w:p>
  </w:footnote>
  <w:footnote w:id="256">
    <w:p w:rsidR="00C84BCB" w:rsidRPr="00291380" w:rsidRDefault="00C84BCB">
      <w:pPr>
        <w:pStyle w:val="Textodenotaderodap"/>
        <w:rPr>
          <w:rFonts w:ascii="Arial Narrow" w:hAnsi="Arial Narrow"/>
        </w:rPr>
      </w:pPr>
      <w:r w:rsidRPr="00291380">
        <w:rPr>
          <w:rStyle w:val="Refdenotaderodap"/>
          <w:rFonts w:ascii="Arial Narrow" w:hAnsi="Arial Narrow"/>
        </w:rPr>
        <w:footnoteRef/>
      </w:r>
      <w:r w:rsidRPr="00291380">
        <w:rPr>
          <w:rFonts w:ascii="Arial Narrow" w:hAnsi="Arial Narrow"/>
        </w:rPr>
        <w:t xml:space="preserve"> </w:t>
      </w:r>
      <w:r>
        <w:rPr>
          <w:rFonts w:ascii="Arial Narrow" w:hAnsi="Arial Narrow"/>
        </w:rPr>
        <w:t>Id., ibid., 67 (sub. orig.). Ver também a pág. 72.</w:t>
      </w:r>
    </w:p>
  </w:footnote>
  <w:footnote w:id="257">
    <w:p w:rsidR="00C84BCB" w:rsidRPr="001C650A" w:rsidRDefault="00C84BCB">
      <w:pPr>
        <w:pStyle w:val="Textodenotaderodap"/>
        <w:rPr>
          <w:rFonts w:ascii="Arial Narrow" w:hAnsi="Arial Narrow"/>
        </w:rPr>
      </w:pPr>
      <w:r w:rsidRPr="001C650A">
        <w:rPr>
          <w:rStyle w:val="Refdenotaderodap"/>
          <w:rFonts w:ascii="Arial Narrow" w:hAnsi="Arial Narrow"/>
        </w:rPr>
        <w:footnoteRef/>
      </w:r>
      <w:r w:rsidRPr="001C650A">
        <w:rPr>
          <w:rFonts w:ascii="Arial Narrow" w:hAnsi="Arial Narrow"/>
        </w:rPr>
        <w:t xml:space="preserve"> </w:t>
      </w:r>
      <w:r>
        <w:rPr>
          <w:rFonts w:ascii="Arial Narrow" w:hAnsi="Arial Narrow"/>
        </w:rPr>
        <w:t xml:space="preserve">Traduzo assim a expressão </w:t>
      </w:r>
      <w:r w:rsidRPr="007C2991">
        <w:rPr>
          <w:rFonts w:ascii="Arial Narrow" w:hAnsi="Arial Narrow"/>
          <w:i/>
        </w:rPr>
        <w:t>«atelier sans maîtres»</w:t>
      </w:r>
      <w:r>
        <w:rPr>
          <w:rFonts w:ascii="Arial Narrow" w:hAnsi="Arial Narrow"/>
        </w:rPr>
        <w:t xml:space="preserve"> empregue em id., ibid., 67, 71 e 75.</w:t>
      </w:r>
    </w:p>
  </w:footnote>
  <w:footnote w:id="258">
    <w:p w:rsidR="00C84BCB" w:rsidRPr="00E52C72" w:rsidRDefault="00C84BCB">
      <w:pPr>
        <w:pStyle w:val="Textodenotaderodap"/>
        <w:rPr>
          <w:rFonts w:ascii="Arial Narrow" w:hAnsi="Arial Narrow"/>
        </w:rPr>
      </w:pPr>
      <w:r w:rsidRPr="00E52C72">
        <w:rPr>
          <w:rStyle w:val="Refdenotaderodap"/>
          <w:rFonts w:ascii="Arial Narrow" w:hAnsi="Arial Narrow"/>
        </w:rPr>
        <w:footnoteRef/>
      </w:r>
      <w:r w:rsidRPr="00E52C72">
        <w:rPr>
          <w:rFonts w:ascii="Arial Narrow" w:hAnsi="Arial Narrow"/>
        </w:rPr>
        <w:t xml:space="preserve"> </w:t>
      </w:r>
      <w:r>
        <w:rPr>
          <w:rFonts w:ascii="Arial Narrow" w:hAnsi="Arial Narrow"/>
        </w:rPr>
        <w:t>Id., ibid., 71 (sub. orig.).</w:t>
      </w:r>
    </w:p>
  </w:footnote>
  <w:footnote w:id="259">
    <w:p w:rsidR="00C84BCB" w:rsidRPr="00042035" w:rsidRDefault="00C84BCB">
      <w:pPr>
        <w:pStyle w:val="Textodenotaderodap"/>
        <w:rPr>
          <w:rFonts w:ascii="Arial Narrow" w:hAnsi="Arial Narrow"/>
        </w:rPr>
      </w:pPr>
      <w:r w:rsidRPr="00042035">
        <w:rPr>
          <w:rStyle w:val="Refdenotaderodap"/>
          <w:rFonts w:ascii="Arial Narrow" w:hAnsi="Arial Narrow"/>
        </w:rPr>
        <w:footnoteRef/>
      </w:r>
      <w:r w:rsidRPr="00042035">
        <w:rPr>
          <w:rFonts w:ascii="Arial Narrow" w:hAnsi="Arial Narrow"/>
        </w:rPr>
        <w:t xml:space="preserve"> </w:t>
      </w:r>
      <w:r>
        <w:rPr>
          <w:rFonts w:ascii="Arial Narrow" w:hAnsi="Arial Narrow"/>
        </w:rPr>
        <w:t>Id., ibid., 76; ver também as págs. 79-80.</w:t>
      </w:r>
    </w:p>
  </w:footnote>
  <w:footnote w:id="260">
    <w:p w:rsidR="00C84BCB" w:rsidRPr="00042035" w:rsidRDefault="00C84BCB">
      <w:pPr>
        <w:pStyle w:val="Textodenotaderodap"/>
        <w:rPr>
          <w:rFonts w:ascii="Arial Narrow" w:hAnsi="Arial Narrow"/>
        </w:rPr>
      </w:pPr>
      <w:r w:rsidRPr="00042035">
        <w:rPr>
          <w:rStyle w:val="Refdenotaderodap"/>
          <w:rFonts w:ascii="Arial Narrow" w:hAnsi="Arial Narrow"/>
        </w:rPr>
        <w:footnoteRef/>
      </w:r>
      <w:r w:rsidRPr="00042035">
        <w:rPr>
          <w:rFonts w:ascii="Arial Narrow" w:hAnsi="Arial Narrow"/>
        </w:rPr>
        <w:t xml:space="preserve"> </w:t>
      </w:r>
      <w:r>
        <w:rPr>
          <w:rFonts w:ascii="Arial Narrow" w:hAnsi="Arial Narrow"/>
        </w:rPr>
        <w:t>Id., ibid., 76.</w:t>
      </w:r>
    </w:p>
  </w:footnote>
  <w:footnote w:id="261">
    <w:p w:rsidR="00C84BCB" w:rsidRPr="00FA3CD4"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w:t>
      </w:r>
      <w:r>
        <w:rPr>
          <w:rFonts w:ascii="Arial Narrow" w:hAnsi="Arial Narrow"/>
        </w:rPr>
        <w:t>Acerca de</w:t>
      </w:r>
      <w:r w:rsidRPr="00F95336">
        <w:rPr>
          <w:rFonts w:ascii="Arial Narrow" w:hAnsi="Arial Narrow"/>
        </w:rPr>
        <w:t xml:space="preserve">ste conjunto de temas </w:t>
      </w:r>
      <w:r w:rsidRPr="000F718A">
        <w:rPr>
          <w:rFonts w:ascii="Arial Narrow" w:hAnsi="Arial Narrow"/>
        </w:rPr>
        <w:t xml:space="preserve">ver igualmente Z. Sternhell et al. </w:t>
      </w:r>
      <w:r w:rsidRPr="00FA3CD4">
        <w:rPr>
          <w:rFonts w:ascii="Arial Narrow" w:hAnsi="Arial Narrow"/>
        </w:rPr>
        <w:t>(1994) 104-107.</w:t>
      </w:r>
    </w:p>
  </w:footnote>
  <w:footnote w:id="262">
    <w:p w:rsidR="00C84BCB" w:rsidRPr="000F718A" w:rsidRDefault="00C84BCB" w:rsidP="00CD12DC">
      <w:pPr>
        <w:pStyle w:val="Textodenotaderodap"/>
        <w:rPr>
          <w:rFonts w:ascii="Arial Narrow" w:hAnsi="Arial Narrow"/>
        </w:rPr>
      </w:pPr>
      <w:r w:rsidRPr="00F95336">
        <w:rPr>
          <w:rStyle w:val="Refdenotaderodap"/>
          <w:rFonts w:ascii="Arial Narrow" w:hAnsi="Arial Narrow"/>
        </w:rPr>
        <w:footnoteRef/>
      </w:r>
      <w:r w:rsidRPr="000F718A">
        <w:rPr>
          <w:rFonts w:ascii="Arial Narrow" w:hAnsi="Arial Narrow"/>
        </w:rPr>
        <w:t xml:space="preserve"> Id., ibid.,</w:t>
      </w:r>
      <w:r>
        <w:rPr>
          <w:rFonts w:ascii="Arial Narrow" w:hAnsi="Arial Narrow"/>
        </w:rPr>
        <w:t xml:space="preserve"> </w:t>
      </w:r>
      <w:r w:rsidRPr="000F718A">
        <w:rPr>
          <w:rFonts w:ascii="Arial Narrow" w:hAnsi="Arial Narrow"/>
        </w:rPr>
        <w:t>32.</w:t>
      </w:r>
      <w:r>
        <w:rPr>
          <w:rFonts w:ascii="Arial Narrow" w:hAnsi="Arial Narrow"/>
        </w:rPr>
        <w:t xml:space="preserve"> Encontra-se uma exposição das ideias de Panunzio em </w:t>
      </w:r>
      <w:r w:rsidRPr="00A15488">
        <w:rPr>
          <w:rFonts w:ascii="Arial Narrow" w:hAnsi="Arial Narrow"/>
        </w:rPr>
        <w:t>A. J. Gregor (2005) 262-305.</w:t>
      </w:r>
    </w:p>
  </w:footnote>
  <w:footnote w:id="263">
    <w:p w:rsidR="00C84BCB" w:rsidRPr="00A15488"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A15488">
        <w:rPr>
          <w:rFonts w:ascii="Arial Narrow" w:hAnsi="Arial Narrow"/>
          <w:lang w:val="en-US"/>
        </w:rPr>
        <w:t xml:space="preserve"> A. Lyttelton (1982) 497-498; E. Santarelli (1981) I 412, II 27.</w:t>
      </w:r>
    </w:p>
  </w:footnote>
  <w:footnote w:id="264">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S. Pa[n]unzio, «Sindicalismo y Anarquismo», em G. Sorel et al. (1978) 83-88. As passagens citadas encontram-se nas págs. 87 e 88 (subs. orig.).</w:t>
      </w:r>
      <w:r>
        <w:rPr>
          <w:rFonts w:ascii="Arial Narrow" w:hAnsi="Arial Narrow"/>
        </w:rPr>
        <w:t xml:space="preserve"> </w:t>
      </w:r>
      <w:r w:rsidRPr="00C06422">
        <w:rPr>
          <w:rFonts w:ascii="Arial Narrow" w:hAnsi="Arial Narrow"/>
        </w:rPr>
        <w:t>A. J. Gregor (2005) 130 e segs. mostrou que Panunzio interpretou o sindicalismo como um elitismo.</w:t>
      </w:r>
    </w:p>
  </w:footnote>
  <w:footnote w:id="26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Z. Sternhell (1978) 346-347. Todavia, id. et al. </w:t>
      </w:r>
      <w:r w:rsidRPr="00F95336">
        <w:rPr>
          <w:rFonts w:ascii="Arial Narrow" w:hAnsi="Arial Narrow"/>
        </w:rPr>
        <w:t>(1994) 108 e 109 esclarece</w:t>
      </w:r>
      <w:r>
        <w:rPr>
          <w:rFonts w:ascii="Arial Narrow" w:hAnsi="Arial Narrow"/>
        </w:rPr>
        <w:t>ra</w:t>
      </w:r>
      <w:r w:rsidRPr="00F95336">
        <w:rPr>
          <w:rFonts w:ascii="Arial Narrow" w:hAnsi="Arial Narrow"/>
        </w:rPr>
        <w:t>m que Émile Pouget e Victor Griffuelhes não foram discípulos de Sorel.</w:t>
      </w:r>
    </w:p>
  </w:footnote>
  <w:footnote w:id="26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G. Sorel (1947) 34. </w:t>
      </w:r>
      <w:r>
        <w:rPr>
          <w:rFonts w:ascii="Arial Narrow" w:hAnsi="Arial Narrow"/>
        </w:rPr>
        <w:t xml:space="preserve">Georges </w:t>
      </w:r>
      <w:r w:rsidRPr="00F95336">
        <w:rPr>
          <w:rFonts w:ascii="Arial Narrow" w:hAnsi="Arial Narrow"/>
        </w:rPr>
        <w:t>Sorel considerou igualmente (pág. 35) que as teses de Descartes referentes ao carácter prático da ciência e ao seu crescimento progressivo não decorriam do âmbito científico e encontravam fundamento apenas nos fenómenos políticos.</w:t>
      </w:r>
    </w:p>
  </w:footnote>
  <w:footnote w:id="267">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276-277 (sub. orig.).</w:t>
      </w:r>
    </w:p>
  </w:footnote>
  <w:footnote w:id="268">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281-284.</w:t>
      </w:r>
    </w:p>
  </w:footnote>
  <w:footnote w:id="269">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282.</w:t>
      </w:r>
    </w:p>
  </w:footnote>
  <w:footnote w:id="270">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137 e segs.</w:t>
      </w:r>
    </w:p>
  </w:footnote>
  <w:footnote w:id="271">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354-355.</w:t>
      </w:r>
    </w:p>
  </w:footnote>
  <w:footnote w:id="272">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355.</w:t>
      </w:r>
    </w:p>
  </w:footnote>
  <w:footnote w:id="273">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372 (sub. orig.).</w:t>
      </w:r>
    </w:p>
  </w:footnote>
  <w:footnote w:id="274">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359.</w:t>
      </w:r>
    </w:p>
  </w:footnote>
  <w:footnote w:id="27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(1936) 281. Ver igualmente as págs. 162-165 e 170-171.</w:t>
      </w:r>
    </w:p>
  </w:footnote>
  <w:footnote w:id="276">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F95336">
        <w:rPr>
          <w:rFonts w:ascii="Arial Narrow" w:hAnsi="Arial Narrow"/>
        </w:rPr>
        <w:t xml:space="preserve"> Id., ibid., 240-241. Ver ainda as págs. </w:t>
      </w:r>
      <w:r w:rsidRPr="00CC781D">
        <w:rPr>
          <w:rFonts w:ascii="Arial Narrow" w:hAnsi="Arial Narrow"/>
          <w:lang w:val="en-GB"/>
        </w:rPr>
        <w:t>253-256 e 268.</w:t>
      </w:r>
    </w:p>
  </w:footnote>
  <w:footnote w:id="277">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241.</w:t>
      </w:r>
    </w:p>
  </w:footnote>
  <w:footnote w:id="278">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253.</w:t>
      </w:r>
    </w:p>
  </w:footnote>
  <w:footnote w:id="279">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253-254, 256.</w:t>
      </w:r>
    </w:p>
  </w:footnote>
  <w:footnote w:id="280">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367.</w:t>
      </w:r>
    </w:p>
  </w:footnote>
  <w:footnote w:id="281">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G. Lukács (1980) 31.</w:t>
      </w:r>
    </w:p>
  </w:footnote>
  <w:footnote w:id="282">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H. Lagardelle, «Los Caracteres Generales del Sindicalismo», em G. Sorel et al. (1978) 55.</w:t>
      </w:r>
    </w:p>
  </w:footnote>
  <w:footnote w:id="283">
    <w:p w:rsidR="00C84BCB" w:rsidRPr="001B142B" w:rsidRDefault="00C84BCB">
      <w:pPr>
        <w:pStyle w:val="Textodenotaderodap"/>
        <w:rPr>
          <w:rFonts w:ascii="Arial Narrow" w:hAnsi="Arial Narrow"/>
        </w:rPr>
      </w:pPr>
      <w:r w:rsidRPr="001B142B">
        <w:rPr>
          <w:rStyle w:val="Refdenotaderodap"/>
          <w:rFonts w:ascii="Arial Narrow" w:hAnsi="Arial Narrow"/>
        </w:rPr>
        <w:footnoteRef/>
      </w:r>
      <w:r w:rsidRPr="001B142B">
        <w:rPr>
          <w:rFonts w:ascii="Arial Narrow" w:hAnsi="Arial Narrow"/>
        </w:rPr>
        <w:t xml:space="preserve"> </w:t>
      </w:r>
      <w:r>
        <w:rPr>
          <w:rFonts w:ascii="Arial Narrow" w:hAnsi="Arial Narrow"/>
        </w:rPr>
        <w:t xml:space="preserve">No seu livro de 1908 </w:t>
      </w:r>
      <w:r w:rsidRPr="00291380">
        <w:rPr>
          <w:rFonts w:ascii="Arial Narrow" w:hAnsi="Arial Narrow"/>
          <w:i/>
        </w:rPr>
        <w:t>Les Nouveaux Aspects du Soci</w:t>
      </w:r>
      <w:r>
        <w:rPr>
          <w:rFonts w:ascii="Arial Narrow" w:hAnsi="Arial Narrow"/>
          <w:i/>
        </w:rPr>
        <w:t>a</w:t>
      </w:r>
      <w:r w:rsidRPr="00291380">
        <w:rPr>
          <w:rFonts w:ascii="Arial Narrow" w:hAnsi="Arial Narrow"/>
          <w:i/>
        </w:rPr>
        <w:t>lisme</w:t>
      </w:r>
      <w:r>
        <w:rPr>
          <w:rFonts w:ascii="Arial Narrow" w:hAnsi="Arial Narrow"/>
        </w:rPr>
        <w:t xml:space="preserve"> em E. Berth (1923) 54-55. A expressão citada encontra-se na pág. 54.</w:t>
      </w:r>
    </w:p>
  </w:footnote>
  <w:footnote w:id="284">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Invocando o estudo de Peter Nettl, Z. Sternhell et al. (1994) 21 observa</w:t>
      </w:r>
      <w:r>
        <w:rPr>
          <w:rFonts w:ascii="Arial Narrow" w:hAnsi="Arial Narrow"/>
        </w:rPr>
        <w:t>ra</w:t>
      </w:r>
      <w:r w:rsidRPr="00F95336">
        <w:rPr>
          <w:rFonts w:ascii="Arial Narrow" w:hAnsi="Arial Narrow"/>
        </w:rPr>
        <w:t>m que para Sorel a greve geral era a realização específica de uma concepção genérica de acção, enquanto para Rosa Luxemburg se tratava de algo muito diferente, uma táctica decorrente da conjuntura da época.</w:t>
      </w:r>
    </w:p>
  </w:footnote>
  <w:footnote w:id="285">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G. Guy-Grand (1911) 45.</w:t>
      </w:r>
    </w:p>
  </w:footnote>
  <w:footnote w:id="286">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G. Sorel (1936) 269-329.</w:t>
      </w:r>
    </w:p>
  </w:footnote>
  <w:footnote w:id="287">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79.</w:t>
      </w:r>
    </w:p>
  </w:footnote>
  <w:footnote w:id="288">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103-104.</w:t>
      </w:r>
    </w:p>
  </w:footnote>
  <w:footnote w:id="289">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Z. Sternhell et al. </w:t>
      </w:r>
      <w:r w:rsidRPr="00F95336">
        <w:rPr>
          <w:rFonts w:ascii="Arial Narrow" w:hAnsi="Arial Narrow"/>
        </w:rPr>
        <w:t>(1994) 22-23, 43-46, 82-83, 101, 128-129. Todavia, G. Sorel (1947) 211-212 cham</w:t>
      </w:r>
      <w:r>
        <w:rPr>
          <w:rFonts w:ascii="Arial Narrow" w:hAnsi="Arial Narrow"/>
        </w:rPr>
        <w:t>ou</w:t>
      </w:r>
      <w:r w:rsidRPr="00F95336">
        <w:rPr>
          <w:rFonts w:ascii="Arial Narrow" w:hAnsi="Arial Narrow"/>
        </w:rPr>
        <w:t xml:space="preserve"> a atenção para «estes aparentes paradoxos: que a legislação social, fabricada com o objectivo de acalmar o ardor dos socialistas, tenha muito frequentemente como resultado favorecer o socialismo; </w:t>
      </w:r>
      <w:r>
        <w:rPr>
          <w:rFonts w:ascii="Arial Narrow" w:hAnsi="Arial Narrow"/>
        </w:rPr>
        <w:t>—</w:t>
      </w:r>
      <w:r w:rsidRPr="00F95336">
        <w:rPr>
          <w:rFonts w:ascii="Arial Narrow" w:hAnsi="Arial Narrow"/>
        </w:rPr>
        <w:t xml:space="preserve"> que as concessões feitas pelos patrões na sequência de greves constituam geralmente um dos factores do progresso do sindicalismo revolucionário; </w:t>
      </w:r>
      <w:r>
        <w:rPr>
          <w:rFonts w:ascii="Arial Narrow" w:hAnsi="Arial Narrow"/>
        </w:rPr>
        <w:t>—</w:t>
      </w:r>
      <w:r w:rsidRPr="00F95336">
        <w:rPr>
          <w:rFonts w:ascii="Arial Narrow" w:hAnsi="Arial Narrow"/>
        </w:rPr>
        <w:t xml:space="preserve"> que, numa palavra, a </w:t>
      </w:r>
      <w:r w:rsidRPr="00F95336">
        <w:rPr>
          <w:rFonts w:ascii="Arial Narrow" w:hAnsi="Arial Narrow"/>
          <w:i/>
        </w:rPr>
        <w:t>paz social</w:t>
      </w:r>
      <w:r w:rsidRPr="00F95336">
        <w:rPr>
          <w:rFonts w:ascii="Arial Narrow" w:hAnsi="Arial Narrow"/>
        </w:rPr>
        <w:t xml:space="preserve"> alimente quase sempre </w:t>
      </w:r>
      <w:r w:rsidRPr="00F95336">
        <w:rPr>
          <w:rFonts w:ascii="Arial Narrow" w:hAnsi="Arial Narrow"/>
          <w:i/>
        </w:rPr>
        <w:t>a luta de classe</w:t>
      </w:r>
      <w:r w:rsidRPr="00F95336">
        <w:rPr>
          <w:rFonts w:ascii="Arial Narrow" w:hAnsi="Arial Narrow"/>
        </w:rPr>
        <w:t>» (sub</w:t>
      </w:r>
      <w:r>
        <w:rPr>
          <w:rFonts w:ascii="Arial Narrow" w:hAnsi="Arial Narrow"/>
        </w:rPr>
        <w:t>s</w:t>
      </w:r>
      <w:r w:rsidRPr="00F95336">
        <w:rPr>
          <w:rFonts w:ascii="Arial Narrow" w:hAnsi="Arial Narrow"/>
        </w:rPr>
        <w:t>. orig.).</w:t>
      </w:r>
    </w:p>
  </w:footnote>
  <w:footnote w:id="290">
    <w:p w:rsidR="00C84BCB" w:rsidRPr="002F223A" w:rsidRDefault="00C84BCB">
      <w:pPr>
        <w:pStyle w:val="Textodenotaderodap"/>
        <w:rPr>
          <w:rFonts w:ascii="Arial Narrow" w:hAnsi="Arial Narrow"/>
        </w:rPr>
      </w:pPr>
      <w:r w:rsidRPr="002F223A">
        <w:rPr>
          <w:rStyle w:val="Refdenotaderodap"/>
          <w:rFonts w:ascii="Arial Narrow" w:hAnsi="Arial Narrow"/>
        </w:rPr>
        <w:footnoteRef/>
      </w:r>
      <w:r w:rsidRPr="002F223A">
        <w:rPr>
          <w:rFonts w:ascii="Arial Narrow" w:hAnsi="Arial Narrow"/>
        </w:rPr>
        <w:t xml:space="preserve"> </w:t>
      </w:r>
      <w:r>
        <w:rPr>
          <w:rFonts w:ascii="Arial Narrow" w:hAnsi="Arial Narrow"/>
        </w:rPr>
        <w:t xml:space="preserve">No seu livro de 1908 </w:t>
      </w:r>
      <w:r w:rsidRPr="00291380">
        <w:rPr>
          <w:rFonts w:ascii="Arial Narrow" w:hAnsi="Arial Narrow"/>
          <w:i/>
        </w:rPr>
        <w:t>Les Nouveaux Aspects du Soci</w:t>
      </w:r>
      <w:r>
        <w:rPr>
          <w:rFonts w:ascii="Arial Narrow" w:hAnsi="Arial Narrow"/>
          <w:i/>
        </w:rPr>
        <w:t>a</w:t>
      </w:r>
      <w:r w:rsidRPr="00291380">
        <w:rPr>
          <w:rFonts w:ascii="Arial Narrow" w:hAnsi="Arial Narrow"/>
          <w:i/>
        </w:rPr>
        <w:t>lisme</w:t>
      </w:r>
      <w:r>
        <w:rPr>
          <w:rFonts w:ascii="Arial Narrow" w:hAnsi="Arial Narrow"/>
        </w:rPr>
        <w:t xml:space="preserve"> em E. Berth (1923) 71.</w:t>
      </w:r>
    </w:p>
  </w:footnote>
  <w:footnote w:id="291">
    <w:p w:rsidR="00C84BCB" w:rsidRPr="00505AD8" w:rsidRDefault="00C84BCB" w:rsidP="00487F9E">
      <w:pPr>
        <w:pStyle w:val="Textodenotaderodap"/>
        <w:rPr>
          <w:rFonts w:ascii="Arial Narrow" w:hAnsi="Arial Narrow"/>
        </w:rPr>
      </w:pPr>
      <w:r w:rsidRPr="00505AD8">
        <w:rPr>
          <w:rStyle w:val="Refdenotaderodap"/>
          <w:rFonts w:ascii="Arial Narrow" w:hAnsi="Arial Narrow"/>
        </w:rPr>
        <w:footnoteRef/>
      </w:r>
      <w:r w:rsidRPr="00505AD8">
        <w:rPr>
          <w:rFonts w:ascii="Arial Narrow" w:hAnsi="Arial Narrow"/>
        </w:rPr>
        <w:t xml:space="preserve"> </w:t>
      </w:r>
      <w:r>
        <w:rPr>
          <w:rFonts w:ascii="Arial Narrow" w:hAnsi="Arial Narrow"/>
        </w:rPr>
        <w:t>Id., ibid., 95. Berth assimilou à guerra tanto a concorrência como a luta entre as classes, invocando para isto a lição de Proudhon, como se vê nas págs. 94 e segs.</w:t>
      </w:r>
    </w:p>
  </w:footnote>
  <w:footnote w:id="292">
    <w:p w:rsidR="00C84BCB" w:rsidRPr="0091424D" w:rsidRDefault="00C84BCB">
      <w:pPr>
        <w:pStyle w:val="Textodenotaderodap"/>
        <w:rPr>
          <w:rFonts w:ascii="Arial Narrow" w:hAnsi="Arial Narrow"/>
        </w:rPr>
      </w:pPr>
      <w:r w:rsidRPr="0091424D">
        <w:rPr>
          <w:rStyle w:val="Refdenotaderodap"/>
          <w:rFonts w:ascii="Arial Narrow" w:hAnsi="Arial Narrow"/>
        </w:rPr>
        <w:footnoteRef/>
      </w:r>
      <w:r w:rsidRPr="0091424D">
        <w:rPr>
          <w:rFonts w:ascii="Arial Narrow" w:hAnsi="Arial Narrow"/>
        </w:rPr>
        <w:t xml:space="preserve"> </w:t>
      </w:r>
      <w:r>
        <w:rPr>
          <w:rFonts w:ascii="Arial Narrow" w:hAnsi="Arial Narrow"/>
        </w:rPr>
        <w:t>Id., ibid., 60.</w:t>
      </w:r>
    </w:p>
  </w:footnote>
  <w:footnote w:id="293">
    <w:p w:rsidR="00C84BCB" w:rsidRPr="00CD12DC" w:rsidRDefault="00C84BCB" w:rsidP="00CD12DC">
      <w:pPr>
        <w:pStyle w:val="Textodenotaderodap"/>
        <w:rPr>
          <w:rFonts w:ascii="Arial Narrow" w:hAnsi="Arial Narrow"/>
        </w:rPr>
      </w:pPr>
      <w:r w:rsidRPr="00F95336">
        <w:rPr>
          <w:rStyle w:val="Refdenotaderodap"/>
          <w:rFonts w:ascii="Arial Narrow" w:hAnsi="Arial Narrow"/>
        </w:rPr>
        <w:footnoteRef/>
      </w:r>
      <w:r w:rsidRPr="00CD12DC">
        <w:rPr>
          <w:rFonts w:ascii="Arial Narrow" w:hAnsi="Arial Narrow"/>
        </w:rPr>
        <w:t xml:space="preserve"> Z. Sternhell et al. (1994) 101-103.</w:t>
      </w:r>
    </w:p>
  </w:footnote>
  <w:footnote w:id="294">
    <w:p w:rsidR="00C84BCB" w:rsidRPr="00EF787F" w:rsidRDefault="00C84BCB" w:rsidP="00CD12DC">
      <w:pPr>
        <w:pStyle w:val="Textodenotaderodap"/>
        <w:rPr>
          <w:rFonts w:ascii="Arial Narrow" w:hAnsi="Arial Narrow"/>
        </w:rPr>
      </w:pPr>
      <w:r w:rsidRPr="00F95336">
        <w:rPr>
          <w:rStyle w:val="Refdenotaderodap"/>
          <w:rFonts w:ascii="Arial Narrow" w:hAnsi="Arial Narrow"/>
        </w:rPr>
        <w:footnoteRef/>
      </w:r>
      <w:r w:rsidRPr="00EF787F">
        <w:rPr>
          <w:rFonts w:ascii="Arial Narrow" w:hAnsi="Arial Narrow"/>
        </w:rPr>
        <w:t xml:space="preserve"> </w:t>
      </w:r>
      <w:r w:rsidRPr="00F95336">
        <w:rPr>
          <w:rFonts w:ascii="Arial Narrow" w:hAnsi="Arial Narrow"/>
        </w:rPr>
        <w:t>«Afinal, a história, para Sorel, não era tanto a crónica de uma luta de classes como um combate incessante contra a decadência»</w:t>
      </w:r>
      <w:r>
        <w:rPr>
          <w:rFonts w:ascii="Arial Narrow" w:hAnsi="Arial Narrow"/>
        </w:rPr>
        <w:t xml:space="preserve">, observaram </w:t>
      </w:r>
      <w:r w:rsidRPr="00EF787F">
        <w:rPr>
          <w:rFonts w:ascii="Arial Narrow" w:hAnsi="Arial Narrow"/>
        </w:rPr>
        <w:t>id., ibid., 38.</w:t>
      </w:r>
    </w:p>
  </w:footnote>
  <w:footnote w:id="29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G. Sorel (1947) 332.</w:t>
      </w:r>
    </w:p>
  </w:footnote>
  <w:footnote w:id="29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«Aquilo que neste estudo denominámos com o termo pejorativo de </w:t>
      </w:r>
      <w:r w:rsidRPr="00F95336">
        <w:rPr>
          <w:rFonts w:ascii="Arial Narrow" w:hAnsi="Arial Narrow"/>
          <w:i/>
        </w:rPr>
        <w:t>mediocridade</w:t>
      </w:r>
      <w:r w:rsidRPr="00F95336">
        <w:rPr>
          <w:rFonts w:ascii="Arial Narrow" w:hAnsi="Arial Narrow"/>
        </w:rPr>
        <w:t>», escreve</w:t>
      </w:r>
      <w:r>
        <w:rPr>
          <w:rFonts w:ascii="Arial Narrow" w:hAnsi="Arial Narrow"/>
        </w:rPr>
        <w:t>u</w:t>
      </w:r>
      <w:r w:rsidRPr="00F95336">
        <w:rPr>
          <w:rFonts w:ascii="Arial Narrow" w:hAnsi="Arial Narrow"/>
        </w:rPr>
        <w:t xml:space="preserve"> id., ibid., 333, «é o que os escritores de obras políticas chamam </w:t>
      </w:r>
      <w:r w:rsidRPr="00F95336">
        <w:rPr>
          <w:rFonts w:ascii="Arial Narrow" w:hAnsi="Arial Narrow"/>
          <w:i/>
        </w:rPr>
        <w:t>democracia</w:t>
      </w:r>
      <w:r w:rsidRPr="00F95336">
        <w:rPr>
          <w:rFonts w:ascii="Arial Narrow" w:hAnsi="Arial Narrow"/>
        </w:rPr>
        <w:t>».</w:t>
      </w:r>
    </w:p>
  </w:footnote>
  <w:footnote w:id="297">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317-318. «O que preocupava Sorel», escreve</w:t>
      </w:r>
      <w:r>
        <w:rPr>
          <w:rFonts w:ascii="Arial Narrow" w:hAnsi="Arial Narrow"/>
        </w:rPr>
        <w:t>ra</w:t>
      </w:r>
      <w:r w:rsidRPr="00F95336">
        <w:rPr>
          <w:rFonts w:ascii="Arial Narrow" w:hAnsi="Arial Narrow"/>
        </w:rPr>
        <w:t>m Z. Sternhell et al. (1994) 90-91, «era o destino da civilização, e não o do proletariado ou da nação. [...] O anticapitalismo de Sorel limitava-se estritamente aos aspectos político, intelectual e moral do sistema burguês e liberal; ele nunca tentou pôr em causa os fundamentos, os princípios e os mecanismos competitivos da economia capitalista». Ver igualmente G. Guy-Grand (1911) 51.</w:t>
      </w:r>
    </w:p>
  </w:footnote>
  <w:footnote w:id="29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G. Sorel (1947) 335.</w:t>
      </w:r>
    </w:p>
  </w:footnote>
  <w:footnote w:id="299">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335.</w:t>
      </w:r>
    </w:p>
  </w:footnote>
  <w:footnote w:id="300">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G. Volpe (1941) 11.</w:t>
      </w:r>
    </w:p>
  </w:footnote>
  <w:footnote w:id="301">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T. B. Bottomore (1967) 60; A. Lyttelton (1982) 30; Ch. S. Maier (1988) 39-40.</w:t>
      </w:r>
    </w:p>
  </w:footnote>
  <w:footnote w:id="302">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As teses defendidas por Benoît Malon em </w:t>
      </w:r>
      <w:r w:rsidRPr="00F95336">
        <w:rPr>
          <w:rFonts w:ascii="Arial Narrow" w:hAnsi="Arial Narrow"/>
          <w:i/>
        </w:rPr>
        <w:t>Le Socialisme Intégral,</w:t>
      </w:r>
      <w:r w:rsidRPr="00F95336">
        <w:rPr>
          <w:rFonts w:ascii="Arial Narrow" w:hAnsi="Arial Narrow"/>
        </w:rPr>
        <w:t xml:space="preserve"> livro publicado em 1892, encontram-se resumidas em D. Ligou (1962) 95-96. Por seu lado, Z. Sternhell (1978) 46 situ</w:t>
      </w:r>
      <w:r>
        <w:rPr>
          <w:rFonts w:ascii="Arial Narrow" w:hAnsi="Arial Narrow"/>
        </w:rPr>
        <w:t>ou</w:t>
      </w:r>
      <w:r w:rsidRPr="00F95336">
        <w:rPr>
          <w:rFonts w:ascii="Arial Narrow" w:hAnsi="Arial Narrow"/>
        </w:rPr>
        <w:t xml:space="preserve"> Malon entre aqueles que contribu</w:t>
      </w:r>
      <w:r>
        <w:rPr>
          <w:rFonts w:ascii="Arial Narrow" w:hAnsi="Arial Narrow"/>
        </w:rPr>
        <w:t>íra</w:t>
      </w:r>
      <w:r w:rsidRPr="00F95336">
        <w:rPr>
          <w:rFonts w:ascii="Arial Narrow" w:hAnsi="Arial Narrow"/>
        </w:rPr>
        <w:t xml:space="preserve">m para a difusão «de uma corrente nacionalista que se pretende social ou, </w:t>
      </w:r>
      <w:r w:rsidRPr="00F95336">
        <w:rPr>
          <w:rFonts w:ascii="Arial Narrow" w:hAnsi="Arial Narrow"/>
          <w:i/>
        </w:rPr>
        <w:t>mutatis mutandis,</w:t>
      </w:r>
      <w:r w:rsidRPr="00F95336">
        <w:rPr>
          <w:rFonts w:ascii="Arial Narrow" w:hAnsi="Arial Narrow"/>
        </w:rPr>
        <w:t xml:space="preserve"> de um socialismo que se pretende nacionalista». Acerca da noção de decadência civilizacional que preocupava Sorel e os seus discípulos ver id., ibid., 394-395.</w:t>
      </w:r>
    </w:p>
  </w:footnote>
  <w:footnote w:id="303">
    <w:p w:rsidR="00C84BCB" w:rsidRPr="00CD12D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CD12DC">
        <w:rPr>
          <w:rFonts w:ascii="Arial Narrow" w:hAnsi="Arial Narrow"/>
          <w:lang w:val="en-US"/>
        </w:rPr>
        <w:t xml:space="preserve"> L. Rebatet (1942) 284.</w:t>
      </w:r>
    </w:p>
  </w:footnote>
  <w:footnote w:id="304">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D12DC">
        <w:rPr>
          <w:rFonts w:ascii="Arial Narrow" w:hAnsi="Arial Narrow"/>
          <w:lang w:val="en-US"/>
        </w:rPr>
        <w:t xml:space="preserve"> Citando Maximilien Rubel, Z. Sternhell et al. </w:t>
      </w:r>
      <w:r w:rsidRPr="00F95336">
        <w:rPr>
          <w:rFonts w:ascii="Arial Narrow" w:hAnsi="Arial Narrow"/>
        </w:rPr>
        <w:t>(1994) 49 afirma</w:t>
      </w:r>
      <w:r>
        <w:rPr>
          <w:rFonts w:ascii="Arial Narrow" w:hAnsi="Arial Narrow"/>
        </w:rPr>
        <w:t>ra</w:t>
      </w:r>
      <w:r w:rsidRPr="00F95336">
        <w:rPr>
          <w:rFonts w:ascii="Arial Narrow" w:hAnsi="Arial Narrow"/>
        </w:rPr>
        <w:t>m que Sorel não possuía um conhecimento detalhado e erudito dos escritos de Marx. Não é isto, porém, que está em causa, mas a perspectiva geral em que ele concebeu e apresentou as teses marxistas. Zeev Sternhell, que assinal</w:t>
      </w:r>
      <w:r>
        <w:rPr>
          <w:rFonts w:ascii="Arial Narrow" w:hAnsi="Arial Narrow"/>
        </w:rPr>
        <w:t>ou</w:t>
      </w:r>
      <w:r w:rsidRPr="00F95336">
        <w:rPr>
          <w:rFonts w:ascii="Arial Narrow" w:hAnsi="Arial Narrow"/>
        </w:rPr>
        <w:t xml:space="preserve"> a responsabilidade de Sorel e do sindicalismo revolucionário no advento do fascismo, </w:t>
      </w:r>
      <w:r>
        <w:rPr>
          <w:rFonts w:ascii="Arial Narrow" w:hAnsi="Arial Narrow"/>
        </w:rPr>
        <w:t>foi</w:t>
      </w:r>
      <w:r w:rsidRPr="00F95336">
        <w:rPr>
          <w:rFonts w:ascii="Arial Narrow" w:hAnsi="Arial Narrow"/>
        </w:rPr>
        <w:t xml:space="preserve"> bastante menos arguto quando situ</w:t>
      </w:r>
      <w:r>
        <w:rPr>
          <w:rFonts w:ascii="Arial Narrow" w:hAnsi="Arial Narrow"/>
        </w:rPr>
        <w:t>ou</w:t>
      </w:r>
      <w:r w:rsidRPr="00F95336">
        <w:rPr>
          <w:rFonts w:ascii="Arial Narrow" w:hAnsi="Arial Narrow"/>
        </w:rPr>
        <w:t xml:space="preserve"> Sorel numa posição ideológica praticamente exterior ao quadro do marxismo. Se Sternhell não tivesse restringido a obra de Marx à tradição racionalista e iluminista e levasse em conta a pesada herança do romantismo alemão, já não precisaria de sair dos limites do marxismo para explicar a ruptura política de Sorel e a sua evolução posterior. A visão proposta por K. Mannheim (1986) </w:t>
      </w:r>
      <w:r w:rsidRPr="00F95336">
        <w:rPr>
          <w:rFonts w:ascii="Arial Narrow" w:hAnsi="Arial Narrow"/>
          <w:i/>
        </w:rPr>
        <w:t>passim</w:t>
      </w:r>
      <w:r w:rsidRPr="00F95336">
        <w:rPr>
          <w:rFonts w:ascii="Arial Narrow" w:hAnsi="Arial Narrow"/>
        </w:rPr>
        <w:t xml:space="preserve"> parece-me mais equilibrada, detectando a originalidade de Marx na articulação da racionalidade jacobina com a crítica romântica e irracionalista à sociedade burguesa. E é precisamente nesta encruzilhada ideológica que se esclarece a evolução personificada por Sorel. O interesse trágico da sua obra provém do facto de representar uma série de mudanças processada não no exterior, mas a partir do interior do marxismo.</w:t>
      </w:r>
    </w:p>
  </w:footnote>
  <w:footnote w:id="305">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G. Sorel (1936) 349 e segs.</w:t>
      </w:r>
    </w:p>
  </w:footnote>
  <w:footnote w:id="30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268.</w:t>
      </w:r>
    </w:p>
  </w:footnote>
  <w:footnote w:id="307">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376.</w:t>
      </w:r>
    </w:p>
  </w:footnote>
  <w:footnote w:id="308">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375.</w:t>
      </w:r>
    </w:p>
  </w:footnote>
  <w:footnote w:id="309">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379.</w:t>
      </w:r>
    </w:p>
  </w:footnote>
  <w:footnote w:id="310">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428-430.</w:t>
      </w:r>
    </w:p>
  </w:footnote>
  <w:footnote w:id="311">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432.</w:t>
      </w:r>
    </w:p>
  </w:footnote>
  <w:footnote w:id="312">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Z. Sternhell et al. </w:t>
      </w:r>
      <w:r w:rsidRPr="00F95336">
        <w:rPr>
          <w:rFonts w:ascii="Arial Narrow" w:hAnsi="Arial Narrow"/>
        </w:rPr>
        <w:t>(1994) 108 refer</w:t>
      </w:r>
      <w:r>
        <w:rPr>
          <w:rFonts w:ascii="Arial Narrow" w:hAnsi="Arial Narrow"/>
        </w:rPr>
        <w:t>ira</w:t>
      </w:r>
      <w:r w:rsidRPr="00F95336">
        <w:rPr>
          <w:rFonts w:ascii="Arial Narrow" w:hAnsi="Arial Narrow"/>
        </w:rPr>
        <w:t xml:space="preserve">m «a teoria elitista, que considerava as massas </w:t>
      </w:r>
      <w:smartTag w:uri="urn:schemas-microsoft-com:office:smarttags" w:element="City">
        <w:smartTag w:uri="urn:schemas-microsoft-com:office:smarttags" w:element="place">
          <w:r w:rsidRPr="00F95336">
            <w:rPr>
              <w:rFonts w:ascii="Arial Narrow" w:hAnsi="Arial Narrow"/>
            </w:rPr>
            <w:t>como</w:t>
          </w:r>
        </w:smartTag>
      </w:smartTag>
      <w:r w:rsidRPr="00F95336">
        <w:rPr>
          <w:rFonts w:ascii="Arial Narrow" w:hAnsi="Arial Narrow"/>
        </w:rPr>
        <w:t xml:space="preserve"> uma fonte de energia, mas lhes negava a capacidade de determinarem o rumo da evolução social [...]».</w:t>
      </w:r>
    </w:p>
  </w:footnote>
  <w:footnote w:id="313">
    <w:p w:rsidR="00C84BCB" w:rsidRPr="007845A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7845AC">
        <w:rPr>
          <w:rFonts w:ascii="Arial Narrow" w:hAnsi="Arial Narrow"/>
          <w:lang w:val="en-US"/>
        </w:rPr>
        <w:t xml:space="preserve"> G. Sorel (1947) 318.</w:t>
      </w:r>
    </w:p>
  </w:footnote>
  <w:footnote w:id="314">
    <w:p w:rsidR="00C84BCB" w:rsidRPr="007845AC"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7845AC">
        <w:rPr>
          <w:rFonts w:ascii="Arial Narrow" w:hAnsi="Arial Narrow"/>
          <w:lang w:val="en-US"/>
        </w:rPr>
        <w:t xml:space="preserve"> Id., ibid., 211.</w:t>
      </w:r>
    </w:p>
  </w:footnote>
  <w:footnote w:id="315">
    <w:p w:rsidR="00C84BCB" w:rsidRPr="00C23D56" w:rsidRDefault="00C84BCB">
      <w:pPr>
        <w:pStyle w:val="Textodenotaderodap"/>
        <w:rPr>
          <w:rFonts w:ascii="Arial Narrow" w:hAnsi="Arial Narrow"/>
          <w:lang w:val="en-US"/>
        </w:rPr>
      </w:pPr>
      <w:r w:rsidRPr="00106AFE">
        <w:rPr>
          <w:rStyle w:val="Refdenotaderodap"/>
          <w:rFonts w:ascii="Arial Narrow" w:hAnsi="Arial Narrow"/>
        </w:rPr>
        <w:footnoteRef/>
      </w:r>
      <w:r w:rsidRPr="00C23D56">
        <w:rPr>
          <w:rFonts w:ascii="Arial Narrow" w:hAnsi="Arial Narrow"/>
          <w:lang w:val="en-US"/>
        </w:rPr>
        <w:t xml:space="preserve"> </w:t>
      </w:r>
      <w:r w:rsidRPr="00106AFE">
        <w:rPr>
          <w:rFonts w:ascii="Arial Narrow" w:hAnsi="Arial Narrow"/>
          <w:bCs/>
          <w:lang w:val="en-US"/>
        </w:rPr>
        <w:t xml:space="preserve">S. G. Payne </w:t>
      </w:r>
      <w:r w:rsidRPr="00106AFE">
        <w:rPr>
          <w:rFonts w:ascii="Arial Narrow" w:hAnsi="Arial Narrow"/>
          <w:lang w:val="en-US"/>
        </w:rPr>
        <w:t>(2003 b)</w:t>
      </w:r>
      <w:r>
        <w:rPr>
          <w:rFonts w:ascii="Arial Narrow" w:hAnsi="Arial Narrow"/>
          <w:lang w:val="en-US"/>
        </w:rPr>
        <w:t xml:space="preserve"> 61; </w:t>
      </w:r>
      <w:r w:rsidRPr="00BA29C5">
        <w:rPr>
          <w:rFonts w:ascii="Arial Narrow" w:hAnsi="Arial Narrow"/>
          <w:lang w:val="en-US"/>
        </w:rPr>
        <w:t>D. Sassoon (20</w:t>
      </w:r>
      <w:r>
        <w:rPr>
          <w:rFonts w:ascii="Arial Narrow" w:hAnsi="Arial Narrow"/>
          <w:lang w:val="en-US"/>
        </w:rPr>
        <w:t>12</w:t>
      </w:r>
      <w:r w:rsidRPr="00BA29C5">
        <w:rPr>
          <w:rFonts w:ascii="Arial Narrow" w:hAnsi="Arial Narrow"/>
          <w:lang w:val="en-US"/>
        </w:rPr>
        <w:t>)</w:t>
      </w:r>
      <w:r>
        <w:rPr>
          <w:rFonts w:ascii="Arial Narrow" w:hAnsi="Arial Narrow"/>
          <w:lang w:val="en-US"/>
        </w:rPr>
        <w:t xml:space="preserve"> 31.</w:t>
      </w:r>
    </w:p>
  </w:footnote>
  <w:footnote w:id="316">
    <w:p w:rsidR="00C84BCB" w:rsidRPr="0002746E" w:rsidRDefault="00C84BCB">
      <w:pPr>
        <w:pStyle w:val="Textodenotaderodap"/>
        <w:rPr>
          <w:rFonts w:ascii="Arial Narrow" w:hAnsi="Arial Narrow"/>
          <w:lang w:val="en-US"/>
        </w:rPr>
      </w:pPr>
      <w:r w:rsidRPr="00D64104">
        <w:rPr>
          <w:rStyle w:val="Refdenotaderodap"/>
          <w:rFonts w:ascii="Arial Narrow" w:hAnsi="Arial Narrow"/>
        </w:rPr>
        <w:footnoteRef/>
      </w:r>
      <w:r w:rsidRPr="0002746E">
        <w:rPr>
          <w:rFonts w:ascii="Arial Narrow" w:hAnsi="Arial Narrow"/>
          <w:lang w:val="en-US"/>
        </w:rPr>
        <w:t xml:space="preserve"> </w:t>
      </w:r>
      <w:r w:rsidRPr="00D64104">
        <w:rPr>
          <w:rFonts w:ascii="Arial Narrow" w:hAnsi="Arial Narrow"/>
          <w:lang w:val="en-US"/>
        </w:rPr>
        <w:t>G. Gentile (1928)</w:t>
      </w:r>
      <w:r>
        <w:rPr>
          <w:rFonts w:ascii="Arial Narrow" w:hAnsi="Arial Narrow"/>
          <w:lang w:val="en-US"/>
        </w:rPr>
        <w:t xml:space="preserve"> 290.</w:t>
      </w:r>
    </w:p>
  </w:footnote>
  <w:footnote w:id="317">
    <w:p w:rsidR="00C84BCB" w:rsidRPr="0002746E"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02746E">
        <w:rPr>
          <w:rFonts w:ascii="Arial Narrow" w:hAnsi="Arial Narrow"/>
          <w:lang w:val="en-US"/>
        </w:rPr>
        <w:t xml:space="preserve"> E. Santarelli (1981) I 59-60, 97-99.</w:t>
      </w:r>
    </w:p>
  </w:footnote>
  <w:footnote w:id="318">
    <w:p w:rsidR="00C84BCB" w:rsidRPr="0002746E" w:rsidRDefault="00C84BCB" w:rsidP="00CD12DC">
      <w:pPr>
        <w:pStyle w:val="Textodenotaderodap"/>
        <w:ind w:firstLine="708"/>
        <w:rPr>
          <w:rFonts w:ascii="Arial Narrow" w:hAnsi="Arial Narrow"/>
          <w:lang w:val="en-US"/>
        </w:rPr>
      </w:pPr>
      <w:r w:rsidRPr="00F95336">
        <w:rPr>
          <w:rStyle w:val="Refdenotaderodap"/>
          <w:rFonts w:ascii="Arial Narrow" w:hAnsi="Arial Narrow"/>
        </w:rPr>
        <w:footnoteRef/>
      </w:r>
      <w:r w:rsidRPr="0002746E">
        <w:rPr>
          <w:rFonts w:ascii="Arial Narrow" w:hAnsi="Arial Narrow"/>
          <w:lang w:val="en-US"/>
        </w:rPr>
        <w:t xml:space="preserve"> P. Milza (1999) 15-17, 19, 28, 31.</w:t>
      </w:r>
    </w:p>
  </w:footnote>
  <w:footnote w:id="319">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83.</w:t>
      </w:r>
    </w:p>
  </w:footnote>
  <w:footnote w:id="320">
    <w:p w:rsidR="00C84BCB" w:rsidRPr="00CC781D" w:rsidRDefault="00C84BCB" w:rsidP="00CD12DC">
      <w:pPr>
        <w:pStyle w:val="Textodenotaderodap"/>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Z. Sternhell et al. (1994) 201-202.</w:t>
      </w:r>
    </w:p>
  </w:footnote>
  <w:footnote w:id="321">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P. Milza (1999) 131-133.</w:t>
      </w:r>
    </w:p>
  </w:footnote>
  <w:footnote w:id="322">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139.</w:t>
      </w:r>
    </w:p>
  </w:footnote>
  <w:footnote w:id="323">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67.</w:t>
      </w:r>
    </w:p>
  </w:footnote>
  <w:footnote w:id="324">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ibid., 135-136; Z. Sternhell et al. (1994) 196-201.</w:t>
      </w:r>
    </w:p>
  </w:footnote>
  <w:footnote w:id="325">
    <w:p w:rsidR="00C84BCB" w:rsidRPr="00CC781D" w:rsidRDefault="00C84BCB" w:rsidP="00CD12DC">
      <w:pPr>
        <w:pStyle w:val="Textodenotaderodap"/>
        <w:ind w:firstLine="708"/>
        <w:rPr>
          <w:rFonts w:ascii="Arial Narrow" w:hAnsi="Arial Narrow"/>
          <w:lang w:val="en-GB"/>
        </w:rPr>
      </w:pPr>
      <w:r w:rsidRPr="00F95336">
        <w:rPr>
          <w:rStyle w:val="Refdenotaderodap"/>
          <w:rFonts w:ascii="Arial Narrow" w:hAnsi="Arial Narrow"/>
        </w:rPr>
        <w:footnoteRef/>
      </w:r>
      <w:r w:rsidRPr="00CC781D">
        <w:rPr>
          <w:rFonts w:ascii="Arial Narrow" w:hAnsi="Arial Narrow"/>
          <w:lang w:val="en-GB"/>
        </w:rPr>
        <w:t xml:space="preserve"> P. Milza (1999) 91; Z. Sternhell et al. (1994) 131, 132, 136.</w:t>
      </w:r>
    </w:p>
  </w:footnote>
  <w:footnote w:id="326">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G. Bortolotto (1938) 225; P. Milza (1999) 137-138, 140-142; S. Saladino (1965) 241; Z. Sternhell et al. </w:t>
      </w:r>
      <w:r w:rsidRPr="00F95336">
        <w:rPr>
          <w:rFonts w:ascii="Arial Narrow" w:hAnsi="Arial Narrow"/>
        </w:rPr>
        <w:t>(1994) 198.</w:t>
      </w:r>
    </w:p>
  </w:footnote>
  <w:footnote w:id="327">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P. Milza (1999) 144.</w:t>
      </w:r>
    </w:p>
  </w:footnote>
  <w:footnote w:id="328">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144.</w:t>
      </w:r>
      <w:r>
        <w:rPr>
          <w:rFonts w:ascii="Arial Narrow" w:hAnsi="Arial Narrow"/>
        </w:rPr>
        <w:t xml:space="preserve"> Mais modestamente, P. Marion (1939) 13 considerou que a tiragem subira de 40.000 para 100.000 exemplares.</w:t>
      </w:r>
    </w:p>
  </w:footnote>
  <w:footnote w:id="329">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P. Milza (1999) 154-155. Todavia, em Agosto de 1913, quando a USI lançou um novo apelo à greve geral, Mussolini considerou-o aventureirista. Ver id., ibid., 156.</w:t>
      </w:r>
    </w:p>
  </w:footnote>
  <w:footnote w:id="330">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157-158.</w:t>
      </w:r>
    </w:p>
  </w:footnote>
  <w:footnote w:id="331">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159-161.</w:t>
      </w:r>
    </w:p>
  </w:footnote>
  <w:footnote w:id="332">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Foi o que Mussolini afirmou num artigo publicado em </w:t>
      </w:r>
      <w:r w:rsidRPr="00F95336">
        <w:rPr>
          <w:rFonts w:ascii="Arial Narrow" w:hAnsi="Arial Narrow"/>
          <w:i/>
        </w:rPr>
        <w:t>Utopia</w:t>
      </w:r>
      <w:r>
        <w:rPr>
          <w:rFonts w:ascii="Arial Narrow" w:hAnsi="Arial Narrow"/>
          <w:i/>
        </w:rPr>
        <w:t>,</w:t>
      </w:r>
      <w:r w:rsidRPr="00F95336">
        <w:rPr>
          <w:rFonts w:ascii="Arial Narrow" w:hAnsi="Arial Narrow"/>
        </w:rPr>
        <w:t xml:space="preserve"> Janeiro de 1914, citado em id., ibid., 170-171.</w:t>
      </w:r>
    </w:p>
  </w:footnote>
  <w:footnote w:id="333">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CC781D">
        <w:rPr>
          <w:rFonts w:ascii="Arial Narrow" w:hAnsi="Arial Narrow"/>
          <w:lang w:val="en-GB"/>
        </w:rPr>
        <w:t xml:space="preserve"> </w:t>
      </w:r>
      <w:smartTag w:uri="urn:schemas-microsoft-com:office:smarttags" w:element="State">
        <w:smartTag w:uri="urn:schemas-microsoft-com:office:smarttags" w:element="place">
          <w:r w:rsidRPr="00CC781D">
            <w:rPr>
              <w:rFonts w:ascii="Arial Narrow" w:hAnsi="Arial Narrow"/>
              <w:lang w:val="en-GB"/>
            </w:rPr>
            <w:t>Id.</w:t>
          </w:r>
        </w:smartTag>
      </w:smartTag>
      <w:r w:rsidRPr="00CC781D">
        <w:rPr>
          <w:rFonts w:ascii="Arial Narrow" w:hAnsi="Arial Narrow"/>
          <w:lang w:val="en-GB"/>
        </w:rPr>
        <w:t xml:space="preserve">, ibid., 157, 170-171; Z. Sternhell et al. </w:t>
      </w:r>
      <w:r w:rsidRPr="00F95336">
        <w:rPr>
          <w:rFonts w:ascii="Arial Narrow" w:hAnsi="Arial Narrow"/>
        </w:rPr>
        <w:t>(1994) 210-211.</w:t>
      </w:r>
    </w:p>
  </w:footnote>
  <w:footnote w:id="334">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Quanto à origem da tese de que Mussolini teria sido informador da polícia política francesa ver P. Milza (1999) 73-74. Este historiador revel</w:t>
      </w:r>
      <w:r>
        <w:rPr>
          <w:rFonts w:ascii="Arial Narrow" w:hAnsi="Arial Narrow"/>
        </w:rPr>
        <w:t>ou</w:t>
      </w:r>
      <w:r w:rsidRPr="00F95336">
        <w:rPr>
          <w:rFonts w:ascii="Arial Narrow" w:hAnsi="Arial Narrow"/>
        </w:rPr>
        <w:t xml:space="preserve"> uma dose notável de ingenuidade ao argumentar que Mussolini não teria exercido tal função porque os relatórios de agentes que estão hoje disponíveis para consulta nos arquivos o apresentam sempre como um perigoso subversivo. Se ele tivesse realmente sido um informador, isto não seria levado ao conhecimento dos funcionários de escalão inferior, e mesmo no topo da hierarquia a identidade de cada informador era mantida o mais possível secreta.</w:t>
      </w:r>
    </w:p>
  </w:footnote>
  <w:footnote w:id="335">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31-32. Pierre Milza insist</w:t>
      </w:r>
      <w:r>
        <w:rPr>
          <w:rFonts w:ascii="Arial Narrow" w:hAnsi="Arial Narrow"/>
        </w:rPr>
        <w:t>iu</w:t>
      </w:r>
      <w:r w:rsidRPr="00F95336">
        <w:rPr>
          <w:rFonts w:ascii="Arial Narrow" w:hAnsi="Arial Narrow"/>
        </w:rPr>
        <w:t xml:space="preserve"> nesta tese ao longo do seu livro.</w:t>
      </w:r>
    </w:p>
  </w:footnote>
  <w:footnote w:id="336">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108. Em 1897, consoante indic</w:t>
      </w:r>
      <w:r>
        <w:rPr>
          <w:rFonts w:ascii="Arial Narrow" w:hAnsi="Arial Narrow"/>
        </w:rPr>
        <w:t>ou</w:t>
      </w:r>
      <w:r w:rsidRPr="00F95336">
        <w:rPr>
          <w:rFonts w:ascii="Arial Narrow" w:hAnsi="Arial Narrow"/>
        </w:rPr>
        <w:t xml:space="preserve"> E. H. Carr (1966) I 424, o Partido Social-Democrata austríaco decidira converter-se numa federação de seis partidos nacionais autónomos, correspondendo um deles à população italiana do império.</w:t>
      </w:r>
    </w:p>
  </w:footnote>
  <w:footnote w:id="337">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B. Mussolini (1961) 171-172, 174-175, 187 e segs., 197-198.</w:t>
      </w:r>
    </w:p>
  </w:footnote>
  <w:footnote w:id="338">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Id., ibid., 185-186.</w:t>
      </w:r>
    </w:p>
  </w:footnote>
  <w:footnote w:id="339">
    <w:p w:rsidR="00C84BCB" w:rsidRPr="00AE15DE" w:rsidRDefault="00C84BCB" w:rsidP="00CD12DC">
      <w:pPr>
        <w:pStyle w:val="Textodenotaderodap"/>
        <w:ind w:firstLine="708"/>
        <w:rPr>
          <w:rFonts w:ascii="Arial Narrow" w:hAnsi="Arial Narrow"/>
          <w:lang w:val="en-US"/>
        </w:rPr>
      </w:pPr>
      <w:r w:rsidRPr="00F95336">
        <w:rPr>
          <w:rStyle w:val="Refdenotaderodap"/>
          <w:rFonts w:ascii="Arial Narrow" w:hAnsi="Arial Narrow"/>
        </w:rPr>
        <w:footnoteRef/>
      </w:r>
      <w:r w:rsidRPr="00AE15DE">
        <w:rPr>
          <w:rFonts w:ascii="Arial Narrow" w:hAnsi="Arial Narrow"/>
          <w:lang w:val="en-US"/>
        </w:rPr>
        <w:t xml:space="preserve"> Id., ibid., 169, 185-186, 191.</w:t>
      </w:r>
    </w:p>
  </w:footnote>
  <w:footnote w:id="340">
    <w:p w:rsidR="00C84BCB" w:rsidRPr="00AE15DE" w:rsidRDefault="00C84BCB">
      <w:pPr>
        <w:pStyle w:val="Textodenotaderodap"/>
        <w:rPr>
          <w:rFonts w:ascii="Arial Narrow" w:hAnsi="Arial Narrow"/>
          <w:lang w:val="en-US"/>
        </w:rPr>
      </w:pPr>
      <w:r w:rsidRPr="009023BF">
        <w:rPr>
          <w:rStyle w:val="Refdenotaderodap"/>
          <w:rFonts w:ascii="Arial Narrow" w:hAnsi="Arial Narrow"/>
        </w:rPr>
        <w:footnoteRef/>
      </w:r>
      <w:r w:rsidRPr="00AE15DE">
        <w:rPr>
          <w:rFonts w:ascii="Arial Narrow" w:hAnsi="Arial Narrow"/>
          <w:lang w:val="en-US"/>
        </w:rPr>
        <w:t xml:space="preserve"> P. Marion (1939) 12.</w:t>
      </w:r>
    </w:p>
  </w:footnote>
  <w:footnote w:id="341">
    <w:p w:rsidR="00C84BCB" w:rsidRPr="00AE15DE" w:rsidRDefault="00C84BCB" w:rsidP="00CD12DC">
      <w:pPr>
        <w:pStyle w:val="Textodenotaderodap"/>
        <w:rPr>
          <w:rFonts w:ascii="Arial Narrow" w:hAnsi="Arial Narrow"/>
          <w:lang w:val="en-US"/>
        </w:rPr>
      </w:pPr>
      <w:r w:rsidRPr="00F95336">
        <w:rPr>
          <w:rStyle w:val="Refdenotaderodap"/>
          <w:rFonts w:ascii="Arial Narrow" w:hAnsi="Arial Narrow"/>
        </w:rPr>
        <w:footnoteRef/>
      </w:r>
      <w:r w:rsidRPr="00AE15DE">
        <w:rPr>
          <w:rFonts w:ascii="Arial Narrow" w:hAnsi="Arial Narrow"/>
          <w:lang w:val="en-US"/>
        </w:rPr>
        <w:t xml:space="preserve"> G. Volpe (1941) 23.</w:t>
      </w:r>
    </w:p>
  </w:footnote>
  <w:footnote w:id="342">
    <w:p w:rsidR="00C84BCB" w:rsidRPr="00AE15DE" w:rsidRDefault="00C84BCB" w:rsidP="00CD12DC">
      <w:pPr>
        <w:pStyle w:val="Textodenotaderodap"/>
        <w:ind w:firstLine="708"/>
        <w:rPr>
          <w:rFonts w:ascii="Arial Narrow" w:hAnsi="Arial Narrow"/>
          <w:lang w:val="en-US"/>
        </w:rPr>
      </w:pPr>
      <w:r w:rsidRPr="00F95336">
        <w:rPr>
          <w:rStyle w:val="Refdenotaderodap"/>
          <w:rFonts w:ascii="Arial Narrow" w:hAnsi="Arial Narrow"/>
        </w:rPr>
        <w:footnoteRef/>
      </w:r>
      <w:r w:rsidRPr="00AE15DE">
        <w:rPr>
          <w:rFonts w:ascii="Arial Narrow" w:hAnsi="Arial Narrow"/>
          <w:lang w:val="en-US"/>
        </w:rPr>
        <w:t xml:space="preserve"> P. Milza (1999) 113-114.</w:t>
      </w:r>
    </w:p>
  </w:footnote>
  <w:footnote w:id="343">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AE15DE">
        <w:rPr>
          <w:rFonts w:ascii="Arial Narrow" w:hAnsi="Arial Narrow"/>
          <w:lang w:val="en-US"/>
        </w:rPr>
        <w:t xml:space="preserve"> Z. Sternhell et al. </w:t>
      </w:r>
      <w:r w:rsidRPr="00F95336">
        <w:rPr>
          <w:rFonts w:ascii="Arial Narrow" w:hAnsi="Arial Narrow"/>
        </w:rPr>
        <w:t>(1994) 201-202.</w:t>
      </w:r>
    </w:p>
  </w:footnote>
  <w:footnote w:id="344">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Citado por P. Milza (1999) 140. Note-se que este historiador desconhec</w:t>
      </w:r>
      <w:r>
        <w:rPr>
          <w:rFonts w:ascii="Arial Narrow" w:hAnsi="Arial Narrow"/>
        </w:rPr>
        <w:t>ia</w:t>
      </w:r>
      <w:r w:rsidRPr="00F95336">
        <w:rPr>
          <w:rFonts w:ascii="Arial Narrow" w:hAnsi="Arial Narrow"/>
        </w:rPr>
        <w:t xml:space="preserve"> a data do texto mencionado, como indic</w:t>
      </w:r>
      <w:r>
        <w:rPr>
          <w:rFonts w:ascii="Arial Narrow" w:hAnsi="Arial Narrow"/>
        </w:rPr>
        <w:t>ou</w:t>
      </w:r>
      <w:r w:rsidRPr="00F95336">
        <w:rPr>
          <w:rFonts w:ascii="Arial Narrow" w:hAnsi="Arial Narrow"/>
        </w:rPr>
        <w:t xml:space="preserve"> na pág. 902 n. 47.</w:t>
      </w:r>
    </w:p>
  </w:footnote>
  <w:footnote w:id="345">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Tullio Colucci citado em E. Santarelli (1981) I 99.</w:t>
      </w:r>
    </w:p>
  </w:footnote>
  <w:footnote w:id="346">
    <w:p w:rsidR="00C84BCB" w:rsidRPr="00F95336" w:rsidRDefault="00C84BCB" w:rsidP="00CD12DC">
      <w:pPr>
        <w:pStyle w:val="Textodenotaderodap"/>
        <w:ind w:firstLine="708"/>
        <w:rPr>
          <w:rFonts w:ascii="Arial Narrow" w:hAnsi="Arial Narrow"/>
        </w:rPr>
      </w:pPr>
      <w:r w:rsidRPr="00F95336">
        <w:rPr>
          <w:rStyle w:val="Refdenotaderodap"/>
          <w:rFonts w:ascii="Arial Narrow" w:hAnsi="Arial Narrow"/>
        </w:rPr>
        <w:footnoteRef/>
      </w:r>
      <w:r w:rsidRPr="00F95336">
        <w:rPr>
          <w:rFonts w:ascii="Arial Narrow" w:hAnsi="Arial Narrow"/>
        </w:rPr>
        <w:t xml:space="preserve"> Ver, por exemplo, a carta de Engels a Kautsky com data de 7 de Fevereiro de 1882 em P. W. Blackstock et al. (orgs. 1952) 116-117.</w:t>
      </w:r>
      <w:r>
        <w:rPr>
          <w:rFonts w:ascii="Arial Narrow" w:hAnsi="Arial Narrow"/>
        </w:rPr>
        <w:t xml:space="preserve"> Ver também </w:t>
      </w:r>
      <w:r w:rsidRPr="00887464">
        <w:rPr>
          <w:rFonts w:ascii="Arial Narrow" w:hAnsi="Arial Narrow"/>
          <w:bCs/>
        </w:rPr>
        <w:t xml:space="preserve">S. G. Payne </w:t>
      </w:r>
      <w:r w:rsidRPr="00887464">
        <w:rPr>
          <w:rFonts w:ascii="Arial Narrow" w:hAnsi="Arial Narrow"/>
        </w:rPr>
        <w:t>(2003 b) 67.</w:t>
      </w:r>
    </w:p>
  </w:footnote>
  <w:footnote w:id="347">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Benito Mussolini em </w:t>
      </w:r>
      <w:r w:rsidRPr="00F95336">
        <w:rPr>
          <w:rFonts w:ascii="Arial Narrow" w:hAnsi="Arial Narrow"/>
          <w:i/>
        </w:rPr>
        <w:t>Il Popolo d’Italia,</w:t>
      </w:r>
      <w:r w:rsidRPr="00F95336">
        <w:rPr>
          <w:rFonts w:ascii="Arial Narrow" w:hAnsi="Arial Narrow"/>
        </w:rPr>
        <w:t xml:space="preserve"> 15 de Dezembro de 1917, antologiado em R. Griffin (org. 1995) 29. Citado igualmente em Z. Sternhell et al. (1994) 221 e comentado por P. Milza (1999) 213.</w:t>
      </w:r>
    </w:p>
  </w:footnote>
  <w:footnote w:id="348">
    <w:p w:rsidR="00C84BCB" w:rsidRPr="00F95336" w:rsidRDefault="00C84BCB" w:rsidP="00CD12DC">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Antologiado em Ch. F. Delzell (org. 1971) 9 e citado em P. Milza (1999) 239. Note-se que em Charles Delzell se lê «por se ter oposto ao nacionalismo» onde em Pierre Milza vem «por se ter oposto à nação». «É na transição do ano de 1918 para o de 1919», escreve</w:t>
      </w:r>
      <w:r>
        <w:rPr>
          <w:rFonts w:ascii="Arial Narrow" w:hAnsi="Arial Narrow"/>
        </w:rPr>
        <w:t>u</w:t>
      </w:r>
      <w:r w:rsidRPr="00F95336">
        <w:rPr>
          <w:rFonts w:ascii="Arial Narrow" w:hAnsi="Arial Narrow"/>
        </w:rPr>
        <w:t xml:space="preserve"> Pierre Milza</w:t>
      </w:r>
      <w:r>
        <w:rPr>
          <w:rFonts w:ascii="Arial Narrow" w:hAnsi="Arial Narrow"/>
        </w:rPr>
        <w:t>,</w:t>
      </w:r>
      <w:r w:rsidRPr="00F95336">
        <w:rPr>
          <w:rFonts w:ascii="Arial Narrow" w:hAnsi="Arial Narrow"/>
        </w:rPr>
        <w:t xml:space="preserve"> </w:t>
      </w:r>
      <w:r w:rsidRPr="005231EB">
        <w:rPr>
          <w:rFonts w:ascii="Arial Narrow" w:hAnsi="Arial Narrow"/>
        </w:rPr>
        <w:t>op. cit.,</w:t>
      </w:r>
      <w:r w:rsidRPr="00F95336">
        <w:rPr>
          <w:rFonts w:ascii="Arial Narrow" w:hAnsi="Arial Narrow"/>
        </w:rPr>
        <w:t xml:space="preserve"> 231-232, «que se conclui a conversão de Mussolini à ideia de uma revolução nacional e social, cujos principais actores sairiam da elite forjada nas trincheiras».</w:t>
      </w:r>
    </w:p>
  </w:footnote>
  <w:footnote w:id="349">
    <w:p w:rsidR="00C84BCB" w:rsidRPr="00BE792B" w:rsidRDefault="00C84BCB">
      <w:pPr>
        <w:pStyle w:val="Textodenotaderodap"/>
        <w:rPr>
          <w:rFonts w:ascii="Arial Narrow" w:hAnsi="Arial Narrow"/>
        </w:rPr>
      </w:pPr>
      <w:r w:rsidRPr="00BE792B">
        <w:rPr>
          <w:rStyle w:val="Refdenotaderodap"/>
          <w:rFonts w:ascii="Arial Narrow" w:hAnsi="Arial Narrow"/>
        </w:rPr>
        <w:footnoteRef/>
      </w:r>
      <w:r w:rsidRPr="00BE792B">
        <w:rPr>
          <w:rFonts w:ascii="Arial Narrow" w:hAnsi="Arial Narrow"/>
        </w:rPr>
        <w:t xml:space="preserve"> </w:t>
      </w:r>
      <w:r>
        <w:rPr>
          <w:rFonts w:ascii="Arial Narrow" w:hAnsi="Arial Narrow"/>
        </w:rPr>
        <w:t>Citado em G. Seldes (1935) 74.</w:t>
      </w:r>
    </w:p>
  </w:footnote>
  <w:footnote w:id="350">
    <w:p w:rsidR="00C84BCB" w:rsidRPr="00F95336" w:rsidRDefault="00C84BCB" w:rsidP="00D9691D">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Discurso de 18 de Dezembro de 1935 antologiado em G. S. Spinetti (org. 1938) 203. Uma versão um pouco diferente encontra-se em Benoist-Méchin (1964-1966) IV 166. Ver também G. Volpe (1941) 211.</w:t>
      </w:r>
    </w:p>
  </w:footnote>
  <w:footnote w:id="351">
    <w:p w:rsidR="00C84BCB" w:rsidRPr="00D6235D" w:rsidRDefault="00C84BCB" w:rsidP="00D9691D">
      <w:pPr>
        <w:pStyle w:val="Textodenotaderodap"/>
        <w:rPr>
          <w:rFonts w:ascii="Arial Narrow" w:hAnsi="Arial Narrow"/>
        </w:rPr>
      </w:pPr>
      <w:r w:rsidRPr="00D6235D">
        <w:rPr>
          <w:rStyle w:val="Refdenotaderodap"/>
          <w:rFonts w:ascii="Arial Narrow" w:hAnsi="Arial Narrow"/>
        </w:rPr>
        <w:footnoteRef/>
      </w:r>
      <w:r w:rsidRPr="00D6235D">
        <w:rPr>
          <w:rFonts w:ascii="Arial Narrow" w:hAnsi="Arial Narrow"/>
        </w:rPr>
        <w:t xml:space="preserve"> </w:t>
      </w:r>
      <w:r>
        <w:rPr>
          <w:rFonts w:ascii="Arial Narrow" w:hAnsi="Arial Narrow"/>
        </w:rPr>
        <w:t xml:space="preserve">Citada em E. Gentile (2010) 123. Segundo </w:t>
      </w:r>
      <w:r w:rsidRPr="00887464">
        <w:rPr>
          <w:rFonts w:ascii="Arial Narrow" w:hAnsi="Arial Narrow"/>
          <w:bCs/>
        </w:rPr>
        <w:t xml:space="preserve">S. G. Payne </w:t>
      </w:r>
      <w:r w:rsidRPr="00887464">
        <w:rPr>
          <w:rFonts w:ascii="Arial Narrow" w:hAnsi="Arial Narrow"/>
        </w:rPr>
        <w:t xml:space="preserve">(2003 b) 235, </w:t>
      </w:r>
      <w:r>
        <w:rPr>
          <w:rFonts w:ascii="Arial Narrow" w:hAnsi="Arial Narrow"/>
        </w:rPr>
        <w:t>relatórios clandestinos do Partido Comunista italiano reconheceram que em 1936 a apresentação da conquista da Etiópia como uma «guerra proletária» gozava de aceitação entre «uma vasta massa de trabalhadores».</w:t>
      </w:r>
    </w:p>
  </w:footnote>
  <w:footnote w:id="352">
    <w:p w:rsidR="00C84BCB" w:rsidRPr="009C0BCD" w:rsidRDefault="00C84BCB">
      <w:pPr>
        <w:pStyle w:val="Textodenotaderodap"/>
        <w:rPr>
          <w:rFonts w:ascii="Arial Narrow" w:hAnsi="Arial Narrow"/>
        </w:rPr>
      </w:pPr>
      <w:r w:rsidRPr="009C0BCD">
        <w:rPr>
          <w:rStyle w:val="Refdenotaderodap"/>
          <w:rFonts w:ascii="Arial Narrow" w:hAnsi="Arial Narrow"/>
        </w:rPr>
        <w:footnoteRef/>
      </w:r>
      <w:r w:rsidRPr="009C0BCD">
        <w:rPr>
          <w:rFonts w:ascii="Arial Narrow" w:hAnsi="Arial Narrow"/>
        </w:rPr>
        <w:t xml:space="preserve"> </w:t>
      </w:r>
      <w:r>
        <w:rPr>
          <w:rFonts w:ascii="Arial Narrow" w:hAnsi="Arial Narrow"/>
        </w:rPr>
        <w:t>C. T. Schmidt (1939) 139.</w:t>
      </w:r>
    </w:p>
  </w:footnote>
  <w:footnote w:id="353">
    <w:p w:rsidR="00C84BCB" w:rsidRPr="00F95336" w:rsidRDefault="00C84BCB" w:rsidP="00D9691D">
      <w:pPr>
        <w:pStyle w:val="Textodenotaderodap"/>
        <w:rPr>
          <w:rFonts w:ascii="Arial Narrow" w:hAnsi="Arial Narrow"/>
        </w:rPr>
      </w:pPr>
      <w:r w:rsidRPr="00F95336">
        <w:rPr>
          <w:rStyle w:val="Refdenotaderodap"/>
          <w:rFonts w:ascii="Arial Narrow" w:hAnsi="Arial Narrow"/>
        </w:rPr>
        <w:footnoteRef/>
      </w:r>
      <w:r w:rsidRPr="00F95336">
        <w:rPr>
          <w:rFonts w:ascii="Arial Narrow" w:hAnsi="Arial Narrow"/>
        </w:rPr>
        <w:t xml:space="preserve"> Antologiado em Ch. F. Delzell (org. 1971) 214 e citado em </w:t>
      </w:r>
      <w:r w:rsidRPr="001A24F9">
        <w:rPr>
          <w:rFonts w:ascii="Arial Narrow" w:hAnsi="Arial Narrow"/>
        </w:rPr>
        <w:t xml:space="preserve">H. J. Burgwyn (2012) 21, </w:t>
      </w:r>
      <w:r w:rsidRPr="00F95336">
        <w:rPr>
          <w:rFonts w:ascii="Arial Narrow" w:hAnsi="Arial Narrow"/>
        </w:rPr>
        <w:t>P. Milza (1999) 777 e E. Santarelli (1981) II 402.</w:t>
      </w:r>
      <w:r>
        <w:rPr>
          <w:rFonts w:ascii="Arial Narrow" w:hAnsi="Arial Narrow"/>
        </w:rPr>
        <w:t xml:space="preserve"> Poucos meses depois, em 26 de Outubro de 1940, Goebbels disse em Viena a um grupo de dirigentes do NSDAP: «Quando esta guerra terminar queremos ser os senhores da Europa [...] Pertenceremos enfim às nações ricas [...]». Citado em J. Noakes et al. (orgs. 2008-2010) III 292. Em 1949 o antigo chefe do fascismo valão explicou a recente guerra mundial como um conflito entre «os Estados saciados e decadentes e os Estados pobres, mas fecundos e dinâmicos». Ver L. Degrelle (1949 b) 13.</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CD12DC"/>
    <w:rsid w:val="00000654"/>
    <w:rsid w:val="00002CA0"/>
    <w:rsid w:val="00004937"/>
    <w:rsid w:val="00010313"/>
    <w:rsid w:val="00010966"/>
    <w:rsid w:val="00011E7E"/>
    <w:rsid w:val="00014E5C"/>
    <w:rsid w:val="0002423C"/>
    <w:rsid w:val="0002746E"/>
    <w:rsid w:val="00037AAB"/>
    <w:rsid w:val="000416CC"/>
    <w:rsid w:val="00042035"/>
    <w:rsid w:val="00042464"/>
    <w:rsid w:val="0004498A"/>
    <w:rsid w:val="000470FF"/>
    <w:rsid w:val="000511FF"/>
    <w:rsid w:val="00052120"/>
    <w:rsid w:val="000525C7"/>
    <w:rsid w:val="000526F3"/>
    <w:rsid w:val="000530E6"/>
    <w:rsid w:val="00053539"/>
    <w:rsid w:val="00055CD4"/>
    <w:rsid w:val="00061B3C"/>
    <w:rsid w:val="00063AC4"/>
    <w:rsid w:val="00063D24"/>
    <w:rsid w:val="00064465"/>
    <w:rsid w:val="00064C93"/>
    <w:rsid w:val="0006795E"/>
    <w:rsid w:val="00070D13"/>
    <w:rsid w:val="000735E5"/>
    <w:rsid w:val="00073D34"/>
    <w:rsid w:val="00073F82"/>
    <w:rsid w:val="00074DED"/>
    <w:rsid w:val="00075868"/>
    <w:rsid w:val="000806CA"/>
    <w:rsid w:val="000841C1"/>
    <w:rsid w:val="000847C4"/>
    <w:rsid w:val="000852A5"/>
    <w:rsid w:val="000902D7"/>
    <w:rsid w:val="0009170C"/>
    <w:rsid w:val="00093314"/>
    <w:rsid w:val="000947A5"/>
    <w:rsid w:val="0009783C"/>
    <w:rsid w:val="00097E8F"/>
    <w:rsid w:val="000A38F9"/>
    <w:rsid w:val="000A3CA9"/>
    <w:rsid w:val="000A446D"/>
    <w:rsid w:val="000B080E"/>
    <w:rsid w:val="000B0A2C"/>
    <w:rsid w:val="000B4149"/>
    <w:rsid w:val="000B7833"/>
    <w:rsid w:val="000B7D1D"/>
    <w:rsid w:val="000C1A22"/>
    <w:rsid w:val="000C471E"/>
    <w:rsid w:val="000C588D"/>
    <w:rsid w:val="000C59C4"/>
    <w:rsid w:val="000C5EA7"/>
    <w:rsid w:val="000D322A"/>
    <w:rsid w:val="000D3CF1"/>
    <w:rsid w:val="000E3FD0"/>
    <w:rsid w:val="000E4BD4"/>
    <w:rsid w:val="000E5547"/>
    <w:rsid w:val="000F3E24"/>
    <w:rsid w:val="000F718A"/>
    <w:rsid w:val="000F77D6"/>
    <w:rsid w:val="00103B43"/>
    <w:rsid w:val="00106AFE"/>
    <w:rsid w:val="001107EF"/>
    <w:rsid w:val="00113D33"/>
    <w:rsid w:val="00114238"/>
    <w:rsid w:val="00114842"/>
    <w:rsid w:val="0012269F"/>
    <w:rsid w:val="00124A0E"/>
    <w:rsid w:val="00125FDB"/>
    <w:rsid w:val="00126F7B"/>
    <w:rsid w:val="00133C1D"/>
    <w:rsid w:val="001346FF"/>
    <w:rsid w:val="001410CD"/>
    <w:rsid w:val="0014159E"/>
    <w:rsid w:val="001418DC"/>
    <w:rsid w:val="00143675"/>
    <w:rsid w:val="001470E8"/>
    <w:rsid w:val="0015325D"/>
    <w:rsid w:val="0016039A"/>
    <w:rsid w:val="00160485"/>
    <w:rsid w:val="00164C67"/>
    <w:rsid w:val="00167AF5"/>
    <w:rsid w:val="00175074"/>
    <w:rsid w:val="00180223"/>
    <w:rsid w:val="00180559"/>
    <w:rsid w:val="001848F0"/>
    <w:rsid w:val="00184EF5"/>
    <w:rsid w:val="00186EDB"/>
    <w:rsid w:val="00187600"/>
    <w:rsid w:val="0019643B"/>
    <w:rsid w:val="001A0A99"/>
    <w:rsid w:val="001A24F9"/>
    <w:rsid w:val="001A3911"/>
    <w:rsid w:val="001B0213"/>
    <w:rsid w:val="001B119D"/>
    <w:rsid w:val="001B142B"/>
    <w:rsid w:val="001B17B9"/>
    <w:rsid w:val="001B30F5"/>
    <w:rsid w:val="001B4654"/>
    <w:rsid w:val="001B6A63"/>
    <w:rsid w:val="001B78DD"/>
    <w:rsid w:val="001C38E5"/>
    <w:rsid w:val="001C6230"/>
    <w:rsid w:val="001C650A"/>
    <w:rsid w:val="001D270E"/>
    <w:rsid w:val="001E1424"/>
    <w:rsid w:val="001E1C43"/>
    <w:rsid w:val="001E2A51"/>
    <w:rsid w:val="001E33FE"/>
    <w:rsid w:val="001F1236"/>
    <w:rsid w:val="001F778F"/>
    <w:rsid w:val="0020030D"/>
    <w:rsid w:val="00200C80"/>
    <w:rsid w:val="00207020"/>
    <w:rsid w:val="0021313F"/>
    <w:rsid w:val="00214039"/>
    <w:rsid w:val="00214EE4"/>
    <w:rsid w:val="002167F5"/>
    <w:rsid w:val="00220FBF"/>
    <w:rsid w:val="00230DD1"/>
    <w:rsid w:val="00231175"/>
    <w:rsid w:val="002318E4"/>
    <w:rsid w:val="00231D85"/>
    <w:rsid w:val="0024419E"/>
    <w:rsid w:val="0025449A"/>
    <w:rsid w:val="00261593"/>
    <w:rsid w:val="00263E12"/>
    <w:rsid w:val="002653BC"/>
    <w:rsid w:val="002655E0"/>
    <w:rsid w:val="00265E02"/>
    <w:rsid w:val="002666E7"/>
    <w:rsid w:val="002723FC"/>
    <w:rsid w:val="0027438D"/>
    <w:rsid w:val="0027622E"/>
    <w:rsid w:val="00276528"/>
    <w:rsid w:val="0027740E"/>
    <w:rsid w:val="002832AF"/>
    <w:rsid w:val="00284618"/>
    <w:rsid w:val="00286C67"/>
    <w:rsid w:val="00287D17"/>
    <w:rsid w:val="002900FB"/>
    <w:rsid w:val="00291380"/>
    <w:rsid w:val="00293B80"/>
    <w:rsid w:val="00295C83"/>
    <w:rsid w:val="002A343E"/>
    <w:rsid w:val="002A3B9F"/>
    <w:rsid w:val="002A4C02"/>
    <w:rsid w:val="002A58DE"/>
    <w:rsid w:val="002B08DA"/>
    <w:rsid w:val="002B2473"/>
    <w:rsid w:val="002B305B"/>
    <w:rsid w:val="002B6877"/>
    <w:rsid w:val="002C197B"/>
    <w:rsid w:val="002C1E32"/>
    <w:rsid w:val="002D2874"/>
    <w:rsid w:val="002D2B13"/>
    <w:rsid w:val="002D309F"/>
    <w:rsid w:val="002D67A4"/>
    <w:rsid w:val="002F223A"/>
    <w:rsid w:val="00302E69"/>
    <w:rsid w:val="003122B6"/>
    <w:rsid w:val="0031358E"/>
    <w:rsid w:val="0031521B"/>
    <w:rsid w:val="00316F90"/>
    <w:rsid w:val="00320039"/>
    <w:rsid w:val="00320D84"/>
    <w:rsid w:val="00321737"/>
    <w:rsid w:val="00327E55"/>
    <w:rsid w:val="0033072A"/>
    <w:rsid w:val="00331B5A"/>
    <w:rsid w:val="003357D5"/>
    <w:rsid w:val="00337E6E"/>
    <w:rsid w:val="00342605"/>
    <w:rsid w:val="0034262F"/>
    <w:rsid w:val="0034519A"/>
    <w:rsid w:val="00347E25"/>
    <w:rsid w:val="00350159"/>
    <w:rsid w:val="00351147"/>
    <w:rsid w:val="0035237D"/>
    <w:rsid w:val="00352800"/>
    <w:rsid w:val="00352EA6"/>
    <w:rsid w:val="00354654"/>
    <w:rsid w:val="00357EAA"/>
    <w:rsid w:val="00364F3B"/>
    <w:rsid w:val="0036586D"/>
    <w:rsid w:val="00380517"/>
    <w:rsid w:val="00381222"/>
    <w:rsid w:val="00381E47"/>
    <w:rsid w:val="00382D9F"/>
    <w:rsid w:val="00383453"/>
    <w:rsid w:val="00385D16"/>
    <w:rsid w:val="003877F4"/>
    <w:rsid w:val="00390AB2"/>
    <w:rsid w:val="00394C33"/>
    <w:rsid w:val="00396B4A"/>
    <w:rsid w:val="003A1CEE"/>
    <w:rsid w:val="003B1E50"/>
    <w:rsid w:val="003B3961"/>
    <w:rsid w:val="003B537C"/>
    <w:rsid w:val="003B5DE0"/>
    <w:rsid w:val="003C0599"/>
    <w:rsid w:val="003C1E39"/>
    <w:rsid w:val="003D175A"/>
    <w:rsid w:val="003D1772"/>
    <w:rsid w:val="003D3F77"/>
    <w:rsid w:val="003E018E"/>
    <w:rsid w:val="003E078E"/>
    <w:rsid w:val="003E32D0"/>
    <w:rsid w:val="003E5880"/>
    <w:rsid w:val="003E65E9"/>
    <w:rsid w:val="003E6ADE"/>
    <w:rsid w:val="003E6B66"/>
    <w:rsid w:val="003F661F"/>
    <w:rsid w:val="003F7506"/>
    <w:rsid w:val="003F7872"/>
    <w:rsid w:val="004009B7"/>
    <w:rsid w:val="004028A5"/>
    <w:rsid w:val="00405301"/>
    <w:rsid w:val="004058F1"/>
    <w:rsid w:val="00405D6F"/>
    <w:rsid w:val="00412C70"/>
    <w:rsid w:val="00412C99"/>
    <w:rsid w:val="00413878"/>
    <w:rsid w:val="00415C71"/>
    <w:rsid w:val="004162D1"/>
    <w:rsid w:val="0041751A"/>
    <w:rsid w:val="00417CBC"/>
    <w:rsid w:val="00420B43"/>
    <w:rsid w:val="00426C65"/>
    <w:rsid w:val="0042756E"/>
    <w:rsid w:val="00430E1D"/>
    <w:rsid w:val="00431EB5"/>
    <w:rsid w:val="00432CA3"/>
    <w:rsid w:val="004336D7"/>
    <w:rsid w:val="004352D4"/>
    <w:rsid w:val="00437F1D"/>
    <w:rsid w:val="00446FAA"/>
    <w:rsid w:val="004543F1"/>
    <w:rsid w:val="00454815"/>
    <w:rsid w:val="00455DD0"/>
    <w:rsid w:val="0045709A"/>
    <w:rsid w:val="00461ACB"/>
    <w:rsid w:val="004655AD"/>
    <w:rsid w:val="00467A95"/>
    <w:rsid w:val="00476105"/>
    <w:rsid w:val="00482F2A"/>
    <w:rsid w:val="00483B0B"/>
    <w:rsid w:val="00484A9D"/>
    <w:rsid w:val="00484C0B"/>
    <w:rsid w:val="00487BAC"/>
    <w:rsid w:val="00487F9E"/>
    <w:rsid w:val="004925B5"/>
    <w:rsid w:val="00496FC1"/>
    <w:rsid w:val="004A041D"/>
    <w:rsid w:val="004A3A9C"/>
    <w:rsid w:val="004A3E72"/>
    <w:rsid w:val="004A4709"/>
    <w:rsid w:val="004A7C39"/>
    <w:rsid w:val="004B4B84"/>
    <w:rsid w:val="004B70C5"/>
    <w:rsid w:val="004C1C09"/>
    <w:rsid w:val="004C3F50"/>
    <w:rsid w:val="004C57A1"/>
    <w:rsid w:val="004D18AA"/>
    <w:rsid w:val="004D21FD"/>
    <w:rsid w:val="004D43AA"/>
    <w:rsid w:val="004E5F28"/>
    <w:rsid w:val="004F5597"/>
    <w:rsid w:val="0050218C"/>
    <w:rsid w:val="00503620"/>
    <w:rsid w:val="005047C4"/>
    <w:rsid w:val="00505AD8"/>
    <w:rsid w:val="00506104"/>
    <w:rsid w:val="0051162E"/>
    <w:rsid w:val="00511BC3"/>
    <w:rsid w:val="00513142"/>
    <w:rsid w:val="0051365A"/>
    <w:rsid w:val="005141EE"/>
    <w:rsid w:val="00515282"/>
    <w:rsid w:val="00515D07"/>
    <w:rsid w:val="00521313"/>
    <w:rsid w:val="005231EB"/>
    <w:rsid w:val="00523486"/>
    <w:rsid w:val="005244DE"/>
    <w:rsid w:val="005252EC"/>
    <w:rsid w:val="00525ADA"/>
    <w:rsid w:val="00537160"/>
    <w:rsid w:val="005446B9"/>
    <w:rsid w:val="005453A8"/>
    <w:rsid w:val="0055051E"/>
    <w:rsid w:val="00550575"/>
    <w:rsid w:val="00551A84"/>
    <w:rsid w:val="0055303C"/>
    <w:rsid w:val="005557A2"/>
    <w:rsid w:val="00556633"/>
    <w:rsid w:val="00562DEB"/>
    <w:rsid w:val="0056352E"/>
    <w:rsid w:val="00571434"/>
    <w:rsid w:val="005742DA"/>
    <w:rsid w:val="00577E98"/>
    <w:rsid w:val="005804C1"/>
    <w:rsid w:val="005828EA"/>
    <w:rsid w:val="0058349D"/>
    <w:rsid w:val="00593C0A"/>
    <w:rsid w:val="00593EED"/>
    <w:rsid w:val="00594486"/>
    <w:rsid w:val="00596620"/>
    <w:rsid w:val="00597263"/>
    <w:rsid w:val="0059752E"/>
    <w:rsid w:val="005A75BC"/>
    <w:rsid w:val="005B78A9"/>
    <w:rsid w:val="005B7AFF"/>
    <w:rsid w:val="005C2383"/>
    <w:rsid w:val="005C3844"/>
    <w:rsid w:val="005C4FD4"/>
    <w:rsid w:val="005C5B78"/>
    <w:rsid w:val="005C634B"/>
    <w:rsid w:val="005C748D"/>
    <w:rsid w:val="005D46CB"/>
    <w:rsid w:val="005E6ACC"/>
    <w:rsid w:val="005E7492"/>
    <w:rsid w:val="005F036C"/>
    <w:rsid w:val="005F0D7F"/>
    <w:rsid w:val="00600A93"/>
    <w:rsid w:val="00600D64"/>
    <w:rsid w:val="00601167"/>
    <w:rsid w:val="00607BF1"/>
    <w:rsid w:val="006146A1"/>
    <w:rsid w:val="00621E5F"/>
    <w:rsid w:val="00622F2D"/>
    <w:rsid w:val="0062324C"/>
    <w:rsid w:val="006246F9"/>
    <w:rsid w:val="0062627E"/>
    <w:rsid w:val="00626DA8"/>
    <w:rsid w:val="0063590B"/>
    <w:rsid w:val="006360DA"/>
    <w:rsid w:val="006410F5"/>
    <w:rsid w:val="0064208C"/>
    <w:rsid w:val="00645760"/>
    <w:rsid w:val="006503BF"/>
    <w:rsid w:val="00650ECF"/>
    <w:rsid w:val="0065658A"/>
    <w:rsid w:val="00660824"/>
    <w:rsid w:val="00660BCF"/>
    <w:rsid w:val="00661BE0"/>
    <w:rsid w:val="006659A1"/>
    <w:rsid w:val="00667075"/>
    <w:rsid w:val="006676E7"/>
    <w:rsid w:val="0067381A"/>
    <w:rsid w:val="006773D6"/>
    <w:rsid w:val="00682676"/>
    <w:rsid w:val="006828E0"/>
    <w:rsid w:val="006915A6"/>
    <w:rsid w:val="00694309"/>
    <w:rsid w:val="00694E77"/>
    <w:rsid w:val="00696601"/>
    <w:rsid w:val="006A09CF"/>
    <w:rsid w:val="006A0E4A"/>
    <w:rsid w:val="006A5B1A"/>
    <w:rsid w:val="006A7EA1"/>
    <w:rsid w:val="006B16E0"/>
    <w:rsid w:val="006B3C98"/>
    <w:rsid w:val="006B4FC8"/>
    <w:rsid w:val="006B7E38"/>
    <w:rsid w:val="006C455D"/>
    <w:rsid w:val="006C5850"/>
    <w:rsid w:val="006D4F37"/>
    <w:rsid w:val="006D6BEF"/>
    <w:rsid w:val="006D7F48"/>
    <w:rsid w:val="006E771C"/>
    <w:rsid w:val="006F038A"/>
    <w:rsid w:val="006F2A59"/>
    <w:rsid w:val="006F5AF7"/>
    <w:rsid w:val="006F71DD"/>
    <w:rsid w:val="006F72B4"/>
    <w:rsid w:val="00701458"/>
    <w:rsid w:val="00701D91"/>
    <w:rsid w:val="00702563"/>
    <w:rsid w:val="00703531"/>
    <w:rsid w:val="00703EA9"/>
    <w:rsid w:val="00704D88"/>
    <w:rsid w:val="007068FE"/>
    <w:rsid w:val="00707326"/>
    <w:rsid w:val="00711C57"/>
    <w:rsid w:val="007121F3"/>
    <w:rsid w:val="007135A5"/>
    <w:rsid w:val="00713B9E"/>
    <w:rsid w:val="00720A51"/>
    <w:rsid w:val="00720C1D"/>
    <w:rsid w:val="00721377"/>
    <w:rsid w:val="00721F7C"/>
    <w:rsid w:val="00727DB2"/>
    <w:rsid w:val="007305F7"/>
    <w:rsid w:val="007315B7"/>
    <w:rsid w:val="00732CAC"/>
    <w:rsid w:val="007340C6"/>
    <w:rsid w:val="007356A8"/>
    <w:rsid w:val="00737AE5"/>
    <w:rsid w:val="00742A9E"/>
    <w:rsid w:val="00743B39"/>
    <w:rsid w:val="00743B9D"/>
    <w:rsid w:val="007463BE"/>
    <w:rsid w:val="00746956"/>
    <w:rsid w:val="00747110"/>
    <w:rsid w:val="007515F0"/>
    <w:rsid w:val="00752A66"/>
    <w:rsid w:val="007611AD"/>
    <w:rsid w:val="00764162"/>
    <w:rsid w:val="00764863"/>
    <w:rsid w:val="00764A40"/>
    <w:rsid w:val="007672CE"/>
    <w:rsid w:val="0077022A"/>
    <w:rsid w:val="0077084A"/>
    <w:rsid w:val="007845AC"/>
    <w:rsid w:val="007855FC"/>
    <w:rsid w:val="00790404"/>
    <w:rsid w:val="007956C1"/>
    <w:rsid w:val="00797364"/>
    <w:rsid w:val="007A015D"/>
    <w:rsid w:val="007A235A"/>
    <w:rsid w:val="007A48A3"/>
    <w:rsid w:val="007A7481"/>
    <w:rsid w:val="007B0220"/>
    <w:rsid w:val="007B1838"/>
    <w:rsid w:val="007B393D"/>
    <w:rsid w:val="007C2991"/>
    <w:rsid w:val="007C2D8D"/>
    <w:rsid w:val="007C35FD"/>
    <w:rsid w:val="007C3B09"/>
    <w:rsid w:val="007C3FB4"/>
    <w:rsid w:val="007C6477"/>
    <w:rsid w:val="007D00D3"/>
    <w:rsid w:val="007D1AE2"/>
    <w:rsid w:val="007D323E"/>
    <w:rsid w:val="007D3625"/>
    <w:rsid w:val="007D66C3"/>
    <w:rsid w:val="007E09CE"/>
    <w:rsid w:val="007E389C"/>
    <w:rsid w:val="007E3A75"/>
    <w:rsid w:val="007E5471"/>
    <w:rsid w:val="007E70E4"/>
    <w:rsid w:val="007F2BB9"/>
    <w:rsid w:val="007F3D0D"/>
    <w:rsid w:val="007F3E72"/>
    <w:rsid w:val="008029C2"/>
    <w:rsid w:val="00803381"/>
    <w:rsid w:val="0080406A"/>
    <w:rsid w:val="00804B83"/>
    <w:rsid w:val="00805230"/>
    <w:rsid w:val="00814F55"/>
    <w:rsid w:val="00815D20"/>
    <w:rsid w:val="008205D8"/>
    <w:rsid w:val="0082263D"/>
    <w:rsid w:val="00822DCC"/>
    <w:rsid w:val="0082388C"/>
    <w:rsid w:val="00825965"/>
    <w:rsid w:val="00826D9E"/>
    <w:rsid w:val="00830185"/>
    <w:rsid w:val="00833FB7"/>
    <w:rsid w:val="0083461E"/>
    <w:rsid w:val="008423DB"/>
    <w:rsid w:val="00846364"/>
    <w:rsid w:val="00846612"/>
    <w:rsid w:val="008471BD"/>
    <w:rsid w:val="00850AA6"/>
    <w:rsid w:val="00850D3D"/>
    <w:rsid w:val="00853E3E"/>
    <w:rsid w:val="00855096"/>
    <w:rsid w:val="00855C15"/>
    <w:rsid w:val="00856E49"/>
    <w:rsid w:val="00860737"/>
    <w:rsid w:val="0086271E"/>
    <w:rsid w:val="00866834"/>
    <w:rsid w:val="00872516"/>
    <w:rsid w:val="0087408B"/>
    <w:rsid w:val="008755AF"/>
    <w:rsid w:val="008773D4"/>
    <w:rsid w:val="00880DCC"/>
    <w:rsid w:val="00882B1A"/>
    <w:rsid w:val="00886DD7"/>
    <w:rsid w:val="00887464"/>
    <w:rsid w:val="008874BE"/>
    <w:rsid w:val="00891726"/>
    <w:rsid w:val="008958D1"/>
    <w:rsid w:val="00896795"/>
    <w:rsid w:val="00897C36"/>
    <w:rsid w:val="008A0F5B"/>
    <w:rsid w:val="008A2533"/>
    <w:rsid w:val="008A3ADB"/>
    <w:rsid w:val="008A3AE2"/>
    <w:rsid w:val="008B10FF"/>
    <w:rsid w:val="008B357A"/>
    <w:rsid w:val="008B5973"/>
    <w:rsid w:val="008B701A"/>
    <w:rsid w:val="008B77E2"/>
    <w:rsid w:val="008C360C"/>
    <w:rsid w:val="008C3831"/>
    <w:rsid w:val="008C3CA2"/>
    <w:rsid w:val="008C7A8C"/>
    <w:rsid w:val="008D10D4"/>
    <w:rsid w:val="008D35BD"/>
    <w:rsid w:val="008E1F6F"/>
    <w:rsid w:val="008E5324"/>
    <w:rsid w:val="008F4597"/>
    <w:rsid w:val="008F5372"/>
    <w:rsid w:val="00900A63"/>
    <w:rsid w:val="009023BF"/>
    <w:rsid w:val="009030F4"/>
    <w:rsid w:val="009062C6"/>
    <w:rsid w:val="009071FB"/>
    <w:rsid w:val="00907F05"/>
    <w:rsid w:val="0091212B"/>
    <w:rsid w:val="0091424D"/>
    <w:rsid w:val="00920DFE"/>
    <w:rsid w:val="00924007"/>
    <w:rsid w:val="00933543"/>
    <w:rsid w:val="00935263"/>
    <w:rsid w:val="00940747"/>
    <w:rsid w:val="00941484"/>
    <w:rsid w:val="00943D89"/>
    <w:rsid w:val="0094520F"/>
    <w:rsid w:val="00945C74"/>
    <w:rsid w:val="00946281"/>
    <w:rsid w:val="009470CC"/>
    <w:rsid w:val="00950545"/>
    <w:rsid w:val="00952AAC"/>
    <w:rsid w:val="00954875"/>
    <w:rsid w:val="009571B4"/>
    <w:rsid w:val="009626C1"/>
    <w:rsid w:val="00963438"/>
    <w:rsid w:val="00963DE1"/>
    <w:rsid w:val="00964AF9"/>
    <w:rsid w:val="00966F70"/>
    <w:rsid w:val="00967728"/>
    <w:rsid w:val="00970C2A"/>
    <w:rsid w:val="00970C9D"/>
    <w:rsid w:val="009735E1"/>
    <w:rsid w:val="00975E9B"/>
    <w:rsid w:val="00977A21"/>
    <w:rsid w:val="009829F0"/>
    <w:rsid w:val="00983AEC"/>
    <w:rsid w:val="00990344"/>
    <w:rsid w:val="00994DD1"/>
    <w:rsid w:val="00996FB7"/>
    <w:rsid w:val="00997778"/>
    <w:rsid w:val="00997E04"/>
    <w:rsid w:val="009A5910"/>
    <w:rsid w:val="009A6394"/>
    <w:rsid w:val="009A65B7"/>
    <w:rsid w:val="009A65E9"/>
    <w:rsid w:val="009A7CEF"/>
    <w:rsid w:val="009B00DA"/>
    <w:rsid w:val="009B1D0D"/>
    <w:rsid w:val="009B51E8"/>
    <w:rsid w:val="009B72EC"/>
    <w:rsid w:val="009C0941"/>
    <w:rsid w:val="009C0BCD"/>
    <w:rsid w:val="009C122B"/>
    <w:rsid w:val="009C4940"/>
    <w:rsid w:val="009C5CD0"/>
    <w:rsid w:val="009D16F9"/>
    <w:rsid w:val="009D60EC"/>
    <w:rsid w:val="009D73BC"/>
    <w:rsid w:val="009D7A90"/>
    <w:rsid w:val="009E0D3E"/>
    <w:rsid w:val="009E0EAE"/>
    <w:rsid w:val="009E2AB3"/>
    <w:rsid w:val="009F4A07"/>
    <w:rsid w:val="00A00C2E"/>
    <w:rsid w:val="00A0542F"/>
    <w:rsid w:val="00A13FDB"/>
    <w:rsid w:val="00A15488"/>
    <w:rsid w:val="00A16542"/>
    <w:rsid w:val="00A17B69"/>
    <w:rsid w:val="00A23B90"/>
    <w:rsid w:val="00A26C01"/>
    <w:rsid w:val="00A31157"/>
    <w:rsid w:val="00A31D9B"/>
    <w:rsid w:val="00A33625"/>
    <w:rsid w:val="00A3636D"/>
    <w:rsid w:val="00A37827"/>
    <w:rsid w:val="00A438BD"/>
    <w:rsid w:val="00A45FA7"/>
    <w:rsid w:val="00A55713"/>
    <w:rsid w:val="00A55A9D"/>
    <w:rsid w:val="00A55B4A"/>
    <w:rsid w:val="00A607F2"/>
    <w:rsid w:val="00A628DF"/>
    <w:rsid w:val="00A64498"/>
    <w:rsid w:val="00A6630A"/>
    <w:rsid w:val="00A829CD"/>
    <w:rsid w:val="00A84259"/>
    <w:rsid w:val="00A859F8"/>
    <w:rsid w:val="00A90642"/>
    <w:rsid w:val="00A90CD8"/>
    <w:rsid w:val="00AA3DDF"/>
    <w:rsid w:val="00AC08E8"/>
    <w:rsid w:val="00AC17CB"/>
    <w:rsid w:val="00AC1EB2"/>
    <w:rsid w:val="00AC27DD"/>
    <w:rsid w:val="00AC2FE7"/>
    <w:rsid w:val="00AC5F12"/>
    <w:rsid w:val="00AC6544"/>
    <w:rsid w:val="00AD1B69"/>
    <w:rsid w:val="00AD1F14"/>
    <w:rsid w:val="00AD31C4"/>
    <w:rsid w:val="00AD555B"/>
    <w:rsid w:val="00AE15DE"/>
    <w:rsid w:val="00AE202E"/>
    <w:rsid w:val="00AE25D3"/>
    <w:rsid w:val="00AE27BE"/>
    <w:rsid w:val="00AE38A2"/>
    <w:rsid w:val="00AE6EDD"/>
    <w:rsid w:val="00AF1705"/>
    <w:rsid w:val="00B00EAA"/>
    <w:rsid w:val="00B01AC0"/>
    <w:rsid w:val="00B04EE5"/>
    <w:rsid w:val="00B05D98"/>
    <w:rsid w:val="00B10504"/>
    <w:rsid w:val="00B119FE"/>
    <w:rsid w:val="00B12E3E"/>
    <w:rsid w:val="00B147B7"/>
    <w:rsid w:val="00B166F7"/>
    <w:rsid w:val="00B17665"/>
    <w:rsid w:val="00B20E33"/>
    <w:rsid w:val="00B23337"/>
    <w:rsid w:val="00B24399"/>
    <w:rsid w:val="00B32C35"/>
    <w:rsid w:val="00B33634"/>
    <w:rsid w:val="00B42299"/>
    <w:rsid w:val="00B4332C"/>
    <w:rsid w:val="00B47D54"/>
    <w:rsid w:val="00B52745"/>
    <w:rsid w:val="00B639D5"/>
    <w:rsid w:val="00B7187B"/>
    <w:rsid w:val="00B7335B"/>
    <w:rsid w:val="00B77B80"/>
    <w:rsid w:val="00B818AB"/>
    <w:rsid w:val="00B8234F"/>
    <w:rsid w:val="00B83449"/>
    <w:rsid w:val="00B83DAE"/>
    <w:rsid w:val="00B85403"/>
    <w:rsid w:val="00B876A6"/>
    <w:rsid w:val="00B9257A"/>
    <w:rsid w:val="00B9274A"/>
    <w:rsid w:val="00B94E41"/>
    <w:rsid w:val="00B95998"/>
    <w:rsid w:val="00B95DEA"/>
    <w:rsid w:val="00B96456"/>
    <w:rsid w:val="00B97609"/>
    <w:rsid w:val="00B97A26"/>
    <w:rsid w:val="00BA01DD"/>
    <w:rsid w:val="00BA29C5"/>
    <w:rsid w:val="00BA6A98"/>
    <w:rsid w:val="00BA7D10"/>
    <w:rsid w:val="00BB1B8C"/>
    <w:rsid w:val="00BB3486"/>
    <w:rsid w:val="00BB4DC7"/>
    <w:rsid w:val="00BB58D8"/>
    <w:rsid w:val="00BB6D3D"/>
    <w:rsid w:val="00BB7A7E"/>
    <w:rsid w:val="00BC6D43"/>
    <w:rsid w:val="00BC7DB8"/>
    <w:rsid w:val="00BD49AA"/>
    <w:rsid w:val="00BD76F3"/>
    <w:rsid w:val="00BD77BA"/>
    <w:rsid w:val="00BD7EC1"/>
    <w:rsid w:val="00BE2FAE"/>
    <w:rsid w:val="00BE6A9A"/>
    <w:rsid w:val="00BE792B"/>
    <w:rsid w:val="00C03944"/>
    <w:rsid w:val="00C06422"/>
    <w:rsid w:val="00C0736A"/>
    <w:rsid w:val="00C117EC"/>
    <w:rsid w:val="00C14630"/>
    <w:rsid w:val="00C1627A"/>
    <w:rsid w:val="00C20BD1"/>
    <w:rsid w:val="00C23D56"/>
    <w:rsid w:val="00C23F65"/>
    <w:rsid w:val="00C276F1"/>
    <w:rsid w:val="00C307A7"/>
    <w:rsid w:val="00C30DBA"/>
    <w:rsid w:val="00C44345"/>
    <w:rsid w:val="00C45DDF"/>
    <w:rsid w:val="00C51F81"/>
    <w:rsid w:val="00C57EEC"/>
    <w:rsid w:val="00C60AFF"/>
    <w:rsid w:val="00C6146E"/>
    <w:rsid w:val="00C61EC7"/>
    <w:rsid w:val="00C80F64"/>
    <w:rsid w:val="00C84BCB"/>
    <w:rsid w:val="00C87720"/>
    <w:rsid w:val="00C904C6"/>
    <w:rsid w:val="00C93BF3"/>
    <w:rsid w:val="00C94AFD"/>
    <w:rsid w:val="00C95A8B"/>
    <w:rsid w:val="00CA42C3"/>
    <w:rsid w:val="00CA7DDF"/>
    <w:rsid w:val="00CB0A50"/>
    <w:rsid w:val="00CB7D46"/>
    <w:rsid w:val="00CC1747"/>
    <w:rsid w:val="00CC5ED8"/>
    <w:rsid w:val="00CC7323"/>
    <w:rsid w:val="00CD12DC"/>
    <w:rsid w:val="00CD2450"/>
    <w:rsid w:val="00CD27D4"/>
    <w:rsid w:val="00CD611A"/>
    <w:rsid w:val="00CE19B9"/>
    <w:rsid w:val="00CF253E"/>
    <w:rsid w:val="00CF2A88"/>
    <w:rsid w:val="00CF3438"/>
    <w:rsid w:val="00CF43BC"/>
    <w:rsid w:val="00CF5E3B"/>
    <w:rsid w:val="00CF6308"/>
    <w:rsid w:val="00CF6C99"/>
    <w:rsid w:val="00D017AE"/>
    <w:rsid w:val="00D026BC"/>
    <w:rsid w:val="00D02E71"/>
    <w:rsid w:val="00D042CF"/>
    <w:rsid w:val="00D04752"/>
    <w:rsid w:val="00D058B4"/>
    <w:rsid w:val="00D15176"/>
    <w:rsid w:val="00D1768B"/>
    <w:rsid w:val="00D17833"/>
    <w:rsid w:val="00D17933"/>
    <w:rsid w:val="00D248CC"/>
    <w:rsid w:val="00D25EA1"/>
    <w:rsid w:val="00D26F4C"/>
    <w:rsid w:val="00D31810"/>
    <w:rsid w:val="00D34CC2"/>
    <w:rsid w:val="00D42558"/>
    <w:rsid w:val="00D45C76"/>
    <w:rsid w:val="00D50005"/>
    <w:rsid w:val="00D50206"/>
    <w:rsid w:val="00D527DB"/>
    <w:rsid w:val="00D52C6C"/>
    <w:rsid w:val="00D6235D"/>
    <w:rsid w:val="00D62CFA"/>
    <w:rsid w:val="00D64098"/>
    <w:rsid w:val="00D64104"/>
    <w:rsid w:val="00D6648C"/>
    <w:rsid w:val="00D70DFB"/>
    <w:rsid w:val="00D75D41"/>
    <w:rsid w:val="00D773C6"/>
    <w:rsid w:val="00D816ED"/>
    <w:rsid w:val="00D84396"/>
    <w:rsid w:val="00D948EA"/>
    <w:rsid w:val="00D955D4"/>
    <w:rsid w:val="00D959AE"/>
    <w:rsid w:val="00D9691D"/>
    <w:rsid w:val="00DA1EA0"/>
    <w:rsid w:val="00DA3B70"/>
    <w:rsid w:val="00DA6359"/>
    <w:rsid w:val="00DB01A1"/>
    <w:rsid w:val="00DB50FC"/>
    <w:rsid w:val="00DB6E49"/>
    <w:rsid w:val="00DC28BB"/>
    <w:rsid w:val="00DC4530"/>
    <w:rsid w:val="00DC4CEB"/>
    <w:rsid w:val="00DC5631"/>
    <w:rsid w:val="00DD3409"/>
    <w:rsid w:val="00DD4D88"/>
    <w:rsid w:val="00DD605D"/>
    <w:rsid w:val="00DD7FE3"/>
    <w:rsid w:val="00DE4F52"/>
    <w:rsid w:val="00DE78F9"/>
    <w:rsid w:val="00DF1B17"/>
    <w:rsid w:val="00DF3CC2"/>
    <w:rsid w:val="00DF422D"/>
    <w:rsid w:val="00DF4C07"/>
    <w:rsid w:val="00DF6483"/>
    <w:rsid w:val="00E006CF"/>
    <w:rsid w:val="00E06693"/>
    <w:rsid w:val="00E10A64"/>
    <w:rsid w:val="00E1531D"/>
    <w:rsid w:val="00E163C7"/>
    <w:rsid w:val="00E174DD"/>
    <w:rsid w:val="00E22E58"/>
    <w:rsid w:val="00E2696F"/>
    <w:rsid w:val="00E27552"/>
    <w:rsid w:val="00E52C72"/>
    <w:rsid w:val="00E5321E"/>
    <w:rsid w:val="00E54F9B"/>
    <w:rsid w:val="00E62B32"/>
    <w:rsid w:val="00E62E51"/>
    <w:rsid w:val="00E639D7"/>
    <w:rsid w:val="00E63F79"/>
    <w:rsid w:val="00E6430E"/>
    <w:rsid w:val="00E64EEB"/>
    <w:rsid w:val="00E673EF"/>
    <w:rsid w:val="00E6757E"/>
    <w:rsid w:val="00E70C11"/>
    <w:rsid w:val="00E7509C"/>
    <w:rsid w:val="00E76545"/>
    <w:rsid w:val="00E802F4"/>
    <w:rsid w:val="00E822D4"/>
    <w:rsid w:val="00E8236A"/>
    <w:rsid w:val="00E82AC3"/>
    <w:rsid w:val="00E83A99"/>
    <w:rsid w:val="00E84473"/>
    <w:rsid w:val="00E85FF9"/>
    <w:rsid w:val="00E87F68"/>
    <w:rsid w:val="00E91A86"/>
    <w:rsid w:val="00E91F8F"/>
    <w:rsid w:val="00E932A0"/>
    <w:rsid w:val="00E96B13"/>
    <w:rsid w:val="00E97461"/>
    <w:rsid w:val="00EA5C87"/>
    <w:rsid w:val="00EB0D60"/>
    <w:rsid w:val="00EB3EF4"/>
    <w:rsid w:val="00EB4231"/>
    <w:rsid w:val="00EB52D4"/>
    <w:rsid w:val="00EB66B2"/>
    <w:rsid w:val="00EB76B1"/>
    <w:rsid w:val="00EC1E51"/>
    <w:rsid w:val="00EC554E"/>
    <w:rsid w:val="00EC5B56"/>
    <w:rsid w:val="00ED1A85"/>
    <w:rsid w:val="00ED3A25"/>
    <w:rsid w:val="00ED61C8"/>
    <w:rsid w:val="00EE1E44"/>
    <w:rsid w:val="00EE48C2"/>
    <w:rsid w:val="00EE514C"/>
    <w:rsid w:val="00EE5598"/>
    <w:rsid w:val="00EE7780"/>
    <w:rsid w:val="00EE793B"/>
    <w:rsid w:val="00EF0310"/>
    <w:rsid w:val="00EF06BD"/>
    <w:rsid w:val="00EF2832"/>
    <w:rsid w:val="00EF47FF"/>
    <w:rsid w:val="00EF50E3"/>
    <w:rsid w:val="00EF5976"/>
    <w:rsid w:val="00EF7D3E"/>
    <w:rsid w:val="00F013C2"/>
    <w:rsid w:val="00F02179"/>
    <w:rsid w:val="00F07AF5"/>
    <w:rsid w:val="00F141EE"/>
    <w:rsid w:val="00F20550"/>
    <w:rsid w:val="00F21840"/>
    <w:rsid w:val="00F21C63"/>
    <w:rsid w:val="00F225B2"/>
    <w:rsid w:val="00F22871"/>
    <w:rsid w:val="00F2445F"/>
    <w:rsid w:val="00F248E6"/>
    <w:rsid w:val="00F257B4"/>
    <w:rsid w:val="00F26433"/>
    <w:rsid w:val="00F3177D"/>
    <w:rsid w:val="00F31C47"/>
    <w:rsid w:val="00F32240"/>
    <w:rsid w:val="00F3234A"/>
    <w:rsid w:val="00F325A4"/>
    <w:rsid w:val="00F34042"/>
    <w:rsid w:val="00F360AC"/>
    <w:rsid w:val="00F37BD6"/>
    <w:rsid w:val="00F637F6"/>
    <w:rsid w:val="00F70659"/>
    <w:rsid w:val="00F7188B"/>
    <w:rsid w:val="00F728B8"/>
    <w:rsid w:val="00F757B8"/>
    <w:rsid w:val="00F778D8"/>
    <w:rsid w:val="00F845AA"/>
    <w:rsid w:val="00F84DE3"/>
    <w:rsid w:val="00F877F0"/>
    <w:rsid w:val="00F91BF6"/>
    <w:rsid w:val="00FA29D3"/>
    <w:rsid w:val="00FA2D68"/>
    <w:rsid w:val="00FA3CD4"/>
    <w:rsid w:val="00FA5315"/>
    <w:rsid w:val="00FA5683"/>
    <w:rsid w:val="00FA607B"/>
    <w:rsid w:val="00FA7F63"/>
    <w:rsid w:val="00FB5E46"/>
    <w:rsid w:val="00FC453F"/>
    <w:rsid w:val="00FC46BA"/>
    <w:rsid w:val="00FC6A2A"/>
    <w:rsid w:val="00FC7993"/>
    <w:rsid w:val="00FD03A7"/>
    <w:rsid w:val="00FD156C"/>
    <w:rsid w:val="00FD262D"/>
    <w:rsid w:val="00FD6912"/>
    <w:rsid w:val="00FD706B"/>
    <w:rsid w:val="00FD7232"/>
    <w:rsid w:val="00FE296A"/>
    <w:rsid w:val="00FE5E2B"/>
    <w:rsid w:val="00FE6662"/>
    <w:rsid w:val="00FE7673"/>
    <w:rsid w:val="00FF5546"/>
    <w:rsid w:val="00FF6EAF"/>
    <w:rsid w:val="00FF71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2DC"/>
    <w:pPr>
      <w:spacing w:line="360" w:lineRule="auto"/>
      <w:ind w:firstLine="720"/>
      <w:jc w:val="both"/>
    </w:pPr>
    <w:rPr>
      <w:sz w:val="24"/>
      <w:lang w:val="pt-PT" w:eastAsia="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1">
    <w:name w:val="Estilo1"/>
    <w:basedOn w:val="Normal"/>
    <w:rsid w:val="00CD12DC"/>
    <w:pPr>
      <w:ind w:firstLine="709"/>
    </w:pPr>
    <w:rPr>
      <w:rFonts w:eastAsia="Batang"/>
      <w:lang w:eastAsia="ko-KR"/>
    </w:rPr>
  </w:style>
  <w:style w:type="paragraph" w:customStyle="1" w:styleId="Estilo2">
    <w:name w:val="Estilo2"/>
    <w:basedOn w:val="Normal"/>
    <w:autoRedefine/>
    <w:rsid w:val="00CD12DC"/>
    <w:pPr>
      <w:ind w:firstLine="709"/>
    </w:pPr>
  </w:style>
  <w:style w:type="paragraph" w:styleId="Textodenotaderodap">
    <w:name w:val="footnote text"/>
    <w:basedOn w:val="Normal"/>
    <w:link w:val="TextodenotaderodapChar"/>
    <w:semiHidden/>
    <w:rsid w:val="00CD12DC"/>
    <w:pPr>
      <w:spacing w:line="240" w:lineRule="auto"/>
    </w:pPr>
    <w:rPr>
      <w:sz w:val="20"/>
    </w:rPr>
  </w:style>
  <w:style w:type="character" w:customStyle="1" w:styleId="TextodenotaderodapChar">
    <w:name w:val="Texto de nota de rodapé Char"/>
    <w:basedOn w:val="Fontepargpadro"/>
    <w:link w:val="Textodenotaderodap"/>
    <w:semiHidden/>
    <w:rsid w:val="00CD12DC"/>
    <w:rPr>
      <w:lang w:val="pt-PT" w:eastAsia="pt-PT"/>
    </w:rPr>
  </w:style>
  <w:style w:type="paragraph" w:styleId="Rodap">
    <w:name w:val="footer"/>
    <w:basedOn w:val="Normal"/>
    <w:link w:val="RodapChar"/>
    <w:rsid w:val="00CD12DC"/>
    <w:pPr>
      <w:tabs>
        <w:tab w:val="center" w:pos="4320"/>
        <w:tab w:val="right" w:pos="8640"/>
      </w:tabs>
    </w:pPr>
  </w:style>
  <w:style w:type="character" w:customStyle="1" w:styleId="RodapChar">
    <w:name w:val="Rodapé Char"/>
    <w:basedOn w:val="Fontepargpadro"/>
    <w:link w:val="Rodap"/>
    <w:rsid w:val="00CD12DC"/>
    <w:rPr>
      <w:sz w:val="24"/>
      <w:lang w:val="pt-PT" w:eastAsia="pt-PT"/>
    </w:rPr>
  </w:style>
  <w:style w:type="paragraph" w:styleId="Ttulo">
    <w:name w:val="Title"/>
    <w:basedOn w:val="Normal"/>
    <w:link w:val="TtuloChar"/>
    <w:qFormat/>
    <w:rsid w:val="00CD12DC"/>
    <w:pPr>
      <w:spacing w:before="240" w:after="60"/>
      <w:ind w:firstLine="0"/>
      <w:jc w:val="center"/>
      <w:outlineLvl w:val="0"/>
    </w:pPr>
    <w:rPr>
      <w:b/>
      <w:kern w:val="28"/>
      <w:sz w:val="32"/>
    </w:rPr>
  </w:style>
  <w:style w:type="character" w:customStyle="1" w:styleId="TtuloChar">
    <w:name w:val="Título Char"/>
    <w:basedOn w:val="Fontepargpadro"/>
    <w:link w:val="Ttulo"/>
    <w:rsid w:val="00CD12DC"/>
    <w:rPr>
      <w:b/>
      <w:kern w:val="28"/>
      <w:sz w:val="32"/>
      <w:lang w:val="pt-PT" w:eastAsia="pt-PT"/>
    </w:rPr>
  </w:style>
  <w:style w:type="paragraph" w:styleId="Corpodetexto2">
    <w:name w:val="Body Text 2"/>
    <w:basedOn w:val="Normal"/>
    <w:link w:val="Corpodetexto2Char"/>
    <w:rsid w:val="00CD12DC"/>
    <w:pPr>
      <w:keepNext/>
      <w:spacing w:after="360"/>
      <w:ind w:firstLine="0"/>
    </w:pPr>
    <w:rPr>
      <w:b/>
      <w:sz w:val="28"/>
    </w:rPr>
  </w:style>
  <w:style w:type="character" w:customStyle="1" w:styleId="Corpodetexto2Char">
    <w:name w:val="Corpo de texto 2 Char"/>
    <w:basedOn w:val="Fontepargpadro"/>
    <w:link w:val="Corpodetexto2"/>
    <w:rsid w:val="00CD12DC"/>
    <w:rPr>
      <w:b/>
      <w:sz w:val="28"/>
      <w:lang w:val="pt-PT" w:eastAsia="pt-PT"/>
    </w:rPr>
  </w:style>
  <w:style w:type="character" w:styleId="Refdenotaderodap">
    <w:name w:val="footnote reference"/>
    <w:basedOn w:val="Fontepargpadro"/>
    <w:semiHidden/>
    <w:rsid w:val="00CD12DC"/>
    <w:rPr>
      <w:vertAlign w:val="superscript"/>
    </w:rPr>
  </w:style>
  <w:style w:type="character" w:styleId="Nmerodepgina">
    <w:name w:val="page number"/>
    <w:basedOn w:val="Fontepargpadro"/>
    <w:rsid w:val="00CD12DC"/>
  </w:style>
  <w:style w:type="paragraph" w:styleId="Cabealho">
    <w:name w:val="header"/>
    <w:basedOn w:val="Normal"/>
    <w:link w:val="CabealhoChar"/>
    <w:rsid w:val="00CD12DC"/>
    <w:pPr>
      <w:tabs>
        <w:tab w:val="center" w:pos="4252"/>
        <w:tab w:val="right" w:pos="8504"/>
      </w:tabs>
    </w:pPr>
  </w:style>
  <w:style w:type="character" w:customStyle="1" w:styleId="CabealhoChar">
    <w:name w:val="Cabeçalho Char"/>
    <w:basedOn w:val="Fontepargpadro"/>
    <w:link w:val="Cabealho"/>
    <w:rsid w:val="00CD12DC"/>
    <w:rPr>
      <w:sz w:val="24"/>
      <w:lang w:val="pt-PT" w:eastAsia="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ADADA-2035-4E5E-9951-62D3B294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TotalTime>
  <Pages>95</Pages>
  <Words>35284</Words>
  <Characters>201119</Characters>
  <Application>Microsoft Office Word</Application>
  <DocSecurity>0</DocSecurity>
  <Lines>1675</Lines>
  <Paragraphs>471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639</cp:revision>
  <dcterms:created xsi:type="dcterms:W3CDTF">2010-10-06T19:06:00Z</dcterms:created>
  <dcterms:modified xsi:type="dcterms:W3CDTF">2015-04-27T15:36:00Z</dcterms:modified>
</cp:coreProperties>
</file>