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51F" w:rsidRPr="00B32E73" w:rsidRDefault="00E5051F" w:rsidP="00E5051F">
      <w:pPr>
        <w:pStyle w:val="Ttulo"/>
        <w:spacing w:before="0" w:after="960"/>
        <w:rPr>
          <w:rFonts w:ascii="Arial Narrow" w:hAnsi="Arial Narrow"/>
        </w:rPr>
      </w:pPr>
      <w:r w:rsidRPr="00B32E73">
        <w:rPr>
          <w:rFonts w:ascii="Arial Narrow" w:hAnsi="Arial Narrow"/>
        </w:rPr>
        <w:t xml:space="preserve">Capítulo </w:t>
      </w:r>
      <w:r w:rsidR="007E5A50">
        <w:rPr>
          <w:rFonts w:ascii="Arial Narrow" w:hAnsi="Arial Narrow"/>
        </w:rPr>
        <w:t>4</w:t>
      </w:r>
      <w:r w:rsidRPr="00B32E73">
        <w:rPr>
          <w:rFonts w:ascii="Arial Narrow" w:hAnsi="Arial Narrow"/>
        </w:rPr>
        <w:br/>
        <w:t>A TRIPLA GUERRA CIVIL EM ESPANHA</w:t>
      </w:r>
    </w:p>
    <w:p w:rsidR="00E5051F" w:rsidRPr="00B32E73" w:rsidRDefault="00E5051F" w:rsidP="0086056E">
      <w:pPr>
        <w:pStyle w:val="Corpodetexto2"/>
        <w:jc w:val="center"/>
        <w:rPr>
          <w:rFonts w:ascii="Arial Narrow" w:hAnsi="Arial Narrow"/>
        </w:rPr>
      </w:pPr>
      <w:r w:rsidRPr="00B32E73">
        <w:rPr>
          <w:rFonts w:ascii="Arial Narrow" w:hAnsi="Arial Narrow"/>
        </w:rPr>
        <w:t>1.</w:t>
      </w:r>
      <w:r w:rsidR="001D6FC7">
        <w:rPr>
          <w:rFonts w:ascii="Arial Narrow" w:hAnsi="Arial Narrow"/>
        </w:rPr>
        <w:t xml:space="preserve"> Por que razão os trabalhadores</w:t>
      </w:r>
      <w:r w:rsidR="001D6FC7">
        <w:rPr>
          <w:rFonts w:ascii="Arial Narrow" w:hAnsi="Arial Narrow"/>
        </w:rPr>
        <w:br/>
      </w:r>
      <w:r w:rsidRPr="00B32E73">
        <w:rPr>
          <w:rFonts w:ascii="Arial Narrow" w:hAnsi="Arial Narrow"/>
        </w:rPr>
        <w:t>não desencadearam uma guerra de guerrilhas?</w:t>
      </w:r>
    </w:p>
    <w:p w:rsidR="00E5051F" w:rsidRPr="00B32E73" w:rsidRDefault="00E5051F" w:rsidP="00E5051F">
      <w:pPr>
        <w:tabs>
          <w:tab w:val="left" w:pos="720"/>
          <w:tab w:val="left" w:pos="3312"/>
        </w:tabs>
      </w:pPr>
      <w:r w:rsidRPr="00B32E73">
        <w:t>Por que razão os trabalhadores, nas zonas onde foram derrotados pelos fascistas, não desencadearam uma guerra de guerrilhas ou pelo menos operações de sabotagem sistemáticas, em conjugação com as tropas republicanas? «Um dos maiores paradoxos da guerra civil</w:t>
      </w:r>
      <w:r w:rsidR="00F70016">
        <w:t>», observou um autor de simpatias anarquistas, «</w:t>
      </w:r>
      <w:r w:rsidRPr="00B32E73">
        <w:t>é que o guerrilheiro, personagem tipicamente espanhol desde a época de Viriato [...] até às guerras carlistas [...], não tivesse aparecido em 1936, salvo em casos muito raros e de maneira efémera»</w:t>
      </w:r>
      <w:r w:rsidRPr="00B32E73">
        <w:rPr>
          <w:rStyle w:val="Refdenotaderodap"/>
        </w:rPr>
        <w:footnoteReference w:id="1"/>
      </w:r>
      <w:r w:rsidRPr="00B32E73">
        <w:t xml:space="preserve">. </w:t>
      </w:r>
    </w:p>
    <w:p w:rsidR="00E5051F" w:rsidRPr="00B32E73" w:rsidRDefault="00E5051F" w:rsidP="00E5051F">
      <w:pPr>
        <w:tabs>
          <w:tab w:val="left" w:pos="720"/>
          <w:tab w:val="left" w:pos="3312"/>
        </w:tabs>
      </w:pPr>
      <w:r w:rsidRPr="00B32E73">
        <w:t>O problema relaciona-se com a transformação das milícias num exército regular e com o progressivo desarmamento dos trabalhadores na retaguarda. Malraux pretendeu que desde os primeiros dias «o gosto pelos chefes começava, como em qualquer combate que se prolonga»</w:t>
      </w:r>
      <w:r w:rsidRPr="00B32E73">
        <w:rPr>
          <w:rStyle w:val="Refdenotaderodap"/>
        </w:rPr>
        <w:footnoteReference w:id="2"/>
      </w:r>
      <w:r w:rsidRPr="00B32E73">
        <w:t xml:space="preserve">, mas isto não explica nada. Sem dúvida que os voluntários eram inadequados a uma guerra de tipo clássico. Não foram só os comunistas a defender a instauração de um comando unificado e de uma disciplina hierárquica, com ordens emanando de cima para baixo, mas também os responsáveis da CNT de maior projecção aceitaram a necessidade da militarização para prosseguir aquele tipo de guerra. Apenas entre os anarco-sindicalistas da base, entre os próprios milicianos, entre muitos jovens, a nova orientação foi contestada e percebida, lucidamente, como uma grave derrota social. Porque a verdadeira questão era outra. Não importava afirmar a inadequação dos voluntários a uma guerra clássica, mas saber por que motivo a luta tivera de seguir formas clássicas que exigiam a hierarquização e uma disciplina de carácter militarista. Por que razão não se desenvolvera outro tipo de guerra, apropriado a uma revolução social? </w:t>
      </w:r>
    </w:p>
    <w:p w:rsidR="00695281" w:rsidRDefault="00E5051F" w:rsidP="00E5051F">
      <w:pPr>
        <w:tabs>
          <w:tab w:val="left" w:pos="720"/>
          <w:tab w:val="left" w:pos="3312"/>
        </w:tabs>
      </w:pPr>
      <w:r w:rsidRPr="00B32E73">
        <w:t xml:space="preserve">García Oliver, nas suas </w:t>
      </w:r>
      <w:r w:rsidR="002E199C" w:rsidRPr="00B32E73">
        <w:t>Memórias</w:t>
      </w:r>
      <w:r w:rsidRPr="00B32E73">
        <w:t>, indicou a primeira parte do problema, sem levar o raciocínio até ao termo</w:t>
      </w:r>
      <w:r w:rsidR="00F70016">
        <w:t>:</w:t>
      </w:r>
      <w:r w:rsidRPr="00B32E73">
        <w:t xml:space="preserve"> «Foi na frente de Aragão que se consumou o fracasso da revolução social. [...] O facto de não termos triunfado desde início em Saragoça deixou-nos com um problema muito sério. [...] Faltando a disciplina militar, e sem </w:t>
      </w:r>
      <w:r w:rsidR="00A06234">
        <w:t>nenhuma</w:t>
      </w:r>
      <w:r w:rsidRPr="00B32E73">
        <w:t xml:space="preserve"> vontade de a ter, era lógico que se pensasse numa organização guerrilheira. E, para actuarem como guerrilheiros, </w:t>
      </w:r>
      <w:r w:rsidRPr="00B32E73">
        <w:lastRenderedPageBreak/>
        <w:t>deviam dividir imediatamente a coluna [comandada por Durruti e saída de Barcelona a 24 de Julho de 1936] pelo menos em dois corpos, avançando ambos, um pela direita e outro pela esquerda, para atravessar rapidamente o Ebro [...] E avançar de maneira a formar uma grande pinça, com o objectivo de conquistar Saragoça. Mas não foi o que sucedeu. Abandonados à sua própria iniciativa, os milicianos entrincheiraram-se nas povoações, nas valas ou nos outeiros, e foi aqui, muitíssimo antes de Madrid, que começou uma guerra estacionária [...] O que acabava de acontecer perante o Ebro não era tão insignificante como se poderia pensar. Não se tratava somente dos milicianos de uma coluna que, por falta de espírito combativo, se entrincheiravam em vez de prosseguir em frente para um objectivo concreto, o de tomar Saragoça. Tinha-se iniciado uma guerra de posições, com toda a série de problemas que lhe era inerente»</w:t>
      </w:r>
      <w:r w:rsidRPr="00B32E73">
        <w:rPr>
          <w:rStyle w:val="Refdenotaderodap"/>
        </w:rPr>
        <w:footnoteReference w:id="3"/>
      </w:r>
      <w:r w:rsidRPr="00B32E73">
        <w:t xml:space="preserve">. </w:t>
      </w:r>
      <w:r>
        <w:t>Mas, por si só, uma guerra de posições não impede as guerrilhas, ainda que lhes atribua um lugar secundário, e mesmo quando não faltou aos milicianos espírito combativo, as guerrilhas depararam com a má vontade. A 5 de Agosto, também na frente de Aragão, o posto de comando do coronel Villalba, um oficial que havia aderido à república e mantinha com as forças de Durruti uma aliança não desprovida de fricções, deu ordem para que uma coluna do POUM interrompesse o avanço. Impacientes, os milicianos pretendiam organizar operações de guerrilha através das linhas fascistas, mas aquele posto de comando não os autorizou</w:t>
      </w:r>
      <w:r>
        <w:rPr>
          <w:rStyle w:val="Refdenotaderodap"/>
        </w:rPr>
        <w:footnoteReference w:id="4"/>
      </w:r>
      <w:r>
        <w:t xml:space="preserve">. </w:t>
      </w:r>
      <w:r w:rsidRPr="00B32E73">
        <w:t>«Muitíssimo antes de Madrid»</w:t>
      </w:r>
      <w:r>
        <w:t>,</w:t>
      </w:r>
      <w:r w:rsidRPr="00B32E73">
        <w:t xml:space="preserve"> afirmou García Oliver, mas parece que a diferença de datas não seria tão grande. Durante a segunda semana da guerra, combatendo a poucos quilómetros da capital, Cipriano Mera, sem saber que em breve se tornaria o mais notável chefe militar anarco-sindicalista, argument</w:t>
      </w:r>
      <w:r>
        <w:t>ou</w:t>
      </w:r>
      <w:r w:rsidRPr="00B32E73">
        <w:t xml:space="preserve"> com um tenente-coronel que escolhera o lado republicano: «O senhor não vê que se nos entretemos a fazer valas e parapeitos ainda aqui estaremos no Natal? Somos da FAI e não precisamos de parapeitos. Para nós o que importa é avançar sempre em frente». E no dia seguinte Mera insistiu «que a nossa tarefa deveria ser a guerrilha, penetrando na retaguarda inimiga. [...] o mais positivo seria a acção guerrilheira, para alcançar melhores posições e desorganizar a retaguarda do inimigo». Mas as explicações do tenente-coronel rapidamente o persuadiram das vantagens de uma guerra estacionária, destinada a defender objectivos fixos</w:t>
      </w:r>
      <w:r w:rsidRPr="00B32E73">
        <w:rPr>
          <w:rStyle w:val="Refdenotaderodap"/>
        </w:rPr>
        <w:footnoteReference w:id="5"/>
      </w:r>
      <w:r w:rsidRPr="00B32E73">
        <w:t xml:space="preserve">. </w:t>
      </w:r>
    </w:p>
    <w:p w:rsidR="00E5051F" w:rsidRPr="00B32E73" w:rsidRDefault="00185964" w:rsidP="00E5051F">
      <w:pPr>
        <w:tabs>
          <w:tab w:val="left" w:pos="720"/>
          <w:tab w:val="left" w:pos="3312"/>
        </w:tabs>
      </w:pPr>
      <w:r w:rsidRPr="00B32E73">
        <w:t xml:space="preserve">Qual </w:t>
      </w:r>
      <w:r w:rsidR="00E5051F" w:rsidRPr="00B32E73">
        <w:t xml:space="preserve">o motivo que levou a coluna de Durruti, formada por cinco mil anarco-sindicalistas, gente que até então se havia sempre batido contra os patrões e a polícia em formas de guerrilha urbana, a recorrer ao sistema clássico da guerra de posições quando enfrentou os generais em campo aberto? </w:t>
      </w:r>
      <w:r w:rsidR="00E5051F">
        <w:t xml:space="preserve">Por que motivo os milicianos do POUM cederam perante as ordens de um </w:t>
      </w:r>
      <w:r w:rsidR="00E5051F">
        <w:lastRenderedPageBreak/>
        <w:t xml:space="preserve">coronel nos primeiros dias da guerra, quando era escasso o prestígio dos oficiais de carreira? </w:t>
      </w:r>
      <w:r w:rsidR="00E5051F" w:rsidRPr="00B32E73">
        <w:t xml:space="preserve">E por que razão </w:t>
      </w:r>
      <w:r w:rsidR="00E5051F">
        <w:t xml:space="preserve">sucedeu </w:t>
      </w:r>
      <w:r w:rsidR="00E5051F" w:rsidRPr="00B32E73">
        <w:t xml:space="preserve">o mesmo </w:t>
      </w:r>
      <w:r w:rsidR="00E5051F">
        <w:t xml:space="preserve">a </w:t>
      </w:r>
      <w:r w:rsidR="00E5051F" w:rsidRPr="00B32E73">
        <w:t xml:space="preserve">Mera e </w:t>
      </w:r>
      <w:r w:rsidR="00E5051F">
        <w:t>a</w:t>
      </w:r>
      <w:r w:rsidR="00E5051F" w:rsidRPr="00B32E73">
        <w:t xml:space="preserve">os seus companheiros do sindicato madrileno dos operários da construção civil? A esmagadora maioria dos historiadores preocupa-se em explicar </w:t>
      </w:r>
      <w:r w:rsidR="00F70016">
        <w:t>—</w:t>
      </w:r>
      <w:r w:rsidR="00E5051F" w:rsidRPr="00B32E73">
        <w:t xml:space="preserve"> frequentemente só em descrever </w:t>
      </w:r>
      <w:r w:rsidR="00F70016">
        <w:t>—</w:t>
      </w:r>
      <w:r w:rsidR="00E5051F" w:rsidRPr="00B32E73">
        <w:t xml:space="preserve"> o que sucedeu. Para que a história atinja a maioridade tem de começar a explicar o que não aconteceu. «A execução é uma prova empírica suficiente da possibilidade, mas para a impossibilidade não existe prova empírica; é necessária uma demonstração», escreveu a filósofa Simone Weil, que apesar de pacifista participou brevemente ao lado dos anarquistas na guerra civil, sem usar arma</w:t>
      </w:r>
      <w:r>
        <w:t>s</w:t>
      </w:r>
      <w:r w:rsidR="00E5051F" w:rsidRPr="00B32E73">
        <w:t>. «A impossibilidade é a forma concreta da necessidade»</w:t>
      </w:r>
      <w:r w:rsidR="00E5051F" w:rsidRPr="00B32E73">
        <w:rPr>
          <w:rStyle w:val="Refdenotaderodap"/>
        </w:rPr>
        <w:footnoteReference w:id="6"/>
      </w:r>
      <w:r w:rsidR="00E5051F" w:rsidRPr="00B32E73">
        <w:t>. Ora, o problema não se resum</w:t>
      </w:r>
      <w:r>
        <w:t>iu</w:t>
      </w:r>
      <w:r w:rsidR="00E5051F" w:rsidRPr="00B32E73">
        <w:t xml:space="preserve"> à guerra civil espanhola. Repetiram-se em 1936 as mesmas contradições que dezoito anos antes haviam travado o avanço da revolução na Rússia. Também durante as conversações de paz em Brest-Litovsk os socialistas-revolucionários de esquerda e a oposição de esquerda bolchevista, hostis à capitulação perante as Potências Centrais, não conseguiram levar avante uma guerra popular e guerrilheira. Um bloqueio dos processos revolucionários que ultrapassava tradições e circunstâncias específicas só podia dever-se às condições orgânicas da classe trabalhadora naquela fase da sua evolução. E é precisamente o carácter genérico do problema que torna difícil esclarecê-lo. </w:t>
      </w:r>
    </w:p>
    <w:p w:rsidR="00E5051F" w:rsidRPr="00B32E73" w:rsidRDefault="00E5051F" w:rsidP="00E5051F">
      <w:pPr>
        <w:tabs>
          <w:tab w:val="left" w:pos="720"/>
          <w:tab w:val="left" w:pos="3312"/>
        </w:tabs>
      </w:pPr>
      <w:r w:rsidRPr="00B32E73">
        <w:t xml:space="preserve">Fazendo o balanço da guerra, </w:t>
      </w:r>
      <w:r w:rsidR="007361BD">
        <w:t xml:space="preserve">Munis, </w:t>
      </w:r>
      <w:r w:rsidRPr="00B32E73">
        <w:t>dirigente da minúscula facção trotskista espanhola</w:t>
      </w:r>
      <w:r w:rsidR="007361BD">
        <w:t>,</w:t>
      </w:r>
      <w:r w:rsidRPr="00B32E73">
        <w:t xml:space="preserve"> foi demasiado optimista ao escrever que «a CNT ou, mais exactamente, a FAI esforçou-se por conjugar com o esquema militar stalinista o emprego de grupos de guerrilha. Inclusivamente elaborou e submeteu ao governo alguns documentos, que foram publicados por D. A. de Santillán. [...] grupos de militantes anarquistas desempenharam na retaguarda fascista tarefas militares de grande utilidade e extraordinária coragem física»</w:t>
      </w:r>
      <w:r w:rsidRPr="00B32E73">
        <w:rPr>
          <w:rStyle w:val="Refdenotaderodap"/>
        </w:rPr>
        <w:footnoteReference w:id="7"/>
      </w:r>
      <w:r w:rsidRPr="00B32E73">
        <w:t>. Apesar de estes projectos terem sido sistematicamente postos de lado pelo governo republicano, o representante de Trotsky recorda</w:t>
      </w:r>
      <w:r w:rsidR="002A6802">
        <w:t>va</w:t>
      </w:r>
      <w:r w:rsidRPr="00B32E73">
        <w:t>-se de que «nos primeiros meses da guerra, quando na nossa zona a revolução avançava ou não tinha ainda sido contida [...] os nossos agentes (não do governo da Frente Popular, mas das organizações operárias ou das unidades de milícias) penetravam permanentemente no território inimigo, onde beneficiavam da solidariedade activa da maior parte da população»</w:t>
      </w:r>
      <w:r w:rsidRPr="00B32E73">
        <w:rPr>
          <w:rStyle w:val="Refdenotaderodap"/>
        </w:rPr>
        <w:footnoteReference w:id="8"/>
      </w:r>
      <w:r w:rsidRPr="00B32E73">
        <w:t xml:space="preserve">. Talvez, mas como aproveitavam este apoio? </w:t>
      </w:r>
      <w:r w:rsidR="00F70016">
        <w:t xml:space="preserve">Parece que durante os primeiros meses da sublevação militar </w:t>
      </w:r>
      <w:r w:rsidR="00695281">
        <w:t xml:space="preserve">surgiram </w:t>
      </w:r>
      <w:r w:rsidR="008F6829">
        <w:t>no</w:t>
      </w:r>
      <w:r w:rsidR="00695281">
        <w:t xml:space="preserve"> norte do país bandos de guerrilheiros formados por trabalhadores fugidos aos generais insurrectos e as guerrilhas </w:t>
      </w:r>
      <w:r w:rsidR="00F70016">
        <w:t>abundavam na Galiza e em Le</w:t>
      </w:r>
      <w:r w:rsidR="004474B3">
        <w:t>ão</w:t>
      </w:r>
      <w:r w:rsidR="007D3C63">
        <w:rPr>
          <w:rStyle w:val="Refdenotaderodap"/>
        </w:rPr>
        <w:footnoteReference w:id="9"/>
      </w:r>
      <w:r w:rsidR="008F6829">
        <w:t>,</w:t>
      </w:r>
      <w:r w:rsidR="00AC0DD4">
        <w:t xml:space="preserve"> </w:t>
      </w:r>
      <w:r w:rsidR="008F6829">
        <w:t xml:space="preserve">mas </w:t>
      </w:r>
      <w:r w:rsidR="00AC0DD4">
        <w:t>foram deixad</w:t>
      </w:r>
      <w:r w:rsidR="008F6829">
        <w:t>a</w:t>
      </w:r>
      <w:r w:rsidR="00AC0DD4">
        <w:t>s ao seu destino</w:t>
      </w:r>
      <w:r w:rsidR="007D3C63">
        <w:t>,</w:t>
      </w:r>
      <w:r w:rsidR="00EB34F6">
        <w:t xml:space="preserve"> </w:t>
      </w:r>
      <w:r w:rsidR="007D3C63">
        <w:t>pois</w:t>
      </w:r>
      <w:r w:rsidR="00AC0DD4">
        <w:t xml:space="preserve"> não encontro nenhuma indicação de que </w:t>
      </w:r>
      <w:r w:rsidR="00AC0DD4">
        <w:lastRenderedPageBreak/>
        <w:t xml:space="preserve">tivessem contado para alguma coisa nos planos das forças republicanas. </w:t>
      </w:r>
      <w:r w:rsidR="001313C8">
        <w:t xml:space="preserve">E o que sucedeu nos outros casos? </w:t>
      </w:r>
    </w:p>
    <w:p w:rsidR="00E5051F" w:rsidRPr="00B32E73" w:rsidRDefault="00E5051F" w:rsidP="00E5051F">
      <w:pPr>
        <w:tabs>
          <w:tab w:val="left" w:pos="720"/>
          <w:tab w:val="left" w:pos="3312"/>
        </w:tabs>
      </w:pPr>
      <w:r w:rsidRPr="00B32E73">
        <w:t>Quando a coluna de milicianos comandada por Durruti desistiu do seu projecto inicial e, em vez de avançar rapidamente contra Saragoça, se fixou em posições defensivas a poucos quilómetros daquela cidade, dando origem ao que viria a ser a frente de Aragão, começou a desenvolver-se uma multiplicidade de organismos militares. «Toda essa estrutura nascera espontaneamente a partir da base», narr</w:t>
      </w:r>
      <w:r>
        <w:t>ou</w:t>
      </w:r>
      <w:r w:rsidRPr="00B32E73">
        <w:t xml:space="preserve"> um biógrafo de Durruti. «Foi também da base que surgiram formações novas, denominadas </w:t>
      </w:r>
      <w:r w:rsidRPr="00B32E73">
        <w:rPr>
          <w:i/>
        </w:rPr>
        <w:t>grupos especiais,</w:t>
      </w:r>
      <w:r w:rsidRPr="00B32E73">
        <w:t xml:space="preserve"> encarregadas de atacar a retaguarda inimiga. Seriam eles os guerrilheiros que realizaram importantes missões no território dominado pelos fascistas. Chamaram-lhes “Hijos de la Noche” e “la Banda Negra”»</w:t>
      </w:r>
      <w:r w:rsidRPr="00B32E73">
        <w:rPr>
          <w:rStyle w:val="Refdenotaderodap"/>
        </w:rPr>
        <w:footnoteReference w:id="10"/>
      </w:r>
      <w:r w:rsidRPr="00B32E73">
        <w:t>. Reduzidas às devidas proporções, estas operações partiam do campo republicano sem conseguirem uma base permanente na zona nacionalista, tanto assim que em Outubro de 1936 os Hijos de la Noche efectuaram uma expedição até ao centro de Saragoça para «trazerem consigo um grupo de militantes que aí se encontrava escondido desde a tomada da cidade pelos rebeldes»</w:t>
      </w:r>
      <w:r w:rsidRPr="00B32E73">
        <w:rPr>
          <w:rStyle w:val="Refdenotaderodap"/>
        </w:rPr>
        <w:footnoteReference w:id="11"/>
      </w:r>
      <w:r w:rsidRPr="00B32E73">
        <w:t xml:space="preserve">. Com esta incursão de comandos ficou inutilizado para quaisquer fins de guerrilha um núcleo anarquista que permanecera oculto no coração das forças inimigas. </w:t>
      </w:r>
      <w:r>
        <w:t xml:space="preserve">As </w:t>
      </w:r>
      <w:r w:rsidR="00DF01A2">
        <w:t xml:space="preserve">Memórias </w:t>
      </w:r>
      <w:r>
        <w:t xml:space="preserve">de um desses </w:t>
      </w:r>
      <w:r w:rsidRPr="007B769B">
        <w:t xml:space="preserve">Hijos de la Noche </w:t>
      </w:r>
      <w:r>
        <w:t>confirmam que eles se ocuparam de expedições de sabotagem e recolha de informações sem terem por objectivo a formação de corpos guerrilheiros no território fascista, e outros depoimentos reforçam esta versão</w:t>
      </w:r>
      <w:r>
        <w:rPr>
          <w:rStyle w:val="Refdenotaderodap"/>
        </w:rPr>
        <w:footnoteReference w:id="12"/>
      </w:r>
      <w:r>
        <w:t xml:space="preserve">. </w:t>
      </w:r>
    </w:p>
    <w:p w:rsidR="00E5051F" w:rsidRPr="00B32E73" w:rsidRDefault="00E5051F" w:rsidP="00E5051F">
      <w:pPr>
        <w:tabs>
          <w:tab w:val="left" w:pos="720"/>
          <w:tab w:val="left" w:pos="3312"/>
        </w:tabs>
      </w:pPr>
      <w:r>
        <w:t xml:space="preserve">Encontram-se mais indícios de </w:t>
      </w:r>
      <w:r w:rsidRPr="00B32E73">
        <w:t xml:space="preserve">que </w:t>
      </w:r>
      <w:r w:rsidR="0092084A">
        <w:t xml:space="preserve">eram </w:t>
      </w:r>
      <w:r w:rsidRPr="00B32E73">
        <w:t>escassos os contactos entre os combatentes da zona republicana e os antifascistas da zona nacionalista. Ainda no início da guerra, a CNT e a UGT convocaram para Val</w:t>
      </w:r>
      <w:r>
        <w:t>e</w:t>
      </w:r>
      <w:r w:rsidRPr="00B32E73">
        <w:t>ncia uma grande assembleia. «O comício realizou-se na praça de touros, repleta de espectadores», record</w:t>
      </w:r>
      <w:r>
        <w:t>ou</w:t>
      </w:r>
      <w:r w:rsidRPr="00B32E73">
        <w:t xml:space="preserve"> García Oliver. «A finalidade do comício era fazer com que os trabalhadores da zona dominada pelos franquistas se dessem conta de que na zona republicana nós, membros da CNT e da UGT, lutávamos estreitamente unidos e lhes pedíamos que organizassem as suas forças de modo tal que a sua luta contra o franquismo fosse eficaz»</w:t>
      </w:r>
      <w:r w:rsidRPr="00B32E73">
        <w:rPr>
          <w:rStyle w:val="Refdenotaderodap"/>
        </w:rPr>
        <w:footnoteReference w:id="13"/>
      </w:r>
      <w:r w:rsidRPr="00B32E73">
        <w:t xml:space="preserve">. Mas de que maneira tencionavam as direcções das duas centrais sindicais </w:t>
      </w:r>
      <w:r w:rsidR="0092084A">
        <w:t>transmitir</w:t>
      </w:r>
      <w:r w:rsidRPr="00B32E73">
        <w:t xml:space="preserve"> este pedido aos trabalhadores do outro lado da linha de frente? E como esperavam que eles o efectivassem? Entretanto, numa Madrid ameaçada cada vez mais de perto pelos nacionalistas, </w:t>
      </w:r>
      <w:r w:rsidRPr="00B32E73">
        <w:lastRenderedPageBreak/>
        <w:t>também o socialista Largo Caballero, primeiro-ministro desde o começo de Setembro, duvidava dos méritos de um exército clássico e insistia na vocação guerrilheira dos espanhóis</w:t>
      </w:r>
      <w:r w:rsidRPr="00B32E73">
        <w:rPr>
          <w:rStyle w:val="Refdenotaderodap"/>
        </w:rPr>
        <w:footnoteReference w:id="14"/>
      </w:r>
      <w:r w:rsidRPr="00B32E73">
        <w:t xml:space="preserve">. Mas que fez ele, que fizeram os membros da sua facção no PSOE, para organizar guerrilhas? </w:t>
      </w:r>
    </w:p>
    <w:p w:rsidR="00E5051F" w:rsidRPr="00B32E73" w:rsidRDefault="00E5051F" w:rsidP="00E5051F">
      <w:pPr>
        <w:tabs>
          <w:tab w:val="left" w:pos="720"/>
          <w:tab w:val="left" w:pos="3312"/>
        </w:tabs>
      </w:pPr>
      <w:r w:rsidRPr="00B32E73">
        <w:t>Igualmente esclarecedor é o destino que teve uma sugestão de García Oliver. Nos primeiros meses de 1938, quando a CNT havia já sido afastada do governo, o antigo ministro anarquista da Justiça concebeu uma estratégia que jocosamente denominou Plano Cambórios</w:t>
      </w:r>
      <w:r w:rsidR="0087461F">
        <w:t>:</w:t>
      </w:r>
      <w:r w:rsidRPr="00B32E73">
        <w:t xml:space="preserve"> «Para começar, o nome homenageava um personagem rude, criado por García Lorca. Era como um pedaço do subconsciente dos andaluzes das montanhas. [...] A Serra Nevada é um ninho de águias. [...] soube que estavam lá escondidos, vivendo ao Deus dará, como feras acossadas, pernoitando em grutas, lugarejos e aldeias, mais de vinte mil pessoas, em fuga às hordas do franquismo e da Falange. Viviam de improviso, à espera de uma oportunidade. [...] por</w:t>
      </w:r>
      <w:r>
        <w:t xml:space="preserve"> </w:t>
      </w:r>
      <w:r w:rsidRPr="00B32E73">
        <w:t xml:space="preserve">que não dar uma organização militar-guerrilheira a esses </w:t>
      </w:r>
      <w:r w:rsidRPr="00B32E73">
        <w:rPr>
          <w:i/>
        </w:rPr>
        <w:t>camborios</w:t>
      </w:r>
      <w:r w:rsidRPr="00B32E73">
        <w:t xml:space="preserve">? Assim nasceu o “Plano Cambórios”. [...] O objectivo do Plano Cambórios não era formar uma guerrilha montanhesa à maneira antiga. O </w:t>
      </w:r>
      <w:r w:rsidRPr="00B32E73">
        <w:rPr>
          <w:i/>
        </w:rPr>
        <w:t>camborio</w:t>
      </w:r>
      <w:r w:rsidRPr="00B32E73">
        <w:t xml:space="preserve"> devia tornar-se, de início, o núcleo dirigente de dez, vinte ou mais guerrilheiros. Cada componente receberia uma instrução múltipla, para poder exercer o comando com eficácia». </w:t>
      </w:r>
      <w:r w:rsidR="008554B2">
        <w:t>Convinha</w:t>
      </w:r>
      <w:r w:rsidRPr="00B32E73">
        <w:t>, antes de tudo, criar uma escola de preparação de quadros, que haviam de mobilizar em seguida os fugitivos da Serra Nevada. Seria necessário treinar previamente especialistas neste tipo de operações porque, argumentava García Oliver, as técnicas da guerra haviam mudado muito</w:t>
      </w:r>
      <w:r w:rsidR="008554B2">
        <w:t>.</w:t>
      </w:r>
      <w:r w:rsidRPr="00B32E73">
        <w:t xml:space="preserve"> «[...] os tempos eram outros, o que explicava que não tivesse aparecido </w:t>
      </w:r>
      <w:r w:rsidR="0087461F">
        <w:t>nenhuma</w:t>
      </w:r>
      <w:r w:rsidRPr="00B32E73">
        <w:t xml:space="preserve"> guerrilha espontânea na retaguarda inimiga. O improviso já não era suficiente para o guerrilheiro num meio geográfico tão reduzido como a Espanha, mais reduzido ainda devido à existência das duas Espanhas que se combatiam encarniçadamente num quadro de pequenas dimensões. A única guerrilha possível seria aquela que, penetrando no território inimigo por um ponto da serra de Guadix, na província de Granada, avançasse em formação paramilitar e a dada altura se dispersasse em cinco grupos, indo quatro deles em direcção oposta ao centro, onde permaneceria o núcleo central que os comandava a todos, e com o qual se manteriam em contacto permanente. Tratava-se de criar um sistema radial, sempre num movimento de expansão». García Oliver encetou diligências preparatórias do plano e quando lhe pareceu que havia reunido as condições necessárias apresentou uma versão sumária ao ministro da Defesa, Indalecio Prieto</w:t>
      </w:r>
      <w:r w:rsidR="008554B2">
        <w:t>.</w:t>
      </w:r>
      <w:r w:rsidRPr="00B32E73">
        <w:t xml:space="preserve"> «[...] explicava que a guerilha dos </w:t>
      </w:r>
      <w:r w:rsidRPr="00B32E73">
        <w:rPr>
          <w:i/>
        </w:rPr>
        <w:t>camborios</w:t>
      </w:r>
      <w:r w:rsidRPr="00B32E73">
        <w:t xml:space="preserve"> não poderia surgir espontaneamente, como era demonstrado pelo facto de durante dois anos de guerra não ter aparecido nenhuma, nem no campo inimigo nem no nosso. Devido ao seu carácter eminentemente técnico, exigia uma preparação muito cuidadosa, não podendo resultar de </w:t>
      </w:r>
      <w:r w:rsidRPr="00B32E73">
        <w:lastRenderedPageBreak/>
        <w:t>intuições». Para iludir a espionagem inimiga, e ao mesmo tempo evitar qualquer antecipação por parte dos comunistas, o plano não mencionava os vinte mil fugitivos da Serra Nevada como base possível de recrutamento nem fazia referência ao «sistema radial». García Oliver contou que Indalecio Prieto o recebeu para comunicar que entregara cópias do plano ao chefe da missão militar francesa, que se mostrara favorável, e ao adido militar soviético, que o recusara, considerando-o inoperante. E o ministro da Defesa concluíra que, embora pessoalmente concordasse com a proposta de García Oliver, não podia opor-se à deliberação dos soviéticos. «Alguns dias depois da nossa entrevista Indalecio Prieto deixou de ser ministro da Defesa»</w:t>
      </w:r>
      <w:r w:rsidRPr="00B32E73">
        <w:rPr>
          <w:rStyle w:val="Refdenotaderodap"/>
        </w:rPr>
        <w:footnoteReference w:id="15"/>
      </w:r>
      <w:r w:rsidRPr="00B32E73">
        <w:t xml:space="preserve">. Que situação espantosa! Mais de vinte mil homens e mulheres, decididamente hostis a Franco e a tudo o que ele representava, fugitivos que nada tinham a perder </w:t>
      </w:r>
      <w:r w:rsidR="0087461F">
        <w:t>—</w:t>
      </w:r>
      <w:r w:rsidRPr="00B32E73">
        <w:t xml:space="preserve"> e dispersavam-se, escondiam-se, sem iniciativa para iniciarem eles próprios acções de guerrilha. </w:t>
      </w:r>
    </w:p>
    <w:p w:rsidR="00E5051F" w:rsidRPr="00B32E73" w:rsidRDefault="00E5051F" w:rsidP="00E5051F">
      <w:pPr>
        <w:tabs>
          <w:tab w:val="left" w:pos="720"/>
          <w:tab w:val="left" w:pos="3312"/>
        </w:tabs>
      </w:pPr>
      <w:r>
        <w:t xml:space="preserve">O que sucedia na Serra Nevada reproduzia-se noutros lugares. </w:t>
      </w:r>
      <w:r w:rsidRPr="00B32E73">
        <w:t>Na Andaluzia e na Estremadura ocupadas pelo exército fascista a resistência dos operários e dos camponeses «manifesta-se apenas através de sabotagens nas fábricas e de guerrilhas que incomodam os nacionalistas sem, todavia, perturbarem verdadeiramente a sua segurança», reconhece</w:t>
      </w:r>
      <w:r>
        <w:t>ra</w:t>
      </w:r>
      <w:r w:rsidRPr="00B32E73">
        <w:t>m dois historiadores</w:t>
      </w:r>
      <w:r w:rsidRPr="00B32E73">
        <w:rPr>
          <w:rStyle w:val="Refdenotaderodap"/>
        </w:rPr>
        <w:footnoteReference w:id="16"/>
      </w:r>
      <w:r w:rsidRPr="00B32E73">
        <w:t>. Com efeito, desde as primeiras semanas da guerra que militantes de esquerda e trabalhadores sindicalizados se haviam escondido nas serras da Estremadura em grupos dispersos, fugindo de lugar em lugar, incapazes de coordenar a sua actuação e passar à ofensiva. Foram progressivamente dizimados e os poucos sobreviventes acabaram por escapar para a zona republicana, perdendo-se o que poderia ter sido uma base guerrilheira atrás das linhas inimigas</w:t>
      </w:r>
      <w:r w:rsidRPr="00B32E73">
        <w:rPr>
          <w:rStyle w:val="Refdenotaderodap"/>
        </w:rPr>
        <w:footnoteReference w:id="17"/>
      </w:r>
      <w:r w:rsidRPr="00B32E73">
        <w:t xml:space="preserve">. Esta experiência repetiu-se com os sucessivos recuos da república, que deixaram entregue ao inimigo um número crescente de trabalhadores. E embora García Oliver afirmasse que durante dois anos não surgira </w:t>
      </w:r>
      <w:r w:rsidR="0087461F">
        <w:t>nenhuma</w:t>
      </w:r>
      <w:r w:rsidRPr="00B32E73">
        <w:t xml:space="preserve"> guerrilha espontânea, sabemos que nas montanhas das Astúrias, depois da extinção da frente norte, assinalada pela queda de Gijón em 21 de Outubro de 1937, dezoito mil combatentes sustentaram até Março do ano seguinte uma guerrilha activa, retendo tropas fascistas e impedindo-as de reforçar</w:t>
      </w:r>
      <w:r w:rsidR="00C8418E">
        <w:t>em</w:t>
      </w:r>
      <w:r w:rsidRPr="00B32E73">
        <w:t xml:space="preserve"> outras posições</w:t>
      </w:r>
      <w:r w:rsidRPr="00B32E73">
        <w:rPr>
          <w:rStyle w:val="Refdenotaderodap"/>
        </w:rPr>
        <w:footnoteReference w:id="18"/>
      </w:r>
      <w:r w:rsidRPr="00B32E73">
        <w:t xml:space="preserve">. </w:t>
      </w:r>
    </w:p>
    <w:p w:rsidR="00E5051F" w:rsidRPr="00B32E73" w:rsidRDefault="0092084A" w:rsidP="00E5051F">
      <w:pPr>
        <w:tabs>
          <w:tab w:val="left" w:pos="720"/>
          <w:tab w:val="left" w:pos="3312"/>
        </w:tabs>
      </w:pPr>
      <w:r w:rsidRPr="00B32E73">
        <w:t xml:space="preserve">Os </w:t>
      </w:r>
      <w:r w:rsidR="00E5051F" w:rsidRPr="00B32E73">
        <w:t xml:space="preserve">generais sublevados deparavam com uma hostilidade generalizada e esta situação era indubitavelmente favorável a acções de resistência. </w:t>
      </w:r>
      <w:r w:rsidR="00A41C77">
        <w:t>«</w:t>
      </w:r>
      <w:r w:rsidR="00767C7B">
        <w:t xml:space="preserve">O principal ponto fraco </w:t>
      </w:r>
      <w:r w:rsidR="00A41C77">
        <w:t xml:space="preserve">da Espanha nacionalista», escreveu candidamente um historiador, «é que lhe faltava o apoio </w:t>
      </w:r>
      <w:r w:rsidR="00767C7B">
        <w:t>popular</w:t>
      </w:r>
      <w:r w:rsidR="00A41C77">
        <w:t>»</w:t>
      </w:r>
      <w:r w:rsidR="00767C7B">
        <w:rPr>
          <w:rStyle w:val="Refdenotaderodap"/>
        </w:rPr>
        <w:footnoteReference w:id="19"/>
      </w:r>
      <w:r w:rsidR="00A41C77">
        <w:t xml:space="preserve">. </w:t>
      </w:r>
      <w:r w:rsidR="00E5051F" w:rsidRPr="00B32E73">
        <w:t>Em Maio de 1938 o embaixador alemão inform</w:t>
      </w:r>
      <w:r w:rsidR="00E5051F">
        <w:t>ou</w:t>
      </w:r>
      <w:r w:rsidR="00E5051F" w:rsidRPr="00B32E73">
        <w:t xml:space="preserve"> os seus superiores de que não se podia depositar </w:t>
      </w:r>
      <w:r w:rsidR="00E5051F" w:rsidRPr="00B32E73">
        <w:lastRenderedPageBreak/>
        <w:t>confiança em quarenta por cento da população da zona nacionalista</w:t>
      </w:r>
      <w:r w:rsidR="00E5051F" w:rsidRPr="00B32E73">
        <w:rPr>
          <w:rStyle w:val="Refdenotaderodap"/>
        </w:rPr>
        <w:footnoteReference w:id="20"/>
      </w:r>
      <w:r w:rsidR="00E5051F" w:rsidRPr="00B32E73">
        <w:t xml:space="preserve">. Por isso não se consideravam seguras as tropas de recrutamento geral e, para além das milícias de carácter político </w:t>
      </w:r>
      <w:r w:rsidR="00B80CA3">
        <w:t>—</w:t>
      </w:r>
      <w:r w:rsidR="00E5051F" w:rsidRPr="00B32E73">
        <w:t xml:space="preserve"> falangistas e requetés </w:t>
      </w:r>
      <w:r w:rsidR="00B80CA3">
        <w:t>—</w:t>
      </w:r>
      <w:r w:rsidR="00E5051F" w:rsidRPr="00B32E73">
        <w:t xml:space="preserve"> a força propriamente militar dos nacionalistas assentara de início na Legião Estrangeira e nos mouros do Exército de África, amplamente ajudados depois pelas contribuições em armas e homens dos fascismos italiano, alemão e português. A versão oficiosa da guerra civil reconheceu francamente</w:t>
      </w:r>
      <w:r w:rsidR="00E5051F">
        <w:t>:</w:t>
      </w:r>
      <w:r w:rsidR="00E5051F" w:rsidRPr="00B32E73">
        <w:t xml:space="preserve"> «O exército de Franco era o exército africano [...] as tropas regulares indígenas e o </w:t>
      </w:r>
      <w:r w:rsidR="00E5051F" w:rsidRPr="00B32E73">
        <w:rPr>
          <w:i/>
        </w:rPr>
        <w:t>Tercio</w:t>
      </w:r>
      <w:r w:rsidR="00E5051F" w:rsidRPr="00B32E73">
        <w:t xml:space="preserve"> de Voluntários, ou Legião Estrangeira»</w:t>
      </w:r>
      <w:r w:rsidR="00E5051F" w:rsidRPr="00B32E73">
        <w:rPr>
          <w:rStyle w:val="Refdenotaderodap"/>
        </w:rPr>
        <w:footnoteReference w:id="21"/>
      </w:r>
      <w:r w:rsidR="00E5051F" w:rsidRPr="00B32E73">
        <w:t>. Quanto ao mais, escreve</w:t>
      </w:r>
      <w:r w:rsidR="00E5051F">
        <w:t>u</w:t>
      </w:r>
      <w:r w:rsidR="00E5051F" w:rsidRPr="00B32E73">
        <w:t xml:space="preserve"> um historiador, «cerca de dois terços, ou aproximadamente quarenta mil homens, do resto do exército estavam com os nacionalistas, mas os soldados eram recrutas em quem não se podia depositar confiança, usados por isso sobretudo como tropas de guarnição»</w:t>
      </w:r>
      <w:r w:rsidR="00E5051F" w:rsidRPr="00B32E73">
        <w:rPr>
          <w:rStyle w:val="Refdenotaderodap"/>
        </w:rPr>
        <w:footnoteReference w:id="22"/>
      </w:r>
      <w:r w:rsidR="00E5051F" w:rsidRPr="00B32E73">
        <w:t>. E, referindo-se às operações militares dos nacionalistas em 1936, García Oliver comentou que «os soldados também não queriam combater com denodo. Na avançada a partir do sul, desde Sevilha e Cádis, foram utilizados como ponta-de-lança mouros, legionários, portugueses, italianos e alemães. Os soldados espanhóis da tropa regular não desejavam senão chegar às povoações e descansar [...] Sem a impaciência dos fornecedores de armas, que queriam ser pagos sem demora e em quantias avultadas, e sem o afã dos chefes, que queriam ser promovidos rapidamente, passados vinte anos ainda os milicianos e os soldados continuariam a invectivar-se de noite nas trincheiras e a disparar uns tiros durante o dia»</w:t>
      </w:r>
      <w:r w:rsidR="00E5051F" w:rsidRPr="00B32E73">
        <w:rPr>
          <w:rStyle w:val="Refdenotaderodap"/>
        </w:rPr>
        <w:footnoteReference w:id="23"/>
      </w:r>
      <w:r w:rsidR="00E5051F" w:rsidRPr="00B32E73">
        <w:t xml:space="preserve">. Se esta análise for exacta, se as dificuldades militares de Franco e dos seus generais se tivessem devido em grande parte à surda oposição manifestada pela classe trabalhadora na zona que controlavam, como explicar que a resistência não se tivesse convertido de passiva em activa? Será que já não valia a pena, por detrás das linhas de Franco, apoiar a república? </w:t>
      </w:r>
    </w:p>
    <w:p w:rsidR="00E5051F" w:rsidRDefault="00E5051F" w:rsidP="00E5051F">
      <w:pPr>
        <w:tabs>
          <w:tab w:val="left" w:pos="720"/>
          <w:tab w:val="left" w:pos="3312"/>
        </w:tabs>
      </w:pPr>
      <w:r w:rsidRPr="00B32E73">
        <w:t>Numa conferência realizada em Val</w:t>
      </w:r>
      <w:r>
        <w:t>e</w:t>
      </w:r>
      <w:r w:rsidRPr="00B32E73">
        <w:t xml:space="preserve">ncia após a saída da CNT do governo, e em que apresentou o balanço dos seus seis meses à frente do Ministério da Justiça, García Oliver proclamou, numa clara crítica à orientação seguida pelo governo de Negrín: «Governar sem a CNT e sem a UGT é o mesmo que governar contra estas organizações, o que corresponde a caminhar para a derrota. [...] Não só porque ao governar contra nós se destruiria o moral e a disciplina actual da retaguarda, mas porque o inimigo hoje, apesar de dominar mais de metade da superfície da península, não domina a alma nem o esforço do proletariado desse território. Não tem exército. Tem de pedi-lo emprestado ao estrangeiro. E porquê? Porque na sua zona as </w:t>
      </w:r>
      <w:r w:rsidRPr="00B32E73">
        <w:lastRenderedPageBreak/>
        <w:t>massas trabalhadoras da CNT e da UGT resistem, levantam dificuldades e criam com o seu moral a resistência que permite o combate ao fascismo. Se do nosso lado se governar contra a CNT e contra a UGT perder-se-á o apoio das massas populares do outro lado que, ao saberem que se governa contra nós, ficarão prostradas. E a partir desse momento a tragédia fascista não encontrará obstáculos para recrutar os mercenários que nos venham liquidar a nós»</w:t>
      </w:r>
      <w:r w:rsidRPr="00B32E73">
        <w:rPr>
          <w:rStyle w:val="Refdenotaderodap"/>
        </w:rPr>
        <w:footnoteReference w:id="24"/>
      </w:r>
      <w:r w:rsidRPr="00B32E73">
        <w:t xml:space="preserve">. A previsão foi lúcida, e o orador só se esqueceu de mencionar que também ele, com a sua actuação no governo, fora um dos principais responsáveis pelo desânimo que se apoderava dos trabalhadores comuns. </w:t>
      </w:r>
    </w:p>
    <w:p w:rsidR="00E5051F" w:rsidRPr="00B32E73" w:rsidRDefault="00E5051F" w:rsidP="00E5051F">
      <w:pPr>
        <w:tabs>
          <w:tab w:val="left" w:pos="720"/>
          <w:tab w:val="left" w:pos="3312"/>
        </w:tabs>
      </w:pPr>
      <w:r>
        <w:t>Já no final de Outubro ou no começo de Novembro de 1936 um miliciano que estava de licença em Barcelona comentara que «a revolução tinha fracassado», «a revolução [estava] morta»</w:t>
      </w:r>
      <w:r>
        <w:rPr>
          <w:rStyle w:val="Refdenotaderodap"/>
        </w:rPr>
        <w:footnoteReference w:id="25"/>
      </w:r>
      <w:r>
        <w:t xml:space="preserve">. Pouco depois, </w:t>
      </w:r>
      <w:r w:rsidRPr="00B32E73">
        <w:t xml:space="preserve">George Orwell, </w:t>
      </w:r>
      <w:r>
        <w:t xml:space="preserve">que </w:t>
      </w:r>
      <w:r w:rsidRPr="00B32E73">
        <w:t xml:space="preserve">servia </w:t>
      </w:r>
      <w:r>
        <w:t xml:space="preserve">também </w:t>
      </w:r>
      <w:r w:rsidRPr="00B32E73">
        <w:t>nas milícias da frente de Aragão, pôde observar durante as suas breves passagens por Barcelona como a profunda remodelação das relações sociais, que havia marcado os primeiros meses da guerra e permitido ao proletariado exigir armas ao governo, enfrentar com êxito os generais e proceder a numerosíssimas colectivizações agrícolas e ocupações de fábricas e serviços públicos, fora gradualmente perdendo o vigor perante a reconstituição das instituições capitalistas. O igualitarismo que assegurara aos trabalhadores uma considerável vitória em Julho de 1936 estava, menos de um ano depois, condenado pela restauração das hierarquias. Mostrando uma sagacidade tanto mais notável quanto a história ia ainda longe do epílogo, Orwell desvend</w:t>
      </w:r>
      <w:r>
        <w:t>ou</w:t>
      </w:r>
      <w:r w:rsidRPr="00B32E73">
        <w:t xml:space="preserve"> as raízes da questão ao escrever que «com uma política não revolucionária era difícil, ou mesmo impossível, atacar Franco por detrás. No Verão de 1937 Franco tinha sob o seu controlo uma população mais numerosa do que a controlada pelo governo </w:t>
      </w:r>
      <w:r w:rsidR="00CF4D4B">
        <w:t>—</w:t>
      </w:r>
      <w:r w:rsidRPr="00B32E73">
        <w:t xml:space="preserve"> muito mais numerosa, se incluirmos as colónias </w:t>
      </w:r>
      <w:r w:rsidR="00CF4D4B">
        <w:t>—</w:t>
      </w:r>
      <w:r w:rsidRPr="00B32E73">
        <w:t xml:space="preserve"> e a quantidade de tropas era mais ou menos a mesma </w:t>
      </w:r>
      <w:r w:rsidR="00CF4D4B">
        <w:t>em</w:t>
      </w:r>
      <w:r w:rsidRPr="00B32E73">
        <w:t xml:space="preserve"> ambos os lados. Ninguém ignora que com uma população hostil na retaguarda é impossível manter um exército em combate sem dispor de um exército igualmente numeroso para guardar as linhas de comunicação, suprimir sabotagens, etc. Portanto, isto mostra claramente que não existia </w:t>
      </w:r>
      <w:r w:rsidR="009E14CE">
        <w:t>nenhum</w:t>
      </w:r>
      <w:r w:rsidRPr="00B32E73">
        <w:t xml:space="preserve"> verdadeiro movimento popular na retaguarda de Franco. É inconcebível que o povo desse território, pelos menos o operariado urbano e os camponeses mais pobres, gostasse de Franco ou o quisesse, mas a superioridade do governo [republicano] ia-se tornando menos evidente cada vez que virava à direita»</w:t>
      </w:r>
      <w:r w:rsidRPr="00B32E73">
        <w:rPr>
          <w:rStyle w:val="Refdenotaderodap"/>
        </w:rPr>
        <w:footnoteReference w:id="26"/>
      </w:r>
      <w:r w:rsidRPr="00B32E73">
        <w:t xml:space="preserve">. </w:t>
      </w:r>
      <w:r>
        <w:t xml:space="preserve">De então em diante a desmoralização dos trabalhadores só teve razões para piorar e foi certamente este um dos motivos que levou ao </w:t>
      </w:r>
      <w:r>
        <w:lastRenderedPageBreak/>
        <w:t xml:space="preserve">acentuado declínio da produção de material militar. Numa carta endereçada a Indalecio Prieto, o presidente da Catalunha, Companys, informou-o de que nas indústrias de guerra a produção não parara de baixar desde Junho de 1937 e que no final </w:t>
      </w:r>
      <w:r w:rsidR="009E14CE">
        <w:t>desse</w:t>
      </w:r>
      <w:r>
        <w:t xml:space="preserve"> ano a diminuição chegava já a 35% ou 40%</w:t>
      </w:r>
      <w:r>
        <w:rPr>
          <w:rStyle w:val="Refdenotaderodap"/>
        </w:rPr>
        <w:footnoteReference w:id="27"/>
      </w:r>
      <w:r>
        <w:t xml:space="preserve">. Ora, o ânimo da classe trabalhadora na zona republicana reflectia-se decerto no estado de espírito prevalecente na zona nacionalista. </w:t>
      </w:r>
    </w:p>
    <w:p w:rsidR="00E5051F" w:rsidRPr="00B32E73" w:rsidRDefault="00E5051F" w:rsidP="00E5051F">
      <w:r w:rsidRPr="00B32E73">
        <w:t xml:space="preserve">A questão, todavia, é mais obscura, pois uma coisa é a guerrilha não se ter imposto no lado republicano como modalidade única de luta nem ter empolgado os trabalhadores da zona nacionalista, e outra coisa, muito diferente, é ela não ter sido usada sequer como expediente pelas autoridades militares da república. São conhecidos </w:t>
      </w:r>
      <w:r w:rsidR="00CF4FA4">
        <w:t>vários</w:t>
      </w:r>
      <w:r w:rsidRPr="00B32E73">
        <w:t xml:space="preserve"> casos de guerra de posições em que exércitos enquadrados por uma disciplina tradicional fomentaram as guerrilhas enquanto forma de combate subsidiária. Ora, no campo republicano quase não houve tentativas para estimular acções de guerrilha atrás das trincheiras inimigas nem para coordenar as operações do exército regular com aquelas iniciativas guerrilheiras que, como vimos, haviam aparecido de maneira independente. </w:t>
      </w:r>
      <w:r>
        <w:t>«Ao todo, as guerrilhas tiveram uma importância mínima no desenrolar do conflito», escreveu um historiador</w:t>
      </w:r>
      <w:r>
        <w:rPr>
          <w:rStyle w:val="Refdenotaderodap"/>
        </w:rPr>
        <w:footnoteReference w:id="28"/>
      </w:r>
      <w:r>
        <w:t xml:space="preserve">. </w:t>
      </w:r>
      <w:r w:rsidRPr="00B32E73">
        <w:t xml:space="preserve">Apesar de serem meramente defensivas, o último recurso de uma população vencida e desesperada, essas acções poderiam ter contribuído para alterar o rumo dos acontecimentos se beneficiassem de apoio exterior, mas nada contaram nos planos dos generais e políticos republicanos. </w:t>
      </w:r>
      <w:r w:rsidRPr="00BB0063">
        <w:t xml:space="preserve">Só a 8 ou 9 de Fevereiro de 1939, com toda a Catalunha ocupada pelas tropas de Franco e a menos de dois meses de tudo acabar, </w:t>
      </w:r>
      <w:r>
        <w:t xml:space="preserve">o anarquista </w:t>
      </w:r>
      <w:r w:rsidRPr="00BB0063">
        <w:t>Cipriano Mera</w:t>
      </w:r>
      <w:r>
        <w:t>,</w:t>
      </w:r>
      <w:r w:rsidRPr="00BB0063">
        <w:t xml:space="preserve"> </w:t>
      </w:r>
      <w:r>
        <w:t xml:space="preserve">comandante do IV Corpo de Exército do Centro, </w:t>
      </w:r>
      <w:r w:rsidRPr="00BB0063">
        <w:t>prop</w:t>
      </w:r>
      <w:r>
        <w:t>ôs</w:t>
      </w:r>
      <w:r w:rsidRPr="00BB0063">
        <w:t xml:space="preserve"> ao coronel Segismundo Casado, comandante do Exército do Centro, o plano de concentrar todas as reservas para tentar romper a frente em direcção à Estremadura «e ver se a população daquelas aldeias se junta às nossas tropas». Ele explicou que «no caso de esta penetração ser favorável</w:t>
      </w:r>
      <w:r>
        <w:t>,</w:t>
      </w:r>
      <w:r w:rsidRPr="00BB0063">
        <w:t xml:space="preserve"> deveríamos começar já a preparar o rompimento de outras frentes para passar do exército organizado à criação de grandes guerrilhas»</w:t>
      </w:r>
      <w:r w:rsidRPr="00BB0063">
        <w:rPr>
          <w:vertAlign w:val="superscript"/>
        </w:rPr>
        <w:footnoteReference w:id="29"/>
      </w:r>
      <w:r w:rsidRPr="00BB0063">
        <w:t xml:space="preserve">. Mera, que depois de ter aceitado a militarização das milícias a cumprira e aplicara escrupulosamente e que desde que assumira o comando </w:t>
      </w:r>
      <w:r>
        <w:t xml:space="preserve">daquele </w:t>
      </w:r>
      <w:r w:rsidRPr="00BB0063">
        <w:t xml:space="preserve">Corpo de Exército, em Outubro de 1937, se conformara com a manutenção das suas tropas em completa passividade, parecia considerar como derradeiro recurso perante a iminência da derrota algo em que não cogitara enquanto a vitória fora possível. Mas também neste caso o projecto de organização de guerrilhas deparou com a indiferença das chefias militares. </w:t>
      </w:r>
    </w:p>
    <w:p w:rsidR="00E5051F" w:rsidRPr="00B32E73" w:rsidRDefault="00E5051F" w:rsidP="00E5051F">
      <w:r w:rsidRPr="00B32E73">
        <w:lastRenderedPageBreak/>
        <w:t xml:space="preserve">E no entanto as condições não podiam ser inteiramente desfavoráveis, já que em circunstâncias muitíssimo mais difíceis, após a vitória total de Franco, as guerrilhas actuaram durante bastantes anos em vastas regiões, na Galiza, em </w:t>
      </w:r>
      <w:r w:rsidR="004474B3">
        <w:t>Leão</w:t>
      </w:r>
      <w:r w:rsidRPr="00B32E73">
        <w:t xml:space="preserve"> e nas Astúrias, do Tejo até ao Guadalquivir e no sudeste da Andaluzia</w:t>
      </w:r>
      <w:r w:rsidRPr="00B32E73">
        <w:rPr>
          <w:rStyle w:val="Refdenotaderodap"/>
        </w:rPr>
        <w:footnoteReference w:id="30"/>
      </w:r>
      <w:r w:rsidRPr="00B32E73">
        <w:t xml:space="preserve">. Eram </w:t>
      </w:r>
      <w:r w:rsidRPr="00B32E73">
        <w:rPr>
          <w:i/>
        </w:rPr>
        <w:t>los huidos,</w:t>
      </w:r>
      <w:r w:rsidRPr="00B32E73">
        <w:t xml:space="preserve"> os fugitivos, que procuravam escapar às vinganças da repressão. O profundo desânimo do meio em que se apoiavam, constituído por jornaleiros e camponeses paupérrimos, explica que não tivessem capacidade para se dedicar a acções ofensivas e só muito raramente coordenassem os seus movimentos</w:t>
      </w:r>
      <w:r w:rsidRPr="00B32E73">
        <w:rPr>
          <w:rStyle w:val="Refdenotaderodap"/>
        </w:rPr>
        <w:footnoteReference w:id="31"/>
      </w:r>
      <w:r w:rsidRPr="00B32E73">
        <w:t xml:space="preserve">. As primeiras tentativas de organização comum parece terem ocorrido no norte da península com a criação da Federação de Guerrilhas da Galiza e de </w:t>
      </w:r>
      <w:r w:rsidR="004474B3">
        <w:t>Leão</w:t>
      </w:r>
      <w:r w:rsidRPr="00B32E73">
        <w:t xml:space="preserve"> na Primavera de 1942 e, no Verão do ano seguinte, do Comité de Milícias Antifascistas das Astúrias</w:t>
      </w:r>
      <w:r w:rsidRPr="00B32E73">
        <w:rPr>
          <w:rStyle w:val="Refdenotaderodap"/>
        </w:rPr>
        <w:footnoteReference w:id="32"/>
      </w:r>
      <w:r w:rsidRPr="00B32E73">
        <w:t xml:space="preserve">. Mas em qualquer caso, isolados ou procurando coligar-se, o denodo com que </w:t>
      </w:r>
      <w:r w:rsidRPr="00B32E73">
        <w:rPr>
          <w:i/>
        </w:rPr>
        <w:t>los huidos</w:t>
      </w:r>
      <w:r w:rsidRPr="00B32E73">
        <w:t xml:space="preserve"> resistiram às tropas de Franco e à Falange em condições sociais e políticas inteiramente adversas deixa supor que mais ainda o teriam feito quando a república existia e contava com esperanças de vitória. Por que razão aquela guerrilha numerosa, difundida e pertinaz, que poderia ter constituído o factor decisivo para inverter o resultado da guerra civil, surgiu depois do triunfo nacionalista? </w:t>
      </w:r>
    </w:p>
    <w:p w:rsidR="00E5051F" w:rsidRPr="00B32E73" w:rsidRDefault="00E5051F" w:rsidP="00E5051F">
      <w:pPr>
        <w:tabs>
          <w:tab w:val="left" w:pos="720"/>
          <w:tab w:val="left" w:pos="3312"/>
        </w:tabs>
      </w:pPr>
      <w:r w:rsidRPr="00B32E73">
        <w:t>Os paradoxos acumulam-se ao procurarmos deslindar a questão porque, em contraste com a tibieza demonstrada pelas figuras cimeiras da república, os nacionalistas conseguiram actuar de maneira organizada nos próprios centros da zona republicana. A expressão «quinta coluna», no sentido de força infiltrada no seio do inimigo, foi celebrizada em Outubro de 1936 pelo general Mola quando, para além das quatro colunas que marchavam sobre Madrid, se vangloriou da existência de uma outra no interior da cidade</w:t>
      </w:r>
      <w:r w:rsidRPr="00B32E73">
        <w:rPr>
          <w:rStyle w:val="Refdenotaderodap"/>
        </w:rPr>
        <w:footnoteReference w:id="33"/>
      </w:r>
      <w:r w:rsidRPr="00B32E73">
        <w:t xml:space="preserve">. Se puder explicar a razão por que as acções de resistência dos trabalhadores na zona franquista não se ligaram aos movimentos do exército da república, e a incapacidade, ou mesmo a falta de vontade, dos dirigentes das facções republicanas para organizar acções de guerrilha por detrás das linhas inimigas, terei </w:t>
      </w:r>
      <w:r>
        <w:t xml:space="preserve">entendido alguma coisa </w:t>
      </w:r>
      <w:r w:rsidRPr="00B32E73">
        <w:t xml:space="preserve">na relação do fascismo com as massas populares. </w:t>
      </w:r>
    </w:p>
    <w:p w:rsidR="00E5051F" w:rsidRPr="00921DFD" w:rsidRDefault="00E5051F" w:rsidP="0086056E">
      <w:pPr>
        <w:pStyle w:val="Corpodetexto"/>
        <w:keepNext/>
        <w:spacing w:before="720" w:after="360"/>
        <w:jc w:val="center"/>
        <w:rPr>
          <w:rFonts w:ascii="Arial Narrow" w:hAnsi="Arial Narrow"/>
          <w:b/>
          <w:sz w:val="28"/>
          <w:lang w:val="pt-PT"/>
        </w:rPr>
      </w:pPr>
      <w:r w:rsidRPr="00921DFD">
        <w:rPr>
          <w:rFonts w:ascii="Arial Narrow" w:hAnsi="Arial Narrow"/>
          <w:b/>
          <w:sz w:val="28"/>
          <w:lang w:val="pt-PT"/>
        </w:rPr>
        <w:lastRenderedPageBreak/>
        <w:t>2. Os comunistas e a guerrilha</w:t>
      </w:r>
    </w:p>
    <w:p w:rsidR="00E5051F" w:rsidRPr="00B32E73" w:rsidRDefault="00E5051F" w:rsidP="00E5051F">
      <w:pPr>
        <w:tabs>
          <w:tab w:val="left" w:pos="720"/>
          <w:tab w:val="left" w:pos="3312"/>
        </w:tabs>
      </w:pPr>
      <w:r w:rsidRPr="00B32E73">
        <w:t>No lado republicano o Partido Comunista singularizava-se pelo interesse manifestado pela actividade guerrilheira. Isto torna o problema ainda mais enigmático, porque este partido sustentava posições deveras conservadoras, apegando-se de maneira estrita às instituições e leis da república capitalista, levantando obstáculos a quaisquer veleidades de converter a guerra civil em revolução e, logo que dispôs de força bastante, combatendo as experiências práticas de reorganização económica e social, do mesmo modo que nos assuntos militares defend</w:t>
      </w:r>
      <w:r>
        <w:t>ia</w:t>
      </w:r>
      <w:r w:rsidRPr="00B32E73">
        <w:t xml:space="preserve"> </w:t>
      </w:r>
      <w:r>
        <w:t>um</w:t>
      </w:r>
      <w:r w:rsidRPr="00B32E73">
        <w:t>a hierarquia rigorosa e uma severíssima disciplina e as impôs no seu Quinto Regimento. Esta orientação conservadora havia caracterizado já os comunistas antes do começo da guerra civil, a tal ponto que durante a campanha para as eleições de Fevereiro de 1936, que deram o poder à Frente Popular e serviram de pretexto aos generais para desencadear o levantamento militar, o Partido Socialista ridicularizara o PCE proclamando: «Para salvar a Espanha do marxismo votai nos comunistas!»</w:t>
      </w:r>
      <w:r w:rsidRPr="00B32E73">
        <w:rPr>
          <w:rStyle w:val="Refdenotaderodap"/>
        </w:rPr>
        <w:footnoteReference w:id="34"/>
      </w:r>
      <w:r w:rsidRPr="00B32E73">
        <w:t xml:space="preserve">. E foram precisamente eles os únicos a encarar seriamente a organização de acções de guerrilha durante a guerra civil. Mas teriam sido os comunistas espanhóis ou os agentes do Komintern? E com que resultados práticos? </w:t>
      </w:r>
    </w:p>
    <w:p w:rsidR="00E5051F" w:rsidRPr="00B32E73" w:rsidRDefault="00E5051F" w:rsidP="00E5051F">
      <w:r w:rsidRPr="00B32E73">
        <w:t xml:space="preserve">A inspiração staliniana do célebre romance de Hemingway </w:t>
      </w:r>
      <w:r w:rsidRPr="00B32E73">
        <w:rPr>
          <w:i/>
        </w:rPr>
        <w:t>For whom the Bell Tolls</w:t>
      </w:r>
      <w:r w:rsidRPr="00B32E73">
        <w:t xml:space="preserve"> é visível no lugar ocupado pelos problemas da disciplina militar e do estabelecimento de cadeias de comando, sem que jamais seja referida a transformação das estruturas sociais. É uma guerra, não uma revolução, que ornamenta as páginas desse livro. E é sugestivo que o enredo se concentre numa expedição de sabotagem conduzida detrás das linhas nacionalistas por um membro das Brigadas Internacionais, Robert Jordan, sob a supervisão de um militar soviético e com o apoio da guerrilha local. Tudo se reduz à acção de um </w:t>
      </w:r>
      <w:r w:rsidR="00B164FD">
        <w:t>perito</w:t>
      </w:r>
      <w:r w:rsidRPr="00B32E73">
        <w:t xml:space="preserve"> em operações especiais, e os guerrilheiros de Hemingway não passam de bandidos pinturescos, que parecem saídos </w:t>
      </w:r>
      <w:r>
        <w:t xml:space="preserve">de </w:t>
      </w:r>
      <w:r w:rsidRPr="00B32E73">
        <w:t>grande</w:t>
      </w:r>
      <w:r>
        <w:t>s</w:t>
      </w:r>
      <w:r w:rsidRPr="00B32E73">
        <w:t xml:space="preserve"> tela</w:t>
      </w:r>
      <w:r>
        <w:t>s</w:t>
      </w:r>
      <w:r w:rsidRPr="00B32E73">
        <w:t xml:space="preserve"> romântica</w:t>
      </w:r>
      <w:r>
        <w:t>s</w:t>
      </w:r>
      <w:r w:rsidRPr="00B32E73">
        <w:t xml:space="preserve"> com grutas e despenhadeiros. Não é </w:t>
      </w:r>
      <w:r>
        <w:t xml:space="preserve">um livro </w:t>
      </w:r>
      <w:r w:rsidRPr="00B32E73">
        <w:t xml:space="preserve">político, e nele a política serve apenas para revelar as inquietações e, no final, as descobertas do personagem principal, em torno de quem tudo se tece. É um romance de aventuras de um autor infantilmente obcecado com os mitos da idade adulta e que nunca entendeu, ao contrário de Conrad, que eles não são mais do que isso </w:t>
      </w:r>
      <w:r w:rsidR="00B933ED">
        <w:t>—</w:t>
      </w:r>
      <w:r w:rsidRPr="00B32E73">
        <w:t xml:space="preserve"> mitos. Robert Jordan não podia ser um soldado entre muitos nem um chefe de tropas. Ele tinha de encarnar o combatente solitário, encarregado de uma missão num meio hostil. Não era a guerra de Espanha que preocupava Hemingway, mas o herói isolado. </w:t>
      </w:r>
      <w:r w:rsidRPr="00B32E73">
        <w:rPr>
          <w:i/>
        </w:rPr>
        <w:t>For whom the Bell Tolls</w:t>
      </w:r>
      <w:r w:rsidRPr="00B32E73">
        <w:t xml:space="preserve"> é uma verbosa metafísica da coragem, situada numa guerra que por acaso é </w:t>
      </w:r>
      <w:r w:rsidRPr="00B32E73">
        <w:lastRenderedPageBreak/>
        <w:t xml:space="preserve">civil e por acaso é em Espanhal. Parece que todas aquelas forças sociais e políticas se trucidavam para que alguém pudesse decifrar não sei que </w:t>
      </w:r>
      <w:r w:rsidR="00B933ED">
        <w:t>enigmas</w:t>
      </w:r>
      <w:r w:rsidRPr="00B32E73">
        <w:t xml:space="preserve"> da vida. </w:t>
      </w:r>
    </w:p>
    <w:p w:rsidR="00E5051F" w:rsidRPr="00B32E73" w:rsidRDefault="00E5051F" w:rsidP="00E5051F">
      <w:r w:rsidRPr="00B32E73">
        <w:t xml:space="preserve">Foi noutro livro, em </w:t>
      </w:r>
      <w:r w:rsidRPr="00B32E73">
        <w:rPr>
          <w:i/>
        </w:rPr>
        <w:t>L’Espoir,</w:t>
      </w:r>
      <w:r w:rsidRPr="00B32E73">
        <w:t xml:space="preserve"> de </w:t>
      </w:r>
      <w:r w:rsidR="00BE3D88" w:rsidRPr="00B32E73">
        <w:t xml:space="preserve">André </w:t>
      </w:r>
      <w:r w:rsidRPr="00B32E73">
        <w:t xml:space="preserve">Malraux, que a guerra civil espanhola </w:t>
      </w:r>
      <w:r>
        <w:t>se reflectiu</w:t>
      </w:r>
      <w:r w:rsidRPr="00B32E73">
        <w:t>. Tal como Hemingway, e pelas mesmas razões de pretensa eficácia, também Malraux defendeu a estratégia staliniana que consistia em impedir que a guerra se prolongasse numa revolução social, mas fê-lo em termos estritamente políticos e, se discordo das soluções que preferiu para os problemas, reconhe</w:t>
      </w:r>
      <w:r>
        <w:t>ço</w:t>
      </w:r>
      <w:r w:rsidRPr="00B32E73">
        <w:t xml:space="preserve"> que eram efectivamente aqueles os problemas que se levantavam. Embora a obra seja atravessada, desde a primeira página até à última, pelo percurso de Manuel</w:t>
      </w:r>
      <w:r w:rsidRPr="00B32E73">
        <w:rPr>
          <w:rStyle w:val="Refdenotaderodap"/>
        </w:rPr>
        <w:footnoteReference w:id="35"/>
      </w:r>
      <w:r w:rsidRPr="00B32E73">
        <w:t xml:space="preserve">, não é ele o fio condutor, mas é a guerra que o conduz e o transforma, como a tudo o resto. A guerra civil é em </w:t>
      </w:r>
      <w:r w:rsidRPr="00B32E73">
        <w:rPr>
          <w:i/>
        </w:rPr>
        <w:t>L’Espoir</w:t>
      </w:r>
      <w:r w:rsidRPr="00B32E73">
        <w:t xml:space="preserve"> o personagem único e multifacetado, que se revela através do que faz com as pessoas e as coisas. São as dificuldades estratégicas da guerra, as suas alternativas, as suas impossibilidades que formam a teia da narrativa e dão substância ao drama. Por isso é um romance verdadeiramente político. Malraux, que sabia escrever e sabia do que escrevia, porque ajudou a organizar a aviação de combate da república no início d</w:t>
      </w:r>
      <w:r w:rsidR="00BD3A96">
        <w:t>o</w:t>
      </w:r>
      <w:r w:rsidRPr="00B32E73">
        <w:t xml:space="preserve"> </w:t>
      </w:r>
      <w:r w:rsidR="00BD3A96">
        <w:t>conflito</w:t>
      </w:r>
      <w:r w:rsidRPr="00B32E73">
        <w:rPr>
          <w:rStyle w:val="Refdenotaderodap"/>
        </w:rPr>
        <w:footnoteReference w:id="36"/>
      </w:r>
      <w:r w:rsidRPr="00B32E73">
        <w:t xml:space="preserve">, não relatou a existência de guerrilhas republicanas nem mesmo qualquer tentativa de as formar. Nas últimas páginas do livro um personagem bem colocado, García, etnólogo e intelectual erudito, um dos responsáveis pelo serviço de informações do exército, sugere a hipótese de aparecerem guerrilhas em território nacionalista, mas apenas num futuro incerto e só se Franco não encetasse </w:t>
      </w:r>
      <w:r w:rsidR="004C1F99">
        <w:t>nenhuma</w:t>
      </w:r>
      <w:r w:rsidRPr="00B32E73">
        <w:t xml:space="preserve"> política de carácter social</w:t>
      </w:r>
      <w:r w:rsidRPr="00B32E73">
        <w:rPr>
          <w:rStyle w:val="Refdenotaderodap"/>
        </w:rPr>
        <w:footnoteReference w:id="37"/>
      </w:r>
      <w:r w:rsidRPr="00B32E73">
        <w:t>. A única guerrilha que Malraux mencionou como uma realidade efectiva, sem aliás lhe dar o nome, foi a quinta coluna fascista. E foram as próprias milícias republicanas constituídas nos primeiros dias contra os generais insurrectos, foram os sindicalistas e os militantes dos partidos de esquerda, os voluntários armados, que ele qualificou como guerrilheiros. García denominava pejorativamente «guerrilha» a resistência que os milicianos estavam a opor aos fascistas na defesa de Madrid</w:t>
      </w:r>
      <w:r w:rsidRPr="00B32E73">
        <w:rPr>
          <w:rStyle w:val="Refdenotaderodap"/>
        </w:rPr>
        <w:footnoteReference w:id="38"/>
      </w:r>
      <w:r w:rsidRPr="00B32E73">
        <w:t xml:space="preserve">. Mesmo a aviação dos primeiros meses, formada graças aos esforços de Malraux, foi chamada pelo seu </w:t>
      </w:r>
      <w:r w:rsidRPr="00B32E73">
        <w:rPr>
          <w:i/>
        </w:rPr>
        <w:t>alter ego,</w:t>
      </w:r>
      <w:r w:rsidRPr="00B32E73">
        <w:t xml:space="preserve"> Magnin, «uma aviação de guerrilha»</w:t>
      </w:r>
      <w:r w:rsidRPr="00B32E73">
        <w:rPr>
          <w:rStyle w:val="Refdenotaderodap"/>
        </w:rPr>
        <w:footnoteReference w:id="39"/>
      </w:r>
      <w:r w:rsidRPr="00B32E73">
        <w:t>, e na sua voz própria o escritor adoptou o mesmo ponto de vista para assinalar a conversão das milícias em forças armadas sujeitas a uma hierarquia regular e a uma disciplina estrita: «era o fim da guerrilha, o nascimento do exército»</w:t>
      </w:r>
      <w:r w:rsidRPr="00B32E73">
        <w:rPr>
          <w:rStyle w:val="Refdenotaderodap"/>
        </w:rPr>
        <w:footnoteReference w:id="40"/>
      </w:r>
      <w:r w:rsidRPr="00B32E73">
        <w:t xml:space="preserve">. </w:t>
      </w:r>
    </w:p>
    <w:p w:rsidR="00E5051F" w:rsidRPr="00B32E73" w:rsidRDefault="00E5051F" w:rsidP="00E5051F">
      <w:pPr>
        <w:tabs>
          <w:tab w:val="left" w:pos="720"/>
          <w:tab w:val="left" w:pos="3312"/>
        </w:tabs>
      </w:pPr>
      <w:r w:rsidRPr="00B32E73">
        <w:lastRenderedPageBreak/>
        <w:t>Nesta perspectiva podemos entender que no começo de Outubro de 1936, quando as quatro colunas nacionalistas se aproximavam tão perigosamente de Madrid que poucos havia a não darem a cidade como perdida, o então capitão da aeronáutica naval Alberto Bayo tivesse executado «uma série de acções de guerrilha que perturbaram com êxito o exército nacionalista enquanto ele estava a reunir as suas forças»</w:t>
      </w:r>
      <w:r w:rsidRPr="00B32E73">
        <w:rPr>
          <w:rStyle w:val="Refdenotaderodap"/>
        </w:rPr>
        <w:footnoteReference w:id="41"/>
      </w:r>
      <w:r w:rsidRPr="00B32E73">
        <w:t xml:space="preserve">. Pouco tempo antes Bayo comandara a frustrada expedição a Maiorca, de onde retirou precipitadamente, deixando muitos dos seus soldados mortos, alguns prisioneiros, que seriam quase todos fuzilados, toneladas de material perdidas e uma ilha nas mãos dos fascistas italianos. Nas suas </w:t>
      </w:r>
      <w:r w:rsidR="002E199C" w:rsidRPr="00B32E73">
        <w:t xml:space="preserve">Memórias </w:t>
      </w:r>
      <w:r w:rsidRPr="00B32E73">
        <w:t xml:space="preserve">García Oliver acusou-o de incompetência e irresponsabilidade e pôs em dúvida o seu «equilíbrio emocional». Por pouco teria escapado </w:t>
      </w:r>
      <w:r w:rsidR="00460BD0">
        <w:t>a</w:t>
      </w:r>
      <w:r w:rsidRPr="00B32E73">
        <w:t xml:space="preserve"> </w:t>
      </w:r>
      <w:r w:rsidR="004868C2">
        <w:t xml:space="preserve">uma condenação </w:t>
      </w:r>
      <w:r w:rsidRPr="00B32E73">
        <w:t>à morte em conselho de guerra</w:t>
      </w:r>
      <w:r w:rsidRPr="00B32E73">
        <w:rPr>
          <w:rStyle w:val="Refdenotaderodap"/>
        </w:rPr>
        <w:footnoteReference w:id="42"/>
      </w:r>
      <w:r w:rsidRPr="00B32E73">
        <w:t xml:space="preserve">. É estranho que o péssimo comandante de Agosto e Setembro se convertesse em Outubro num chefe militar de sucesso. Mas não era ele um dos oficiais de carreira próximos dos comunistas? Entre os anarquistas não tinha simpatias e mais tarde, no México, haveria de treinar os primeiros guerrilheiros de Fidel Castro, chegando ao fim da vida como o único general do exército cubano. Quaisquer que tivessem sido as suas inclinações políticas na época, as operações de guerrilha que organizou na frente de Madrid não passaram de acções de comandos. </w:t>
      </w:r>
    </w:p>
    <w:p w:rsidR="00E5051F" w:rsidRPr="00B32E73" w:rsidRDefault="00E5051F" w:rsidP="00E5051F">
      <w:pPr>
        <w:tabs>
          <w:tab w:val="left" w:pos="720"/>
          <w:tab w:val="left" w:pos="3312"/>
        </w:tabs>
      </w:pPr>
      <w:r w:rsidRPr="00B32E73">
        <w:t xml:space="preserve">Mais sistemático foi o interesse do Komintern, ou dos seus patrões, pela possibilidade de actuar detrás das linhas inimigas. No final de Dezembro de 1936 Largo Caballero recebeu uma carta cheia de conselhos, entre outros o de </w:t>
      </w:r>
      <w:r>
        <w:t>organizar</w:t>
      </w:r>
      <w:r w:rsidRPr="00B32E73">
        <w:t xml:space="preserve"> forças guerrilheiras no território nacionalista. Três nomes a assinavam, em cirílico, ilegíveis. No secretariado do primeiro-ministro ninguém os decifrou, chamou-se um dos responsáveis do Komintern, alguns russos em seguida, com igual insucesso, até que finalmente um funcionário da embaixada soviética esclareceu o mistério dos signatários </w:t>
      </w:r>
      <w:r w:rsidR="00877D64">
        <w:t>—</w:t>
      </w:r>
      <w:r w:rsidRPr="00B32E73">
        <w:t xml:space="preserve"> Stalin, Molotov, Vorochilov</w:t>
      </w:r>
      <w:r w:rsidRPr="00B32E73">
        <w:rPr>
          <w:rStyle w:val="Refdenotaderodap"/>
        </w:rPr>
        <w:footnoteReference w:id="43"/>
      </w:r>
      <w:r w:rsidRPr="00B32E73">
        <w:t xml:space="preserve">. Tudo isto me parece muito estranho. </w:t>
      </w:r>
      <w:r>
        <w:t xml:space="preserve">Teria </w:t>
      </w:r>
      <w:r w:rsidRPr="00B32E73">
        <w:t xml:space="preserve">a carta </w:t>
      </w:r>
      <w:r>
        <w:t xml:space="preserve">vindo </w:t>
      </w:r>
      <w:r w:rsidRPr="00B32E73">
        <w:t>por correio normal</w:t>
      </w:r>
      <w:r>
        <w:t xml:space="preserve">? </w:t>
      </w:r>
      <w:r w:rsidRPr="00B32E73">
        <w:t xml:space="preserve">Era tão grande a </w:t>
      </w:r>
      <w:r>
        <w:t>desordem</w:t>
      </w:r>
      <w:r w:rsidRPr="00B32E73">
        <w:t xml:space="preserve"> dos serviços diplomáticos? O certo é que o secretário-geral do Partido Comunista russo, o presidente do Conselho dos Comissários do Povo e o marechal comissário da Defesa recomenda</w:t>
      </w:r>
      <w:r>
        <w:t>r</w:t>
      </w:r>
      <w:r w:rsidRPr="00B32E73">
        <w:t xml:space="preserve">am ao primeiro-ministro da República espanhola que não descurasse a guerra de guerrilhas. Sensata advertência. Vejamos como se realizou na prática. </w:t>
      </w:r>
    </w:p>
    <w:p w:rsidR="00E5051F" w:rsidRPr="00B32E73" w:rsidRDefault="00E5051F" w:rsidP="00E5051F">
      <w:pPr>
        <w:tabs>
          <w:tab w:val="left" w:pos="720"/>
          <w:tab w:val="left" w:pos="3312"/>
        </w:tabs>
      </w:pPr>
      <w:r w:rsidRPr="00B32E73">
        <w:t xml:space="preserve">Lev </w:t>
      </w:r>
      <w:r w:rsidR="00FD63E8">
        <w:t>Nikolsk</w:t>
      </w:r>
      <w:r w:rsidR="00BE3D88">
        <w:t>y</w:t>
      </w:r>
      <w:r w:rsidRPr="00B32E73">
        <w:t>, dito Ale</w:t>
      </w:r>
      <w:r w:rsidR="00BE3D88">
        <w:t>ks</w:t>
      </w:r>
      <w:r w:rsidRPr="00B32E73">
        <w:t xml:space="preserve">andr Orlov, em Espanha desde o início de Setembro de 1936 enquanto principal representante do NKVD, e que fugiria em Julho de 1938 para o Canadá primeiro, depois para os Estados Unidos, declarou em 1957 perante uma subcomissão do </w:t>
      </w:r>
      <w:r w:rsidRPr="00B32E73">
        <w:lastRenderedPageBreak/>
        <w:t>Senado norte-americano que a sua missão era servir de conselheiro em questões de espionagem, contra-espionagem e guerra de guerrilhas</w:t>
      </w:r>
      <w:r w:rsidRPr="00B32E73">
        <w:rPr>
          <w:rStyle w:val="Refdenotaderodap"/>
        </w:rPr>
        <w:footnoteReference w:id="44"/>
      </w:r>
      <w:r w:rsidRPr="00B32E73">
        <w:t xml:space="preserve">. Esta conjugação de tarefas deixa suspeitar que se tratasse mais de sabotagens e operações de comandos do que de guerrilhas populares. Com efeito, ao ler </w:t>
      </w:r>
      <w:r>
        <w:t>um</w:t>
      </w:r>
      <w:r w:rsidRPr="00B32E73">
        <w:t>a referência, mesmo sumária, a acções efectuadas pelo Corpo de Guerrilheiros da República, verifico que as sabotagens e golpes de mão não contavam com o apoio de bases estabelecidas de maneira estável no território nacionalista</w:t>
      </w:r>
      <w:r w:rsidRPr="00B32E73">
        <w:rPr>
          <w:rStyle w:val="Refdenotaderodap"/>
        </w:rPr>
        <w:footnoteReference w:id="45"/>
      </w:r>
      <w:r w:rsidRPr="00B32E73">
        <w:t xml:space="preserve">. Subordinado a Orlov, outro agente soviético, </w:t>
      </w:r>
      <w:r>
        <w:t xml:space="preserve">Nahum </w:t>
      </w:r>
      <w:r w:rsidRPr="00B32E73">
        <w:t>Eitingon, conhecido por Kotov, tinha como função dirigir acções de sabotagem e de guerrilha na zona franquista, mas para a história o único feito a merecer menção foi ter tornado sua amante Caridad Mercader, mãe daquele Ramón que quatro anos depois, no México, torpe guerrilheiro solitário armado de uma picareta, se aproximou de Trotsky e lhe deu o desfecho conhecido</w:t>
      </w:r>
      <w:r w:rsidRPr="00B32E73">
        <w:rPr>
          <w:rStyle w:val="Refdenotaderodap"/>
        </w:rPr>
        <w:footnoteReference w:id="46"/>
      </w:r>
      <w:r w:rsidRPr="00B32E73">
        <w:t xml:space="preserve">. Este ajuste de contas entre velhos bolchevistas, começado na Rússia, sangrentamente encerrado em Coyoacán, seria afinal a mais espectacular das operações encetadas em Espanha pelos especialistas soviéticos da guerra de guerrilhas. E do lado de lá das linhas inimigas o interesse do Komintern pela guerrilha e a sua indiscutível perícia em montar operações clandestinas não parecem ter deixado traço de resultados. </w:t>
      </w:r>
    </w:p>
    <w:p w:rsidR="00E5051F" w:rsidRPr="00B32E73" w:rsidRDefault="00E5051F" w:rsidP="00E5051F">
      <w:pPr>
        <w:tabs>
          <w:tab w:val="left" w:pos="720"/>
          <w:tab w:val="left" w:pos="3312"/>
        </w:tabs>
      </w:pPr>
      <w:r w:rsidRPr="00B32E73">
        <w:t xml:space="preserve">As raízes do paradoxo foram ainda mais fundas. No Outono de 1944, quando o inevitável esmagamento do Eixo fazia crer aos optimistas que os Aliados pretendessem também desembaraçar-se dos dois fascismos ibéricos, o Partido Comunista Espanhol e os seus apoiantes da Unión Nacional, instruídos pela experiência do </w:t>
      </w:r>
      <w:r w:rsidRPr="00B32E73">
        <w:rPr>
          <w:i/>
        </w:rPr>
        <w:t>maquis</w:t>
      </w:r>
      <w:r w:rsidRPr="00B32E73">
        <w:t xml:space="preserve"> francês em que tantos deles haviam participado, decidiram organizar no sul de França um Exército Nacional Guerrilheiro para ocupar uma faixa de território do lado de lá dos Pirenéus e suscitar um levantamento popular contra o regime de Franco</w:t>
      </w:r>
      <w:r w:rsidRPr="00B32E73">
        <w:rPr>
          <w:rStyle w:val="Refdenotaderodap"/>
        </w:rPr>
        <w:footnoteReference w:id="47"/>
      </w:r>
      <w:r w:rsidRPr="00B32E73">
        <w:t>. E outra vez se caiu no mesmo duplo erro. Por um lado, este tardio exército republicano combateu em formações regulares e, contra tropas muitíssimo mais fortes e bem preparadas, abdicou da única vantagem de que podia dispor se tivesse recorrido ao sistema da guerrilha. Por outro lado, nem sequer tentou unir-se aos milhares de guerrilheiros dispersos pelo país, que poderiam ter</w:t>
      </w:r>
      <w:r w:rsidR="00111C9F">
        <w:t>-</w:t>
      </w:r>
      <w:r w:rsidR="00111C9F" w:rsidRPr="00B32E73">
        <w:t xml:space="preserve">lhe </w:t>
      </w:r>
      <w:r w:rsidRPr="00B32E73">
        <w:t>assegurado bases de implantação duráveis e permitido sustentar uma guerra popular a longo prazo. Derrotados nalguns confrontos de tipo clássico, os voluntários da Unión Nacional retirar</w:t>
      </w:r>
      <w:r>
        <w:t>am</w:t>
      </w:r>
      <w:r w:rsidRPr="00B32E73">
        <w:t xml:space="preserve"> para França dez dias depois, sem terem encontrado oportunidade para estimular acções insurreccionais entre a população trabalhadora e deixando </w:t>
      </w:r>
      <w:r w:rsidRPr="00B32E73">
        <w:rPr>
          <w:i/>
        </w:rPr>
        <w:t>los huidos</w:t>
      </w:r>
      <w:r w:rsidRPr="00B32E73">
        <w:t xml:space="preserve"> numa situação pior do que aquela em que já estavam, porque mais profundamente desanimados. </w:t>
      </w:r>
    </w:p>
    <w:p w:rsidR="00E5051F" w:rsidRPr="00B32E73" w:rsidRDefault="00E5051F" w:rsidP="00E5051F">
      <w:r w:rsidRPr="00B32E73">
        <w:lastRenderedPageBreak/>
        <w:t xml:space="preserve">O Partido Comunista procurou corrigir o erro e de então em diante, em vez de usar formações regulares, passou a infiltrar pequenos grupos de combatentes, destinados a juntar-se aos </w:t>
      </w:r>
      <w:r w:rsidRPr="00B32E73">
        <w:rPr>
          <w:i/>
        </w:rPr>
        <w:t>huidos</w:t>
      </w:r>
      <w:r w:rsidRPr="00B32E73">
        <w:t xml:space="preserve"> e a coordenar-lhes os movimentos. Uma vez mais os chefes comunistas se destacavam dos outros dirigentes republicanos pelo interesse manifestado por um certo tipo de actividade guerrilheira</w:t>
      </w:r>
      <w:r w:rsidRPr="00B32E73">
        <w:rPr>
          <w:rStyle w:val="Refdenotaderodap"/>
        </w:rPr>
        <w:footnoteReference w:id="48"/>
      </w:r>
      <w:r w:rsidRPr="00B32E73">
        <w:t xml:space="preserve">. </w:t>
      </w:r>
      <w:r>
        <w:t xml:space="preserve">Mantendo </w:t>
      </w:r>
      <w:r w:rsidRPr="00B32E73">
        <w:t>a orientação conservadora</w:t>
      </w:r>
      <w:r>
        <w:t xml:space="preserve"> de sempre</w:t>
      </w:r>
      <w:r w:rsidRPr="00B32E73">
        <w:t xml:space="preserve">, o PCE instruía os seus agentes para procurarem apoio não só entre os jornaleiros e os pequenos camponeses mas também entre os lavradores abastados e mesmo entre os grandes proprietários agrícolas, os </w:t>
      </w:r>
      <w:r w:rsidRPr="00B32E73">
        <w:rPr>
          <w:i/>
        </w:rPr>
        <w:t>señoritos,</w:t>
      </w:r>
      <w:r w:rsidRPr="00B32E73">
        <w:t xml:space="preserve"> a troco de não interferirem na exploração das suas terras</w:t>
      </w:r>
      <w:r w:rsidRPr="00B32E73">
        <w:rPr>
          <w:rStyle w:val="Refdenotaderodap"/>
        </w:rPr>
        <w:footnoteReference w:id="49"/>
      </w:r>
      <w:r w:rsidRPr="00B32E73">
        <w:t xml:space="preserve">. Apesar disto, ou quem sabe se por isto mesmo, só em certas províncias o partido conseguiu enquadrar as guerrilhas autóctones e foram muito vastas as regiões onde a sua disciplina militarista não deixou </w:t>
      </w:r>
      <w:r w:rsidR="00BF1EB2">
        <w:t>nenhum</w:t>
      </w:r>
      <w:r w:rsidRPr="00B32E73">
        <w:t xml:space="preserve"> traço</w:t>
      </w:r>
      <w:r w:rsidRPr="00B32E73">
        <w:rPr>
          <w:rStyle w:val="Refdenotaderodap"/>
        </w:rPr>
        <w:footnoteReference w:id="50"/>
      </w:r>
      <w:r w:rsidRPr="00B32E73">
        <w:t xml:space="preserve">. Ao todo, parece que mais de sete mil homens e algumas mulheres </w:t>
      </w:r>
      <w:r w:rsidR="00BF1EB2">
        <w:t>—</w:t>
      </w:r>
      <w:r w:rsidRPr="00B32E73">
        <w:t xml:space="preserve"> além dos muitos milhares que os ajudaram de variadíssimas maneiras e sem os quais a guerrilha não teria podido subsistir </w:t>
      </w:r>
      <w:r w:rsidR="00BF1EB2">
        <w:t>—</w:t>
      </w:r>
      <w:r w:rsidRPr="00B32E73">
        <w:t xml:space="preserve"> andaram desde 1939 por montes e vales, por aldeias também, escondendo-se o melhor que sabiam e procurando opor-se, quando possível, às forças da repressão</w:t>
      </w:r>
      <w:r w:rsidRPr="00B32E73">
        <w:rPr>
          <w:rStyle w:val="Refdenotaderodap"/>
        </w:rPr>
        <w:footnoteReference w:id="51"/>
      </w:r>
      <w:r w:rsidRPr="00B32E73">
        <w:t xml:space="preserve">. Teriam valido muito há uma dezena de anos, mas agora era demasiado tarde. A guerra civil fora definitivamente perdida. Apesar disso, os guerrilheiros, tanto </w:t>
      </w:r>
      <w:r w:rsidRPr="00B32E73">
        <w:rPr>
          <w:i/>
        </w:rPr>
        <w:t>los huidos</w:t>
      </w:r>
      <w:r w:rsidRPr="00B32E73">
        <w:t xml:space="preserve"> como os novos recrutas, resistiram ainda bastante tempo, e nas sete províncias centro-meridionais só em 1955 os últimos combatentes abandonaram o território espanhol</w:t>
      </w:r>
      <w:r w:rsidRPr="00B32E73">
        <w:rPr>
          <w:rStyle w:val="Refdenotaderodap"/>
        </w:rPr>
        <w:footnoteReference w:id="52"/>
      </w:r>
      <w:r w:rsidRPr="00B32E73">
        <w:t xml:space="preserve">. </w:t>
      </w:r>
    </w:p>
    <w:p w:rsidR="00E5051F" w:rsidRPr="00B32E73" w:rsidRDefault="00E5051F" w:rsidP="0086056E">
      <w:pPr>
        <w:keepNext/>
        <w:tabs>
          <w:tab w:val="left" w:pos="720"/>
          <w:tab w:val="left" w:pos="3312"/>
        </w:tabs>
        <w:spacing w:before="720" w:after="360"/>
        <w:ind w:firstLine="0"/>
        <w:jc w:val="center"/>
        <w:rPr>
          <w:b/>
          <w:sz w:val="28"/>
        </w:rPr>
      </w:pPr>
      <w:r w:rsidRPr="00B32E73">
        <w:rPr>
          <w:b/>
          <w:sz w:val="28"/>
        </w:rPr>
        <w:t>3. As relações entre os fascistas e certos meios da extrema-esquerda</w:t>
      </w:r>
    </w:p>
    <w:p w:rsidR="00E5051F" w:rsidRPr="00B32E73" w:rsidRDefault="00E5051F" w:rsidP="00E5051F">
      <w:pPr>
        <w:tabs>
          <w:tab w:val="left" w:pos="720"/>
          <w:tab w:val="left" w:pos="3312"/>
        </w:tabs>
      </w:pPr>
      <w:r w:rsidRPr="00B32E73">
        <w:t xml:space="preserve">O problema é ainda mais complexo do que </w:t>
      </w:r>
      <w:r w:rsidR="00177072">
        <w:t>parece</w:t>
      </w:r>
      <w:r w:rsidRPr="00B32E73">
        <w:t xml:space="preserve">, porque a ausência de contactos sistemáticos entre as organizações sindicais e políticas da zona republicana e os seus companheiros no território </w:t>
      </w:r>
      <w:r w:rsidR="001F6BBB">
        <w:t>nacionalista</w:t>
      </w:r>
      <w:r w:rsidRPr="00B32E73">
        <w:t xml:space="preserve"> contrasta com as relações que até então </w:t>
      </w:r>
      <w:r w:rsidR="00D006DB">
        <w:t xml:space="preserve">os fascistas </w:t>
      </w:r>
      <w:r w:rsidRPr="00B32E73">
        <w:lastRenderedPageBreak/>
        <w:t>havia</w:t>
      </w:r>
      <w:r w:rsidR="00D006DB">
        <w:t>m</w:t>
      </w:r>
      <w:r w:rsidRPr="00B32E73">
        <w:t xml:space="preserve"> tecido com uma certa extrema-esquerda. Desde a sua génese o fascismo espanhol sofrera a sedução do sindicalismo anarquista, e durante os três anos de guerra civil pesou como uma ameaça sobre os generais nacionalistas e sobre os governantes republicanos a possibilidade da abertura de uma segunda linha de frente, que aliasse uma ou outra facção da Falange com alguns descontentes do anarquismo ou do marxismo. </w:t>
      </w:r>
    </w:p>
    <w:p w:rsidR="00E5051F" w:rsidRPr="00B32E73" w:rsidRDefault="00E5051F" w:rsidP="00E5051F">
      <w:pPr>
        <w:tabs>
          <w:tab w:val="left" w:pos="720"/>
          <w:tab w:val="left" w:pos="3312"/>
        </w:tabs>
      </w:pPr>
      <w:r w:rsidRPr="00B32E73">
        <w:t xml:space="preserve">O primeiro divulgador do fascismo em Espanha foi </w:t>
      </w:r>
      <w:r w:rsidR="008B06BE">
        <w:t>o</w:t>
      </w:r>
      <w:r w:rsidRPr="00B32E73">
        <w:t xml:space="preserve"> literato Ernesto Giménez Caballero, director de </w:t>
      </w:r>
      <w:r w:rsidRPr="00B32E73">
        <w:rPr>
          <w:i/>
        </w:rPr>
        <w:t>La Gaceta Literaria,</w:t>
      </w:r>
      <w:r w:rsidRPr="00B32E73">
        <w:t xml:space="preserve"> que fez a apologia dos pistoleiros anarquistas do seu país, herdeiros da tradição heróica dos Conquistadores e da antiga fé intransigente dos católicos, da mesma estirpe «dos toureiros, dos rufiões castigadores e apaixonados, da gente com sangue nas veias»</w:t>
      </w:r>
      <w:r w:rsidRPr="00B32E73">
        <w:rPr>
          <w:rStyle w:val="Refdenotaderodap"/>
        </w:rPr>
        <w:footnoteReference w:id="53"/>
      </w:r>
      <w:r w:rsidRPr="00B32E73">
        <w:t xml:space="preserve">. Este castiço iniciara como socialista a sua vida política, mas em 1928, na Itália, Malaparte ensinou-o a admirar Mussolini, cuja doutrina e formas de acção começou a difundir no ano seguinte, durante a ditadura de Primo de Rivera. No entanto, Giménez Caballero não andaria muito longe do outro grande modelo do fascismo, pois a primeira propaganda </w:t>
      </w:r>
      <w:r w:rsidR="001F6BBB">
        <w:t>nacional-socialista</w:t>
      </w:r>
      <w:r w:rsidRPr="00B32E73">
        <w:t xml:space="preserve"> realizada em Espanha, </w:t>
      </w:r>
      <w:r>
        <w:t xml:space="preserve">a cargo de </w:t>
      </w:r>
      <w:r w:rsidRPr="00B32E73">
        <w:t>alguns alemães residentes em Madrid, foi impressa na mesma tipografia que publicava a sua revista</w:t>
      </w:r>
      <w:r w:rsidRPr="00B32E73">
        <w:rPr>
          <w:rStyle w:val="Refdenotaderodap"/>
        </w:rPr>
        <w:footnoteReference w:id="54"/>
      </w:r>
      <w:r w:rsidRPr="00B32E73">
        <w:t xml:space="preserve">. </w:t>
      </w:r>
    </w:p>
    <w:p w:rsidR="00E5051F" w:rsidRPr="00B32E73" w:rsidRDefault="00E5051F" w:rsidP="00E5051F">
      <w:pPr>
        <w:tabs>
          <w:tab w:val="left" w:pos="720"/>
          <w:tab w:val="left" w:pos="3312"/>
        </w:tabs>
      </w:pPr>
      <w:r w:rsidRPr="00B32E73">
        <w:t xml:space="preserve">Por </w:t>
      </w:r>
      <w:r w:rsidRPr="00B32E73">
        <w:rPr>
          <w:i/>
        </w:rPr>
        <w:t>La Gaceta Literaria</w:t>
      </w:r>
      <w:r w:rsidRPr="00B32E73">
        <w:t xml:space="preserve"> passou um jovem licenciado em filosofia, Ramiro Ledesma Ramos, que também colaborou com ensaios sobre o pensamento germânico na </w:t>
      </w:r>
      <w:r w:rsidRPr="00B32E73">
        <w:rPr>
          <w:i/>
        </w:rPr>
        <w:t>Revista de Occidente</w:t>
      </w:r>
      <w:r w:rsidRPr="00B32E73">
        <w:t xml:space="preserve"> de Ortega y Gasset. A partir do final de 1930 Ledesma formulou a teoria, ou talvez mais exactamente </w:t>
      </w:r>
      <w:r w:rsidR="00002173">
        <w:t>a ilusão</w:t>
      </w:r>
      <w:r w:rsidRPr="00B32E73">
        <w:t xml:space="preserve">, de um fascismo que fosse não uma imitação de modelos exteriores mas o resultado das circunstâncias do país. Esta fidelidade às raízes nacionais aproximá-lo-ia dos conservadores se não se distinguisse deles pelo ardor da revolta e pela preocupação com temas sociais opostos aos valores burgueses da liberdade individual. É certo que fazia parte da tradição espanhola o patriotismo intransigente e potencialmente violento dos carlistas, </w:t>
      </w:r>
      <w:r w:rsidR="008B06BE">
        <w:t>defensores</w:t>
      </w:r>
      <w:r w:rsidRPr="00B32E73">
        <w:t xml:space="preserve"> de uma monarquia absoluta e da restauração dos grandes corpos sociais do </w:t>
      </w:r>
      <w:r w:rsidRPr="00B32E73">
        <w:rPr>
          <w:i/>
        </w:rPr>
        <w:t>Ancien Régime</w:t>
      </w:r>
      <w:r w:rsidRPr="00B32E73">
        <w:t>. Mas que atractivo poderiam estas múmias exercer sobre alguém como Ledesma, que apresentava a juventude como um valor político positivo</w:t>
      </w:r>
      <w:r w:rsidRPr="00B32E73">
        <w:rPr>
          <w:rStyle w:val="Refdenotaderodap"/>
        </w:rPr>
        <w:footnoteReference w:id="55"/>
      </w:r>
      <w:r w:rsidRPr="00B32E73">
        <w:t xml:space="preserve">? </w:t>
      </w:r>
      <w:r>
        <w:t xml:space="preserve">A sua simpatia pelo </w:t>
      </w:r>
      <w:r w:rsidRPr="00B32E73">
        <w:t xml:space="preserve">colectivismo </w:t>
      </w:r>
      <w:r>
        <w:t xml:space="preserve">situá-lo-ia na </w:t>
      </w:r>
      <w:r w:rsidRPr="00B32E73">
        <w:t xml:space="preserve">extrema-esquerda se, enquanto nacionalista, não recusasse o cosmopolitismo da vanguarda intelectual e o internacionalismo dos partidos marxistas. Existia, porém, uma corrente na extrema-esquerda espanhola que, sendo profundamente antimarxista e alheia a qualquer das Internacionais, podia figurar como um verdadeiro produto autóctone </w:t>
      </w:r>
      <w:r w:rsidR="001F6BBB">
        <w:t>—</w:t>
      </w:r>
      <w:r w:rsidRPr="00B32E73">
        <w:t xml:space="preserve"> o sindicalismo anarquista. A apreciação não era de todo </w:t>
      </w:r>
      <w:r w:rsidR="00002173">
        <w:t>falsa</w:t>
      </w:r>
      <w:r w:rsidRPr="00B32E73">
        <w:t xml:space="preserve"> nem demagógica, porque mais tarde, durante a guerra civil, a </w:t>
      </w:r>
      <w:r w:rsidRPr="00B32E73">
        <w:lastRenderedPageBreak/>
        <w:t xml:space="preserve">imprensa e as declarações públicas da CNT e da FAI deram abundantes provas de nacionalismo. Este é um aspecto que os historiadores de todos os matizes se esforçam por ignorar, mas que transparece ocasionalmente nas entrelinhas e de que resta o eco em certos livros de </w:t>
      </w:r>
      <w:r w:rsidR="002E199C" w:rsidRPr="00B32E73">
        <w:t>Memórias</w:t>
      </w:r>
      <w:r w:rsidRPr="00EE3DF1">
        <w:rPr>
          <w:vertAlign w:val="superscript"/>
        </w:rPr>
        <w:footnoteReference w:id="56"/>
      </w:r>
      <w:r w:rsidRPr="00B32E73">
        <w:t xml:space="preserve">. </w:t>
      </w:r>
    </w:p>
    <w:p w:rsidR="00E5051F" w:rsidRPr="00B32E73" w:rsidRDefault="00E5051F" w:rsidP="00E5051F">
      <w:pPr>
        <w:tabs>
          <w:tab w:val="left" w:pos="720"/>
          <w:tab w:val="left" w:pos="3312"/>
        </w:tabs>
      </w:pPr>
      <w:r w:rsidRPr="00B32E73">
        <w:t xml:space="preserve">O carácter hispânico do anarco-sindicalismo, conjugado com a sua violência, seduziu Ledesma, que se propôs resgatar a capacidade subversiva da CNT em prol de uma nova política nacionalista. Esta ambição de sintetizar os pólos opostos explica o nome que deu ao fascismo espanhol </w:t>
      </w:r>
      <w:r w:rsidR="00A068C5">
        <w:t>—</w:t>
      </w:r>
      <w:r w:rsidRPr="00B32E73">
        <w:t xml:space="preserve"> nacional-sindicalismo </w:t>
      </w:r>
      <w:r w:rsidR="00A068C5">
        <w:t>—</w:t>
      </w:r>
      <w:r w:rsidRPr="00B32E73">
        <w:t xml:space="preserve"> e inspirou a fundação, em Março de 1931, do semanário </w:t>
      </w:r>
      <w:r w:rsidRPr="00B32E73">
        <w:rPr>
          <w:i/>
        </w:rPr>
        <w:t>La Conquista del Estado</w:t>
      </w:r>
      <w:r w:rsidRPr="00B32E73">
        <w:t>. Giménez Caballero juntou a sua assinatura ao manifesto que lanç</w:t>
      </w:r>
      <w:r>
        <w:t>ou</w:t>
      </w:r>
      <w:r w:rsidRPr="00B32E73">
        <w:t xml:space="preserve"> o novo movimento, mas tudo o que Ledesma conseguiu arranjar foi um total de dez seguidores, que se dispersaram quando o jornal terminou a sua breve e insignificante existência em Outubro daquele ano</w:t>
      </w:r>
      <w:r w:rsidRPr="00B32E73">
        <w:rPr>
          <w:rStyle w:val="Refdenotaderodap"/>
        </w:rPr>
        <w:footnoteReference w:id="57"/>
      </w:r>
      <w:r w:rsidRPr="00B32E73">
        <w:t>. Ledesma não desistiu, porém, da dupla estratégia de estimular o pendor nacionalista de certos meios do anarquismo e renovar com eles o nacionalismo conservador. No final de 1931, quando o seu minúsculo círculo político se fundiu com as Juntas Castellanas de Actuación Hispánica, um grupo de choque criado pouco antes por Onésimo Redondo, as cores escolhidas para a nova organização, as Juntas de Ofensiva Nacional Sindicalista, dirigida conjuntamente por ambos os fundadores, foram o negro e o vermelho da bandeira libertária</w:t>
      </w:r>
      <w:r w:rsidRPr="00B32E73">
        <w:rPr>
          <w:rStyle w:val="Refdenotaderodap"/>
        </w:rPr>
        <w:footnoteReference w:id="58"/>
      </w:r>
      <w:r w:rsidRPr="00B32E73">
        <w:t xml:space="preserve">. </w:t>
      </w:r>
    </w:p>
    <w:p w:rsidR="00E5051F" w:rsidRPr="00B32E73" w:rsidRDefault="00E5051F" w:rsidP="00E5051F">
      <w:pPr>
        <w:tabs>
          <w:tab w:val="left" w:pos="720"/>
          <w:tab w:val="left" w:pos="3312"/>
        </w:tabs>
      </w:pPr>
      <w:r w:rsidRPr="00B32E73">
        <w:t xml:space="preserve">Outro dos nomes na génese do fascismo espanhol é o de Ramiro de Maeztu. Pertencia à célebre </w:t>
      </w:r>
      <w:r w:rsidRPr="00B32E73">
        <w:rPr>
          <w:i/>
        </w:rPr>
        <w:t>Generación del Noventa y Ocho,</w:t>
      </w:r>
      <w:r w:rsidRPr="00B32E73">
        <w:t xml:space="preserve"> a denominação criada por Azorín para designar a plêiade de intelectuais a quem se deveu o ressurgimento da cultura do país. Em 1898 não fo</w:t>
      </w:r>
      <w:r>
        <w:t>ra</w:t>
      </w:r>
      <w:r w:rsidRPr="00B32E73">
        <w:t xml:space="preserve"> só o exército espanhol a sair vencido da guerra com os Estados Unidos</w:t>
      </w:r>
      <w:r w:rsidR="00351B52">
        <w:t>,</w:t>
      </w:r>
      <w:r>
        <w:t xml:space="preserve"> </w:t>
      </w:r>
      <w:r w:rsidR="00351B52">
        <w:t>mas</w:t>
      </w:r>
      <w:r>
        <w:t xml:space="preserve"> </w:t>
      </w:r>
      <w:r w:rsidRPr="00B32E73">
        <w:t xml:space="preserve">também os últimos vestígios da ideia imperial </w:t>
      </w:r>
      <w:r>
        <w:t>haviam</w:t>
      </w:r>
      <w:r w:rsidRPr="00B32E73">
        <w:t xml:space="preserve"> perd</w:t>
      </w:r>
      <w:r>
        <w:t>ido</w:t>
      </w:r>
      <w:r w:rsidRPr="00B32E73">
        <w:t xml:space="preserve"> a pouca credibilidade que ainda lhes restava. Uma derrota que se converte em crise das instituições permite uma tomada de consciência e </w:t>
      </w:r>
      <w:r w:rsidR="00DE433B">
        <w:t>um</w:t>
      </w:r>
      <w:r w:rsidRPr="00B32E73">
        <w:t xml:space="preserve"> questionamento de valores. A partir </w:t>
      </w:r>
      <w:r w:rsidR="00DE433B">
        <w:t xml:space="preserve">de então </w:t>
      </w:r>
      <w:r w:rsidRPr="00B32E73">
        <w:t xml:space="preserve">afirmaram-se os nomes tutelares da filosofia, do romance, do ensaio, da poesia que abriram à reflexão e à modernidade a Espanha do século XX. O ensaísta político Ramiro de Maeztu não emparceira decerto com as figuras mais brilhantes deste movimento, mas nele participou, como bom número de outros pensadores, e foi progressivamente radicalizando as suas preocupações iniciais até chegar àquela forma extrema de liberalismo que é o anarquismo. Jornalista, embaixador, o antigo anarquista tornou-se depois um dos primeiros, e principais, teóricos do fascismo espanhol, unindo assim no seu percurso individual os dois pólos que Ledesma pretendia juntar </w:t>
      </w:r>
      <w:r w:rsidR="00DE433B">
        <w:t xml:space="preserve">no âmbito de um </w:t>
      </w:r>
      <w:r>
        <w:t>grupo</w:t>
      </w:r>
      <w:r w:rsidRPr="00B32E73">
        <w:t xml:space="preserve">. Aliás, Ramiro de </w:t>
      </w:r>
      <w:r w:rsidRPr="00B32E73">
        <w:lastRenderedPageBreak/>
        <w:t>Maeztu não foi só um teórico do fascismo, mas um prático também, conspirando contra a república menos de um mês depois de a monarquia ter caído e dirigindo uma revista que além de se dedicar à análise política e à propaganda encobria a preparação de um golpe militar</w:t>
      </w:r>
      <w:r w:rsidRPr="00B32E73">
        <w:rPr>
          <w:rStyle w:val="Refdenotaderodap"/>
        </w:rPr>
        <w:footnoteReference w:id="59"/>
      </w:r>
      <w:r w:rsidRPr="00B32E73">
        <w:t xml:space="preserve">. </w:t>
      </w:r>
    </w:p>
    <w:p w:rsidR="00E5051F" w:rsidRPr="00B32E73" w:rsidRDefault="00E5051F" w:rsidP="00E5051F">
      <w:pPr>
        <w:tabs>
          <w:tab w:val="left" w:pos="720"/>
          <w:tab w:val="left" w:pos="3312"/>
        </w:tabs>
      </w:pPr>
      <w:r w:rsidRPr="00B32E73">
        <w:t>Mas nenhum destes chefes sem seguidores conseguiu transferir para os factos o que poderia então aparecer como uma utopia. Foi José Antonio Primo de Rivera o primeiro, na prática, a ampliar ao outro lado do espectro político as alianças do fascismo. Apesar da sua notoriedade, o caso do primeiro secretário-geral do Partido Comunista, que rompeu com os correligionários e acabou por se inscrever na Falange</w:t>
      </w:r>
      <w:r w:rsidRPr="00B32E73">
        <w:rPr>
          <w:rStyle w:val="Refdenotaderodap"/>
        </w:rPr>
        <w:footnoteReference w:id="60"/>
      </w:r>
      <w:r w:rsidRPr="00B32E73">
        <w:t xml:space="preserve">, é pouco significativo, porque antes da guerra civil os comunistas quase não tiveram presença em Espanha e, sobretudo, porque era outro sector do movimento operário que interessava </w:t>
      </w:r>
      <w:r w:rsidR="00D006DB">
        <w:t>aos fascistas</w:t>
      </w:r>
      <w:r w:rsidRPr="00B32E73">
        <w:t xml:space="preserve">. Ao longo das mil páginas das suas </w:t>
      </w:r>
      <w:r w:rsidRPr="00B32E73">
        <w:rPr>
          <w:i/>
        </w:rPr>
        <w:t>Obras Completas,</w:t>
      </w:r>
      <w:r w:rsidRPr="00B32E73">
        <w:t xml:space="preserve"> a esquerda que José Antonio invectivava era exclusivamente composta pelos marxistas, sobretudo pelo Partido Comunista, e praticamente não se encontra nos seus discursos e textos qualquer menção crítica ao anarquismo. Mesmo quando referi</w:t>
      </w:r>
      <w:r>
        <w:t>u</w:t>
      </w:r>
      <w:r w:rsidRPr="00B32E73">
        <w:t xml:space="preserve"> a insurreição operária de Outubro de 1934 nas Astúrias </w:t>
      </w:r>
      <w:r w:rsidR="00B101D7">
        <w:t>—</w:t>
      </w:r>
      <w:r w:rsidRPr="00B32E73">
        <w:t xml:space="preserve"> e fê-lo inúmeras vezes </w:t>
      </w:r>
      <w:r w:rsidR="00B101D7">
        <w:t>—</w:t>
      </w:r>
      <w:r w:rsidRPr="00B32E73">
        <w:t xml:space="preserve"> o chefe da Falange jamais atac</w:t>
      </w:r>
      <w:r>
        <w:t>ou</w:t>
      </w:r>
      <w:r w:rsidRPr="00B32E73">
        <w:t xml:space="preserve"> os anarquistas ou sequer evoc</w:t>
      </w:r>
      <w:r>
        <w:t>ou</w:t>
      </w:r>
      <w:r w:rsidRPr="00B32E73">
        <w:t xml:space="preserve"> a sua participação. Já no começo de 1933 ele manifestara interesse pelo sindicalismo, concebendo-o como uma das bases da acção nacionalista, e num artigo publicado no final desse ano não poupou elogios à propaganda antieleitoral dos sindicatos anarquistas e anunciou que era entre estas massas proletárias revoltadas e descrentes no parlamento que o fascismo havia de encontrar seguidores. «Nós iremos a esses campos e aldeias de Espanha para converter em ímpeto o seu desespero. Para os incorporar num empreendimento colectivo», declam</w:t>
      </w:r>
      <w:r>
        <w:t>ou</w:t>
      </w:r>
      <w:r w:rsidRPr="00B32E73">
        <w:t xml:space="preserve"> José Antonio. «A nossa Espanha encontra-se por penhascos e despenhadeiros. Ali a encontraremos nós, enquanto no palácio do Parlamento certos grupos engaiolam a sua vitória sem asas»</w:t>
      </w:r>
      <w:r w:rsidRPr="00B32E73">
        <w:rPr>
          <w:rStyle w:val="Refdenotaderodap"/>
        </w:rPr>
        <w:footnoteReference w:id="61"/>
      </w:r>
      <w:r w:rsidRPr="00B32E73">
        <w:t xml:space="preserve">. </w:t>
      </w:r>
    </w:p>
    <w:p w:rsidR="00E5051F" w:rsidRPr="00B32E73" w:rsidRDefault="00E5051F" w:rsidP="00E5051F">
      <w:pPr>
        <w:tabs>
          <w:tab w:val="left" w:pos="720"/>
          <w:tab w:val="left" w:pos="3312"/>
        </w:tabs>
      </w:pPr>
      <w:r w:rsidRPr="00B32E73">
        <w:t xml:space="preserve">Desde o final de 1933 até ao final de 1935 José Antonio esforçou-se por chegar a um acordo com o Partido Sindicalista, que havia sido fundado em Abril de 1933 por Angel Pestaña, antigo dirigente da CNT, expulso da confederação em 1931 devido a um conflito com a FAI. O único êxito destas tentativas consistiu na passagem de alguns sindicalistas para a Falange, mas é revelador que as duas organizações tivessem ajustado uma declaração de princípios comum. O malogro da aliança deveu-se apenas a divergências tácticas, pois Pestaña exigia que o seu partido concorresse em lista separada às eleições do ano seguinte, o que aliás não o impediu de solicitar à Falange um subsídio para as suas próprias candidaturas na Catalunha. Nem se vá </w:t>
      </w:r>
      <w:r w:rsidRPr="00B32E73">
        <w:lastRenderedPageBreak/>
        <w:t>pensar que o jovem chefe fascista só se interessou por esta ala moderada do sindicalismo, porque aspirou simultaneamente a um entendimento com alguns membros da FAI, mesmo com o mais notável, Diego Abad de Santillán</w:t>
      </w:r>
      <w:r w:rsidRPr="00B32E73">
        <w:rPr>
          <w:rStyle w:val="Refdenotaderodap"/>
        </w:rPr>
        <w:footnoteReference w:id="62"/>
      </w:r>
      <w:r w:rsidRPr="00B32E73">
        <w:t>, e deu instruções para que a Falange de Barcelona estabelecesse contactos com Buenaventura Durruti e Francisco Ascaso, célebres responsáveis pelos principais atentados e acções anarquistas</w:t>
      </w:r>
      <w:r w:rsidRPr="00B32E73">
        <w:rPr>
          <w:rStyle w:val="Refdenotaderodap"/>
        </w:rPr>
        <w:footnoteReference w:id="63"/>
      </w:r>
      <w:r w:rsidRPr="00B32E73">
        <w:t xml:space="preserve">. A mesma orientação foi seguida noutros escalões da hierarquia. Em Saragoça, que aparecia como um bastião da CNT, o chefe provincial da Falange empenhou-se na propaganda junto aos sindicatos anarquistas e, apesar de não ter obtido um </w:t>
      </w:r>
      <w:r>
        <w:t>sucesso</w:t>
      </w:r>
      <w:r w:rsidRPr="00B32E73">
        <w:t xml:space="preserve"> espectacular, alguma coisa conseguiu porque em 1936, já começada a guerra civil, todos os seus guarda-costas eram antigos membros da CNT e da FAI</w:t>
      </w:r>
      <w:r w:rsidRPr="00B32E73">
        <w:rPr>
          <w:rStyle w:val="Refdenotaderodap"/>
        </w:rPr>
        <w:footnoteReference w:id="64"/>
      </w:r>
      <w:r w:rsidRPr="00B32E73">
        <w:t xml:space="preserve">. </w:t>
      </w:r>
    </w:p>
    <w:p w:rsidR="00E5051F" w:rsidRPr="00B32E73" w:rsidRDefault="00E5051F" w:rsidP="00E5051F">
      <w:pPr>
        <w:tabs>
          <w:tab w:val="left" w:pos="720"/>
          <w:tab w:val="left" w:pos="3312"/>
        </w:tabs>
      </w:pPr>
      <w:r w:rsidRPr="00B32E73">
        <w:t xml:space="preserve">Logo a seguir à vitória da Frente Popular nas eleições de Fevereiro de 1936 a Falange procurou agravar o descrédito da direita conservadora e atrair para o campo nacionalista as aspirações revolucionárias da esquerda. Neste sentido José Antonio redobrou os esforços para se aproximar dos dissidentes da CNT e do PSOE. </w:t>
      </w:r>
      <w:r>
        <w:t>Mostrarei</w:t>
      </w:r>
      <w:r w:rsidRPr="00B32E73">
        <w:t xml:space="preserve"> </w:t>
      </w:r>
      <w:r w:rsidR="00AC0429">
        <w:t>adiante</w:t>
      </w:r>
      <w:r w:rsidRPr="00B32E73">
        <w:t xml:space="preserve"> as suas relações com a ala moderada do socialismo, </w:t>
      </w:r>
      <w:r>
        <w:t xml:space="preserve">para me </w:t>
      </w:r>
      <w:r w:rsidRPr="00B32E73">
        <w:t>concentr</w:t>
      </w:r>
      <w:r>
        <w:t xml:space="preserve">ar </w:t>
      </w:r>
      <w:r w:rsidRPr="00B32E73">
        <w:t>agora nos elos tecidos com a extrema-esquerda. Nos meses que precederam a guerra civil um ou dois sectores da CNT da Andaluzia aderiram à Falange, e embora factos como este possam parecer insignificantes a alguns comentadores, a questão não se esclarece através da mera adição de números</w:t>
      </w:r>
      <w:r w:rsidRPr="00B32E73">
        <w:rPr>
          <w:rStyle w:val="Refdenotaderodap"/>
        </w:rPr>
        <w:footnoteReference w:id="65"/>
      </w:r>
      <w:r w:rsidRPr="00B32E73">
        <w:t xml:space="preserve">. Numa época de clivagens tão nítidas, quando nenhum anarco-sindicalista duvidava </w:t>
      </w:r>
      <w:r>
        <w:t xml:space="preserve">de </w:t>
      </w:r>
      <w:r w:rsidRPr="00B32E73">
        <w:t xml:space="preserve">que eclodiria em breve uma guerra de classes e quando toda a direita aguardava o golpe dos generais, e apesar de ter aumentado muito a frequência dos confrontos entre as milícias fascistas e os pistoleiros da esquerda, com um número crescente de mortos, o facto de terem continuado a tecer-se laços entre </w:t>
      </w:r>
      <w:r w:rsidR="00D006DB">
        <w:t xml:space="preserve">os dois pólos </w:t>
      </w:r>
      <w:r w:rsidR="00AC0429" w:rsidRPr="00B32E73">
        <w:t>radica</w:t>
      </w:r>
      <w:r w:rsidR="00D006DB">
        <w:t>is</w:t>
      </w:r>
      <w:r w:rsidR="00AC0429" w:rsidRPr="00B32E73">
        <w:t xml:space="preserve"> </w:t>
      </w:r>
      <w:r w:rsidRPr="00B32E73">
        <w:t xml:space="preserve">revela que a demagogia da Falange sobrevivera ao aprofundamento das oposições sociais. Apresentando-se o fascismo como a síntese do nacionalismo da direita e do radicalismo da esquerda, a questão essencial não consiste em determinar quantos efectuavam a passagem de um para outro campo, mas em saber se, sim ou não, o trânsito ocorria. Bastava </w:t>
      </w:r>
      <w:r w:rsidRPr="00B32E73">
        <w:lastRenderedPageBreak/>
        <w:t xml:space="preserve">que fossem poucos a realizar o percurso para que o fascismo sobrevivesse e se reproduzisse. Lembrando a sua actuação na Catalunha antes do levantamento militar de 17 de Julho de 1936, o então falangista García Venero disse que «estava encarregado, além de outras missões, de ir criando células de oposição nacional-sindicalista dentro da CNT </w:t>
      </w:r>
      <w:r w:rsidR="00AC0429">
        <w:t>—</w:t>
      </w:r>
      <w:r w:rsidRPr="00B32E73">
        <w:t xml:space="preserve"> as quais proliferaram durante a guerra </w:t>
      </w:r>
      <w:r w:rsidR="00AC0429">
        <w:t>—</w:t>
      </w:r>
      <w:r w:rsidRPr="00B32E73">
        <w:t xml:space="preserve"> e de incorporar na Falange os anarco-sindicalistas furiosos contra a República e dispostos a adoptar uma postura nacionalista»</w:t>
      </w:r>
      <w:r w:rsidRPr="00B32E73">
        <w:rPr>
          <w:rStyle w:val="Refdenotaderodap"/>
        </w:rPr>
        <w:footnoteReference w:id="66"/>
      </w:r>
      <w:r w:rsidRPr="00B32E73">
        <w:t xml:space="preserve">. Uma quinta coluna no coração do anarco-sindicalismo, e cujos membros ainda para mais se multiplicaram durante a guerra civil? Os extremos radicais de ambos os lados estreitando as ligações sobre </w:t>
      </w:r>
      <w:r w:rsidR="00AC0429">
        <w:t>—</w:t>
      </w:r>
      <w:r w:rsidRPr="00B32E73">
        <w:t xml:space="preserve"> e contra </w:t>
      </w:r>
      <w:r w:rsidR="00AC0429">
        <w:t>—</w:t>
      </w:r>
      <w:r w:rsidRPr="00B32E73">
        <w:t xml:space="preserve"> os moderados de um e outro campo? É pena que García Venero </w:t>
      </w:r>
      <w:r>
        <w:t xml:space="preserve">fosse </w:t>
      </w:r>
      <w:r w:rsidRPr="00B32E73">
        <w:t xml:space="preserve">tão discreto a respeito das consequências práticas </w:t>
      </w:r>
      <w:r>
        <w:t xml:space="preserve">que </w:t>
      </w:r>
      <w:r w:rsidRPr="00B32E73">
        <w:t xml:space="preserve">os seus contactos </w:t>
      </w:r>
      <w:r>
        <w:t xml:space="preserve">teriam </w:t>
      </w:r>
      <w:r w:rsidRPr="00B32E73">
        <w:t xml:space="preserve">após a rebelião dos generais. </w:t>
      </w:r>
    </w:p>
    <w:p w:rsidR="00E5051F" w:rsidRPr="00B32E73" w:rsidRDefault="00E5051F" w:rsidP="00E5051F">
      <w:pPr>
        <w:tabs>
          <w:tab w:val="left" w:pos="720"/>
          <w:tab w:val="left" w:pos="3312"/>
        </w:tabs>
      </w:pPr>
      <w:r w:rsidRPr="00B32E73">
        <w:t xml:space="preserve">O certo é que em Setembro de 1936, já em plena guerra civil, quando Agustín Aznar, chefe das milícias falangistas, se deslocou clandestinamente a Alicante numa tentativa de organizar a fuga de José Antonio, não contou apenas com o apoio da marinha e dos serviços diplomáticos </w:t>
      </w:r>
      <w:r w:rsidR="00825F9A">
        <w:t>do Terceiro Reich</w:t>
      </w:r>
      <w:r w:rsidRPr="00B32E73">
        <w:t>, mas igualmente com a ajuda de certos anarco-sindicalistas. Ouçamos o próprio Aznar</w:t>
      </w:r>
      <w:r w:rsidR="006D4B89">
        <w:t>:</w:t>
      </w:r>
      <w:r w:rsidRPr="00B32E73">
        <w:t xml:space="preserve"> «Falei com o chefe do sindicato dos trabalhadores do porto [de Alicante], pertencente à CNT [...] Compreendi que, sozinhos, aqueles membros da CNT não conseguiriam resgatar José Antonio e levá-lo até um navio alemão. Como o chefe sindicalista não se decidia, propus-lhe que me assinasse uma ordem de libertação, porque eu mesmo iria buscar José Antonio. Mas Diego Martínez Barrio, presidente do parlamento e delegado do governo vermelho nas províncias do Levante, havia determinado que para qualquer transferência do nosso preso a ordem devia ter várias assinaturas. Tudo o que consegui daqueles membros da CNT foi a promessa de que, no caso de haver um desembarque, tomariam conta da prisão, para evitar que se atentasse contra a vida de José Antonio»</w:t>
      </w:r>
      <w:r w:rsidRPr="00B32E73">
        <w:rPr>
          <w:rStyle w:val="Refdenotaderodap"/>
        </w:rPr>
        <w:footnoteReference w:id="67"/>
      </w:r>
      <w:r w:rsidRPr="00B32E73">
        <w:t xml:space="preserve">. Não sei o que considerar mais </w:t>
      </w:r>
      <w:r w:rsidR="00B57CBE">
        <w:t>significativo</w:t>
      </w:r>
      <w:r w:rsidRPr="00B32E73">
        <w:t xml:space="preserve">, se o facto de responsáveis anarco-sindicalistas, </w:t>
      </w:r>
      <w:r w:rsidR="00C24B0E">
        <w:t xml:space="preserve">durante a </w:t>
      </w:r>
      <w:r w:rsidRPr="00B32E73">
        <w:t xml:space="preserve">guerra civil, receberem a visita do chefe das milícias fascistas sem de imediato o aprisionar e fuzilar, se a discrição com que </w:t>
      </w:r>
      <w:r>
        <w:t xml:space="preserve">muitos </w:t>
      </w:r>
      <w:r w:rsidRPr="00B32E73">
        <w:t>historiadores volta</w:t>
      </w:r>
      <w:r>
        <w:t>m</w:t>
      </w:r>
      <w:r w:rsidRPr="00B32E73">
        <w:t xml:space="preserve"> a cara para o outro lado quando passa</w:t>
      </w:r>
      <w:r>
        <w:t>m</w:t>
      </w:r>
      <w:r w:rsidRPr="00B32E73">
        <w:t xml:space="preserve"> por estes episódios. Compromissos de tal natureza indicam que se haviam tecido relações estreitas entre a Falange e pessoas e grupos da CNT, e deixam presumir ou imaginar que mais iniciativas </w:t>
      </w:r>
      <w:r w:rsidR="00B57CBE">
        <w:t>poderiam</w:t>
      </w:r>
      <w:r w:rsidRPr="00B32E73">
        <w:t xml:space="preserve"> ocorr</w:t>
      </w:r>
      <w:r w:rsidR="00B57CBE">
        <w:t>er</w:t>
      </w:r>
      <w:r w:rsidRPr="00B32E73">
        <w:t xml:space="preserve"> durante a guerra civil. </w:t>
      </w:r>
    </w:p>
    <w:p w:rsidR="00E5051F" w:rsidRPr="00B32E73" w:rsidRDefault="00E5051F" w:rsidP="00E5051F">
      <w:pPr>
        <w:tabs>
          <w:tab w:val="left" w:pos="720"/>
          <w:tab w:val="left" w:pos="3312"/>
        </w:tabs>
      </w:pPr>
      <w:r w:rsidRPr="00B32E73">
        <w:t xml:space="preserve">Outras pontes houve a ligar o nacional-sindicalismo e o sindicalismo anarquista. Encontra-se uma passagem enigmática, decerto voluntariamente, naquele longo ajuste de contas que são as </w:t>
      </w:r>
      <w:r w:rsidR="002E199C" w:rsidRPr="00B32E73">
        <w:t xml:space="preserve">Memórias </w:t>
      </w:r>
      <w:r w:rsidRPr="00B32E73">
        <w:t>de García Oliver</w:t>
      </w:r>
      <w:r w:rsidR="00C24B0E">
        <w:t>:</w:t>
      </w:r>
      <w:r w:rsidRPr="00B32E73">
        <w:t xml:space="preserve"> «Foram os valencianos quem animou na CNT </w:t>
      </w:r>
      <w:r w:rsidRPr="00B32E73">
        <w:lastRenderedPageBreak/>
        <w:t>uma orientação reformista-revolucionária. Por vezes com personagens extravagantes [...] Mas também com homens de sólida estrutura obreirista, como [...] José Sánchez Requena, sindicalista jacobino, oscilando sempre entre os “tribunais de sangue” e os abraços aos falangistas»</w:t>
      </w:r>
      <w:r w:rsidRPr="00B32E73">
        <w:rPr>
          <w:rStyle w:val="Refdenotaderodap"/>
        </w:rPr>
        <w:footnoteReference w:id="68"/>
      </w:r>
      <w:r w:rsidRPr="00B32E73">
        <w:t>. Sánchez Requena, filiado no Partido Sindicalista, foi durante a guerra civil um dos vinte e tantos membros do chamado «tribunal de sangue», reunido à margem da lei para efectuar confidencialmente a execução de fascistas em Val</w:t>
      </w:r>
      <w:r>
        <w:t>e</w:t>
      </w:r>
      <w:r w:rsidRPr="00B32E73">
        <w:t>ncia. García Oliver afirm</w:t>
      </w:r>
      <w:r>
        <w:t>ou</w:t>
      </w:r>
      <w:r w:rsidRPr="00B32E73">
        <w:t xml:space="preserve"> que </w:t>
      </w:r>
      <w:r>
        <w:t>pusera</w:t>
      </w:r>
      <w:r w:rsidRPr="00B32E73">
        <w:t xml:space="preserve"> termo a estas sangrentas expedições nocturnas durante o período em que ocup</w:t>
      </w:r>
      <w:r>
        <w:t>ara</w:t>
      </w:r>
      <w:r w:rsidRPr="00B32E73">
        <w:t xml:space="preserve"> a pasta da Justiça, quando se encontrava em Val</w:t>
      </w:r>
      <w:r>
        <w:t>e</w:t>
      </w:r>
      <w:r w:rsidRPr="00B32E73">
        <w:t xml:space="preserve">ncia a sede do governo republicano, e na sua narrativa, curiosamente, </w:t>
      </w:r>
      <w:r>
        <w:t>foi</w:t>
      </w:r>
      <w:r w:rsidRPr="00B32E73">
        <w:t xml:space="preserve"> Sánchez Requena quem mais protest</w:t>
      </w:r>
      <w:r>
        <w:t>ou</w:t>
      </w:r>
      <w:r w:rsidRPr="00B32E73">
        <w:t xml:space="preserve"> contra a decisão do ministro, defendendo a continuação das liquidações secretas</w:t>
      </w:r>
      <w:r w:rsidRPr="00B32E73">
        <w:rPr>
          <w:rStyle w:val="Refdenotaderodap"/>
        </w:rPr>
        <w:footnoteReference w:id="69"/>
      </w:r>
      <w:r w:rsidRPr="00B32E73">
        <w:t>. A ser verdadeiro, que estranho comportamento o seu, abraçando os que havia de matar e transformando em cadáveres eventuais aliados! E na família Durruti, de arraigadas tradições revolucionárias, enquanto Buenaventura se tornara um dos nomes mais célebres do anarco-sindicalismo, «o seu irmão Pedro parece ter tido, antes da guerra, relações com a Falange», relat</w:t>
      </w:r>
      <w:r>
        <w:t>ou</w:t>
      </w:r>
      <w:r w:rsidRPr="00B32E73">
        <w:t xml:space="preserve"> um historiador. «Mas Pedro foi fuzilado em Agosto de 1936, em Leão, acusado de fazer parte de um grupo que tinha planeado um atentado contra o general Franco»</w:t>
      </w:r>
      <w:r w:rsidRPr="00B32E73">
        <w:rPr>
          <w:rStyle w:val="Refdenotaderodap"/>
        </w:rPr>
        <w:footnoteReference w:id="70"/>
      </w:r>
      <w:r w:rsidRPr="00B32E73">
        <w:t>. Seriam de espantar aqueles contactos de Pedro Durruti, quando sabemos, por um antigo membro da Falange, que o seu irmão Buenaventura e Francisco Ascaso «tinham habitado em Barcelona juntamente com alguns falangistas, por indicação expressa de José Antonio, antes do levantamento militar»</w:t>
      </w:r>
      <w:r w:rsidRPr="00B32E73">
        <w:rPr>
          <w:rStyle w:val="Refdenotaderodap"/>
        </w:rPr>
        <w:footnoteReference w:id="71"/>
      </w:r>
      <w:r w:rsidRPr="00B32E73">
        <w:t xml:space="preserve">? </w:t>
      </w:r>
    </w:p>
    <w:p w:rsidR="00E5051F" w:rsidRPr="00B32E73" w:rsidRDefault="00E5051F" w:rsidP="00E5051F">
      <w:pPr>
        <w:tabs>
          <w:tab w:val="left" w:pos="720"/>
          <w:tab w:val="left" w:pos="3312"/>
        </w:tabs>
      </w:pPr>
      <w:r w:rsidRPr="00B32E73">
        <w:t xml:space="preserve">As acusações </w:t>
      </w:r>
      <w:r>
        <w:t>lançadas</w:t>
      </w:r>
      <w:r w:rsidRPr="00B32E73">
        <w:t xml:space="preserve"> contra o POUM pelos comunistas stalinianos têm sido desprezadas por aqueles que não fazem parte da audiência cativa, mas existem indícios inquietantes. Nos </w:t>
      </w:r>
      <w:r>
        <w:t>meses</w:t>
      </w:r>
      <w:r w:rsidRPr="00B32E73">
        <w:t xml:space="preserve"> seguintes ao levantamento militar Joaquín Maurín, fundador </w:t>
      </w:r>
      <w:r>
        <w:t xml:space="preserve">e secretário-geral </w:t>
      </w:r>
      <w:r w:rsidRPr="00B32E73">
        <w:t xml:space="preserve">do POUM, era dado como morto, surpreendido pela rebelião dos generais na zona que escapou ao controlo </w:t>
      </w:r>
      <w:r w:rsidR="00161C26">
        <w:t>da república</w:t>
      </w:r>
      <w:r w:rsidRPr="00B32E73">
        <w:t xml:space="preserve">. </w:t>
      </w:r>
      <w:r>
        <w:t>Só em Maio ou Junho de 1937, quando haviam já começado as perseguições ao POUM na zona republicana, se soube que Maurín estava vivo e fora preso sob um nome falso, e em Setembro chegou a notícia de que o haviam entretanto identificado e o iam julgar. Parece que obteve o apoio de um primo, coronel capelão militar, que seria mais tarde bispo de Urgel</w:t>
      </w:r>
      <w:r>
        <w:rPr>
          <w:rStyle w:val="Refdenotaderodap"/>
        </w:rPr>
        <w:footnoteReference w:id="72"/>
      </w:r>
      <w:r>
        <w:t>. Mas era esta uma protecção suficiente para salvar a vida de alguém com tantas responsabilidades? Foi</w:t>
      </w:r>
      <w:r w:rsidRPr="00B32E73">
        <w:t xml:space="preserve"> outra, e grave, a versão de García Oliver</w:t>
      </w:r>
      <w:r w:rsidR="007574CF">
        <w:t>:</w:t>
      </w:r>
      <w:r>
        <w:t xml:space="preserve"> </w:t>
      </w:r>
      <w:r w:rsidRPr="00B32E73">
        <w:t xml:space="preserve">«[...] as pessoas perguntavam, admiradas, o que sucedia con Maurín, chefe do POUM, detido, ao que </w:t>
      </w:r>
      <w:r w:rsidRPr="00B32E73">
        <w:lastRenderedPageBreak/>
        <w:t>parecia, na zona franquista, e que não tinha sido fuzilado»</w:t>
      </w:r>
      <w:r w:rsidRPr="00B32E73">
        <w:rPr>
          <w:rStyle w:val="Refdenotaderodap"/>
        </w:rPr>
        <w:footnoteReference w:id="73"/>
      </w:r>
      <w:r w:rsidRPr="00B32E73">
        <w:t xml:space="preserve">. </w:t>
      </w:r>
      <w:r>
        <w:t>Beneficiando de sucessivos adiamentos do seu processo, Maurín foi julgado apenas em 1943 e condenado a trinta anos de prisão, posto em liberdade vigiada três anos mais tarde e autorizado a abandonar a Espanha em 1947</w:t>
      </w:r>
      <w:r>
        <w:rPr>
          <w:rStyle w:val="Refdenotaderodap"/>
        </w:rPr>
        <w:footnoteReference w:id="74"/>
      </w:r>
      <w:r>
        <w:t xml:space="preserve">. </w:t>
      </w:r>
      <w:r w:rsidRPr="00B32E73">
        <w:t xml:space="preserve">«Não temos conhecimento de </w:t>
      </w:r>
      <w:r w:rsidR="007574CF">
        <w:t>nenhum</w:t>
      </w:r>
      <w:r w:rsidRPr="00B32E73">
        <w:t xml:space="preserve"> republicano com uma categoria política equivalente à de José Antonio Primo de Rivera que tivesse caído nas mãos de Franco e salvasse a vida</w:t>
      </w:r>
      <w:r>
        <w:t xml:space="preserve">», </w:t>
      </w:r>
      <w:r w:rsidRPr="00B32E73">
        <w:t>escreve</w:t>
      </w:r>
      <w:r>
        <w:t>u</w:t>
      </w:r>
      <w:r w:rsidRPr="00AC0F27">
        <w:t xml:space="preserve"> </w:t>
      </w:r>
      <w:r w:rsidRPr="00B32E73">
        <w:t xml:space="preserve">um historiador erudito e minucioso. </w:t>
      </w:r>
      <w:r>
        <w:t>«</w:t>
      </w:r>
      <w:r w:rsidRPr="00B32E73">
        <w:t>Joaquín Maurín, [...] que se encontrava na Galiza quando eclodiu a guerra civil, esteve preso vários anos e foi finalmente libertado, mas não sei de nenhum outro deputado republicano que tivesse sido libertado em tais circunstâncias»</w:t>
      </w:r>
      <w:r w:rsidRPr="00B32E73">
        <w:rPr>
          <w:rStyle w:val="Refdenotaderodap"/>
        </w:rPr>
        <w:footnoteReference w:id="75"/>
      </w:r>
      <w:r w:rsidRPr="00B32E73">
        <w:t xml:space="preserve">. Teve sorte. </w:t>
      </w:r>
    </w:p>
    <w:p w:rsidR="00E5051F" w:rsidRPr="00B32E73" w:rsidRDefault="00E5051F" w:rsidP="00E5051F">
      <w:pPr>
        <w:tabs>
          <w:tab w:val="left" w:pos="720"/>
          <w:tab w:val="left" w:pos="3312"/>
        </w:tabs>
      </w:pPr>
      <w:r w:rsidRPr="00B32E73">
        <w:t>Sorte teve também o falangista Maximiano García Venero, que algum tempo antes do levantamento militar fora estabelecer-se em Barcelona, cumprindo instruções de José Antonio. Derrotados os generais na Catalunha, García Venero procurou fugir a bordo de um navio italiano, mas necessitava para isso de obter vistos no passaporte. Dirigiu-se a Julián Gork</w:t>
      </w:r>
      <w:r w:rsidR="004A61B9">
        <w:t>í</w:t>
      </w:r>
      <w:r w:rsidRPr="00B32E73">
        <w:t>n, um dos mais importantes dirigentes do POUM. «Gork</w:t>
      </w:r>
      <w:r w:rsidR="004A61B9">
        <w:t>í</w:t>
      </w:r>
      <w:r w:rsidRPr="00B32E73">
        <w:t>n e eu estávamos ligados por uma afectuosa amizade, que teve origem em afinidades literárias. Em certas ocasiões proporcionei-lhe alguns serviços amigáveis</w:t>
      </w:r>
      <w:r w:rsidR="002A6C83">
        <w:t xml:space="preserve">», contou </w:t>
      </w:r>
      <w:r w:rsidR="002A6C83" w:rsidRPr="00B32E73">
        <w:t>García Venero</w:t>
      </w:r>
      <w:r w:rsidRPr="00B32E73">
        <w:t xml:space="preserve">. </w:t>
      </w:r>
      <w:r w:rsidR="002A6C83">
        <w:t>«</w:t>
      </w:r>
      <w:r w:rsidRPr="00B32E73">
        <w:t>Depois de ter a garantia de que era possível sair de Espanha num navio italiano, decidi visitar Gork</w:t>
      </w:r>
      <w:r w:rsidR="004A61B9">
        <w:t>í</w:t>
      </w:r>
      <w:r w:rsidRPr="00B32E73">
        <w:t xml:space="preserve">n para que me ajudasse a arranjar o visto, que devia ser duplo, do Comité de Milícias Antifascistas e da Chancelaria do Governo da </w:t>
      </w:r>
      <w:r w:rsidRPr="00B32E73">
        <w:rPr>
          <w:i/>
        </w:rPr>
        <w:t>Generalidad</w:t>
      </w:r>
      <w:r w:rsidRPr="00B32E73">
        <w:t>. Gorkín, que eu não via desde 1934, ignorava qual era a minha posição política naqueles dias de Julho. Expliquei-lhe que a minha presença em Barcelona era meramente fortuita e ele ajudou-me, como era seu dever de amigo»</w:t>
      </w:r>
      <w:r w:rsidRPr="00B32E73">
        <w:rPr>
          <w:rStyle w:val="Refdenotaderodap"/>
        </w:rPr>
        <w:footnoteReference w:id="76"/>
      </w:r>
      <w:r w:rsidRPr="00B32E73">
        <w:t xml:space="preserve">. Aparentemente García Venero teve uma sorte tão dupla como o visto, não só por um político da importância de Gorkín desconhecer as suas actividades de falangista, mas ainda por mostrar empenho em ajudar alguém que pretendia </w:t>
      </w:r>
      <w:r w:rsidR="004C1093">
        <w:t xml:space="preserve">abandonar </w:t>
      </w:r>
      <w:r w:rsidRPr="00B32E73">
        <w:t xml:space="preserve">o território da república, o que era um indício suficiente para causar fortes suspeitas. O pretexto da amizade literária não é convincente e talvez existissem a nível pessoal relações entre as áreas políticas da Falange e do POUM. Na medida em que se opunha à Terceira Internacional e recusara a filiação na Quarta Internacional, o POUM constituía, tal como o anarco-sindicalismo, um fenómeno especificamente espanhol, o que decerto contava na apreciação dos falangistas. </w:t>
      </w:r>
    </w:p>
    <w:p w:rsidR="00E5051F" w:rsidRPr="00B32E73" w:rsidRDefault="00E5051F" w:rsidP="0086056E">
      <w:pPr>
        <w:keepNext/>
        <w:tabs>
          <w:tab w:val="left" w:pos="720"/>
          <w:tab w:val="left" w:pos="3312"/>
        </w:tabs>
        <w:spacing w:before="720" w:after="360"/>
        <w:ind w:firstLine="0"/>
        <w:jc w:val="center"/>
        <w:rPr>
          <w:b/>
          <w:sz w:val="28"/>
        </w:rPr>
      </w:pPr>
      <w:r w:rsidRPr="00B32E73">
        <w:rPr>
          <w:b/>
          <w:sz w:val="28"/>
        </w:rPr>
        <w:lastRenderedPageBreak/>
        <w:t>4. As tensões no interior do fascismo</w:t>
      </w:r>
    </w:p>
    <w:p w:rsidR="00E5051F" w:rsidRPr="00B32E73" w:rsidRDefault="00E5051F" w:rsidP="00E5051F">
      <w:pPr>
        <w:tabs>
          <w:tab w:val="left" w:pos="720"/>
          <w:tab w:val="left" w:pos="3312"/>
        </w:tabs>
      </w:pPr>
      <w:r w:rsidRPr="00B32E73">
        <w:t>A par das simpatias ideológicas e das relações políticas que antes de Julho de 1936 se puderam tecer entre o fascismo e alguns meios da esquerda radical, convém não esquecer a animosidade e as fricções que repetidamente surgiram entre os dirigentes fascistas e as duas instituições mais marcantes da sociedade conservadora, a Igreja e o exército. É certo que Giménez Caballero, apologista de Mussolini, incluía o catolicismo entre os elementos componentes da cultura latina e Roma era para ele, ao mesmo tempo, a capital do fascismo e do papa</w:t>
      </w:r>
      <w:r w:rsidRPr="00B32E73">
        <w:rPr>
          <w:rStyle w:val="Refdenotaderodap"/>
        </w:rPr>
        <w:footnoteReference w:id="77"/>
      </w:r>
      <w:r w:rsidRPr="00B32E73">
        <w:t>. Católico era também Onésimo Redondo</w:t>
      </w:r>
      <w:r w:rsidRPr="00B32E73">
        <w:rPr>
          <w:rStyle w:val="Refdenotaderodap"/>
        </w:rPr>
        <w:footnoteReference w:id="78"/>
      </w:r>
      <w:r w:rsidRPr="00B32E73">
        <w:t>, co-fundador das JONS em 1931, com Ledesma Ramos. Estes dois viam no catolicismo uma expressão das tradições rácicas da Espanha, e apesar disso distanciavam-se da Igreja, tal como ela se apresentava na época, e criticavam a CEDA, a organização política mais intimamente ligada aos dignitários religiosos</w:t>
      </w:r>
      <w:r w:rsidRPr="00B32E73">
        <w:rPr>
          <w:rStyle w:val="Refdenotaderodap"/>
        </w:rPr>
        <w:footnoteReference w:id="79"/>
      </w:r>
      <w:r w:rsidRPr="00B32E73">
        <w:t>. No ano seguinte, embora Redondo tivesse uma pequena participação nos preparativos do frustrado golpe militar encabeçado pelo general Sanjurjo, era com desprezo que Ramiro Ledesma considerava o conservadorismo reinante entre os oficiais</w:t>
      </w:r>
      <w:r w:rsidRPr="00B32E73">
        <w:rPr>
          <w:rStyle w:val="Refdenotaderodap"/>
        </w:rPr>
        <w:footnoteReference w:id="80"/>
      </w:r>
      <w:r w:rsidRPr="00B32E73">
        <w:t>. E quando, em 1934, o seu partido se fundiu com a organização criada por José Antonio, dando origem à Falange Española de las JONS, Ledesma, membro do triunvirato dirigente, insisti</w:t>
      </w:r>
      <w:r>
        <w:t>u</w:t>
      </w:r>
      <w:r w:rsidRPr="00B32E73">
        <w:t xml:space="preserve"> que não se aceitassem filiados com mais de quarenta e cinco anos</w:t>
      </w:r>
      <w:r w:rsidRPr="00B32E73">
        <w:rPr>
          <w:rStyle w:val="Refdenotaderodap"/>
        </w:rPr>
        <w:footnoteReference w:id="81"/>
      </w:r>
      <w:r w:rsidRPr="00B32E73">
        <w:t xml:space="preserve">. Não se encontrariam decerto muitos generais com esta idade, ainda que Francisco Franco escapasse pela tangente na data do levantamento militar. Com igual inspiração, ao ficar encarregado do programa do novo partido, publicado em Novembro de 1934, Ledesma suscitou grande </w:t>
      </w:r>
      <w:r w:rsidR="002001FF">
        <w:t>celeuma</w:t>
      </w:r>
      <w:r w:rsidRPr="00B32E73">
        <w:t xml:space="preserve"> nos meios de direita, postulando que, embora a Falange se reconhecesse como católica, a Igreja não seria autorizada a intervir nas questões seculares</w:t>
      </w:r>
      <w:r w:rsidRPr="00B32E73">
        <w:rPr>
          <w:rStyle w:val="Refdenotaderodap"/>
        </w:rPr>
        <w:footnoteReference w:id="82"/>
      </w:r>
      <w:r w:rsidRPr="00B32E73">
        <w:t xml:space="preserve">. </w:t>
      </w:r>
    </w:p>
    <w:p w:rsidR="00E5051F" w:rsidRPr="00B32E73" w:rsidRDefault="00E5051F" w:rsidP="00E5051F">
      <w:pPr>
        <w:tabs>
          <w:tab w:val="left" w:pos="720"/>
          <w:tab w:val="left" w:pos="3312"/>
        </w:tabs>
      </w:pPr>
      <w:r w:rsidRPr="00B32E73">
        <w:t xml:space="preserve">As tensões no interior do fascismo tornaram-se demasiado fortes. Menos de um ano depois da unificação das JONS com a Falange foi expulso Ledesma, que censurara a José Antonio a sua subserviência perante a Igreja e as classes dominantes. E no entanto, nas eleições de 16 de Fevereiro de 1936 esta mesma Falange </w:t>
      </w:r>
      <w:r>
        <w:t>foi</w:t>
      </w:r>
      <w:r w:rsidRPr="00B32E73">
        <w:t xml:space="preserve"> deixada de fora pela direita conservadora, sem lugar nas listas de deputados da Frente Nacional, o que custaria a José </w:t>
      </w:r>
      <w:r w:rsidRPr="00B32E73">
        <w:lastRenderedPageBreak/>
        <w:t>Antonio a cadeira que havia ocupado no parlamento</w:t>
      </w:r>
      <w:r w:rsidRPr="00B32E73">
        <w:rPr>
          <w:rStyle w:val="Refdenotaderodap"/>
        </w:rPr>
        <w:footnoteReference w:id="83"/>
      </w:r>
      <w:r w:rsidRPr="00B32E73">
        <w:t xml:space="preserve">. Logo após a derrota eleitoral da direita, numa circular com data de 21 de Fevereiro José Antonio deu instruções aos chefes locais da Falange para não se deixarem aliciar por </w:t>
      </w:r>
      <w:r w:rsidR="002001FF">
        <w:t>nenhum</w:t>
      </w:r>
      <w:r w:rsidRPr="00B32E73">
        <w:t xml:space="preserve"> movimento militar </w:t>
      </w:r>
      <w:r w:rsidR="00A43788">
        <w:t>nem</w:t>
      </w:r>
      <w:r w:rsidR="002001FF">
        <w:t xml:space="preserve"> </w:t>
      </w:r>
      <w:r w:rsidRPr="00B32E73">
        <w:t>por alianças com as forças da direita</w:t>
      </w:r>
      <w:r w:rsidRPr="00B32E73">
        <w:rPr>
          <w:rStyle w:val="Refdenotaderodap"/>
        </w:rPr>
        <w:footnoteReference w:id="84"/>
      </w:r>
      <w:r w:rsidRPr="00B32E73">
        <w:t xml:space="preserve"> e indicou aos editorialistas do </w:t>
      </w:r>
      <w:r w:rsidRPr="00B32E73">
        <w:rPr>
          <w:i/>
        </w:rPr>
        <w:t>Arriba</w:t>
      </w:r>
      <w:r w:rsidRPr="00B32E73">
        <w:t xml:space="preserve"> que poupassem os políticos liberais da Frente Popular e concentrassem os ataques nos conservadores</w:t>
      </w:r>
      <w:r w:rsidRPr="00B32E73">
        <w:rPr>
          <w:rStyle w:val="Refdenotaderodap"/>
        </w:rPr>
        <w:footnoteReference w:id="85"/>
      </w:r>
      <w:r w:rsidRPr="00B32E73">
        <w:t>. Ilegalizado o partido em meados de Março e detidos os principais dirigentes, José Antonio entrou para as prisões de onde nunca mais sairia com vida e as primeiras directivas que dali enviou estipula</w:t>
      </w:r>
      <w:r>
        <w:t>r</w:t>
      </w:r>
      <w:r w:rsidRPr="00B32E73">
        <w:t>am que os chefes locais tomassem disposições para um golpe de Estado, que a Falange tencionava prosseguir sozinha e sem alianças</w:t>
      </w:r>
      <w:r w:rsidRPr="00B32E73">
        <w:rPr>
          <w:rStyle w:val="Refdenotaderodap"/>
        </w:rPr>
        <w:footnoteReference w:id="86"/>
      </w:r>
      <w:r w:rsidRPr="00B32E73">
        <w:t>. No mês seguinte, já em plena preparação do levantamento militar, a direcção da Falange continu</w:t>
      </w:r>
      <w:r>
        <w:t>ou</w:t>
      </w:r>
      <w:r w:rsidRPr="00B32E73">
        <w:t xml:space="preserve"> a expressar a sua desconfiança relativamente aos generais, declarando que os militantes fascistas não lhes serviriam de tropa de choque</w:t>
      </w:r>
      <w:r w:rsidRPr="00B32E73">
        <w:rPr>
          <w:rStyle w:val="Refdenotaderodap"/>
        </w:rPr>
        <w:footnoteReference w:id="87"/>
      </w:r>
      <w:r w:rsidRPr="00B32E73">
        <w:t>. Só em Maio José Antonio começou a aproximar-se dos oficiais conluiados e no final do mês encetou a correspondência com o general Mola, chefe da conspiração</w:t>
      </w:r>
      <w:r w:rsidRPr="00B32E73">
        <w:rPr>
          <w:rStyle w:val="Refdenotaderodap"/>
        </w:rPr>
        <w:footnoteReference w:id="88"/>
      </w:r>
      <w:r w:rsidRPr="00B32E73">
        <w:t>. Mas ainda em 20 de Junho apelou para que fosse mantida a vigilância perante a direita, recordando aos seus fiéis que «a Falange não é uma força conservadora»</w:t>
      </w:r>
      <w:r w:rsidRPr="00B32E73">
        <w:rPr>
          <w:rStyle w:val="Refdenotaderodap"/>
        </w:rPr>
        <w:footnoteReference w:id="89"/>
      </w:r>
      <w:r w:rsidRPr="00B32E73">
        <w:t>. E, nas instruções que enviou nove dias depois aos chefes locais acerca da sua participação no levantamento, José Antonio estipulou que as unidades da Falange preservassem a identidade própria e que em cada localidade apenas um terço dos efectivos fosse colocado sob o comando dos militares</w:t>
      </w:r>
      <w:r w:rsidRPr="00B32E73">
        <w:rPr>
          <w:rStyle w:val="Refdenotaderodap"/>
        </w:rPr>
        <w:footnoteReference w:id="90"/>
      </w:r>
      <w:r w:rsidRPr="00B32E73">
        <w:t xml:space="preserve">. Mola, porém, nunca deu ao Chefe Nacional da Falange </w:t>
      </w:r>
      <w:r w:rsidR="002001FF">
        <w:t>nenhumas</w:t>
      </w:r>
      <w:r w:rsidRPr="00B32E73">
        <w:t xml:space="preserve"> garantias políticas</w:t>
      </w:r>
      <w:r w:rsidRPr="00B32E73">
        <w:rPr>
          <w:rStyle w:val="Refdenotaderodap"/>
        </w:rPr>
        <w:footnoteReference w:id="91"/>
      </w:r>
      <w:r w:rsidRPr="00B32E73">
        <w:t xml:space="preserve">. </w:t>
      </w:r>
    </w:p>
    <w:p w:rsidR="00E5051F" w:rsidRPr="00B32E73" w:rsidRDefault="00E5051F" w:rsidP="00E5051F">
      <w:pPr>
        <w:tabs>
          <w:tab w:val="left" w:pos="720"/>
          <w:tab w:val="left" w:pos="3312"/>
        </w:tabs>
      </w:pPr>
      <w:r w:rsidRPr="00B32E73">
        <w:t xml:space="preserve">José Antonio não estava em condições de ditar as regras do jogo, e sabia-o bem. </w:t>
      </w:r>
      <w:r>
        <w:t>Foi</w:t>
      </w:r>
      <w:r w:rsidRPr="00B32E73">
        <w:t xml:space="preserve"> um futuro sombrio que traç</w:t>
      </w:r>
      <w:r>
        <w:t>ou</w:t>
      </w:r>
      <w:r w:rsidRPr="00B32E73">
        <w:t xml:space="preserve"> na circular de 24 de Junho de 1936 dirigida aos chefes territoriais e provinciais do seu partido, quando previ</w:t>
      </w:r>
      <w:r>
        <w:t>u</w:t>
      </w:r>
      <w:r w:rsidRPr="00B32E73">
        <w:t xml:space="preserve"> que a participação num movimento militar hegemonizado pela direita conservadora e em que a Falange se limitasse a constituir uma milícia, sem conseguir impor um Estado totalitário nacional-sindicalista, «teria como consequência </w:t>
      </w:r>
      <w:r w:rsidRPr="00B32E73">
        <w:rPr>
          <w:i/>
        </w:rPr>
        <w:t>o seu total desaparecimento, mesmo no caso de um triunfo</w:t>
      </w:r>
      <w:r w:rsidRPr="00B32E73">
        <w:t>»</w:t>
      </w:r>
      <w:r w:rsidRPr="00B32E73">
        <w:rPr>
          <w:rStyle w:val="Refdenotaderodap"/>
        </w:rPr>
        <w:footnoteReference w:id="92"/>
      </w:r>
      <w:r w:rsidRPr="00B32E73">
        <w:t xml:space="preserve">. Estavam semeadas as dissensões que tanto se iriam agravar no começo da guerra civil, quando a Falange se viu parceiro menor do exército e da Igreja. </w:t>
      </w:r>
    </w:p>
    <w:p w:rsidR="00E5051F" w:rsidRPr="00B32E73" w:rsidRDefault="00E5051F" w:rsidP="0086056E">
      <w:pPr>
        <w:pStyle w:val="Corpodetexto2"/>
        <w:spacing w:before="720"/>
        <w:jc w:val="center"/>
        <w:rPr>
          <w:rFonts w:ascii="Arial Narrow" w:hAnsi="Arial Narrow"/>
        </w:rPr>
      </w:pPr>
      <w:r w:rsidRPr="00B32E73">
        <w:rPr>
          <w:rFonts w:ascii="Arial Narrow" w:hAnsi="Arial Narrow"/>
        </w:rPr>
        <w:lastRenderedPageBreak/>
        <w:t>5. «Que venham a nós t</w:t>
      </w:r>
      <w:r w:rsidR="001D6FC7">
        <w:rPr>
          <w:rFonts w:ascii="Arial Narrow" w:hAnsi="Arial Narrow"/>
        </w:rPr>
        <w:t>odos os marxistas que quiserem.</w:t>
      </w:r>
      <w:r w:rsidR="001D6FC7">
        <w:rPr>
          <w:rFonts w:ascii="Arial Narrow" w:hAnsi="Arial Narrow"/>
        </w:rPr>
        <w:br/>
      </w:r>
      <w:r w:rsidRPr="00B32E73">
        <w:rPr>
          <w:rFonts w:ascii="Arial Narrow" w:hAnsi="Arial Narrow"/>
        </w:rPr>
        <w:t>Recebê-los-ei de braços abertos!»</w:t>
      </w:r>
    </w:p>
    <w:p w:rsidR="00E5051F" w:rsidRPr="00B32E73" w:rsidRDefault="00E5051F" w:rsidP="00E5051F">
      <w:pPr>
        <w:tabs>
          <w:tab w:val="left" w:pos="720"/>
          <w:tab w:val="left" w:pos="3312"/>
        </w:tabs>
      </w:pPr>
      <w:r w:rsidRPr="00B32E73">
        <w:t xml:space="preserve">A linha divisória da Espanha em Julho de 1936 abalou profundamente a Falange. Onésimo Redondo foi morto numa emboscada, José Antonio estava numa prisão republicana, o que sucedia também com Fernández Cuesta, Ruiz de Alda e outros dirigentes. E fascistas de renome, como Ledesma Ramos, encontravam-se igualmente detidos, ou impossibilitados, como Ramiro de Maeztu, de cruzar as linhas de frente e se juntar aos revoltosos. Nas primeiras semanas, sem alguns dos chefes mais conhecidos, esvaziada de boa parte dos seus membros, tantos deles tão recentes, a Falange pouco valia. </w:t>
      </w:r>
    </w:p>
    <w:p w:rsidR="00E5051F" w:rsidRDefault="00E5051F" w:rsidP="00E5051F">
      <w:pPr>
        <w:tabs>
          <w:tab w:val="left" w:pos="720"/>
          <w:tab w:val="left" w:pos="3312"/>
        </w:tabs>
      </w:pPr>
      <w:r w:rsidRPr="00B32E73">
        <w:t xml:space="preserve">Mas a situação mudou rapidamente. Que instituição poderia acolher os civis que pretendessem apoiar o levantamento e todos os outros, muitos mais decerto, que procurassem abrigar-se das desconfianças sob um uniforme insuspeito? </w:t>
      </w:r>
      <w:r w:rsidR="0044798D" w:rsidRPr="00B32E73">
        <w:t xml:space="preserve">Os </w:t>
      </w:r>
      <w:r w:rsidRPr="00B32E73">
        <w:t xml:space="preserve">carlistas, com o seu absolutismo arcaico, só eram capazes de seduzir camponeses ignorantes, como os de Navarra, e um ou outro </w:t>
      </w:r>
      <w:r w:rsidRPr="00B32E73">
        <w:rPr>
          <w:i/>
        </w:rPr>
        <w:t>snob,</w:t>
      </w:r>
      <w:r w:rsidRPr="00B32E73">
        <w:t xml:space="preserve"> romântico tardio. Restavam as camisas azuis da Falange para vestir toda aquela gente, e depressa o número dos antigos filiados foi ultrapassado pelo dos novos</w:t>
      </w:r>
      <w:r w:rsidRPr="00B32E73">
        <w:rPr>
          <w:rStyle w:val="Refdenotaderodap"/>
        </w:rPr>
        <w:footnoteReference w:id="93"/>
      </w:r>
      <w:r w:rsidRPr="00B32E73">
        <w:t xml:space="preserve">. De onde vinham eles? De variados horizontes políticos, sem dúvida, e mesmo </w:t>
      </w:r>
      <w:r>
        <w:t>da</w:t>
      </w:r>
      <w:r w:rsidRPr="00B32E73">
        <w:t xml:space="preserve"> </w:t>
      </w:r>
      <w:r>
        <w:t>tímida</w:t>
      </w:r>
      <w:r w:rsidRPr="00B32E73">
        <w:t xml:space="preserve"> indiferença, mas segundo Dionisio Ridruejo um quinto dos novos membros era originário da esquerda</w:t>
      </w:r>
      <w:r w:rsidRPr="00B32E73">
        <w:rPr>
          <w:rStyle w:val="Refdenotaderodap"/>
        </w:rPr>
        <w:footnoteReference w:id="94"/>
      </w:r>
      <w:r w:rsidR="00D26B43">
        <w:t xml:space="preserve"> e Paul Marion afirmou que durante o primeiro ano da guerra civil aderiu à Falange «um grande número de antigos anarquistas, sindicalistas, comunistas e socialistas»</w:t>
      </w:r>
      <w:r w:rsidR="00D26B43">
        <w:rPr>
          <w:rStyle w:val="Refdenotaderodap"/>
        </w:rPr>
        <w:footnoteReference w:id="95"/>
      </w:r>
      <w:r w:rsidRPr="00B32E73">
        <w:t xml:space="preserve">. Em muitas regiões foi testemunhada a adesão rápida e </w:t>
      </w:r>
      <w:r w:rsidR="006B0F07">
        <w:t>massiv</w:t>
      </w:r>
      <w:r w:rsidRPr="00B32E73">
        <w:t>a de pessoas que até então haviam militado nas organizações de esquerda ou entre os liberais, e est</w:t>
      </w:r>
      <w:r w:rsidR="0044798D">
        <w:t>a</w:t>
      </w:r>
      <w:r w:rsidRPr="00B32E73">
        <w:t xml:space="preserve"> </w:t>
      </w:r>
      <w:r w:rsidR="0044798D">
        <w:t xml:space="preserve">transferência </w:t>
      </w:r>
      <w:r w:rsidRPr="00B32E73">
        <w:t>tornou-se tão avassalador</w:t>
      </w:r>
      <w:r w:rsidR="0044798D">
        <w:t>a</w:t>
      </w:r>
      <w:r w:rsidRPr="00B32E73">
        <w:t xml:space="preserve"> que durante as grandes perseguições efectuadas logo após o fim da guerra civil as autoridades verificaram que boa parte dos presos era constituída por filiados na Falange</w:t>
      </w:r>
      <w:r w:rsidRPr="00B32E73">
        <w:rPr>
          <w:rStyle w:val="Refdenotaderodap"/>
        </w:rPr>
        <w:footnoteReference w:id="96"/>
      </w:r>
      <w:r w:rsidRPr="00B32E73">
        <w:t xml:space="preserve">. </w:t>
      </w:r>
    </w:p>
    <w:p w:rsidR="00E5051F" w:rsidRPr="00B32E73" w:rsidRDefault="00E5051F" w:rsidP="00E5051F">
      <w:pPr>
        <w:tabs>
          <w:tab w:val="left" w:pos="720"/>
          <w:tab w:val="left" w:pos="3312"/>
        </w:tabs>
      </w:pPr>
      <w:r w:rsidRPr="00B32E73">
        <w:lastRenderedPageBreak/>
        <w:t>Se se haviam inscrito para salvar a pele pouco importa. Embora de sinal inverso, correspondiam, na zona nacionalista, a toda aquela gente da direita, aos proprietári</w:t>
      </w:r>
      <w:r w:rsidR="008A652C">
        <w:t>os, aos moderados, aos receosos</w:t>
      </w:r>
      <w:r w:rsidRPr="00B32E73">
        <w:t xml:space="preserve"> que na zona republicana entraram no Partido Comunista e lhe forneceram uma base sólida para a orientação anti-revolucionária e socialmente conservadora que defendia</w:t>
      </w:r>
      <w:r w:rsidRPr="00B32E73">
        <w:rPr>
          <w:rStyle w:val="Refdenotaderodap"/>
        </w:rPr>
        <w:footnoteReference w:id="97"/>
      </w:r>
      <w:r w:rsidRPr="00B32E73">
        <w:t>. Já nas primeiras semanas da guerra o principal órgão da ala esquerda socialista, inspirada por Largo Caballero, acus</w:t>
      </w:r>
      <w:r>
        <w:t>ou</w:t>
      </w:r>
      <w:r w:rsidRPr="00B32E73">
        <w:t xml:space="preserve"> o PCE de albergar e proteger elementos reaccionários</w:t>
      </w:r>
      <w:r w:rsidRPr="00B32E73">
        <w:rPr>
          <w:rStyle w:val="Refdenotaderodap"/>
        </w:rPr>
        <w:footnoteReference w:id="98"/>
      </w:r>
      <w:r w:rsidRPr="00B32E73">
        <w:t>. Resumindo as respostas a um inquérito realizado entre os secretários locais da Federação dos Trabalhadores Rurais da UGT, outro jornal socialista escrev</w:t>
      </w:r>
      <w:r>
        <w:t>eu</w:t>
      </w:r>
      <w:r w:rsidRPr="00B32E73">
        <w:t xml:space="preserve"> em Junho de 1937 que «de acordo com o testemunho dos representantes sindicais, são os elementos que antes da revolução simpatizavam com os fascistas e os monárquicos que estão agora a afluir ao Partido Comunista»</w:t>
      </w:r>
      <w:r w:rsidRPr="00B32E73">
        <w:rPr>
          <w:rStyle w:val="Refdenotaderodap"/>
        </w:rPr>
        <w:footnoteReference w:id="99"/>
      </w:r>
      <w:r w:rsidRPr="00B32E73">
        <w:t>. E na Catalunha a associação patronal dos pequenos comerciantes e industriais foi convertida em sindicato e integrada na UGT, que era controlada pelo PSUC, o prolongamento local do Partido Comunista</w:t>
      </w:r>
      <w:r w:rsidRPr="00B32E73">
        <w:rPr>
          <w:rStyle w:val="Refdenotaderodap"/>
        </w:rPr>
        <w:footnoteReference w:id="100"/>
      </w:r>
      <w:r w:rsidRPr="00B32E73">
        <w:t xml:space="preserve">. </w:t>
      </w:r>
      <w:r w:rsidR="008A652C">
        <w:t>Ao</w:t>
      </w:r>
      <w:r w:rsidRPr="00B32E73">
        <w:t xml:space="preserve"> ve</w:t>
      </w:r>
      <w:r w:rsidR="008A652C">
        <w:t>r</w:t>
      </w:r>
      <w:r w:rsidRPr="00B32E73">
        <w:t xml:space="preserve">mos uma central sindical incluir </w:t>
      </w:r>
      <w:r w:rsidR="0037581F">
        <w:t>o</w:t>
      </w:r>
      <w:r w:rsidR="0037581F" w:rsidRPr="00B32E73">
        <w:t xml:space="preserve"> </w:t>
      </w:r>
      <w:r w:rsidRPr="00B32E73">
        <w:t>sector do patronato onde mais facilmente o fascismo recrutava adeptos, admitimos que talvez não fosse a demagogia nem o exagero que tivessem levado um agrupamento de anarco-sindicalistas radicais a denunciar que «as portas do Partido Comunista se abriram a todos os fascistas. Isto não nos espanta, porque da Prisão Modelo saem fascistas com o cartão do PSUC»</w:t>
      </w:r>
      <w:r w:rsidRPr="00B32E73">
        <w:rPr>
          <w:rStyle w:val="Refdenotaderodap"/>
        </w:rPr>
        <w:footnoteReference w:id="101"/>
      </w:r>
      <w:r w:rsidRPr="00B32E73">
        <w:t xml:space="preserve">. Sucedeu o recíproco na Falange, onde a quota significativa de membros vindos da esquerda apoiaria decerto as veleidades populistas e o radicalismo anticonservador dos Camisas Velhas. Cada um dos lados da guerra civil integrou uma base social que reflectia as tendências do lado oposto. </w:t>
      </w:r>
    </w:p>
    <w:p w:rsidR="00E5051F" w:rsidRPr="00B32E73" w:rsidRDefault="00E5051F" w:rsidP="00E5051F">
      <w:pPr>
        <w:tabs>
          <w:tab w:val="left" w:pos="720"/>
          <w:tab w:val="left" w:pos="3312"/>
        </w:tabs>
      </w:pPr>
      <w:r w:rsidRPr="00B32E73">
        <w:t xml:space="preserve">Até à Primavera de 1937, e mesmo depois, a propaganda falangista dirigiu-se à classe trabalhadora, prometendo justiça social e o extermínio dos ociosos, e abriu os braços aos operários e camponeses que haviam constituído a base da esquerda e se viam isolados na zona </w:t>
      </w:r>
      <w:r w:rsidRPr="00B32E73">
        <w:lastRenderedPageBreak/>
        <w:t>nacionalista e desprovidos de direcção política</w:t>
      </w:r>
      <w:r w:rsidR="0044798D" w:rsidRPr="00B32E73">
        <w:rPr>
          <w:rStyle w:val="Refdenotaderodap"/>
        </w:rPr>
        <w:footnoteReference w:id="102"/>
      </w:r>
      <w:r w:rsidRPr="00B32E73">
        <w:t>. Num discurso radiodifundido no Natal de 1936, o chefe provisório da Falange, Manuel Hedilla, não podia ser mais explícito. «Tratai de maneira especialmente cordial e generosa os camponeses e os operários</w:t>
      </w:r>
      <w:r w:rsidR="00A84903">
        <w:t>», ordenou ele</w:t>
      </w:r>
      <w:r w:rsidRPr="00B32E73">
        <w:t xml:space="preserve">. </w:t>
      </w:r>
      <w:r w:rsidR="00A84903">
        <w:t>«</w:t>
      </w:r>
      <w:r w:rsidRPr="00B32E73">
        <w:t xml:space="preserve">E dirijo-me aos falangistas que se ocupam das investigações políticas e policiais nas cidades e sobretudo nas aldeias. A vossa missão é executar uma obra de depuração contra os chefes cabecilhas [sic] e assassinos. Mas impedi, com toda a energia, que alguém satisfaça ódios pessoais ou que castigue ou humilhe aqueles que, por fome ou desespero, tenham votado nas esquerdas. Todos sabemos que em muitas aldeias havia </w:t>
      </w:r>
      <w:r w:rsidR="00A84903">
        <w:t>—</w:t>
      </w:r>
      <w:r w:rsidRPr="00B32E73">
        <w:t xml:space="preserve"> e talvez haja ainda </w:t>
      </w:r>
      <w:r w:rsidR="00A84903">
        <w:t>—</w:t>
      </w:r>
      <w:r w:rsidRPr="00B32E73">
        <w:t xml:space="preserve"> direitistas que eram piores do que os vermelhos. Quero que acabe esse tipo de prisões [...] deveis estar resolutamente dispostos a impedir as actuações contra os humildes. [...] Pensai que na Alemanha e na Itália os mais fanáticos comunistas são hoje excelentes fascistas. Devemos aspirar entre nós a algo muito semelhante, já que nos cabe a salvação, e não a morte, daqueles que na sua imensa maioria tinham fome de Pão e de Justiça. Mas tinham também </w:t>
      </w:r>
      <w:r w:rsidR="00A84903">
        <w:t>—</w:t>
      </w:r>
      <w:r w:rsidRPr="00B32E73">
        <w:t xml:space="preserve"> como vêem pelo nosso crescimento </w:t>
      </w:r>
      <w:r w:rsidR="00A84903">
        <w:t>—</w:t>
      </w:r>
      <w:r w:rsidRPr="00B32E73">
        <w:t xml:space="preserve"> fome de pátria»</w:t>
      </w:r>
      <w:r w:rsidRPr="00B32E73">
        <w:rPr>
          <w:rStyle w:val="Refdenotaderodap"/>
        </w:rPr>
        <w:footnoteReference w:id="103"/>
      </w:r>
      <w:r w:rsidRPr="00B32E73">
        <w:t xml:space="preserve">. A estratégia fora já ensaiada nas Astúrias durante a repressão da revolta operária de Outubro de 1934. Tratava-se de eliminar fisicamente os dirigentes da esquerda e da extrema-esquerda e recrutar para as milícias falangistas a massa dos trabalhadores revolucionários que os havia seguido. </w:t>
      </w:r>
    </w:p>
    <w:p w:rsidR="00E5051F" w:rsidRPr="00B32E73" w:rsidRDefault="00E5051F" w:rsidP="00E5051F">
      <w:pPr>
        <w:tabs>
          <w:tab w:val="left" w:pos="720"/>
          <w:tab w:val="left" w:pos="3312"/>
        </w:tabs>
      </w:pPr>
      <w:r w:rsidRPr="00B32E73">
        <w:t xml:space="preserve">Naquele discurso de Natal Hedilla invocou os precedentes mussoliniano e hitleriano. Com efeito, num relatório datado de 18 de Janeiro de 1937 e dirigido ao seu ministro dos Negócios Estrangeiros, o embaixador </w:t>
      </w:r>
      <w:r w:rsidR="00B54994">
        <w:t>do Reich</w:t>
      </w:r>
      <w:r w:rsidRPr="00B32E73">
        <w:t xml:space="preserve"> junto a Franco não duvid</w:t>
      </w:r>
      <w:r>
        <w:t>ou</w:t>
      </w:r>
      <w:r w:rsidRPr="00B32E73">
        <w:t xml:space="preserve"> de que esta </w:t>
      </w:r>
      <w:r>
        <w:t>fosse</w:t>
      </w:r>
      <w:r w:rsidRPr="00B32E73">
        <w:t xml:space="preserve"> uma orientação imprescindível para a vitória nacionalista</w:t>
      </w:r>
      <w:r w:rsidR="00B54994">
        <w:t>.</w:t>
      </w:r>
      <w:r w:rsidRPr="00B32E73">
        <w:t xml:space="preserve"> «O governo acha que é possível, actualmente, realizar reformas sociais mesmo sem a ajuda da Falange, adoptando para si uma parte do programa desta última</w:t>
      </w:r>
      <w:r w:rsidR="00B54994">
        <w:t>», preveniu o embaixador</w:t>
      </w:r>
      <w:r w:rsidRPr="00B32E73">
        <w:t xml:space="preserve">. </w:t>
      </w:r>
      <w:r w:rsidR="00B54994">
        <w:t>«</w:t>
      </w:r>
      <w:r w:rsidRPr="00B32E73">
        <w:t>Talvez isto seja possível. Mas o que não é possível sem a ajuda da Falange é conquistar para as ideias nacionais e para as ideias sociais verdadeiramente realizáveis a população operária, sobretudo a da zona vermelha que falta reconquistar, de maneira a vinculá-la ao novo Estado. Por isso a colaboração entre o governo e a Falange é sempre indispensável»</w:t>
      </w:r>
      <w:r w:rsidRPr="00B32E73">
        <w:rPr>
          <w:rStyle w:val="Refdenotaderodap"/>
        </w:rPr>
        <w:footnoteReference w:id="104"/>
      </w:r>
      <w:r w:rsidRPr="00B32E73">
        <w:t xml:space="preserve">. Também o regime de Mussolini deu o aval àquela estratégia. Na Primavera de 1937 Hedilla concedeu uma entrevista a Roberto Farinacci, uma das personalidades mais notórias do fascismo italiano, enviado a Espanha pelo Grande Conselho, ou talvez mesmo pessoalmente pelo Duce, e que a publicou no seu jornal </w:t>
      </w:r>
      <w:r w:rsidRPr="00B32E73">
        <w:rPr>
          <w:i/>
        </w:rPr>
        <w:t>Il Regime Fascista</w:t>
      </w:r>
      <w:r w:rsidRPr="00B32E73">
        <w:t xml:space="preserve">. «No que diz respeito à parte da Espanha que está ainda sob o domínio dos </w:t>
      </w:r>
      <w:r w:rsidRPr="00B32E73">
        <w:lastRenderedPageBreak/>
        <w:t>vermelhos</w:t>
      </w:r>
      <w:r w:rsidR="00B54994">
        <w:t>»</w:t>
      </w:r>
      <w:r w:rsidRPr="00B32E73">
        <w:t xml:space="preserve">, </w:t>
      </w:r>
      <w:r w:rsidR="00B54994">
        <w:t>explicou Hedilla, «</w:t>
      </w:r>
      <w:r w:rsidRPr="00B32E73">
        <w:t>a Falange propõe-se, em cada momento, estender a mão às massas, arrastadas pela propaganda demagógica e pela injustiça social que desde há séculos reinava em Espanha. [...] A direcção nacional da Falange Espa</w:t>
      </w:r>
      <w:r w:rsidR="00344EF8">
        <w:t>nh</w:t>
      </w:r>
      <w:r w:rsidRPr="00B32E73">
        <w:t>ola proibiu aos seus próprios filiados o fuzilamento de vermelhos, e esta ordem foi repetida de maneira peremptória nas cidades e nas aldeias recentemente ocupadas»</w:t>
      </w:r>
      <w:r w:rsidRPr="00B32E73">
        <w:rPr>
          <w:rStyle w:val="Refdenotaderodap"/>
        </w:rPr>
        <w:footnoteReference w:id="105"/>
      </w:r>
      <w:r w:rsidRPr="00B32E73">
        <w:t xml:space="preserve">. </w:t>
      </w:r>
    </w:p>
    <w:p w:rsidR="0065527A" w:rsidRDefault="00E5051F" w:rsidP="00E5051F">
      <w:pPr>
        <w:tabs>
          <w:tab w:val="left" w:pos="720"/>
          <w:tab w:val="left" w:pos="3312"/>
        </w:tabs>
      </w:pPr>
      <w:r w:rsidRPr="00B32E73">
        <w:t>Era esse um tema central da propaganda de Hedilla, que volt</w:t>
      </w:r>
      <w:r w:rsidR="00E32D24">
        <w:t>ara</w:t>
      </w:r>
      <w:r w:rsidRPr="00B32E73">
        <w:t xml:space="preserve"> a abordá-lo </w:t>
      </w:r>
      <w:r w:rsidR="00DA7030" w:rsidRPr="00B32E73">
        <w:t>em Janeiro de 1937</w:t>
      </w:r>
      <w:r w:rsidR="00DA7030">
        <w:t xml:space="preserve">, </w:t>
      </w:r>
      <w:r w:rsidRPr="00B32E73">
        <w:t>numa das suas entrevistas mais importantes</w:t>
      </w:r>
      <w:r w:rsidR="00D82AFF">
        <w:t>.</w:t>
      </w:r>
      <w:r w:rsidRPr="00B32E73">
        <w:t xml:space="preserve"> «Não te preocupa que antigos marxistas entrem na Falange?</w:t>
      </w:r>
      <w:r w:rsidR="00D82AFF">
        <w:t xml:space="preserve">», perguntou-lhe </w:t>
      </w:r>
      <w:r w:rsidR="00D82AFF" w:rsidRPr="00B32E73">
        <w:t>o conhecido jornalista Víctor de la Serna</w:t>
      </w:r>
      <w:r w:rsidR="00D82AFF">
        <w:t>,</w:t>
      </w:r>
      <w:r w:rsidRPr="00B32E73">
        <w:t xml:space="preserve"> </w:t>
      </w:r>
      <w:r w:rsidR="00D82AFF">
        <w:t>e Hedilla respondeu: «</w:t>
      </w:r>
      <w:r w:rsidRPr="00B32E73">
        <w:t>Em geral não. E quando se trata de operários, absolutamente nada. Vêm todos de boa fé. [...] Prefiro os antigos marxistas arrependidos aos direitistas espertalhões e viciados pela política e pelo caciquismo. Que venham a nós todos os marxistas que quiserem, e estiverem convencidos da nossa verdade. Recebê-los-ei de braços abertos. Será que existe alguém que pense o contrário?»</w:t>
      </w:r>
      <w:r w:rsidRPr="00B32E73">
        <w:rPr>
          <w:rStyle w:val="Refdenotaderodap"/>
        </w:rPr>
        <w:footnoteReference w:id="106"/>
      </w:r>
      <w:r w:rsidRPr="00B32E73">
        <w:t xml:space="preserve">. </w:t>
      </w:r>
      <w:r w:rsidR="00DA7030" w:rsidRPr="00B32E73">
        <w:t>Os recrutamentos que conduziam na</w:t>
      </w:r>
      <w:r w:rsidR="00DA7030">
        <w:t xml:space="preserve"> </w:t>
      </w:r>
      <w:r w:rsidR="00DA7030" w:rsidRPr="00B32E73">
        <w:t>esquerda e os ataques que endereçavam à direita</w:t>
      </w:r>
      <w:r w:rsidR="00DA7030">
        <w:t xml:space="preserve"> levaram </w:t>
      </w:r>
      <w:r w:rsidRPr="00B32E73">
        <w:t xml:space="preserve">os falangistas </w:t>
      </w:r>
      <w:r w:rsidR="00DA7030">
        <w:t>a ser</w:t>
      </w:r>
      <w:r w:rsidRPr="00B32E73">
        <w:t xml:space="preserve"> alcunhados pelos carlistas e demais conservadores de «os nossos vermelhos» ou, de maneira mordaz, «FAIlangistas»</w:t>
      </w:r>
      <w:r w:rsidRPr="00B32E73">
        <w:rPr>
          <w:rStyle w:val="Refdenotaderodap"/>
        </w:rPr>
        <w:footnoteReference w:id="107"/>
      </w:r>
      <w:r w:rsidRPr="00B32E73">
        <w:t xml:space="preserve">. </w:t>
      </w:r>
      <w:r w:rsidR="006F0DA5" w:rsidRPr="00B32E73">
        <w:t>Os foragidos da esquerda ampliavam</w:t>
      </w:r>
      <w:r w:rsidR="00D82AFF">
        <w:t xml:space="preserve"> </w:t>
      </w:r>
      <w:r w:rsidR="006F0DA5" w:rsidRPr="00B32E73">
        <w:t xml:space="preserve">a base social do Estado sindicalista anunciado pela Falange de Hedilla. </w:t>
      </w:r>
    </w:p>
    <w:p w:rsidR="00E5051F" w:rsidRPr="00B32E73" w:rsidRDefault="00E5051F" w:rsidP="00E5051F">
      <w:pPr>
        <w:tabs>
          <w:tab w:val="left" w:pos="720"/>
          <w:tab w:val="left" w:pos="3312"/>
        </w:tabs>
      </w:pPr>
      <w:r w:rsidRPr="00B32E73">
        <w:t>Seria esta a razão por que não se estabeleceram em território nacionalista bases sólidas de guerrilha, ligadas aos partidos e centrais sindicais da zona republicana? Os dirigentes falangistas pressionavam os novos filiados oriundos da esquerda a servir nas milícias e a demonstrarem desta maneira o empenho pela causa nacional. É certo que não devia ser grande o ânimo dessa pobre gente convertida por medo e à última hora, pois García Venero, que no começo da guerra civil ocupava postos de responsabilidade na Falange, recordou que «uma grande parte dos trabalhadores alistados [nos sindicatos fascistas] desejava que a guerra terminasse com a derrota das armas nacionais»</w:t>
      </w:r>
      <w:r w:rsidRPr="00B32E73">
        <w:rPr>
          <w:rStyle w:val="Refdenotaderodap"/>
        </w:rPr>
        <w:footnoteReference w:id="108"/>
      </w:r>
      <w:r w:rsidRPr="00B32E73">
        <w:t>. Mas mesmo que o aspirassem no seu íntimo</w:t>
      </w:r>
      <w:r>
        <w:t>,</w:t>
      </w:r>
      <w:r w:rsidRPr="00B32E73">
        <w:t xml:space="preserve"> estavam sujeitos a um enquadramento militar e político e não podiam, ou não ousavam, participar em formas activas de resistência. Nas Astúrias, uma das principais frentes de combate, três quintos das tropas da Falange seriam compostos por pessoas sem cor política ou vindas da direita conservadora, um quinto mobilizaria fascistas genuínos e o outro quinto seria formado por </w:t>
      </w:r>
      <w:r w:rsidRPr="00B32E73">
        <w:lastRenderedPageBreak/>
        <w:t>elementos oriundos da extrema-esquerda</w:t>
      </w:r>
      <w:r w:rsidRPr="00B32E73">
        <w:rPr>
          <w:rStyle w:val="Refdenotaderodap"/>
        </w:rPr>
        <w:footnoteReference w:id="109"/>
      </w:r>
      <w:r w:rsidRPr="00B32E73">
        <w:t xml:space="preserve">. Transformados potenciais guerrilheiros em milicianos do fascismo, ficavam </w:t>
      </w:r>
      <w:r w:rsidR="005F4742">
        <w:t>comprometidas</w:t>
      </w:r>
      <w:r w:rsidRPr="00B32E73">
        <w:t xml:space="preserve"> as possibilidades de resistência no interior do território franquista e a Falange teria realizado plenamente o seu objectivo, absorvido o radicalismo da esquerda e encontrado nele a força social que faltava ao nacionalismo da direita. Será a explicação tão simples? </w:t>
      </w:r>
    </w:p>
    <w:p w:rsidR="00E5051F" w:rsidRPr="00B32E73" w:rsidRDefault="00E5051F" w:rsidP="00E5051F">
      <w:pPr>
        <w:tabs>
          <w:tab w:val="left" w:pos="720"/>
          <w:tab w:val="left" w:pos="3312"/>
        </w:tabs>
      </w:pPr>
      <w:r w:rsidRPr="00B32E73">
        <w:t>As sementes de discórdia no interior do campo nacionalista, lançadas antes d</w:t>
      </w:r>
      <w:r>
        <w:t>e</w:t>
      </w:r>
      <w:r w:rsidRPr="00B32E73">
        <w:t xml:space="preserve"> 17 de Julho de 1936, encontraram um terreno fértil para germinar. A Falange apossara-se enfim de uma base social para a sua demagogia e mobilizava um número de combatentes e militantes suficiente para aparecer como uma verdadeira força. Por outro lado, porém, numa situação em que a guerra era o principal factor político, a inépcia militar da Falange deixava-a frágil perante os generais</w:t>
      </w:r>
      <w:r w:rsidRPr="00B32E73">
        <w:rPr>
          <w:rStyle w:val="Refdenotaderodap"/>
        </w:rPr>
        <w:footnoteReference w:id="110"/>
      </w:r>
      <w:r w:rsidRPr="00B32E73">
        <w:t xml:space="preserve">. Este instável equilíbrio tinha necessariamente de se resolver, e Franco resolveu-o em Abril de 1937 quando </w:t>
      </w:r>
      <w:r w:rsidR="00807E6B">
        <w:t xml:space="preserve">afastou Hedilla e </w:t>
      </w:r>
      <w:r w:rsidRPr="00B32E73">
        <w:t xml:space="preserve">impôs a coligação de todos os nacionalismos numa organização única, deixando descontentes muitos velhos falangistas que pretendiam conservar não a pureza dos seus ideais, porque nunca haviam tido senão ideias muitíssimo confusas, mas a autonomia originária do seu movimento, que lhes conferisse maior peso nas decisões políticas. E eram precisamente estes Camisas Velhas que mais prontos se mostravam a acolher os transfugas da esquerda. </w:t>
      </w:r>
      <w:r w:rsidR="003A2A58">
        <w:t xml:space="preserve">Em Abril de 1938, no aniversário da unificação dos movimentos nacionalistas, </w:t>
      </w:r>
      <w:r w:rsidR="003A2A58" w:rsidRPr="00B32E73">
        <w:t>o general Yagüe discurs</w:t>
      </w:r>
      <w:r w:rsidR="003A2A58">
        <w:t>ou</w:t>
      </w:r>
      <w:r w:rsidR="003A2A58" w:rsidRPr="00B32E73">
        <w:t xml:space="preserve"> perante os falangistas em Burgos</w:t>
      </w:r>
      <w:r w:rsidR="003A2A58">
        <w:t xml:space="preserve"> e</w:t>
      </w:r>
      <w:r w:rsidR="009A6B22">
        <w:t>,</w:t>
      </w:r>
      <w:r w:rsidR="003A2A58" w:rsidRPr="00B32E73">
        <w:t xml:space="preserve"> </w:t>
      </w:r>
      <w:r w:rsidR="006A00A7">
        <w:t xml:space="preserve">como se não bastassem os elogios que teceu às </w:t>
      </w:r>
      <w:r w:rsidR="003A2A58" w:rsidRPr="00B32E73">
        <w:t xml:space="preserve">qualidades </w:t>
      </w:r>
      <w:r w:rsidR="0065527A">
        <w:t>militares</w:t>
      </w:r>
      <w:r w:rsidR="003A2A58" w:rsidRPr="00B32E73">
        <w:t xml:space="preserve"> </w:t>
      </w:r>
      <w:r w:rsidR="003A2A58">
        <w:t xml:space="preserve">das tropas </w:t>
      </w:r>
      <w:r w:rsidR="003A2A58" w:rsidRPr="00B32E73">
        <w:t>republican</w:t>
      </w:r>
      <w:r w:rsidR="003A2A58">
        <w:t>a</w:t>
      </w:r>
      <w:r w:rsidR="003A2A58" w:rsidRPr="00B32E73">
        <w:t>s</w:t>
      </w:r>
      <w:r w:rsidR="003A2A58">
        <w:t xml:space="preserve"> e </w:t>
      </w:r>
      <w:r w:rsidR="006A00A7">
        <w:t xml:space="preserve">as </w:t>
      </w:r>
      <w:r w:rsidR="003A2A58">
        <w:t>censura</w:t>
      </w:r>
      <w:r w:rsidR="006A00A7">
        <w:t>s</w:t>
      </w:r>
      <w:r w:rsidR="003A2A58">
        <w:t xml:space="preserve"> </w:t>
      </w:r>
      <w:r w:rsidR="006A00A7">
        <w:t>que dirigiu à</w:t>
      </w:r>
      <w:r w:rsidR="003A2A58">
        <w:t xml:space="preserve"> maneira como </w:t>
      </w:r>
      <w:r w:rsidR="003A2A58" w:rsidRPr="00B32E73">
        <w:t>alemães e italianos</w:t>
      </w:r>
      <w:r w:rsidR="003A2A58">
        <w:t xml:space="preserve"> faziam a guerra, declarou </w:t>
      </w:r>
      <w:r w:rsidR="006A00A7">
        <w:t xml:space="preserve">ainda </w:t>
      </w:r>
      <w:r w:rsidR="003A2A58">
        <w:t>que a Falange estendia a mão aos vermelhos na reconciliação do país</w:t>
      </w:r>
      <w:r w:rsidR="003A2A58">
        <w:rPr>
          <w:rStyle w:val="Refdenotaderodap"/>
        </w:rPr>
        <w:footnoteReference w:id="111"/>
      </w:r>
      <w:r w:rsidR="003A2A58">
        <w:t xml:space="preserve">. </w:t>
      </w:r>
      <w:r w:rsidR="009A6B22">
        <w:t xml:space="preserve">Por este exercício de oratória o general foi punido e impedido </w:t>
      </w:r>
      <w:r w:rsidR="009A6B22" w:rsidRPr="00B32E73">
        <w:t xml:space="preserve">durante algum tempo </w:t>
      </w:r>
      <w:r w:rsidR="009A6B22">
        <w:t xml:space="preserve">de exercer </w:t>
      </w:r>
      <w:r w:rsidR="009A6B22" w:rsidRPr="00B32E73">
        <w:t>funções de comando</w:t>
      </w:r>
      <w:r w:rsidR="009A6B22">
        <w:rPr>
          <w:rStyle w:val="Refdenotaderodap"/>
        </w:rPr>
        <w:footnoteReference w:id="112"/>
      </w:r>
      <w:r w:rsidR="009A6B22">
        <w:t xml:space="preserve">, mas o recado estava dado. </w:t>
      </w:r>
      <w:r w:rsidR="003A2A58">
        <w:t xml:space="preserve">«Roxos», ou seja, vermelhos e negros, chamou aos falangistas </w:t>
      </w:r>
      <w:r w:rsidR="009A6B22">
        <w:t>em 1941 o embaixador português</w:t>
      </w:r>
      <w:r w:rsidR="009A6B22">
        <w:rPr>
          <w:rStyle w:val="Refdenotaderodap"/>
        </w:rPr>
        <w:footnoteReference w:id="113"/>
      </w:r>
      <w:r w:rsidR="009A6B22">
        <w:t xml:space="preserve">. </w:t>
      </w:r>
    </w:p>
    <w:p w:rsidR="00E5051F" w:rsidRPr="00B32E73" w:rsidRDefault="00E5051F" w:rsidP="00E5051F">
      <w:pPr>
        <w:tabs>
          <w:tab w:val="left" w:pos="720"/>
          <w:tab w:val="left" w:pos="3312"/>
        </w:tabs>
      </w:pPr>
      <w:r w:rsidRPr="00B32E73">
        <w:t xml:space="preserve">Nós hoje, que vemos como inelutáveis e não como uma aventura os desenhos da história, entendemos que passara já definitivamente a oportunidade dos Camisas Velhas. Mas para os coevos muita coisa podia parecer ainda possível, e os </w:t>
      </w:r>
      <w:r w:rsidR="003A2A58">
        <w:t>ardilosos</w:t>
      </w:r>
      <w:r w:rsidRPr="00B32E73">
        <w:t xml:space="preserve"> políticos da república interessaram-se mais em explorar as discórdias entre falangistas do que em encorajar e prover de munições os trabalhadores rebeldes ao jugo de Franco. </w:t>
      </w:r>
    </w:p>
    <w:p w:rsidR="00E5051F" w:rsidRPr="00B32E73" w:rsidRDefault="00E5051F" w:rsidP="0086056E">
      <w:pPr>
        <w:keepNext/>
        <w:tabs>
          <w:tab w:val="left" w:pos="720"/>
          <w:tab w:val="left" w:pos="3312"/>
        </w:tabs>
        <w:spacing w:before="720" w:after="360"/>
        <w:ind w:firstLine="0"/>
        <w:jc w:val="center"/>
        <w:rPr>
          <w:b/>
          <w:sz w:val="28"/>
        </w:rPr>
      </w:pPr>
      <w:r w:rsidRPr="00B32E73">
        <w:rPr>
          <w:b/>
          <w:sz w:val="28"/>
        </w:rPr>
        <w:lastRenderedPageBreak/>
        <w:t>6. As relações entre Indalecio Prieto e os fascistas</w:t>
      </w:r>
    </w:p>
    <w:p w:rsidR="00E5051F" w:rsidRPr="00B32E73" w:rsidRDefault="00E5051F" w:rsidP="00E5051F">
      <w:pPr>
        <w:tabs>
          <w:tab w:val="left" w:pos="720"/>
          <w:tab w:val="left" w:pos="3312"/>
        </w:tabs>
      </w:pPr>
      <w:r w:rsidRPr="00B32E73">
        <w:t xml:space="preserve">Segundo um relatório de Junho de 1938, a leitura da imprensa soviética deixou ao embaixador </w:t>
      </w:r>
      <w:r w:rsidR="00A7199F">
        <w:t>do Reich</w:t>
      </w:r>
      <w:r w:rsidRPr="00B32E73">
        <w:t xml:space="preserve"> em Moscovo a impressão de que o Partido Comunista julgava possível um entendimento com elementos da Falange, em virtude das discórdias persistentes que os opunham aos militares</w:t>
      </w:r>
      <w:r w:rsidRPr="00B32E73">
        <w:rPr>
          <w:rStyle w:val="Refdenotaderodap"/>
        </w:rPr>
        <w:footnoteReference w:id="114"/>
      </w:r>
      <w:r w:rsidRPr="00B32E73">
        <w:t xml:space="preserve">. </w:t>
      </w:r>
      <w:r>
        <w:t xml:space="preserve">Talvez, </w:t>
      </w:r>
      <w:r w:rsidRPr="00B32E73">
        <w:t xml:space="preserve">mas não há dúvida que nenhum responsável republicano prosseguiu esta orientação mais sistematicamente do que </w:t>
      </w:r>
      <w:r w:rsidR="00AE029D">
        <w:t xml:space="preserve">o socialista </w:t>
      </w:r>
      <w:r w:rsidRPr="00B32E73">
        <w:t xml:space="preserve">Indalecio Prieto. Parecendo esquecer que lhe apresentara </w:t>
      </w:r>
      <w:r w:rsidR="00AE029D">
        <w:t>—</w:t>
      </w:r>
      <w:r w:rsidRPr="00B32E73">
        <w:t xml:space="preserve"> precisamente a ele </w:t>
      </w:r>
      <w:r w:rsidR="00AE029D">
        <w:t>—</w:t>
      </w:r>
      <w:r w:rsidRPr="00B32E73">
        <w:t xml:space="preserve"> um programa de organização das guerrilhas na zona nacionalista, García Oliver apostrofou-o nas suas </w:t>
      </w:r>
      <w:r w:rsidR="002E199C" w:rsidRPr="00B32E73">
        <w:t>Memórias</w:t>
      </w:r>
      <w:r w:rsidR="00AE029D">
        <w:t>:</w:t>
      </w:r>
      <w:r w:rsidRPr="00B32E73">
        <w:t xml:space="preserve"> «Prieto, socialista sem marxismo, sem luta de classes e sem justiça social, era o exemplo vivo da crise do socialismo no centro e no sul da Europa, com a sua direita confinante com o fascismo»</w:t>
      </w:r>
      <w:r w:rsidRPr="00B32E73">
        <w:rPr>
          <w:rStyle w:val="Refdenotaderodap"/>
        </w:rPr>
        <w:footnoteReference w:id="115"/>
      </w:r>
      <w:r w:rsidRPr="00B32E73">
        <w:t xml:space="preserve">. </w:t>
      </w:r>
    </w:p>
    <w:p w:rsidR="00E5051F" w:rsidRPr="00B32E73" w:rsidRDefault="00E5051F" w:rsidP="00E5051F">
      <w:pPr>
        <w:tabs>
          <w:tab w:val="left" w:pos="720"/>
          <w:tab w:val="left" w:pos="3312"/>
        </w:tabs>
      </w:pPr>
      <w:r>
        <w:t xml:space="preserve">Todavia, </w:t>
      </w:r>
      <w:r w:rsidRPr="00DA5B60">
        <w:t xml:space="preserve">de 1923 até 1930 fora Indalecio Prieto </w:t>
      </w:r>
      <w:r>
        <w:t xml:space="preserve">quem se opusera </w:t>
      </w:r>
      <w:r w:rsidRPr="00DA5B60">
        <w:t>sem êxito à colaboração dos socialistas com a ditadura fascizante do general Primo de Rivera</w:t>
      </w:r>
      <w:r w:rsidRPr="00DA5B60">
        <w:rPr>
          <w:vertAlign w:val="superscript"/>
        </w:rPr>
        <w:footnoteReference w:id="116"/>
      </w:r>
      <w:r w:rsidRPr="00DA5B60">
        <w:t xml:space="preserve">, </w:t>
      </w:r>
      <w:r>
        <w:t xml:space="preserve">enquanto </w:t>
      </w:r>
      <w:r w:rsidRPr="00DA5B60">
        <w:t>Largo Caballero</w:t>
      </w:r>
      <w:r>
        <w:t xml:space="preserve">, que </w:t>
      </w:r>
      <w:r w:rsidRPr="00DA5B60">
        <w:t>durante a guerra civil se coloc</w:t>
      </w:r>
      <w:r>
        <w:t>aria</w:t>
      </w:r>
      <w:r w:rsidRPr="00DA5B60">
        <w:t xml:space="preserve"> à frente da esquerda socialista, aceita</w:t>
      </w:r>
      <w:r w:rsidR="00A54182">
        <w:t>r</w:t>
      </w:r>
      <w:r w:rsidRPr="00DA5B60">
        <w:t xml:space="preserve">a a nomeação para conselheiro de Estado e a UGT </w:t>
      </w:r>
      <w:r>
        <w:t xml:space="preserve">e o PSOE </w:t>
      </w:r>
      <w:r w:rsidRPr="00DA5B60">
        <w:t>multiplica</w:t>
      </w:r>
      <w:r w:rsidR="00A54182">
        <w:t>r</w:t>
      </w:r>
      <w:r>
        <w:t>am</w:t>
      </w:r>
      <w:r w:rsidRPr="00DA5B60">
        <w:t xml:space="preserve"> o número de membros devido ao apoio presta</w:t>
      </w:r>
      <w:r>
        <w:t>do</w:t>
      </w:r>
      <w:r w:rsidRPr="00DA5B60">
        <w:t xml:space="preserve"> </w:t>
      </w:r>
      <w:r>
        <w:t>àquele</w:t>
      </w:r>
      <w:r w:rsidRPr="00DA5B60">
        <w:t xml:space="preserve"> regime</w:t>
      </w:r>
      <w:r w:rsidRPr="00DA5B60">
        <w:rPr>
          <w:vertAlign w:val="superscript"/>
        </w:rPr>
        <w:footnoteReference w:id="117"/>
      </w:r>
      <w:r w:rsidRPr="00DA5B60">
        <w:t xml:space="preserve">. </w:t>
      </w:r>
      <w:r>
        <w:t xml:space="preserve">Apesar disto, </w:t>
      </w:r>
      <w:r w:rsidRPr="00B32E73">
        <w:t>nos primeiros anos da década de 1930, quando os banqueiros de Bilbao começaram a procurar alguém a quem pudessem com segurança entregar fundos para a criação de um movimento fascista, fo</w:t>
      </w:r>
      <w:r>
        <w:t>i</w:t>
      </w:r>
      <w:r w:rsidRPr="00B32E73">
        <w:t xml:space="preserve"> Prieto o candidato preferido</w:t>
      </w:r>
      <w:r w:rsidRPr="00B32E73">
        <w:rPr>
          <w:rStyle w:val="Refdenotaderodap"/>
        </w:rPr>
        <w:footnoteReference w:id="118"/>
      </w:r>
      <w:r>
        <w:t>.</w:t>
      </w:r>
      <w:r w:rsidRPr="00B32E73">
        <w:t xml:space="preserve"> </w:t>
      </w:r>
      <w:r>
        <w:t xml:space="preserve">O facto de </w:t>
      </w:r>
      <w:r w:rsidRPr="00B32E73">
        <w:t xml:space="preserve">ter recusado </w:t>
      </w:r>
      <w:r>
        <w:t xml:space="preserve">não o impediu de </w:t>
      </w:r>
      <w:r w:rsidRPr="00B32E73">
        <w:t>manifest</w:t>
      </w:r>
      <w:r>
        <w:t>ar</w:t>
      </w:r>
      <w:r w:rsidRPr="00B32E73">
        <w:t xml:space="preserve"> sempre simpatia por José Antonio, que os capitalistas se haviam resignado a apoiar. Em 1934, quando o governo de coligação dos radicais com a CEDA</w:t>
      </w:r>
      <w:r>
        <w:t xml:space="preserve">, vendo </w:t>
      </w:r>
      <w:r w:rsidRPr="00B32E73">
        <w:t>a Falange pôr em causa a sua política conservadora</w:t>
      </w:r>
      <w:r>
        <w:t xml:space="preserve">, </w:t>
      </w:r>
      <w:r w:rsidRPr="00B32E73">
        <w:t>pretendeu retirar a José Antonio o mandato de deputado sob o pretexto de posse ilegal de armas de fogo, foi um vigoroso discurso de Prieto que salvou o acusado, de tal modo que este lhe agradeceu efusivamente em pleno parlamento</w:t>
      </w:r>
      <w:r w:rsidRPr="00B32E73">
        <w:rPr>
          <w:rStyle w:val="Refdenotaderodap"/>
        </w:rPr>
        <w:footnoteReference w:id="119"/>
      </w:r>
      <w:r w:rsidRPr="00B32E73">
        <w:t>. No dia 6 de Junho desse ano, ao encerrar uma longa intervenção, o deputado José Antonio anunciou, com toda a seriedade, que a Falange se dissolveria e os seus chefes se retirariam da vida política activa se o PSOE e a UGT adoptassem uma orientação nacionalista. «No dia em que o Partido Socialista assumir um destino nacional</w:t>
      </w:r>
      <w:r w:rsidR="00A7199F">
        <w:t>»</w:t>
      </w:r>
      <w:r w:rsidRPr="00B32E73">
        <w:t xml:space="preserve">, </w:t>
      </w:r>
      <w:r w:rsidR="00A7199F">
        <w:t>prometeu ele, «</w:t>
      </w:r>
      <w:r w:rsidRPr="00B32E73">
        <w:t xml:space="preserve">ou no dia em que a República, que quer ser nacional, receber o conteúdo socialista, nesse dia não teremos de sair de nossas casas para saudar de braço estendido e nos </w:t>
      </w:r>
      <w:r w:rsidRPr="00B32E73">
        <w:lastRenderedPageBreak/>
        <w:t>expormos a ser apedrejados e, o que é pior, a ser mal compreendidos. No dia em que tal suceder, no dia em que se juntarem aqueles dois aspectos para que a Espanha recupere o sentido de missão, podeis crer que a maior parte de nós regressará pacificamente às suas actividades profissionais»</w:t>
      </w:r>
      <w:r w:rsidRPr="00B32E73">
        <w:rPr>
          <w:rStyle w:val="Refdenotaderodap"/>
        </w:rPr>
        <w:footnoteReference w:id="120"/>
      </w:r>
      <w:r w:rsidRPr="00B32E73">
        <w:t xml:space="preserve">. </w:t>
      </w:r>
    </w:p>
    <w:p w:rsidR="00E5051F" w:rsidRPr="00B32E73" w:rsidRDefault="00E5051F" w:rsidP="00E5051F">
      <w:pPr>
        <w:tabs>
          <w:tab w:val="left" w:pos="720"/>
          <w:tab w:val="left" w:pos="3312"/>
        </w:tabs>
      </w:pPr>
      <w:r w:rsidRPr="00B32E73">
        <w:t xml:space="preserve">O apreço de José Antonio pelo socialismo moderado pareceu tão funesto a alguns falangistas </w:t>
      </w:r>
      <w:r>
        <w:t xml:space="preserve">radicais </w:t>
      </w:r>
      <w:r w:rsidRPr="00B32E73">
        <w:t xml:space="preserve">que, </w:t>
      </w:r>
      <w:r>
        <w:t xml:space="preserve">inspirados </w:t>
      </w:r>
      <w:r w:rsidRPr="00B32E73">
        <w:t>por um agente monárquico infiltrado, responsável pelos grupos de choque e pelo serviço de segurança, tent</w:t>
      </w:r>
      <w:r>
        <w:t>aram</w:t>
      </w:r>
      <w:r w:rsidRPr="00B32E73">
        <w:t xml:space="preserve"> organizar um atentado contra Indalecio Prieto e cheg</w:t>
      </w:r>
      <w:r>
        <w:t>aram</w:t>
      </w:r>
      <w:r w:rsidRPr="00B32E73">
        <w:t xml:space="preserve"> mesmo a planear o assassinato de José Antonio</w:t>
      </w:r>
      <w:r w:rsidRPr="00B32E73">
        <w:rPr>
          <w:rStyle w:val="Refdenotaderodap"/>
        </w:rPr>
        <w:footnoteReference w:id="121"/>
      </w:r>
      <w:r w:rsidRPr="00B32E73">
        <w:t>. Este, entretanto, em conversas privadas, indicava que as suas opiniões em matéria de economia pouco diferiam das defendidas por Prieto</w:t>
      </w:r>
      <w:r w:rsidRPr="00B32E73">
        <w:rPr>
          <w:rStyle w:val="Refdenotaderodap"/>
        </w:rPr>
        <w:footnoteReference w:id="122"/>
      </w:r>
      <w:r w:rsidRPr="00B32E73">
        <w:t xml:space="preserve">. Em Fevereiro de 1936, </w:t>
      </w:r>
      <w:r w:rsidR="00932FC7">
        <w:t xml:space="preserve">alguns </w:t>
      </w:r>
      <w:r w:rsidRPr="00B32E73">
        <w:t xml:space="preserve">dias depois de ser conhecida a vitória eleitoral da Frente Popular, José Antonio pediu ao socialista Negrín que convencesse Prieto a fundir com a Falange a facção moderada do Partido Socialista e a pôr-se à frente da nova organização, que assim poderia atrair também os </w:t>
      </w:r>
      <w:r>
        <w:t xml:space="preserve">sindicalistas </w:t>
      </w:r>
      <w:r w:rsidRPr="00B32E73">
        <w:t>partidários de Angel Pestaña e os membros da CNT avessos ao internacionalismo</w:t>
      </w:r>
      <w:r w:rsidRPr="00B32E73">
        <w:rPr>
          <w:rStyle w:val="Refdenotaderodap"/>
        </w:rPr>
        <w:footnoteReference w:id="123"/>
      </w:r>
      <w:r w:rsidRPr="00B32E73">
        <w:t>. Nas vésperas do confronto armado, aquele que seria em breve a imagem mítica de todos os nacionalistas recorria a um futuro primeiro-ministro republicano para procurar, vãmente, seduzir um futuro ministro da Defesa da república. Tão próximos estavam todos, girando cada um na órbita dos outros! Podemos compreender que durante a guerra civil algumas distâncias não fossem tão grandes como pareciam. E de novo, durante o mês de Maio, enquanto Mola e os outros generais se atarefavam na preparação de um golpe com o qual a Falange esboçava os primeiros compromissos, ainda José Antonio, preso desde há dois meses, elogiava num breve panfleto um discurso de Prieto em que este havia adoptado, com grande abundância, frases e temas extraídos da imprensa falangista</w:t>
      </w:r>
      <w:r w:rsidR="00B45F02">
        <w:t>.</w:t>
      </w:r>
      <w:r w:rsidRPr="00B32E73">
        <w:t xml:space="preserve"> «[...] o discurso do tribuno socialista podia ter sido pronunciado, quase do princípio ao fim, num comício da Falange Espa</w:t>
      </w:r>
      <w:r w:rsidR="00932FC7">
        <w:t>nh</w:t>
      </w:r>
      <w:r w:rsidRPr="00B32E73">
        <w:t>ola»</w:t>
      </w:r>
      <w:r w:rsidR="009F231A">
        <w:t>.</w:t>
      </w:r>
      <w:r w:rsidRPr="00B32E73">
        <w:t xml:space="preserve"> </w:t>
      </w:r>
      <w:r w:rsidR="009F231A" w:rsidRPr="00B32E73">
        <w:t xml:space="preserve">E </w:t>
      </w:r>
      <w:r w:rsidRPr="00B32E73">
        <w:t>o chefe fascista manifest</w:t>
      </w:r>
      <w:r>
        <w:t>ou</w:t>
      </w:r>
      <w:r w:rsidRPr="00B32E73">
        <w:t xml:space="preserve"> o seu apreço, perguntando: «Que linguagem é esta? Que tem isto a ver com o marxismo, com o materialismo histórico, com Amsterdão ou Moscovo? Isto é preconizar, exactamente, a revolução nacional. A da Falange»</w:t>
      </w:r>
      <w:r w:rsidRPr="00B32E73">
        <w:rPr>
          <w:rStyle w:val="Refdenotaderodap"/>
        </w:rPr>
        <w:footnoteReference w:id="124"/>
      </w:r>
      <w:r w:rsidRPr="00B32E73">
        <w:t xml:space="preserve">. </w:t>
      </w:r>
    </w:p>
    <w:p w:rsidR="00E5051F" w:rsidRPr="00B32E73" w:rsidRDefault="00E5051F" w:rsidP="00E5051F">
      <w:pPr>
        <w:tabs>
          <w:tab w:val="left" w:pos="720"/>
          <w:tab w:val="left" w:pos="3312"/>
        </w:tabs>
      </w:pPr>
      <w:r w:rsidRPr="00B32E73">
        <w:t xml:space="preserve">Se as declarações e a actuação de Indalecio Prieto podiam ser ambíguas, mais ainda o eram os seus silêncios e as múltiplas ocasiões de inércia. Ele, que recusara os convites dos banqueiros biscainhos e do Chefe Nacional da Falange, procurou durante a guerra civil chegar a </w:t>
      </w:r>
      <w:r w:rsidRPr="00B32E73">
        <w:lastRenderedPageBreak/>
        <w:t>um entendimento com os falangistas, que pudesse constituir a base de uma paz negociada. Não era outro, também, o objectivo de José Antonio, que na cadeia de Alicante, ao perceber o agravamento do conflito, afirmava que a única saída consistiria em pôr termo às hostilidades e encetar uma obra de reconstrução económica e política, reunindo as boas vontades dos dois campos</w:t>
      </w:r>
      <w:r w:rsidRPr="00B32E73">
        <w:rPr>
          <w:rStyle w:val="Refdenotaderodap"/>
        </w:rPr>
        <w:footnoteReference w:id="125"/>
      </w:r>
      <w:r w:rsidRPr="00B32E73">
        <w:t>. Ao mesmo tempo que José Antonio se oferecia para servir de intermediário e pedia em vão às autoridades da república que o autorizassem a deslocar-se a Burgos</w:t>
      </w:r>
      <w:r w:rsidRPr="00B32E73">
        <w:rPr>
          <w:rStyle w:val="Refdenotaderodap"/>
        </w:rPr>
        <w:footnoteReference w:id="126"/>
      </w:r>
      <w:r w:rsidRPr="00B32E73">
        <w:t xml:space="preserve">, os seus amigos desenvolviam uma campanha internacional para obter a sua libertação, contando com a simpatia de Indalecio Prieto. Apesar dos esforços neste sentido, porém, o dirigente socialista, que dois anos antes </w:t>
      </w:r>
      <w:r w:rsidR="00364425">
        <w:t xml:space="preserve">o </w:t>
      </w:r>
      <w:r w:rsidRPr="00B32E73">
        <w:t>salvara da acusação de posse ilegal de armas de fogo, não conseguiu poupá-lo agora</w:t>
      </w:r>
      <w:r w:rsidRPr="00B32E73">
        <w:rPr>
          <w:rStyle w:val="Refdenotaderodap"/>
        </w:rPr>
        <w:footnoteReference w:id="127"/>
      </w:r>
      <w:r w:rsidRPr="00B32E73">
        <w:t>. Mas os textos escritos por José Antonio durante o cativeiro foram parar às mãos de Prieto, que os estudou atentamente e procurou usá-los para estimular cisões no campo nacionalista</w:t>
      </w:r>
      <w:r w:rsidRPr="00B32E73">
        <w:rPr>
          <w:rStyle w:val="Refdenotaderodap"/>
        </w:rPr>
        <w:footnoteReference w:id="128"/>
      </w:r>
      <w:r w:rsidRPr="00B32E73">
        <w:t xml:space="preserve">. A política conciliatória que o dirigente socialista tentou seguir aproximava-se, decerto conscientemente, da que havia sido defendida pelo fundador da Falange. Curioso destino, o destes dois homens, sem nunca fundirem as suas forças e, não obstante, cada um reproduzindo muitos dos </w:t>
      </w:r>
      <w:r w:rsidR="00364425">
        <w:t>temas</w:t>
      </w:r>
      <w:r w:rsidRPr="00B32E73">
        <w:t xml:space="preserve"> políticos do outro. Talvez José Antonio, que as autoridades franquistas tanto mais desfiguravam quanto o propunham a um culto quase religioso, tivesse verdadeiramente sobrevivido entre os republicanos, na ala moderada do socialismo. </w:t>
      </w:r>
    </w:p>
    <w:p w:rsidR="00E5051F" w:rsidRPr="00B32E73" w:rsidRDefault="00E5051F" w:rsidP="00E5051F">
      <w:pPr>
        <w:tabs>
          <w:tab w:val="left" w:pos="720"/>
          <w:tab w:val="left" w:pos="3312"/>
        </w:tabs>
      </w:pPr>
      <w:r w:rsidRPr="00B32E73">
        <w:t xml:space="preserve">Entretanto, Garcerán Sánchez, antigo homem de confiança de José Antonio, que </w:t>
      </w:r>
      <w:r w:rsidR="003E77B4">
        <w:t xml:space="preserve">lhe confiara </w:t>
      </w:r>
      <w:r w:rsidRPr="00B32E73">
        <w:t xml:space="preserve">missões </w:t>
      </w:r>
      <w:r w:rsidR="007F7ABA">
        <w:t>secretas</w:t>
      </w:r>
      <w:r w:rsidRPr="00B32E73">
        <w:t xml:space="preserve"> d</w:t>
      </w:r>
      <w:r>
        <w:t>e</w:t>
      </w:r>
      <w:r w:rsidRPr="00B32E73">
        <w:t xml:space="preserve"> </w:t>
      </w:r>
      <w:r>
        <w:t>grande</w:t>
      </w:r>
      <w:r w:rsidRPr="00B32E73">
        <w:t xml:space="preserve"> importância, foi preso às ordens de Franco na sequência dos acontecimentos que levaram à queda de Hedilla e à fusão de todas as organizações nacionalistas na nova Falange, e viu-se acusado de manter relações clandestinas com Prieto. Talvez fosse uma calúnia da polícia ou uma suspeita infundada, devida à mania persecutória dos profissionais da vigilância. Na mesma ocasião imputaram também a Hedilla contactos com Prieto. Mas não espantaria que fosse verdade, pois Garcerán conservara até Outubro de 1933 a sua filiação entre os socialistas, embora desempenha</w:t>
      </w:r>
      <w:r>
        <w:t>sse</w:t>
      </w:r>
      <w:r w:rsidRPr="00B32E73">
        <w:t xml:space="preserve"> </w:t>
      </w:r>
      <w:r w:rsidR="009C0439">
        <w:t xml:space="preserve">já </w:t>
      </w:r>
      <w:r w:rsidRPr="00B32E73">
        <w:t>as funções de secretário pessoal do chefe da Falange. Sendo um dos elementos mais activos da facção que reunia os nostálgicos de José Antonio, é possível que Garcerán partilhasse a simpatia que o defunto Chefe Nacional tinha por Prieto e que este, por seu turno, visse ali uma oportunidade para explorar as contradições do campo nacionalista. Garcerán esteve preso durante algum tempo e afastou-se depois definitivamente da vida política</w:t>
      </w:r>
      <w:r w:rsidRPr="00B32E73">
        <w:rPr>
          <w:rStyle w:val="Refdenotaderodap"/>
        </w:rPr>
        <w:footnoteReference w:id="129"/>
      </w:r>
      <w:r w:rsidRPr="00B32E73">
        <w:t xml:space="preserve">. Foi outro o actor da principal jogada de Indalecio Prieto. </w:t>
      </w:r>
    </w:p>
    <w:p w:rsidR="00E5051F" w:rsidRPr="00B32E73" w:rsidRDefault="00E5051F" w:rsidP="00E5051F">
      <w:pPr>
        <w:tabs>
          <w:tab w:val="left" w:pos="720"/>
          <w:tab w:val="left" w:pos="3312"/>
        </w:tabs>
      </w:pPr>
      <w:r w:rsidRPr="00B32E73">
        <w:lastRenderedPageBreak/>
        <w:t>Preso na zona republicana, o secretário-geral da Falange antes do levantamento, Raimundo Fernández Cuesta, recebeu na cadeia um emissário de Prieto, que lhe levou a proposta de uma paz negociada. O tom da conversa foi suficientemente ameno para que o fascista confidenciasse ao seu visitante que o resultado da batalha de Guadalajara, em Março de 1937, onde os soldados italianos haviam sido derrotados, fora a «única satisfação que sentira na guerra»</w:t>
      </w:r>
      <w:r w:rsidRPr="00B32E73">
        <w:rPr>
          <w:rStyle w:val="Refdenotaderodap"/>
        </w:rPr>
        <w:footnoteReference w:id="130"/>
      </w:r>
      <w:r w:rsidRPr="00B32E73">
        <w:t>. Satisfação, claro, a de um nacionalista espanhol saudando o êxito de compatriotas contra um exército estrangeiro, ainda que os estrangeiros fossem fascistas como ele e entre os espanhóis vencedores se contassem as tropas do anarco-sindicalista Cipriano Mera e dos comunistas L</w:t>
      </w:r>
      <w:r w:rsidR="008E4E32">
        <w:t>í</w:t>
      </w:r>
      <w:r w:rsidRPr="00B32E73">
        <w:t xml:space="preserve">ster e El Campesino, ajudadas </w:t>
      </w:r>
      <w:r w:rsidR="00D73663" w:rsidRPr="00B32E73">
        <w:t xml:space="preserve">pelos tanques do general soviético Dimitri Pavlov </w:t>
      </w:r>
      <w:r w:rsidR="00D73663">
        <w:t xml:space="preserve">e </w:t>
      </w:r>
      <w:r w:rsidRPr="00B32E73">
        <w:t xml:space="preserve">por brigadas internacionais </w:t>
      </w:r>
      <w:r w:rsidR="00D73663">
        <w:t>que incluíam antifascistas italianos</w:t>
      </w:r>
      <w:r w:rsidRPr="00B32E73">
        <w:t xml:space="preserve">. A mesma satisfação com que </w:t>
      </w:r>
      <w:r w:rsidR="007F7ABA">
        <w:t xml:space="preserve">vimos </w:t>
      </w:r>
      <w:r w:rsidRPr="00B32E73">
        <w:t xml:space="preserve">o general Yagüe, discursando </w:t>
      </w:r>
      <w:r w:rsidR="00725722">
        <w:t>em 19 de Abril de 193</w:t>
      </w:r>
      <w:r w:rsidR="002E0721">
        <w:t>8</w:t>
      </w:r>
      <w:r w:rsidR="00725722">
        <w:t xml:space="preserve"> </w:t>
      </w:r>
      <w:r w:rsidRPr="00B32E73">
        <w:t>perante os falangistas em Burgos, enaltece</w:t>
      </w:r>
      <w:r w:rsidR="007F7ABA">
        <w:t>r</w:t>
      </w:r>
      <w:r w:rsidRPr="00B32E73">
        <w:t xml:space="preserve"> as qualidades guerreiras dos republicanos, contrapondo-as ao comportamento de alemães e italianos, que classificou de «animais de rapina»</w:t>
      </w:r>
      <w:r w:rsidRPr="00B32E73">
        <w:rPr>
          <w:rStyle w:val="Refdenotaderodap"/>
        </w:rPr>
        <w:footnoteReference w:id="131"/>
      </w:r>
      <w:r w:rsidRPr="00B32E73">
        <w:t xml:space="preserve">. </w:t>
      </w:r>
    </w:p>
    <w:p w:rsidR="00E5051F" w:rsidRPr="00B32E73" w:rsidRDefault="00E5051F" w:rsidP="00E5051F">
      <w:pPr>
        <w:tabs>
          <w:tab w:val="left" w:pos="720"/>
          <w:tab w:val="left" w:pos="3312"/>
        </w:tabs>
      </w:pPr>
      <w:r w:rsidRPr="00B32E73">
        <w:t>Nestas circunvoluções da ideologia não parece deslocada uma manobra destinada a explorar o receio que alguns dignitários civis do fascismo pudessem sentir do exagerado poder que uma vitória total daria aos generais. A figura do antigo secretário-geral da Falange havia servido antes de Abril de 1937 como referência para a facção dos Camisas Velhas oposta a Manuel Hedilla</w:t>
      </w:r>
      <w:r w:rsidRPr="00B32E73">
        <w:rPr>
          <w:rStyle w:val="Refdenotaderodap"/>
        </w:rPr>
        <w:footnoteReference w:id="132"/>
      </w:r>
      <w:r w:rsidRPr="00B32E73">
        <w:t>, e Prieto conseguiu que Fernández Cuesta beneficiasse em Outubro de uma das raras trocas de prisioneiros. Seis meses após ter sido decretada a fusão de todos os agrupamentos nacionalistas, ei-lo junto a Franco, que o investiu das funções honoríficas de secretário-geral do Conselho Nacional do Movimento, nomeando-o também, em Janeiro de 1938, ministro da Agricultura no primeiro governo nacionalista regularmente organizado. «Aparentemente», escreve</w:t>
      </w:r>
      <w:r>
        <w:t>u</w:t>
      </w:r>
      <w:r w:rsidRPr="00B32E73">
        <w:t xml:space="preserve"> um historiador, «Prieto esperava com isto ou incitar à acção os Camisas Velhas, proporcionando-lhes um líder que pudesse substituir Franco, ou facilitar as diligências para uma paz negociada ou conduzir ao estabelecimento da Falange Española Auténtica [...], que ele tentava promover como uma espécie de força mediadora entre a velha Falange e os socialistas moderados. [...] Todavia, Fernández Cuesta não alterou a influência que Serrano S</w:t>
      </w:r>
      <w:r>
        <w:t>ú</w:t>
      </w:r>
      <w:r w:rsidRPr="00B32E73">
        <w:t>ñer exercia no movimento [...]»</w:t>
      </w:r>
      <w:r w:rsidRPr="00B32E73">
        <w:rPr>
          <w:rStyle w:val="Refdenotaderodap"/>
        </w:rPr>
        <w:footnoteReference w:id="133"/>
      </w:r>
      <w:r w:rsidRPr="00B32E73">
        <w:t xml:space="preserve">. Talvez Prieto não tivesse percebido até que ponto </w:t>
      </w:r>
      <w:r w:rsidRPr="00B32E73">
        <w:lastRenderedPageBreak/>
        <w:t xml:space="preserve">os decretos de Abril e o controlo directo </w:t>
      </w:r>
      <w:r w:rsidR="003B5BED">
        <w:t>obtido</w:t>
      </w:r>
      <w:r w:rsidRPr="00B32E73">
        <w:t xml:space="preserve"> por Franco sobre a nova Falange haviam modificado a situação. A sua jogada falhou duplamente</w:t>
      </w:r>
      <w:r>
        <w:t>,</w:t>
      </w:r>
      <w:r w:rsidRPr="00B32E73">
        <w:t xml:space="preserve"> não só porque a presença de Fernández Cuesta não contribuiu para acirrar antagonismos no campo nacionalista, mas ainda porque as funções </w:t>
      </w:r>
      <w:r w:rsidR="003B5BED">
        <w:t>assumidas pel</w:t>
      </w:r>
      <w:r w:rsidRPr="00B32E73">
        <w:t>o recém-vindo permitiram a Serrano S</w:t>
      </w:r>
      <w:r>
        <w:t>ú</w:t>
      </w:r>
      <w:r w:rsidRPr="00B32E73">
        <w:t xml:space="preserve">ñer encobrir-se por detrás de um Camisa Velha para continuar na prática a dirigir a Falange. </w:t>
      </w:r>
    </w:p>
    <w:p w:rsidR="00E5051F" w:rsidRPr="00B32E73" w:rsidRDefault="008E4E32" w:rsidP="00E5051F">
      <w:pPr>
        <w:tabs>
          <w:tab w:val="left" w:pos="720"/>
          <w:tab w:val="left" w:pos="3312"/>
        </w:tabs>
      </w:pPr>
      <w:r>
        <w:t>E</w:t>
      </w:r>
      <w:r w:rsidR="00E5051F" w:rsidRPr="00B32E73">
        <w:t>ntender</w:t>
      </w:r>
      <w:r>
        <w:t>e</w:t>
      </w:r>
      <w:r w:rsidR="00E5051F" w:rsidRPr="00B32E73">
        <w:t xml:space="preserve">mos este jogo na sua verdadeira dimensão </w:t>
      </w:r>
      <w:r>
        <w:t xml:space="preserve">se </w:t>
      </w:r>
      <w:r w:rsidR="00E5051F" w:rsidRPr="00B32E73">
        <w:t>conhecer</w:t>
      </w:r>
      <w:r>
        <w:t>mos</w:t>
      </w:r>
      <w:r w:rsidR="00E5051F" w:rsidRPr="00B32E73">
        <w:t xml:space="preserve"> igualmente o intermediário que negociou com o falangista na cadeia. Chamava-se Angel Díaz Baza e era socialista e amigo de Prieto, que no final de 1937 o nomeou para chefiar um novo organismo de espionagem e contra-espionagem, o SIM, destinado a coordenar os vários departamentos congéneres existentes no lado republicano. O objectivo último do SIM, esclarece</w:t>
      </w:r>
      <w:r w:rsidR="00E5051F">
        <w:t>u</w:t>
      </w:r>
      <w:r w:rsidR="00E5051F" w:rsidRPr="00B32E73">
        <w:t xml:space="preserve"> um erudito, seria «limitar a actividade dos “incontroláveis”, anarquistas ou outros [...]». Quem melhor para policiar as próprias fileiras do que um especialista em contactos secretos com o inimigo? «Contudo, este homem admirável não era a pessoa indicada para dirigir um serviço secreto durante uma guerra civil»</w:t>
      </w:r>
      <w:r w:rsidR="00E5051F" w:rsidRPr="00B32E73">
        <w:rPr>
          <w:rStyle w:val="Refdenotaderodap"/>
        </w:rPr>
        <w:footnoteReference w:id="134"/>
      </w:r>
      <w:r w:rsidR="00E5051F" w:rsidRPr="00B32E73">
        <w:t xml:space="preserve"> e depressa a coordenação da espionagem republicana passou a ter outro chefe. A razão pela qual Díaz Baza era «admirável» não me parece menos obscura do que o motivo que o impedia de ser «a pessoa indicada para dirigir um serviço secreto». Como não estão aqui em causa os critérios de um historiador mas os resultados da história, importa apenas saber que sob os seus novos patrões o SIM ficou inteiramente submetido à influência comunista, de modo que Prieto </w:t>
      </w:r>
      <w:r>
        <w:t xml:space="preserve">perdeu o </w:t>
      </w:r>
      <w:r w:rsidR="00E5051F" w:rsidRPr="00B32E73">
        <w:t>control</w:t>
      </w:r>
      <w:r>
        <w:t>o</w:t>
      </w:r>
      <w:r w:rsidR="00E5051F" w:rsidRPr="00B32E73">
        <w:t xml:space="preserve"> </w:t>
      </w:r>
      <w:r>
        <w:t xml:space="preserve">sobre </w:t>
      </w:r>
      <w:r w:rsidR="00E5051F" w:rsidRPr="00B32E73">
        <w:t xml:space="preserve">o organismo que acabara de criar. Mas ainda em 1937, e </w:t>
      </w:r>
      <w:r w:rsidR="00E5051F">
        <w:t>sempre</w:t>
      </w:r>
      <w:r w:rsidR="00E5051F" w:rsidRPr="00B32E73">
        <w:t xml:space="preserve"> inspirado por Prieto no afã de alcançar uma paz negociada, o «homem admirável» manteve contactos em Hendaye com o governador militar de Irún e de novo o encontramos em Fevereiro e Março do ano seguinte, desta vez em Saint-Jean-de-Luz, a tentar estabelecer um acordo com os nacionalistas e uma paz de compromisso no momento em que o Partido Comunista tornava públicos os ataques contra Prieto</w:t>
      </w:r>
      <w:r w:rsidR="00E5051F" w:rsidRPr="00B32E73">
        <w:rPr>
          <w:rStyle w:val="Refdenotaderodap"/>
        </w:rPr>
        <w:footnoteReference w:id="135"/>
      </w:r>
      <w:r w:rsidR="00E5051F" w:rsidRPr="00B32E73">
        <w:t xml:space="preserve">. </w:t>
      </w:r>
    </w:p>
    <w:p w:rsidR="00E5051F" w:rsidRPr="00B32E73" w:rsidRDefault="002E4280" w:rsidP="00E5051F">
      <w:pPr>
        <w:tabs>
          <w:tab w:val="left" w:pos="720"/>
          <w:tab w:val="left" w:pos="3312"/>
        </w:tabs>
      </w:pPr>
      <w:r>
        <w:t>Est</w:t>
      </w:r>
      <w:r w:rsidRPr="00B32E73">
        <w:t xml:space="preserve">a </w:t>
      </w:r>
      <w:r w:rsidR="00E5051F" w:rsidRPr="00B32E73">
        <w:t>diplomacia distinguiu-se de outras iniciativas de paz esboçadas por alguns políticos socialistas ou liberais por</w:t>
      </w:r>
      <w:r w:rsidR="00E5051F">
        <w:t>que Prieto</w:t>
      </w:r>
      <w:r w:rsidR="00E5051F" w:rsidRPr="00B32E73">
        <w:t xml:space="preserve"> pretend</w:t>
      </w:r>
      <w:r w:rsidR="00E5051F">
        <w:t>eu</w:t>
      </w:r>
      <w:r w:rsidR="00E5051F" w:rsidRPr="00B32E73">
        <w:t xml:space="preserve"> manipular as divisões e o descontentamento existentes no interior da Falange. O centro político da Espanha encontrava-se cindido pela linha de frente dos combates, e uma orientação moderada só pod</w:t>
      </w:r>
      <w:r>
        <w:t>er</w:t>
      </w:r>
      <w:r w:rsidR="00E5051F" w:rsidRPr="00B32E73">
        <w:t xml:space="preserve">ia prevalecer se a burocracia dos sindicatos socialistas se conjugasse com os aspirantes a burocratas do embrionário sindicalismo fascista. A finalidade desta estratégia não era abrir uma nova frente de luta, mas o seu contrário, iniciar no âmbito </w:t>
      </w:r>
      <w:r w:rsidR="00072954">
        <w:t xml:space="preserve">de um impossível </w:t>
      </w:r>
      <w:r w:rsidR="00E5051F" w:rsidRPr="00B32E73">
        <w:t xml:space="preserve">centro conversações de paz que pusessem fim à guerra, em </w:t>
      </w:r>
      <w:r w:rsidR="00E5051F" w:rsidRPr="00B32E73">
        <w:lastRenderedPageBreak/>
        <w:t xml:space="preserve">detrimento dos extremistas de ambos os lados. Em termos geométricos não há dúvida que Prieto via com acerto. Foi nos termos dinâmicos do problema que ele se enganou, e completamente. </w:t>
      </w:r>
    </w:p>
    <w:p w:rsidR="00E5051F" w:rsidRPr="00B32E73" w:rsidRDefault="00E5051F" w:rsidP="0086056E">
      <w:pPr>
        <w:keepNext/>
        <w:tabs>
          <w:tab w:val="left" w:pos="720"/>
          <w:tab w:val="left" w:pos="3312"/>
        </w:tabs>
        <w:spacing w:before="720" w:after="360"/>
        <w:ind w:firstLine="0"/>
        <w:jc w:val="center"/>
        <w:rPr>
          <w:b/>
          <w:sz w:val="28"/>
        </w:rPr>
      </w:pPr>
      <w:r w:rsidRPr="00B32E73">
        <w:rPr>
          <w:b/>
          <w:sz w:val="28"/>
        </w:rPr>
        <w:t>7. As barricadas de Maio de 1937 em Barcelona</w:t>
      </w:r>
    </w:p>
    <w:p w:rsidR="00364EA7" w:rsidRPr="00B32E73" w:rsidRDefault="00E5051F" w:rsidP="00364EA7">
      <w:pPr>
        <w:tabs>
          <w:tab w:val="left" w:pos="720"/>
          <w:tab w:val="left" w:pos="3312"/>
        </w:tabs>
      </w:pPr>
      <w:r>
        <w:t>Enquanto Indalecio Prieto conspirava para marginalizar os extremistas e pôr termo ao conflito, outras clivagens ameçavam abir uma nova frente de luta</w:t>
      </w:r>
      <w:r w:rsidR="00451750">
        <w:t xml:space="preserve">, e quem poderia então saber se </w:t>
      </w:r>
      <w:r w:rsidR="004F38DF">
        <w:t xml:space="preserve">não </w:t>
      </w:r>
      <w:r w:rsidR="00451750">
        <w:t xml:space="preserve">se </w:t>
      </w:r>
      <w:r>
        <w:t>junta</w:t>
      </w:r>
      <w:r w:rsidR="00C60657">
        <w:t>r</w:t>
      </w:r>
      <w:r w:rsidR="00451750">
        <w:t>iam</w:t>
      </w:r>
      <w:r>
        <w:t xml:space="preserve"> </w:t>
      </w:r>
      <w:r w:rsidR="004F38DF">
        <w:t xml:space="preserve">um dia </w:t>
      </w:r>
      <w:r w:rsidRPr="00B32E73">
        <w:t>os radicais do nacionalismo e os radicais do campo republicano</w:t>
      </w:r>
      <w:r w:rsidR="00451750">
        <w:t>?</w:t>
      </w:r>
      <w:r w:rsidRPr="00B32E73">
        <w:t xml:space="preserve"> Em 17 de Julho de 1936 não se desencade</w:t>
      </w:r>
      <w:r w:rsidR="004433BE">
        <w:t>ara</w:t>
      </w:r>
      <w:r w:rsidRPr="00B32E73">
        <w:t xml:space="preserve"> só uma guerra civil, mas começ</w:t>
      </w:r>
      <w:r w:rsidR="004433BE">
        <w:t>ara</w:t>
      </w:r>
      <w:r w:rsidRPr="00B32E73">
        <w:t xml:space="preserve"> a pairar a ameaça de outras duas. Por um lado, era precária a estabilidade da zona nacionalista, onde nem todos os falangistas obedeciam aos desígnios dos generais e do clero. Por outro lado, na zona republicana o proletariado continuava a guerra de classe que vinha desde há muito a travar contra os latifundiários e os patrões das fábricas, fossem eles conservadores ou liberais, favoráveis ou contrários à coroa. Os trabalhadores comuns que pegaram em armas para suster o levantamento militar não estavam a defender a burguesia liberal nem os engenheiros republicanos, e as tensões agravaram-se a partir do momento em que a revolução social foi reduzida a uma guerra em prol das instituições legais. </w:t>
      </w:r>
      <w:r w:rsidR="00364EA7" w:rsidRPr="00B32E73">
        <w:t xml:space="preserve">Entre os comunistas, contra a orientação conservadora e centralista dos stalinianos destacava-se o POUM, revolucionário e basicamente catalão. E entre os anarco-sindicalistas, contra a política de integração nas instituições republicanas, encabeçada por Horacio Prieto e Diego Abad de Santillán, e contra o autoritarismo de García Oliver e a militarização das milícias por ele promovida, manifestava-se a insatisfação latente dos militantes de base dos sindicatos e das Juventudes Libertárias. As barricadas de Maio de 1937 em Barcelona resultaram da junção destes descontentamentos e representaram, na guerra civil, a abertura de uma nova frente, tentando prolongar a revolução social. </w:t>
      </w:r>
    </w:p>
    <w:p w:rsidR="00E5051F" w:rsidRPr="00B32E73" w:rsidRDefault="00E5051F" w:rsidP="00E5051F">
      <w:pPr>
        <w:tabs>
          <w:tab w:val="left" w:pos="720"/>
          <w:tab w:val="left" w:pos="3312"/>
        </w:tabs>
      </w:pPr>
      <w:r w:rsidRPr="00B32E73">
        <w:t xml:space="preserve">«A indiferença geral perante a guerra era surpreendente e até revoltante», </w:t>
      </w:r>
      <w:r w:rsidR="00364EA7">
        <w:t>havia observado</w:t>
      </w:r>
      <w:r w:rsidRPr="00B32E73">
        <w:t xml:space="preserve"> George Orwell ao regressar à capital da Catalunha nos últimos dias de Abril de 1937, vindo da frente de Aragão. «Ela devia-se em parte ao facto de Barcelona estar afastada da cena dos combates [...] Mas era significativo que por toda a Espanha [republicana] o alistamento voluntário tivesse declinado a partir de Janeiro. [...] Mal haviam passado seis meses depois do início da guerra, e o governo teve de recorrer ao recrutamento obrigatório, o que seria normal numa guerra contra outro país, mas parece estranho numa guerra civil. Isto devia-se sem dúvida à frustração das esperanças revolucionárias com que a guerra começara. Nas primeiras semanas da guerra os sindicalistas que formaram as milícias e obrigaram os fascistas a retirar </w:t>
      </w:r>
      <w:r w:rsidRPr="00B32E73">
        <w:lastRenderedPageBreak/>
        <w:t>até Saragoça pensavam sobretudo que estavam a lutar pelo controlo operário. Mas era cada vez mais evidente que o controlo operário era uma causa perdida e não podíamos censurar a relativa apatia das pessoas do povo, sobretudo do proletariado urbano, que constitui o grosso do contingente em todas as guerras, civis ou externas. [...] As pessoas despertas para as questões políticas estavam muito melhor informadas acerca da luta fratricida entre anarquistas e comunistas do que acerca do combate contra Franco»</w:t>
      </w:r>
      <w:r w:rsidRPr="00B32E73">
        <w:rPr>
          <w:rStyle w:val="Refdenotaderodap"/>
        </w:rPr>
        <w:footnoteReference w:id="136"/>
      </w:r>
      <w:r w:rsidRPr="00B32E73">
        <w:t xml:space="preserve">. </w:t>
      </w:r>
    </w:p>
    <w:p w:rsidR="00E5051F" w:rsidRPr="00B32E73" w:rsidRDefault="00E5051F" w:rsidP="00E5051F">
      <w:pPr>
        <w:tabs>
          <w:tab w:val="left" w:pos="720"/>
          <w:tab w:val="left" w:pos="3312"/>
        </w:tabs>
      </w:pPr>
      <w:r w:rsidRPr="00B32E73">
        <w:t xml:space="preserve">Para iniciar o teste de força, que </w:t>
      </w:r>
      <w:r w:rsidR="00A91E62">
        <w:t xml:space="preserve">em breve </w:t>
      </w:r>
      <w:r w:rsidRPr="00B32E73">
        <w:t xml:space="preserve">se revelou decisivo, o Partido Comunista, através do seu organismo catalão, o PSUC, escolheu a central telefónica de Barcelona, ocupada por uma força armada anarquista e dirigida por uma comissão eleita pelos trabalhadores e constituída por membros da CNT e da UGT. Opondo-se a qualquer tentativa de prosseguir a revolução social, os stalinistas pretendiam antes de mais pôr cobro a uma experiência de controlo das empresas pelos empregados. Além disso, a detenção da central telefónica dava à comissão de trabalhadores a possibilidade de interceptar </w:t>
      </w:r>
      <w:r w:rsidR="00FB41F2" w:rsidRPr="00B32E73">
        <w:t xml:space="preserve">ou escutar </w:t>
      </w:r>
      <w:r w:rsidR="00FB41F2">
        <w:t xml:space="preserve">as </w:t>
      </w:r>
      <w:r w:rsidRPr="00B32E73">
        <w:t xml:space="preserve">comunicações e conferia-lhe a capacidade de intervir na actividade das organizações políticas adversas e de ficar ao corrente dos conluios dos governantes. E o facto de os sindicatos disporem livremente do sistema telefónico facilitava os contactos entre as organizações de base. Na tarde de 3 de Maio </w:t>
      </w:r>
      <w:r>
        <w:t xml:space="preserve">de 1937 </w:t>
      </w:r>
      <w:r w:rsidRPr="00B32E73">
        <w:t xml:space="preserve">o PSUC procurou ocupar a central telefónica. Em resposta, sem que os tivesse movido o apelo de </w:t>
      </w:r>
      <w:r w:rsidR="00C60657">
        <w:t>nenhuns</w:t>
      </w:r>
      <w:r w:rsidRPr="00B32E73">
        <w:t xml:space="preserve"> dirigentes de vulto, numerosos trabalhadores entraram espontaneamente em greve, pegaram nas espingardas e passaram à contra-ofensiva. À noite as ruas de Barcelona encontravam-se cortadas por barricadas, enquanto todos os subúrbios estavam nas mãos do operariado em revolta. No dia seguinte começou o confronto armado</w:t>
      </w:r>
      <w:r w:rsidR="00E37FEF" w:rsidRPr="00B32E73">
        <w:rPr>
          <w:rStyle w:val="Refdenotaderodap"/>
        </w:rPr>
        <w:footnoteReference w:id="137"/>
      </w:r>
      <w:r w:rsidRPr="00B32E73">
        <w:t xml:space="preserve">. </w:t>
      </w:r>
    </w:p>
    <w:p w:rsidR="00E5051F" w:rsidRPr="00B32E73" w:rsidRDefault="00E5051F" w:rsidP="00E5051F">
      <w:pPr>
        <w:tabs>
          <w:tab w:val="left" w:pos="720"/>
          <w:tab w:val="left" w:pos="3312"/>
        </w:tabs>
      </w:pPr>
      <w:r w:rsidRPr="00B32E73">
        <w:t>Mas o POUM não teve força, nem talvez vontade, para enquadrar e dirigir um empreendimento de tamanha dimensão</w:t>
      </w:r>
      <w:r w:rsidRPr="00B32E73">
        <w:rPr>
          <w:rStyle w:val="Refdenotaderodap"/>
        </w:rPr>
        <w:footnoteReference w:id="138"/>
      </w:r>
      <w:r w:rsidRPr="00B32E73">
        <w:t xml:space="preserve">. E os mais célebres dirigentes da CNT-FAI fizeram o possível por desmoralizar e desarmar os insurrectos. Pondo provisoriamente de parte a inimizade que os dividia, García Oliver e Federica Montseny usaram os microfones da rádio para apelar à deposição das armas e ao fim da greve, palavras de ordem de que se fez eco a imprensa da CNT. E para verificar se as suas instruções eram </w:t>
      </w:r>
      <w:r w:rsidR="00C60657">
        <w:t>obedecidas</w:t>
      </w:r>
      <w:r w:rsidRPr="00B32E73">
        <w:t xml:space="preserve"> aqueles dois ministros </w:t>
      </w:r>
      <w:r w:rsidRPr="00B32E73">
        <w:lastRenderedPageBreak/>
        <w:t>anarquistas precipitaram-se para Barcelona, acompanhados pelo secretário nacional da Confederação e por representantes da UGT</w:t>
      </w:r>
      <w:r w:rsidRPr="00B32E73">
        <w:rPr>
          <w:rStyle w:val="Refdenotaderodap"/>
        </w:rPr>
        <w:footnoteReference w:id="139"/>
      </w:r>
      <w:r w:rsidRPr="00B32E73">
        <w:t>. A CNT-FAI distribuía pelas barricadas panfletos em que pedia a concórdia e o fim da luta. Entretanto, e apesar de o governo de Val</w:t>
      </w:r>
      <w:r>
        <w:t>e</w:t>
      </w:r>
      <w:r w:rsidRPr="00B32E73">
        <w:t>ncia não ter hesitado em retirar alguns milhares de soldados da frente de guerra e enviá-los contra a cidade insurrecta</w:t>
      </w:r>
      <w:r w:rsidRPr="00B32E73">
        <w:rPr>
          <w:rStyle w:val="Refdenotaderodap"/>
        </w:rPr>
        <w:footnoteReference w:id="140"/>
      </w:r>
      <w:r w:rsidRPr="00B32E73">
        <w:t>, os chefes militares anarquistas Gregorio Jover e García Vivancos ameaçaram fuzilar as suas tropas que pretendiam abandonar a frente de Aragão para irem combater em Barcelona ao lado dos trabalhadores</w:t>
      </w:r>
      <w:r w:rsidRPr="00B32E73">
        <w:rPr>
          <w:rStyle w:val="Refdenotaderodap"/>
        </w:rPr>
        <w:footnoteReference w:id="141"/>
      </w:r>
      <w:r w:rsidRPr="00B32E73">
        <w:t xml:space="preserve">. </w:t>
      </w:r>
      <w:r>
        <w:t>Também o POUM se recusou a deslocar tropas da frente</w:t>
      </w:r>
      <w:r>
        <w:rPr>
          <w:rStyle w:val="Refdenotaderodap"/>
        </w:rPr>
        <w:footnoteReference w:id="142"/>
      </w:r>
      <w:r>
        <w:t xml:space="preserve">. </w:t>
      </w:r>
      <w:r w:rsidRPr="00B32E73">
        <w:t>Depois de quatro ou cinco dias de refregas esporádicas mas violentas, de que resultaram várias centenas de mortos e um ou dois milhares de feridos</w:t>
      </w:r>
      <w:r w:rsidRPr="00B32E73">
        <w:rPr>
          <w:rStyle w:val="Refdenotaderodap"/>
        </w:rPr>
        <w:footnoteReference w:id="143"/>
      </w:r>
      <w:r w:rsidRPr="00B32E73">
        <w:t xml:space="preserve">, a determinação e a disciplina dos stalinistas, aliados às forças republicanas conservadoras, e as ordens de desmobilização lançadas pelos dirigentes da CNT e da FAI acabaram por extinguir o ânimo de resistência dos insurrectos. A CNT abandonou a central telefónica, pôs-se fim à greve, os combates de rua terminaram e os trabalhadores foram progressivamente desarmados. </w:t>
      </w:r>
    </w:p>
    <w:p w:rsidR="00E5051F" w:rsidRPr="00B32E73" w:rsidRDefault="00E5051F" w:rsidP="00E5051F">
      <w:pPr>
        <w:tabs>
          <w:tab w:val="left" w:pos="720"/>
          <w:tab w:val="left" w:pos="3312"/>
        </w:tabs>
      </w:pPr>
      <w:r w:rsidRPr="00B32E73">
        <w:t xml:space="preserve">E tudo isto quer dizer que aquelas barricadas não foram o prelúdio possível de um novo surto revolucionário, mas a conclusão definitiva da revolução, enterrada pelos soldados que entraram em Barcelona às ordens do Partido Comunista e pela repressão generalizada que de então em diante prendeu ou assassinou um número considerável de militantes anticapitalistas e eliminou </w:t>
      </w:r>
      <w:r w:rsidR="00847ED1">
        <w:t>o que restava d</w:t>
      </w:r>
      <w:r w:rsidRPr="00B32E73">
        <w:t>os ensaios de emancipação social na zona republicana. Quase metade do espaço da Prisão Modelo de Barcelona ficou ocupado por membros do POUM e da CNT</w:t>
      </w:r>
      <w:r w:rsidRPr="00B32E73">
        <w:rPr>
          <w:rStyle w:val="Refdenotaderodap"/>
        </w:rPr>
        <w:footnoteReference w:id="144"/>
      </w:r>
      <w:r w:rsidRPr="00B32E73">
        <w:t xml:space="preserve">. </w:t>
      </w:r>
      <w:r w:rsidRPr="00B32E73">
        <w:lastRenderedPageBreak/>
        <w:t>«Sabíamos que não era possível triunfar na revolução se não triunfássemos primeiro na guerra», argumentou Diego Abad de Santillán mais tarde, após a derrota final, para se penitenciar logo em seguida. «Sacrificámos a própria revolução, sem compreender</w:t>
      </w:r>
      <w:r w:rsidR="00B45097">
        <w:t>mos</w:t>
      </w:r>
      <w:r w:rsidRPr="00B32E73">
        <w:t xml:space="preserve"> que este sacrifício implicava também o sacrifício dos objectivos da guerra»</w:t>
      </w:r>
      <w:r w:rsidRPr="00B32E73">
        <w:rPr>
          <w:rStyle w:val="Refdenotaderodap"/>
        </w:rPr>
        <w:footnoteReference w:id="145"/>
      </w:r>
      <w:r w:rsidRPr="00B32E73">
        <w:t xml:space="preserve">. Talvez Durruti, com o seu prestígio e as tropas que comandava, pudesse ter dado aos revoltosos a direcção que lhes faltava e um novo alento. Mas há seis meses que ele jazia no cemitério de Casa Antúnez e, enquanto vivera, desde os dias decisivos de Julho de 1936 hesitara sempre, falando a favor da revolução e do direito das milícias a manterem a disciplina libertária, mas abstendo-se de inverter os pratos da balança com o peso do seu nome e das suas armas. É mais do que provável que Durruti se </w:t>
      </w:r>
      <w:r w:rsidR="0065162A">
        <w:t>tivesse</w:t>
      </w:r>
      <w:r w:rsidRPr="00B32E73">
        <w:t xml:space="preserve"> escusado agora a intervir na capital da Catalunha. Afinal, foi mais eficaz morto, depurada a glória do cadáver das ambiguidades e indecisões dos seus últimos meses de vida e utilizado como bandeira por aqueles que se propunham levar </w:t>
      </w:r>
      <w:r w:rsidR="0065162A">
        <w:t xml:space="preserve">adiante </w:t>
      </w:r>
      <w:r w:rsidRPr="00B32E73">
        <w:t xml:space="preserve">a renovação da sociedade. </w:t>
      </w:r>
    </w:p>
    <w:p w:rsidR="00E5051F" w:rsidRPr="00B32E73" w:rsidRDefault="00E5051F" w:rsidP="00E5051F">
      <w:pPr>
        <w:tabs>
          <w:tab w:val="left" w:pos="720"/>
          <w:tab w:val="left" w:pos="3312"/>
        </w:tabs>
      </w:pPr>
      <w:r w:rsidRPr="00B32E73">
        <w:t xml:space="preserve">O agrupamento Los Amigos de Durruti, organizado </w:t>
      </w:r>
      <w:r>
        <w:t xml:space="preserve">em 15 de Março de 1937 </w:t>
      </w:r>
      <w:r w:rsidRPr="00B32E73">
        <w:t xml:space="preserve">como </w:t>
      </w:r>
      <w:r w:rsidR="00F42D96">
        <w:t xml:space="preserve">uma </w:t>
      </w:r>
      <w:r w:rsidRPr="00B32E73">
        <w:t>facção radical no interior da CNT-FAI</w:t>
      </w:r>
      <w:r>
        <w:rPr>
          <w:rStyle w:val="Refdenotaderodap"/>
        </w:rPr>
        <w:footnoteReference w:id="146"/>
      </w:r>
      <w:r w:rsidRPr="00B32E73">
        <w:t>, ergue</w:t>
      </w:r>
      <w:r>
        <w:t>ra</w:t>
      </w:r>
      <w:r w:rsidRPr="00B32E73">
        <w:t xml:space="preserve">-se contra a tibieza e as transigências dos representantes oficiais do anarquismo. </w:t>
      </w:r>
      <w:r>
        <w:t xml:space="preserve">No seu primeiro comício público, a 20 de Abril, um dos membros do grupo afirmara que existiam em Espanha duas burguesias, uma fascista e a outra republicana, e insistira </w:t>
      </w:r>
      <w:r w:rsidR="00847ED1">
        <w:t xml:space="preserve">na necessidade de </w:t>
      </w:r>
      <w:r>
        <w:t>lutar contra ambas. E no segundo comício, realizado a 2 de Maio, Los Amigos de Durruti haviam previsto os acontecimentos iminentes</w:t>
      </w:r>
      <w:r>
        <w:rPr>
          <w:rStyle w:val="Refdenotaderodap"/>
        </w:rPr>
        <w:footnoteReference w:id="147"/>
      </w:r>
      <w:r>
        <w:t xml:space="preserve">. </w:t>
      </w:r>
      <w:r w:rsidRPr="00B32E73">
        <w:t>Pretendendo imprimir às jornadas de Maio uma orientação consequente, este agrupamento distribuiu nas barricadas e nos bairros operários um folheto em que apelava à aliança com o POUM e exigia a nomeação de uma Junta Revolucionária, a «dissolução dos partidos políticos que tenham agredido a classe trabalhadora», ou seja, o PCE e o PSUC, bem como o Estat Català, e a «socialização da economia»</w:t>
      </w:r>
      <w:r w:rsidRPr="00B32E73">
        <w:rPr>
          <w:rStyle w:val="Refdenotaderodap"/>
        </w:rPr>
        <w:footnoteReference w:id="148"/>
      </w:r>
      <w:r w:rsidRPr="00B32E73">
        <w:t xml:space="preserve">. Nas semanas e nos meses seguintes, Los Amigos de Durruti tentaram ressuscitar o processo de conversão da guerra em revolução social. No primeiro </w:t>
      </w:r>
      <w:r w:rsidRPr="00B32E73">
        <w:lastRenderedPageBreak/>
        <w:t xml:space="preserve">número do seu jornal </w:t>
      </w:r>
      <w:r w:rsidRPr="00B32E73">
        <w:rPr>
          <w:i/>
        </w:rPr>
        <w:t>El Amigo del Pueblo,</w:t>
      </w:r>
      <w:r w:rsidRPr="00B32E73">
        <w:t xml:space="preserve"> publicado poucos dias depois de se terem desfeito as barricadas de Barcelona, proclama</w:t>
      </w:r>
      <w:r>
        <w:t>r</w:t>
      </w:r>
      <w:r w:rsidRPr="00B32E73">
        <w:t xml:space="preserve">am que em Julho de 1936 o proletariado espanhol não se </w:t>
      </w:r>
      <w:r>
        <w:t xml:space="preserve">havia </w:t>
      </w:r>
      <w:r w:rsidRPr="00B32E73">
        <w:t>limita</w:t>
      </w:r>
      <w:r>
        <w:t>do</w:t>
      </w:r>
      <w:r w:rsidRPr="00B32E73">
        <w:t xml:space="preserve"> a responder ao golpe dos generais e prosseguira uma luta social secular. «Tem sido dito que as jornadas de Julho [de 1936] foram uma resposta à provocação fascista. Mas nós, “Os Amigos de Durruti”, temos sustentado publicamente que a essência dos dias memoráveis de Julho se radica na aspiração absoluta do proletariado à sua emancipação»</w:t>
      </w:r>
      <w:r w:rsidRPr="00B32E73">
        <w:rPr>
          <w:rStyle w:val="Refdenotaderodap"/>
        </w:rPr>
        <w:footnoteReference w:id="149"/>
      </w:r>
      <w:r w:rsidRPr="00B32E73">
        <w:t>. Partindo da perspectiva, historicamente correcta, de que mesmo sem o levantamento militar a agudização dos antagonismos sociais tornara o confronto inevitável, Los Amigos de Durruti resumir</w:t>
      </w:r>
      <w:r>
        <w:t>am</w:t>
      </w:r>
      <w:r w:rsidRPr="00B32E73">
        <w:t xml:space="preserve"> lucidamente a situação. «Os partidos pequeno-burgueses e os marxistas oficiais são quem mais insiste em dissociar a revolução da guerra. Dizem-nos a nós, os anarquistas, que aguardemos ter ganho a guerra para fazer a revolução. [...] Mas, entretanto, os defensores de que se adie a revolução para depois da guerra procuram monopolizar os lugares de poder e o aparelho governamental, com o objectivo de jugular a revolução»</w:t>
      </w:r>
      <w:r w:rsidRPr="00B32E73">
        <w:rPr>
          <w:rStyle w:val="Refdenotaderodap"/>
        </w:rPr>
        <w:footnoteReference w:id="150"/>
      </w:r>
      <w:r w:rsidRPr="00B32E73">
        <w:t xml:space="preserve">. </w:t>
      </w:r>
      <w:r w:rsidR="00470FB6">
        <w:t xml:space="preserve">E </w:t>
      </w:r>
      <w:r w:rsidR="007763C7">
        <w:t>apesar de</w:t>
      </w:r>
      <w:r w:rsidR="00470FB6">
        <w:t xml:space="preserve"> </w:t>
      </w:r>
      <w:r w:rsidR="007763C7" w:rsidRPr="00B32E73">
        <w:t>Los Amigos de Durruti sustenta</w:t>
      </w:r>
      <w:r w:rsidR="007763C7">
        <w:t>rem</w:t>
      </w:r>
      <w:r w:rsidR="007763C7" w:rsidRPr="00B32E73">
        <w:t xml:space="preserve"> </w:t>
      </w:r>
      <w:r w:rsidR="00470FB6" w:rsidRPr="00B32E73">
        <w:t xml:space="preserve">até </w:t>
      </w:r>
      <w:r w:rsidRPr="00B32E73">
        <w:t>ao último número do seu jornal que a guerra civil devia necessariamente ser uma revolução social, percebemos que depositava</w:t>
      </w:r>
      <w:r w:rsidR="00470FB6">
        <w:t>m</w:t>
      </w:r>
      <w:r w:rsidRPr="00B32E73">
        <w:t xml:space="preserve"> cada vez menos esperanças no entusiasmo colectivo. «Todas as revoluções seguem uma via ascendente até pararem, e entram então numa fase de franco declínio», lia-se em Junho num editorial de </w:t>
      </w:r>
      <w:r w:rsidRPr="00B32E73">
        <w:rPr>
          <w:i/>
        </w:rPr>
        <w:t>El Amigo del Pueblo</w:t>
      </w:r>
      <w:r w:rsidRPr="00B32E73">
        <w:t>. «A nossa revolução iniciou a sua descida poucos dias depois de Julho [de 1936]. Não pôde recomeçar a subir em Maio [de 1937]»</w:t>
      </w:r>
      <w:r w:rsidRPr="00B32E73">
        <w:rPr>
          <w:rStyle w:val="Refdenotaderodap"/>
        </w:rPr>
        <w:footnoteReference w:id="151"/>
      </w:r>
      <w:r w:rsidRPr="00B32E73">
        <w:t>. Mais concisamente, afirm</w:t>
      </w:r>
      <w:r w:rsidR="00470FB6">
        <w:t>aram</w:t>
      </w:r>
      <w:r w:rsidRPr="00B32E73">
        <w:t>: «A revolução sofreu uma pausa»</w:t>
      </w:r>
      <w:r w:rsidRPr="00B32E73">
        <w:rPr>
          <w:rStyle w:val="Refdenotaderodap"/>
        </w:rPr>
        <w:footnoteReference w:id="152"/>
      </w:r>
      <w:r w:rsidRPr="00B32E73">
        <w:t>. E no editorial da sua derradeira publicação Los Amigos de Durruti observa</w:t>
      </w:r>
      <w:r w:rsidR="007763C7">
        <w:t>r</w:t>
      </w:r>
      <w:r w:rsidRPr="00B32E73">
        <w:t>am entre os trabalhadores o «conformismo» e a «renúncia às aspirações revolucionárias»</w:t>
      </w:r>
      <w:r w:rsidRPr="00B32E73">
        <w:rPr>
          <w:rStyle w:val="Refdenotaderodap"/>
        </w:rPr>
        <w:footnoteReference w:id="153"/>
      </w:r>
      <w:r w:rsidRPr="00B32E73">
        <w:t>. Afinal, perante a inércia da base trabalhadora, tudo estaria suspenso da iniciativa de uma vanguarda heróica. «O povo junta-se em torno do mais forte. Portanto, sejamos fortes», escrev</w:t>
      </w:r>
      <w:r>
        <w:t>eu</w:t>
      </w:r>
      <w:r w:rsidRPr="00B32E73">
        <w:t xml:space="preserve"> ainda em Maio um membro da redacção d</w:t>
      </w:r>
      <w:r w:rsidR="004C7BE9">
        <w:t>e</w:t>
      </w:r>
      <w:r w:rsidRPr="00B32E73">
        <w:t xml:space="preserve"> </w:t>
      </w:r>
      <w:r w:rsidR="004C7BE9">
        <w:rPr>
          <w:i/>
        </w:rPr>
        <w:t xml:space="preserve">El </w:t>
      </w:r>
      <w:r w:rsidRPr="00B32E73">
        <w:rPr>
          <w:i/>
        </w:rPr>
        <w:t>Amigo del Pueblo</w:t>
      </w:r>
      <w:r w:rsidRPr="00B32E73">
        <w:t>. «Tem que se falar ao povo com a linguagem dos vencedores. Tem que se lhe dar uma sensação de força»</w:t>
      </w:r>
      <w:r w:rsidRPr="00B32E73">
        <w:rPr>
          <w:rStyle w:val="Refdenotaderodap"/>
        </w:rPr>
        <w:footnoteReference w:id="154"/>
      </w:r>
      <w:r w:rsidRPr="00B32E73">
        <w:t xml:space="preserve">. </w:t>
      </w:r>
    </w:p>
    <w:p w:rsidR="00E5051F" w:rsidRPr="00B32E73" w:rsidRDefault="00E5051F" w:rsidP="00E5051F">
      <w:pPr>
        <w:tabs>
          <w:tab w:val="left" w:pos="720"/>
          <w:tab w:val="left" w:pos="3312"/>
        </w:tabs>
      </w:pPr>
      <w:r w:rsidRPr="00B32E73">
        <w:t xml:space="preserve">Em vez de revelar qualquer força, porém, este ilusionismo era o sintoma de uma debilidade muito profunda e denunciava a tendência para a burocratização dos processos revolucionários. Basta que a grande maioria dos explorados tenha razões para descrer das possibilidades de vitória e dissolva os laços de solidariedade que lhe permitiam tomar decisões </w:t>
      </w:r>
      <w:r w:rsidRPr="00B32E73">
        <w:lastRenderedPageBreak/>
        <w:t xml:space="preserve">próprias e exercer o controlo sobre os seus delegados, para que a vanguarda, </w:t>
      </w:r>
      <w:r w:rsidR="00847ED1">
        <w:t>quer o deseje ou não</w:t>
      </w:r>
      <w:r w:rsidRPr="00B32E73">
        <w:t xml:space="preserve">, </w:t>
      </w:r>
      <w:r w:rsidR="00A77A37">
        <w:t>fique</w:t>
      </w:r>
      <w:r w:rsidRPr="00B32E73">
        <w:t xml:space="preserve"> </w:t>
      </w:r>
      <w:r w:rsidR="00C91522">
        <w:t>burocratiz</w:t>
      </w:r>
      <w:r w:rsidR="00A77A37">
        <w:t>ada</w:t>
      </w:r>
      <w:r w:rsidR="00C91522">
        <w:t xml:space="preserve"> e se </w:t>
      </w:r>
      <w:r w:rsidRPr="00B32E73">
        <w:t xml:space="preserve">converta </w:t>
      </w:r>
      <w:r w:rsidR="00C91522">
        <w:t xml:space="preserve">eventualmente </w:t>
      </w:r>
      <w:r w:rsidRPr="00B32E73">
        <w:t>numa nova elite</w:t>
      </w:r>
      <w:r w:rsidR="00C91522">
        <w:t>,</w:t>
      </w:r>
      <w:r w:rsidRPr="00B32E73">
        <w:t xml:space="preserve"> consolid</w:t>
      </w:r>
      <w:r w:rsidR="00C91522">
        <w:t>ando</w:t>
      </w:r>
      <w:r w:rsidRPr="00B32E73">
        <w:t xml:space="preserve"> depois a sua posição privilegiada </w:t>
      </w:r>
      <w:r w:rsidR="00C91522">
        <w:t xml:space="preserve">e </w:t>
      </w:r>
      <w:r w:rsidRPr="00B32E73">
        <w:t>assumindo-se como classe dominante. Ao serem levados pelas circunstâncias a adoptar o tom do jacobinismo, Los Amigos de Durruti demonstraram que o proletariado catalão não conseguia já movimentar-se com autonomia. Proclamar-se como vanguarda revolucionária de um processo em que os trabalhadores comuns haviam desistido da revolução era um paradoxo irresolúvel. Como sempre sucede nas lutas sociais no capitalismo, a derrota não viera de fora. «Pode explicar</w:t>
      </w:r>
      <w:r w:rsidRPr="00517D9B">
        <w:t>-se</w:t>
      </w:r>
      <w:r w:rsidRPr="00B32E73">
        <w:t>», pergunta</w:t>
      </w:r>
      <w:r>
        <w:t>r</w:t>
      </w:r>
      <w:r w:rsidRPr="00B32E73">
        <w:t>am Los Amigos de Durruti, «que o vencedor seja entregue, atado de pés e mãos, aos vencidos?»</w:t>
      </w:r>
      <w:r w:rsidRPr="00B32E73">
        <w:rPr>
          <w:rStyle w:val="Refdenotaderodap"/>
        </w:rPr>
        <w:footnoteReference w:id="155"/>
      </w:r>
      <w:r w:rsidRPr="00B32E73">
        <w:t>. O fracasso das barricadas de Barcelona em Maio de 1937 não se verificara no plano militar, onde os insurrectos haviam sempre mantido a superioridade, mas no plano político</w:t>
      </w:r>
      <w:r w:rsidRPr="00B32E73">
        <w:rPr>
          <w:rStyle w:val="Refdenotaderodap"/>
        </w:rPr>
        <w:footnoteReference w:id="156"/>
      </w:r>
      <w:r w:rsidRPr="00B32E73">
        <w:t>. Os trabalhadores foram derrotados internamente, a partir do momento em que se revelaram incapazes de generalizar as suas novas formas de organização e de disciplina. Destroçara-os a ilusão de defender a ordem republicana ao lado dos outros partidos políticos</w:t>
      </w:r>
      <w:r w:rsidR="00593082">
        <w:t xml:space="preserve">. </w:t>
      </w:r>
      <w:r w:rsidRPr="00B32E73">
        <w:t xml:space="preserve">Este foi, no campo da república, o desfecho breve de uma outra guerra civil. Faltava o epílogo. </w:t>
      </w:r>
    </w:p>
    <w:p w:rsidR="00E5051F" w:rsidRPr="00B32E73" w:rsidRDefault="00E5051F" w:rsidP="00E5051F">
      <w:pPr>
        <w:tabs>
          <w:tab w:val="left" w:pos="720"/>
          <w:tab w:val="left" w:pos="3312"/>
        </w:tabs>
      </w:pPr>
      <w:r w:rsidRPr="00B32E73">
        <w:t>Em Maio de 1937 os comunistas stalinianos tinham triunfado contra o POUM e contra os anarquistas radicais. Em Março de 1939 as tropas militarizadas de uma CNT burocrática foram decisivas para aniquilar os stalinistas no território que restava ainda à república. O golpe dirigido pelo comandante do Exército do Centro, coronel Segismundo Casado, com a participação de liberais e socialistas moderados, e de que resultou a formação do Conselho Nacional de Defesa, foi sobretudo pensado e posto em prática pela CNT, através do Comité de Defesa da sua Federação Regional do Centro</w:t>
      </w:r>
      <w:r w:rsidRPr="00B32E73">
        <w:rPr>
          <w:rStyle w:val="Refdenotaderodap"/>
        </w:rPr>
        <w:footnoteReference w:id="157"/>
      </w:r>
      <w:r w:rsidRPr="00B32E73">
        <w:t xml:space="preserve">. Na CNT, como nas demais organizações da zona republicana, mandava quem tivesse as armas, e ao mesmo tempo que um anarco-sindicalista se encarregava no governo de Negrín do Ministério da Educação e da Saúde, as tropas anarco-sindicalistas de Madrid derrubavam governo, saúde e educação tudo junto. O PCE, que havia eliminado dois anos antes as últimas veleidades revolucionárias do anarquismo e desimpedido o caminho para a completa burocratização da CNT-FAI, foi agora liquidado pelos mesmos cuja reaccionarização tinha acelerado. A poucos dias de chegar ao fim a guerra civil entre republicanos e nacionalistas, </w:t>
      </w:r>
      <w:r w:rsidRPr="00B32E73">
        <w:lastRenderedPageBreak/>
        <w:t>terminou a guerra civil interna ao campo republicano. Por todo o lado os seguidores do coronel Casado prenderam os stalinistas</w:t>
      </w:r>
      <w:r w:rsidRPr="00B32E73">
        <w:rPr>
          <w:rStyle w:val="Refdenotaderodap"/>
        </w:rPr>
        <w:footnoteReference w:id="158"/>
      </w:r>
      <w:r>
        <w:t>.</w:t>
      </w:r>
      <w:r w:rsidRPr="00B32E73">
        <w:t xml:space="preserve"> E a vitória obtida pelo IV Corpo de Exército, comandado pelo libertário Cipriano Mera, na batalha que travou em Madrid de 7 a 12 de Março de 1939 contra os três corpos de exército chefiados pelo PCE provocou alguns milhares de mortos</w:t>
      </w:r>
      <w:r w:rsidRPr="00B32E73">
        <w:rPr>
          <w:rStyle w:val="Refdenotaderodap"/>
        </w:rPr>
        <w:footnoteReference w:id="159"/>
      </w:r>
      <w:r w:rsidRPr="00B32E73">
        <w:t xml:space="preserve">, apressou o avanço dos nacionalistas e precipitou a desintegração das tropas da república, anulando o pouco ânimo que lhes restasse para combater. </w:t>
      </w:r>
    </w:p>
    <w:p w:rsidR="00E5051F" w:rsidRPr="00B32E73" w:rsidRDefault="00E5051F" w:rsidP="00E5051F">
      <w:pPr>
        <w:tabs>
          <w:tab w:val="left" w:pos="720"/>
          <w:tab w:val="left" w:pos="3312"/>
        </w:tabs>
      </w:pPr>
      <w:r w:rsidRPr="00B32E73">
        <w:t xml:space="preserve">O objectivo da CNT e dos seus aliados era negociarem </w:t>
      </w:r>
      <w:r>
        <w:t>a</w:t>
      </w:r>
      <w:r w:rsidRPr="00B32E73">
        <w:t xml:space="preserve"> paz com Franco, em nome do anticomunismo comum a ambas as partes</w:t>
      </w:r>
      <w:r w:rsidRPr="00B32E73">
        <w:rPr>
          <w:rStyle w:val="Refdenotaderodap"/>
        </w:rPr>
        <w:footnoteReference w:id="160"/>
      </w:r>
      <w:r w:rsidRPr="00B32E73">
        <w:t>, mas o Generalíssimo continuou a exigir a capitulação incondicional e confidenciou a sua satisfação por lhe terem poupado «o trabalho de esmagar os comunistas»</w:t>
      </w:r>
      <w:r w:rsidRPr="00B32E73">
        <w:rPr>
          <w:rStyle w:val="Refdenotaderodap"/>
        </w:rPr>
        <w:footnoteReference w:id="161"/>
      </w:r>
      <w:r w:rsidRPr="00B32E73">
        <w:t xml:space="preserve">. Exactamente duas semanas depois de os anarco-sindicalistas terem conseguido em Madrid um último triunfo sobre os rivais stalinistas, o exército nacionalista entrou na cidade, destroçando o que restava de todos eles. E com </w:t>
      </w:r>
      <w:r w:rsidR="00611321">
        <w:t>aquele</w:t>
      </w:r>
      <w:r w:rsidRPr="00B32E73">
        <w:t xml:space="preserve"> singular golpe de Estado, que parece recomendado por um Machiavelli demente a um príncipe senil, os anarquistas colocaram-se na posição de derradeiros responsáveis pela derrota. </w:t>
      </w:r>
    </w:p>
    <w:p w:rsidR="00E5051F" w:rsidRPr="00B32E73" w:rsidRDefault="00E5051F" w:rsidP="0086056E">
      <w:pPr>
        <w:pStyle w:val="Recuodecorpodetexto"/>
        <w:ind w:firstLine="0"/>
        <w:jc w:val="center"/>
        <w:rPr>
          <w:rFonts w:ascii="Arial Narrow" w:hAnsi="Arial Narrow"/>
        </w:rPr>
      </w:pPr>
      <w:r w:rsidRPr="00B32E73">
        <w:rPr>
          <w:rFonts w:ascii="Arial Narrow" w:hAnsi="Arial Narrow"/>
        </w:rPr>
        <w:t>8. As relações entre os anarquistas e os fascistas após o final da guerra civil</w:t>
      </w:r>
    </w:p>
    <w:p w:rsidR="009C62C4" w:rsidRDefault="008A1F14" w:rsidP="00E5051F">
      <w:pPr>
        <w:tabs>
          <w:tab w:val="left" w:pos="720"/>
          <w:tab w:val="left" w:pos="3312"/>
        </w:tabs>
      </w:pPr>
      <w:r w:rsidRPr="008A1F14">
        <w:t xml:space="preserve">Um historiador </w:t>
      </w:r>
      <w:r w:rsidR="00B5102B">
        <w:t>indicou</w:t>
      </w:r>
      <w:r w:rsidRPr="008A1F14">
        <w:t xml:space="preserve"> que em 4 de Março de 1939</w:t>
      </w:r>
      <w:r>
        <w:t xml:space="preserve"> «ocorreu em Cartagena uma sublevação confusa, que envolveu tanto falangistas como grupos de esquerda», esmagad</w:t>
      </w:r>
      <w:r w:rsidR="00B5102B">
        <w:t>a</w:t>
      </w:r>
      <w:r>
        <w:t xml:space="preserve"> por tropas comunistas</w:t>
      </w:r>
      <w:r w:rsidR="00B5102B">
        <w:rPr>
          <w:rStyle w:val="Refdenotaderodap"/>
        </w:rPr>
        <w:footnoteReference w:id="162"/>
      </w:r>
      <w:r>
        <w:t xml:space="preserve">. </w:t>
      </w:r>
      <w:r w:rsidRPr="008A1F14">
        <w:t>Mas faltava menos de um m</w:t>
      </w:r>
      <w:r>
        <w:t>ês para a guerra terminar</w:t>
      </w:r>
      <w:r w:rsidR="00B5102B">
        <w:t xml:space="preserve">, e </w:t>
      </w:r>
      <w:r w:rsidR="00B5102B" w:rsidRPr="00B32E73">
        <w:t xml:space="preserve">a </w:t>
      </w:r>
      <w:r w:rsidR="00F44443" w:rsidRPr="00B32E73">
        <w:t xml:space="preserve">ameaça de uma </w:t>
      </w:r>
      <w:r w:rsidR="00DF15D4">
        <w:t>linha de frente transversal</w:t>
      </w:r>
      <w:r w:rsidR="00F44443" w:rsidRPr="00B32E73">
        <w:t xml:space="preserve">, que não se efectivou enquanto prosseguia o confronto principal, </w:t>
      </w:r>
      <w:r w:rsidR="00B5102B">
        <w:t xml:space="preserve">só </w:t>
      </w:r>
      <w:r w:rsidR="00F44443" w:rsidRPr="00B32E73">
        <w:t>fez ouvir os seus ecos após a derrocada republicana</w:t>
      </w:r>
      <w:r w:rsidR="00A11FB8">
        <w:t xml:space="preserve">. </w:t>
      </w:r>
      <w:r w:rsidR="00B5102B" w:rsidRPr="00B32E73">
        <w:t xml:space="preserve">Os </w:t>
      </w:r>
      <w:r w:rsidR="00A11FB8" w:rsidRPr="00B32E73">
        <w:t xml:space="preserve">contactos entre os dois campos não </w:t>
      </w:r>
      <w:r w:rsidR="00A11FB8">
        <w:t>prolongaram</w:t>
      </w:r>
      <w:r w:rsidR="00A11FB8" w:rsidRPr="00B32E73">
        <w:t xml:space="preserve"> </w:t>
      </w:r>
      <w:r w:rsidR="00A11FB8">
        <w:t xml:space="preserve">os tiroteios ocorridos em Salamanca por ocasião do afastamento de Hedilla nem renovaram a inspiração que erguera as barricadas </w:t>
      </w:r>
      <w:r w:rsidR="00A11FB8" w:rsidRPr="00B32E73">
        <w:t>de Maio de 1937</w:t>
      </w:r>
      <w:r w:rsidR="00A11FB8">
        <w:t xml:space="preserve"> em Barcelona</w:t>
      </w:r>
      <w:r w:rsidR="00A11FB8" w:rsidRPr="00B32E73">
        <w:t xml:space="preserve">, porque os anarquistas </w:t>
      </w:r>
      <w:r w:rsidR="00713710">
        <w:t>radicais</w:t>
      </w:r>
      <w:r w:rsidR="00A11FB8" w:rsidRPr="00B32E73">
        <w:t xml:space="preserve">, os falangistas autênticos e os carlistas sonhadores haviam sido irremediavelmente </w:t>
      </w:r>
      <w:r w:rsidR="00713710">
        <w:t>lançados</w:t>
      </w:r>
      <w:r w:rsidR="00A11FB8" w:rsidRPr="00B32E73">
        <w:t xml:space="preserve"> para a periferia, onde não</w:t>
      </w:r>
      <w:r w:rsidR="00A11FB8">
        <w:t xml:space="preserve"> encontravam um horizonte comum, </w:t>
      </w:r>
      <w:r w:rsidR="009E6CF5">
        <w:t>ainda</w:t>
      </w:r>
      <w:r w:rsidR="00A11FB8">
        <w:t xml:space="preserve"> </w:t>
      </w:r>
      <w:r w:rsidR="00A11FB8">
        <w:lastRenderedPageBreak/>
        <w:t xml:space="preserve">que Hitler, </w:t>
      </w:r>
      <w:r w:rsidR="00E37FEF">
        <w:t xml:space="preserve">quando </w:t>
      </w:r>
      <w:r w:rsidR="00A11FB8">
        <w:t xml:space="preserve">sonhava alto </w:t>
      </w:r>
      <w:r w:rsidR="00B82EA5">
        <w:t>n</w:t>
      </w:r>
      <w:r w:rsidR="00A11FB8">
        <w:t xml:space="preserve">a sua roda de comensais, </w:t>
      </w:r>
      <w:r w:rsidR="00B37009">
        <w:t xml:space="preserve">tivesse </w:t>
      </w:r>
      <w:r w:rsidR="00A11FB8">
        <w:t>projecta</w:t>
      </w:r>
      <w:r w:rsidR="00B37009">
        <w:t>do</w:t>
      </w:r>
      <w:r w:rsidR="00A11FB8">
        <w:t xml:space="preserve"> uni-los a todos numa nova revolução espanhola. </w:t>
      </w:r>
      <w:r w:rsidR="001316BE" w:rsidRPr="00AD21B9">
        <w:t xml:space="preserve">«Se não fosse a ameaça de o perigo vermelho </w:t>
      </w:r>
      <w:r w:rsidR="00AD21B9" w:rsidRPr="00AD21B9">
        <w:t>ter subjugado a Europa, eu não teria intervindo na revoluç</w:t>
      </w:r>
      <w:r w:rsidR="00AD21B9">
        <w:t xml:space="preserve">ão </w:t>
      </w:r>
      <w:r w:rsidR="00D17AF7">
        <w:t>em Espanha</w:t>
      </w:r>
      <w:r w:rsidR="00AD21B9">
        <w:t xml:space="preserve">. </w:t>
      </w:r>
      <w:r w:rsidR="00AD21B9" w:rsidRPr="00B82EA5">
        <w:t>O clero teria sido exterminado»</w:t>
      </w:r>
      <w:r w:rsidR="007C10EA">
        <w:rPr>
          <w:rStyle w:val="Refdenotaderodap"/>
          <w:lang w:val="en-US"/>
        </w:rPr>
        <w:footnoteReference w:id="163"/>
      </w:r>
      <w:r w:rsidR="00AD21B9" w:rsidRPr="00B82EA5">
        <w:t>.</w:t>
      </w:r>
      <w:r w:rsidR="007C10EA" w:rsidRPr="00B82EA5">
        <w:t xml:space="preserve"> </w:t>
      </w:r>
      <w:r w:rsidR="00AD21B9" w:rsidRPr="007C10EA">
        <w:t xml:space="preserve">Com efeito, a </w:t>
      </w:r>
      <w:r w:rsidR="00F544D2">
        <w:t xml:space="preserve">crescente </w:t>
      </w:r>
      <w:r w:rsidR="00AD21B9" w:rsidRPr="007C10EA">
        <w:t xml:space="preserve">importância assumida pela Igreja </w:t>
      </w:r>
      <w:r w:rsidR="00D17AF7">
        <w:t xml:space="preserve">espanhola </w:t>
      </w:r>
      <w:r w:rsidR="002C12F5">
        <w:t>deixava Hitler preocupado</w:t>
      </w:r>
      <w:r w:rsidR="00BB11A1">
        <w:rPr>
          <w:rStyle w:val="Refdenotaderodap"/>
        </w:rPr>
        <w:footnoteReference w:id="164"/>
      </w:r>
      <w:r w:rsidR="00AD21B9" w:rsidRPr="007C10EA">
        <w:t xml:space="preserve">, </w:t>
      </w:r>
      <w:r w:rsidR="007C10EA">
        <w:t xml:space="preserve">a ponto de </w:t>
      </w:r>
      <w:r w:rsidR="004A423C">
        <w:t xml:space="preserve">pensar que «uma nova revolução está dentro dos limites do possível. Talvez a Espanha se veja obrigada a pagar com o seu sangue, num futuro não muito distante, </w:t>
      </w:r>
      <w:r w:rsidR="00E661C4">
        <w:t xml:space="preserve">o facto de não </w:t>
      </w:r>
      <w:r w:rsidR="00325CB3">
        <w:t>ter</w:t>
      </w:r>
      <w:r w:rsidR="00E661C4">
        <w:t xml:space="preserve"> conseguido levar a cabo uma revolução verdadeiramente nacional, como a que ocorreu na Alemanha e na Itália». </w:t>
      </w:r>
      <w:r w:rsidR="00AE0AD9">
        <w:t xml:space="preserve">Se tal sucedesse, </w:t>
      </w:r>
      <w:r w:rsidR="00E37FEF">
        <w:t>ele</w:t>
      </w:r>
      <w:r w:rsidR="00AE0AD9">
        <w:t xml:space="preserve"> não hesita</w:t>
      </w:r>
      <w:r w:rsidR="004118FA">
        <w:t>ria</w:t>
      </w:r>
      <w:r w:rsidR="00AE0AD9">
        <w:t xml:space="preserve"> em promover o cruzamento entre a direita radical e a esquerda revolucionária que</w:t>
      </w:r>
      <w:r w:rsidR="0040715E">
        <w:t xml:space="preserve"> não se realizara </w:t>
      </w:r>
      <w:r w:rsidR="00A23CD7">
        <w:t>sob a égide de Franco</w:t>
      </w:r>
      <w:r w:rsidR="0040715E">
        <w:t xml:space="preserve">. </w:t>
      </w:r>
      <w:r w:rsidR="008A3861" w:rsidRPr="00CC1374">
        <w:t xml:space="preserve">«Se </w:t>
      </w:r>
      <w:r w:rsidR="006F48D2">
        <w:t>eclodir</w:t>
      </w:r>
      <w:r w:rsidR="008A3861" w:rsidRPr="00CC1374">
        <w:t xml:space="preserve"> uma nova guerra civil, não me surpreender</w:t>
      </w:r>
      <w:r w:rsidR="009D4AAC">
        <w:t>ia</w:t>
      </w:r>
      <w:r w:rsidR="008A3861" w:rsidRPr="00CC1374">
        <w:t xml:space="preserve"> que os falangistas se </w:t>
      </w:r>
      <w:r w:rsidR="009D4AAC">
        <w:t>vissem</w:t>
      </w:r>
      <w:r w:rsidR="008A3861" w:rsidRPr="00CC1374">
        <w:t xml:space="preserve"> </w:t>
      </w:r>
      <w:r w:rsidR="00CC1374" w:rsidRPr="00CC1374">
        <w:t xml:space="preserve">na necessidade de fazer causa comum com os vermelhos para se </w:t>
      </w:r>
      <w:r w:rsidR="00CC1374">
        <w:t xml:space="preserve">livrarem </w:t>
      </w:r>
      <w:r w:rsidR="00A263ED">
        <w:t>do esterco clerical-monárquico»</w:t>
      </w:r>
      <w:r w:rsidR="006F48D2">
        <w:rPr>
          <w:rStyle w:val="Refdenotaderodap"/>
        </w:rPr>
        <w:footnoteReference w:id="165"/>
      </w:r>
      <w:r w:rsidR="00090ADF">
        <w:t>, até porque «é uma loucura a Espanha perseguir fala</w:t>
      </w:r>
      <w:r w:rsidR="00FB5158">
        <w:t>n</w:t>
      </w:r>
      <w:r w:rsidR="00090ADF">
        <w:t>gistas genuínos»</w:t>
      </w:r>
      <w:r w:rsidR="00000BF8">
        <w:rPr>
          <w:rStyle w:val="Refdenotaderodap"/>
        </w:rPr>
        <w:footnoteReference w:id="166"/>
      </w:r>
      <w:r w:rsidR="00090ADF">
        <w:t xml:space="preserve">. </w:t>
      </w:r>
    </w:p>
    <w:p w:rsidR="00F44443" w:rsidRPr="00864A84" w:rsidRDefault="00E243B3" w:rsidP="00E5051F">
      <w:pPr>
        <w:tabs>
          <w:tab w:val="left" w:pos="720"/>
          <w:tab w:val="left" w:pos="3312"/>
        </w:tabs>
      </w:pPr>
      <w:r>
        <w:t xml:space="preserve">Um </w:t>
      </w:r>
      <w:r w:rsidR="00AB4451">
        <w:t xml:space="preserve">projecto deste tipo não </w:t>
      </w:r>
      <w:r w:rsidR="000A2E0E">
        <w:t xml:space="preserve">lhe </w:t>
      </w:r>
      <w:r w:rsidR="00AB4451">
        <w:t xml:space="preserve">apareceria muito distante, porque o material humano estava ao alcance das mãos. De um lado </w:t>
      </w:r>
      <w:r w:rsidR="001B51FD">
        <w:t xml:space="preserve">Hitler </w:t>
      </w:r>
      <w:r w:rsidR="00030115">
        <w:t>contava com a simpatia d</w:t>
      </w:r>
      <w:r w:rsidR="00AB4451">
        <w:t xml:space="preserve">os fascistas espanhóis que combatiam </w:t>
      </w:r>
      <w:r w:rsidR="001B51FD">
        <w:t xml:space="preserve">junto com o </w:t>
      </w:r>
      <w:r w:rsidR="00AB4451">
        <w:t>Eixo na frente leste</w:t>
      </w:r>
      <w:r w:rsidR="00207FA9">
        <w:rPr>
          <w:rStyle w:val="Refdenotaderodap"/>
        </w:rPr>
        <w:footnoteReference w:id="167"/>
      </w:r>
      <w:r w:rsidR="00AB4451">
        <w:t xml:space="preserve"> </w:t>
      </w:r>
      <w:r w:rsidR="00544D80">
        <w:t>e depositava grandes esperanças no general que os comandava, Muñoz Grande</w:t>
      </w:r>
      <w:r w:rsidR="00FE3088">
        <w:t>s</w:t>
      </w:r>
      <w:r w:rsidR="00544D80">
        <w:t xml:space="preserve">. </w:t>
      </w:r>
      <w:r>
        <w:t xml:space="preserve">Dizia ele que </w:t>
      </w:r>
      <w:r w:rsidR="00FE3088">
        <w:t xml:space="preserve">«devemos promover o mais possível a popularidade do general Muñoz Grande [sic], que é um homem enérgico e, como tal, </w:t>
      </w:r>
      <w:r w:rsidR="00A8717C">
        <w:t>o mais susceptível de controlar a situação»</w:t>
      </w:r>
      <w:r w:rsidR="00966F38">
        <w:rPr>
          <w:rStyle w:val="Refdenotaderodap"/>
        </w:rPr>
        <w:footnoteReference w:id="168"/>
      </w:r>
      <w:r w:rsidR="00A8717C">
        <w:t xml:space="preserve">. </w:t>
      </w:r>
      <w:r w:rsidR="00544D80" w:rsidRPr="00966F38">
        <w:t>Do outro lado dispunha dos refugiados espanhóis aprisionados em França</w:t>
      </w:r>
      <w:r w:rsidR="00E67BAE" w:rsidRPr="00966F38">
        <w:t xml:space="preserve">. </w:t>
      </w:r>
      <w:r w:rsidR="002B12AB" w:rsidRPr="002B12AB">
        <w:t>«Deve</w:t>
      </w:r>
      <w:r w:rsidR="00D50D3E">
        <w:t xml:space="preserve"> </w:t>
      </w:r>
      <w:r w:rsidR="002B12AB" w:rsidRPr="002B12AB">
        <w:t>ter</w:t>
      </w:r>
      <w:r w:rsidR="00D50D3E">
        <w:t>-se</w:t>
      </w:r>
      <w:r w:rsidR="002B12AB" w:rsidRPr="002B12AB">
        <w:t xml:space="preserve"> o cuidado de não colocar o regime de Franco no mesmo plano que o nacional-socialismo ou o fascismo</w:t>
      </w:r>
      <w:r w:rsidR="00030115">
        <w:t xml:space="preserve">», preveniu </w:t>
      </w:r>
      <w:r>
        <w:t>Hitler</w:t>
      </w:r>
      <w:r w:rsidR="002B12AB" w:rsidRPr="002B12AB">
        <w:t>.</w:t>
      </w:r>
      <w:r w:rsidR="002B12AB">
        <w:t xml:space="preserve"> </w:t>
      </w:r>
      <w:r w:rsidR="00030115">
        <w:t>«</w:t>
      </w:r>
      <w:r w:rsidR="002B12AB">
        <w:t xml:space="preserve">Todt, que nos seus estaleiros emprega muitos espanhóis </w:t>
      </w:r>
      <w:r w:rsidR="00D50D3E">
        <w:t>ditos</w:t>
      </w:r>
      <w:r w:rsidR="002B12AB">
        <w:t xml:space="preserve"> “vermelhos”, várias vezes me diz que estes vermelhos não são vermelhos no sentido que nós damos à palavra</w:t>
      </w:r>
      <w:r w:rsidR="00F413A0">
        <w:t>»</w:t>
      </w:r>
      <w:r w:rsidR="002B12AB">
        <w:t xml:space="preserve">. </w:t>
      </w:r>
      <w:r w:rsidR="00F413A0" w:rsidRPr="00A035CC">
        <w:t>E acrescentou que «</w:t>
      </w:r>
      <w:r w:rsidR="00A035CC" w:rsidRPr="00A035CC">
        <w:t xml:space="preserve">tal como os espanhóis vermelhos </w:t>
      </w:r>
      <w:r w:rsidR="004E2C4C">
        <w:t xml:space="preserve">sempre </w:t>
      </w:r>
      <w:r w:rsidR="00A035CC" w:rsidRPr="00A035CC">
        <w:t>explica</w:t>
      </w:r>
      <w:r w:rsidR="004E2C4C">
        <w:t>m</w:t>
      </w:r>
      <w:r w:rsidR="00A035CC" w:rsidRPr="00A035CC">
        <w:t>, eles n</w:t>
      </w:r>
      <w:r w:rsidR="00A035CC">
        <w:t xml:space="preserve">ão começaram a cooperar com os soviéticos </w:t>
      </w:r>
      <w:r w:rsidR="002F512C">
        <w:t xml:space="preserve">por razões ideológicas, mas viram-se forçados a isso </w:t>
      </w:r>
      <w:r w:rsidR="00B32485">
        <w:t xml:space="preserve">— e arrastados </w:t>
      </w:r>
      <w:r w:rsidR="004E2C4C">
        <w:t xml:space="preserve">assim </w:t>
      </w:r>
      <w:r w:rsidR="00B32485">
        <w:t xml:space="preserve">para uma corrente política que não haviam escolhido — </w:t>
      </w:r>
      <w:r w:rsidR="004E2C4C">
        <w:t>apenas</w:t>
      </w:r>
      <w:r w:rsidR="00B32485">
        <w:t xml:space="preserve"> porque </w:t>
      </w:r>
      <w:r w:rsidR="007675EB">
        <w:t xml:space="preserve">lhes faltaram </w:t>
      </w:r>
      <w:r w:rsidR="00B32485">
        <w:t xml:space="preserve">outros apoios». </w:t>
      </w:r>
      <w:r w:rsidR="00E20F8F" w:rsidRPr="00E20F8F">
        <w:t xml:space="preserve">Nesta situação, concluiu Hitler, «o melhor que temos a fazer </w:t>
      </w:r>
      <w:r w:rsidR="00E20F8F">
        <w:t xml:space="preserve">é </w:t>
      </w:r>
      <w:r w:rsidR="00F1512B">
        <w:t xml:space="preserve">dispormos </w:t>
      </w:r>
      <w:r w:rsidR="007C6064">
        <w:t xml:space="preserve">de tanta </w:t>
      </w:r>
      <w:r w:rsidR="001B51FD">
        <w:t xml:space="preserve">desta </w:t>
      </w:r>
      <w:r w:rsidR="007C6064">
        <w:t>gente quant</w:t>
      </w:r>
      <w:r w:rsidR="007C1CDA">
        <w:t>a</w:t>
      </w:r>
      <w:r w:rsidR="007C6064">
        <w:t xml:space="preserve"> </w:t>
      </w:r>
      <w:r w:rsidR="00A80124">
        <w:t>consigamos</w:t>
      </w:r>
      <w:r w:rsidR="007C6064">
        <w:t xml:space="preserve">, a começar pelos quarenta mil que já temos nos nossos campos de concentração, </w:t>
      </w:r>
      <w:r w:rsidR="00A3709A">
        <w:t xml:space="preserve">e mantermo-los de reserva para o caso de eclodir uma segunda guerra civil. </w:t>
      </w:r>
      <w:r w:rsidR="00297723" w:rsidRPr="00864A84">
        <w:t xml:space="preserve">Junto com os sobreviventes da velha Falange, constituirão a </w:t>
      </w:r>
      <w:r w:rsidR="001D1975" w:rsidRPr="00864A84">
        <w:t xml:space="preserve">força de </w:t>
      </w:r>
      <w:r w:rsidR="00297723" w:rsidRPr="00864A84">
        <w:t xml:space="preserve">mais </w:t>
      </w:r>
      <w:r w:rsidR="001D1975" w:rsidRPr="00864A84">
        <w:t xml:space="preserve">confiança </w:t>
      </w:r>
      <w:r w:rsidR="00297723" w:rsidRPr="00864A84">
        <w:t xml:space="preserve">à nossa disposição. </w:t>
      </w:r>
      <w:r w:rsidR="003355F2" w:rsidRPr="00864A84">
        <w:t xml:space="preserve">[…] a disciplina tanto </w:t>
      </w:r>
      <w:r w:rsidR="003355F2" w:rsidRPr="00864A84">
        <w:lastRenderedPageBreak/>
        <w:t xml:space="preserve">dos vermelhos como dos falangistas que trabalham na </w:t>
      </w:r>
      <w:r w:rsidR="004C4EA2" w:rsidRPr="00864A84">
        <w:t xml:space="preserve">Organização </w:t>
      </w:r>
      <w:r w:rsidR="003355F2" w:rsidRPr="00864A84">
        <w:t>Todt é excelente, e quanto mais conseguirmos recrutá-los, melhor»</w:t>
      </w:r>
      <w:r w:rsidR="003355F2">
        <w:rPr>
          <w:rStyle w:val="Refdenotaderodap"/>
          <w:lang w:val="en-US"/>
        </w:rPr>
        <w:footnoteReference w:id="169"/>
      </w:r>
      <w:r w:rsidR="003355F2" w:rsidRPr="00864A84">
        <w:t xml:space="preserve">. </w:t>
      </w:r>
    </w:p>
    <w:p w:rsidR="00E5051F" w:rsidRPr="00B32E73" w:rsidRDefault="001220BC" w:rsidP="00E5051F">
      <w:pPr>
        <w:tabs>
          <w:tab w:val="left" w:pos="720"/>
          <w:tab w:val="left" w:pos="3312"/>
        </w:tabs>
      </w:pPr>
      <w:r w:rsidRPr="001220BC">
        <w:t>O</w:t>
      </w:r>
      <w:r w:rsidR="00A80124">
        <w:t>ra, o</w:t>
      </w:r>
      <w:r w:rsidRPr="001220BC">
        <w:t xml:space="preserve"> colapso do Terceiro Reich </w:t>
      </w:r>
      <w:r w:rsidR="000A6D19">
        <w:t xml:space="preserve">não </w:t>
      </w:r>
      <w:r w:rsidRPr="001220BC">
        <w:t xml:space="preserve">comprometeu </w:t>
      </w:r>
      <w:r w:rsidR="000A6D19">
        <w:t xml:space="preserve">totalmente </w:t>
      </w:r>
      <w:r w:rsidRPr="001220BC">
        <w:t xml:space="preserve">estes </w:t>
      </w:r>
      <w:r>
        <w:t xml:space="preserve">devaneios de Hitler, </w:t>
      </w:r>
      <w:r w:rsidR="000A6D19">
        <w:t xml:space="preserve">porque </w:t>
      </w:r>
      <w:r w:rsidR="009E6CF5">
        <w:t xml:space="preserve">os ecos atenuados de uma segunda revolução repercutiram </w:t>
      </w:r>
      <w:r w:rsidR="00CD627E">
        <w:t xml:space="preserve">de maneira pífia </w:t>
      </w:r>
      <w:r w:rsidR="009E6CF5">
        <w:t xml:space="preserve">na aproximação que se operou entre alguns </w:t>
      </w:r>
      <w:r w:rsidR="00E5051F" w:rsidRPr="00B32E73">
        <w:t xml:space="preserve">Camisas Velhas </w:t>
      </w:r>
      <w:r w:rsidR="009E6CF5">
        <w:t xml:space="preserve">e alguns </w:t>
      </w:r>
      <w:r w:rsidR="00E5051F" w:rsidRPr="00B32E73">
        <w:t xml:space="preserve">elementos moderados, ou convertidos ao conformismo, do </w:t>
      </w:r>
      <w:r w:rsidR="00E5051F">
        <w:t xml:space="preserve">defunto </w:t>
      </w:r>
      <w:r w:rsidR="00E5051F" w:rsidRPr="00B32E73">
        <w:t xml:space="preserve">aparelho da CNT. </w:t>
      </w:r>
      <w:r w:rsidR="0047017A">
        <w:t xml:space="preserve">Afinal, </w:t>
      </w:r>
      <w:r w:rsidR="0047017A" w:rsidRPr="00B32E73">
        <w:t xml:space="preserve">foi </w:t>
      </w:r>
      <w:r w:rsidR="00E5051F" w:rsidRPr="00B32E73">
        <w:t xml:space="preserve">na sequência do golpe de Março de 1939 que certos dirigentes da CNT deram início, depois de completamente derrotados, às conversações de paz que Franco não se dignara aceitar antes. </w:t>
      </w:r>
    </w:p>
    <w:p w:rsidR="00E5051F" w:rsidRPr="00B32E73" w:rsidRDefault="00E5051F" w:rsidP="00E5051F">
      <w:pPr>
        <w:tabs>
          <w:tab w:val="left" w:pos="720"/>
          <w:tab w:val="left" w:pos="3312"/>
        </w:tabs>
      </w:pPr>
      <w:r w:rsidRPr="00B32E73">
        <w:t>Logo em Março de 1939, e julgo que já no exílio, Pedro Herrera, próximo desde há muito de Abad de Santillán e portanto membro activo da FAI, sugeriu pela primeira vez o estabelecimento de contactos entre a CNT e a Falange. Mas os dirigentes anarquistas imigrados em França recusaram a proposta</w:t>
      </w:r>
      <w:r w:rsidRPr="00B32E73">
        <w:rPr>
          <w:rStyle w:val="Refdenotaderodap"/>
        </w:rPr>
        <w:footnoteReference w:id="170"/>
      </w:r>
      <w:r w:rsidRPr="00B32E73">
        <w:t>. Um ou dois anos depois a ideia de chegar a um entendimento com a Falange e actuar no interior da central sindical fascista, a CNS, partiu do outro extremo do espectro libertário, apresentada por vários membros da facção moderada que haviam assinado o Manifesto dos Trinta e abandonado a CNT em 1931 devido à hostilidade da FAI, animando depois o Partido Sindicalista, até regressarem à Confederação no congresso de Maio de 1936. Foi também neste meio, e com a participação de uma minoria de pessoas de origem republicana ou marxista, que surgiu em 1944 o Partido Laborista, destinado a actuar no interior da CNS e a limitar aí progressivamente o peso da Falange. Mas o ensaio ruiu no final de 1947 devido à falta de apoio dos militantes da CNT</w:t>
      </w:r>
      <w:r w:rsidRPr="00B32E73">
        <w:rPr>
          <w:rStyle w:val="Refdenotaderodap"/>
        </w:rPr>
        <w:footnoteReference w:id="171"/>
      </w:r>
      <w:r w:rsidRPr="00B32E73">
        <w:t xml:space="preserve">. </w:t>
      </w:r>
    </w:p>
    <w:p w:rsidR="00E5051F" w:rsidRPr="00B32E73" w:rsidRDefault="00E5051F" w:rsidP="00E5051F">
      <w:pPr>
        <w:tabs>
          <w:tab w:val="left" w:pos="720"/>
          <w:tab w:val="left" w:pos="3312"/>
        </w:tabs>
      </w:pPr>
      <w:r w:rsidRPr="00B32E73">
        <w:t>Estas tentativas de aproximação encontravam equivalente no outro campo. Comentando um dos discursos que o Caudillo proferira em 18 de Julho de 1941, nas comemorações do quinto aniversário do levantamento dos generais, o embaixador português em Madrid escrev</w:t>
      </w:r>
      <w:r>
        <w:t>eu</w:t>
      </w:r>
      <w:r w:rsidRPr="00B32E73">
        <w:t xml:space="preserve"> num relatório secreto enviado a Salazar: «Quanto à </w:t>
      </w:r>
      <w:r w:rsidRPr="00B32E73">
        <w:rPr>
          <w:i/>
        </w:rPr>
        <w:t>política interna, creio que foram dois os objectivos de Franco:</w:t>
      </w:r>
      <w:r w:rsidRPr="00B32E73">
        <w:t xml:space="preserve"> a) chamar a gente da esquerda e inclusivamente os vermelhos a colaborar com a Falange; b) afastar de vez a ideia monárquica e ferir gravemente (e injustamente) as direitas»</w:t>
      </w:r>
      <w:r w:rsidRPr="00B32E73">
        <w:rPr>
          <w:rStyle w:val="Refdenotaderodap"/>
        </w:rPr>
        <w:footnoteReference w:id="172"/>
      </w:r>
      <w:r w:rsidRPr="00B32E73">
        <w:t xml:space="preserve">. </w:t>
      </w:r>
      <w:r>
        <w:t xml:space="preserve">Não eram temores infundados. </w:t>
      </w:r>
      <w:r w:rsidRPr="00B32E73">
        <w:t xml:space="preserve">Sabe-se que José Antonio Girón, ministro do Trabalho desde 1941 até 1957, procurou recrutar quadros sindicais na CNT. Falangista radical, próximo do </w:t>
      </w:r>
      <w:r w:rsidRPr="00B32E73">
        <w:lastRenderedPageBreak/>
        <w:t>general Yagüe e gozando da simpatia de certos Camisas Velhas que se entretiveram a maquinar conspirações e ajustes de contas nos primeiros anos d</w:t>
      </w:r>
      <w:r w:rsidR="00267252">
        <w:t>o novo regime</w:t>
      </w:r>
      <w:r w:rsidRPr="00B32E73">
        <w:rPr>
          <w:rStyle w:val="Refdenotaderodap"/>
        </w:rPr>
        <w:footnoteReference w:id="173"/>
      </w:r>
      <w:r w:rsidRPr="00B32E73">
        <w:t>, Girón não se esforçou apenas por al</w:t>
      </w:r>
      <w:r w:rsidR="00F81C1B">
        <w:t>iciar os que jaziam nas prisões</w:t>
      </w:r>
      <w:r w:rsidRPr="00B32E73">
        <w:t xml:space="preserve"> e talvez mais facilmente pudessem ceder, mas sondou também os exilados em França, o que mostra que a sua orientação era verdadeiramente política e não uma mera táctica de polícia. O ministro obteve </w:t>
      </w:r>
      <w:r w:rsidR="00267252">
        <w:t>alguns</w:t>
      </w:r>
      <w:r w:rsidRPr="00B32E73">
        <w:t xml:space="preserve"> resultados imediatos</w:t>
      </w:r>
      <w:r>
        <w:t>.</w:t>
      </w:r>
      <w:r w:rsidRPr="00B32E73">
        <w:t xml:space="preserve"> E em 1947, depois novamente em 1952, </w:t>
      </w:r>
      <w:r>
        <w:t xml:space="preserve">novas propostas foram apresentadas </w:t>
      </w:r>
      <w:r w:rsidRPr="00B32E73">
        <w:t>aos dirigentes da CNT</w:t>
      </w:r>
      <w:r w:rsidRPr="00B32E73">
        <w:rPr>
          <w:rStyle w:val="Refdenotaderodap"/>
        </w:rPr>
        <w:footnoteReference w:id="174"/>
      </w:r>
      <w:r w:rsidRPr="00B32E73">
        <w:t>, que talvez parecessem tanto mais necessárias quanto a base manifestava com rudeza</w:t>
      </w:r>
      <w:r w:rsidRPr="009C0E1F">
        <w:t xml:space="preserve"> </w:t>
      </w:r>
      <w:r w:rsidRPr="00B32E73">
        <w:t xml:space="preserve">a </w:t>
      </w:r>
      <w:r>
        <w:t>sua opinião</w:t>
      </w:r>
      <w:r w:rsidRPr="00B32E73">
        <w:t xml:space="preserve">. </w:t>
      </w:r>
      <w:r w:rsidRPr="00303D06">
        <w:t xml:space="preserve">Nada demonstra melhor a clivagem entre as diferentes tendências que persistiam em reivindicar-se do anarquismo. </w:t>
      </w:r>
      <w:r>
        <w:t xml:space="preserve">Com efeito, </w:t>
      </w:r>
      <w:r w:rsidRPr="00B32E73">
        <w:t xml:space="preserve">em 1951, na Catalunha, os militantes da CNT </w:t>
      </w:r>
      <w:r>
        <w:t xml:space="preserve">haviam </w:t>
      </w:r>
      <w:r w:rsidRPr="00B32E73">
        <w:t>consegui</w:t>
      </w:r>
      <w:r>
        <w:t>do</w:t>
      </w:r>
      <w:r w:rsidRPr="00B32E73">
        <w:t xml:space="preserve"> transformar a greve geral de 12 de Março, inicialmente fomentada por dignitários falangistas radicais, num movimento contra o regime e contra a própria Falange, de que resultaram mortos, feridos, milhares de presos</w:t>
      </w:r>
      <w:r w:rsidRPr="00B32E73">
        <w:rPr>
          <w:rStyle w:val="Refdenotaderodap"/>
        </w:rPr>
        <w:footnoteReference w:id="175"/>
      </w:r>
      <w:r w:rsidRPr="00B32E73">
        <w:t xml:space="preserve">. </w:t>
      </w:r>
    </w:p>
    <w:p w:rsidR="00E5051F" w:rsidRPr="00B32E73" w:rsidRDefault="00E5051F" w:rsidP="00E5051F">
      <w:pPr>
        <w:tabs>
          <w:tab w:val="left" w:pos="720"/>
          <w:tab w:val="left" w:pos="3312"/>
        </w:tabs>
      </w:pPr>
      <w:r w:rsidRPr="00B32E73">
        <w:t xml:space="preserve">Os dirigentes da CNT não responderam favoravelmente aos convites da Falange porque </w:t>
      </w:r>
      <w:r w:rsidR="003F2531">
        <w:t xml:space="preserve">nessa ocasião </w:t>
      </w:r>
      <w:r w:rsidRPr="00B32E73">
        <w:t>estavam interessados numa aliança com os conservadores dissidentes do franquismo, os monárquicos fiéis a Don Juan, conde de Barcelona. No final de 1945, num momento particularmente conturbado da política na emigração, os dirigentes da CNT, tanto no exílio como em Espanha, iniciaram uma série de contactos com os representantes do pretendente à coroa, que se prolongariam por mais dois ou três anos</w:t>
      </w:r>
      <w:r w:rsidRPr="00B32E73">
        <w:rPr>
          <w:rStyle w:val="Refdenotaderodap"/>
        </w:rPr>
        <w:footnoteReference w:id="176"/>
      </w:r>
      <w:r w:rsidRPr="00B32E73">
        <w:t xml:space="preserve">. Esta gente perdia-se em manobras sem outro alcance nem efeito a não ser demonstrar, se ainda fosse necessário, a completa ausência de objectivos próprios. </w:t>
      </w:r>
    </w:p>
    <w:p w:rsidR="00E5051F" w:rsidRPr="00B32E73" w:rsidRDefault="00E5051F" w:rsidP="00E5051F">
      <w:pPr>
        <w:tabs>
          <w:tab w:val="left" w:pos="720"/>
          <w:tab w:val="left" w:pos="3312"/>
        </w:tabs>
      </w:pPr>
      <w:r w:rsidRPr="00B32E73">
        <w:t xml:space="preserve">Em 1965 alguns antigos dirigentes da CNT residentes em Madrid proclamaram-se Comité Nacional da organização e tomaram a iniciativa de abordar falangistas radicais próximos de José Solís Ruiz, ministro secretário-geral do Movimento, com o objectivo de discutir as possibilidades de actuação no interior da CNS e o reforço da intervenção dos sindicatos nas empresas e na economia do país. Todos eles haviam tido um passado carregado de responsabilidades. Eduardo de Guzmán, anarquista de sempre, fora chefe de redacção de </w:t>
      </w:r>
      <w:r w:rsidRPr="00B32E73">
        <w:rPr>
          <w:i/>
        </w:rPr>
        <w:t>La Tierra,</w:t>
      </w:r>
      <w:r w:rsidRPr="00B32E73">
        <w:t xml:space="preserve"> Gregorio Gallego contara-se desde o início da guerra civil entre os dirigentes anarco-sindicalistas de Madrid e Lorenzo Iñigo pertencera ao Comité Nacional do Movimento Libertário, constituído nos derradeiros dias da guerra para unificar as direcções da CNT, da FAI e das </w:t>
      </w:r>
      <w:r w:rsidRPr="00B32E73">
        <w:lastRenderedPageBreak/>
        <w:t xml:space="preserve">juventudes anarquistas. Na cadeia, Iñigo e outro dos promotores desta tentativa de reconciliação, Enrique Marco Nadal, que até à sua prisão fora secretário-geral da CNT na clandestinidade, haviam recebido em Outubro de 1947 a visita de alguns altos funcionários franquistas que, em nome do ministro da Justiça e do próprio Caudillo, teriam proposto a absorção pela CNT de toda a estrutura sindical do regime, acompanhada pela libertação dos presos políticos, à excepção dos comunistas. O anarco-sindicalismo caucionaria, em suma, a entrada do franquismo no campo das democracias ocidentais, </w:t>
      </w:r>
      <w:r>
        <w:t xml:space="preserve">pagando </w:t>
      </w:r>
      <w:r w:rsidRPr="00B32E73">
        <w:t xml:space="preserve">os comunistas </w:t>
      </w:r>
      <w:r>
        <w:t xml:space="preserve">a factura da </w:t>
      </w:r>
      <w:r w:rsidRPr="00B32E73">
        <w:t>guerra fria. Os dois presos recusaram então este plano, para afinal, duas décadas mais tarde, serem eles mesmos a sugerir algo semelhante. A direcção da CNT indignou-se, agitou-se, manifestou-se contrária às conversações, mas o certo é que esses anarquistas madrilenos gozavam entre os exilados do apoio de nomes sonantes: uns, moderados de sempre, como Juan López, que durante a guerra civil fora ministro anarquista do Comércio e último secretário do Comité Nacional da CNT na zona Centro-Sul-Levante e que aliás, dois anos mais tarde, se poria à disposição do governo franquista para ocupar um cargo na burocracia das cooperativas; outros, antigos radicais da FAI, como Diego Abad de Santillán, ou Pedro Herrera, este precursor, que vinte e seis anos antes apontara aos seus correligionários derrotados o prudente caminho do diálogo com a Falange</w:t>
      </w:r>
      <w:r w:rsidRPr="00B32E73">
        <w:rPr>
          <w:rStyle w:val="Refdenotaderodap"/>
        </w:rPr>
        <w:footnoteReference w:id="177"/>
      </w:r>
      <w:r w:rsidRPr="00B32E73">
        <w:t xml:space="preserve">. </w:t>
      </w:r>
    </w:p>
    <w:p w:rsidR="00F21840" w:rsidRPr="00E5051F" w:rsidRDefault="00E5051F" w:rsidP="00E5051F">
      <w:r w:rsidRPr="00B32E73">
        <w:t xml:space="preserve">É muito tempo, um quarto de século. Chegara para renovar a Espanha e, nela e no resto do mundo, os confrontos sociais. Em meados da década de 1960, precisamente quando se desenvolvia em numerosos países, e na Espanha também, a grande vaga de lutas autónomas, aqueles personagens cimeiros do anarquismo não se preocupavam em adequar as velhas tácticas da guerra de classes ao novo contexto tecnocrático. A sua única ambição era atrelar a mítica burocracia anarco-sindicalista, de que julgavam dispor, àquela outra burocracia nacional-sindicalista, igualmente ilusória, porque se manifestava inoperante. Por parte de quem não possuía já nenhuma força política, tudo isto era uma farsa. A verdadeira tragédia havia-se completado muito antes, selada nas ruas de Barcelona em Maio de 1937. </w:t>
      </w:r>
    </w:p>
    <w:sectPr w:rsidR="00F21840" w:rsidRPr="00E5051F" w:rsidSect="008D4DF2">
      <w:footerReference w:type="even" r:id="rId7"/>
      <w:footerReference w:type="default" r:id="rId8"/>
      <w:pgSz w:w="11907" w:h="16840" w:code="9"/>
      <w:pgMar w:top="1417" w:right="1701" w:bottom="1417" w:left="1701" w:header="720" w:footer="720" w:gutter="0"/>
      <w:pgNumType w:start="78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9B4" w:rsidRDefault="00C579B4" w:rsidP="00E5051F">
      <w:pPr>
        <w:spacing w:line="240" w:lineRule="auto"/>
      </w:pPr>
      <w:r>
        <w:separator/>
      </w:r>
    </w:p>
  </w:endnote>
  <w:endnote w:type="continuationSeparator" w:id="0">
    <w:p w:rsidR="00C579B4" w:rsidRDefault="00C579B4" w:rsidP="00E505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3B3" w:rsidRDefault="00101BF3">
    <w:pPr>
      <w:pStyle w:val="Rodap"/>
      <w:framePr w:wrap="around" w:vAnchor="text" w:hAnchor="margin" w:xAlign="center" w:y="1"/>
      <w:rPr>
        <w:rStyle w:val="Nmerodepgina"/>
      </w:rPr>
    </w:pPr>
    <w:r>
      <w:rPr>
        <w:rStyle w:val="Nmerodepgina"/>
      </w:rPr>
      <w:fldChar w:fldCharType="begin"/>
    </w:r>
    <w:r w:rsidR="00E243B3">
      <w:rPr>
        <w:rStyle w:val="Nmerodepgina"/>
      </w:rPr>
      <w:instrText xml:space="preserve">PAGE  </w:instrText>
    </w:r>
    <w:r>
      <w:rPr>
        <w:rStyle w:val="Nmerodepgina"/>
      </w:rPr>
      <w:fldChar w:fldCharType="end"/>
    </w:r>
  </w:p>
  <w:p w:rsidR="00E243B3" w:rsidRDefault="00E243B3">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3B3" w:rsidRPr="00C06666" w:rsidRDefault="00101BF3" w:rsidP="00E243B3">
    <w:pPr>
      <w:pStyle w:val="Rodap"/>
      <w:framePr w:wrap="around" w:vAnchor="text" w:hAnchor="margin" w:xAlign="center" w:y="1"/>
      <w:ind w:firstLine="0"/>
      <w:rPr>
        <w:rStyle w:val="Nmerodepgina"/>
        <w:rFonts w:ascii="Arial Narrow" w:hAnsi="Arial Narrow"/>
        <w:i/>
      </w:rPr>
    </w:pPr>
    <w:r w:rsidRPr="00C06666">
      <w:rPr>
        <w:rStyle w:val="Nmerodepgina"/>
        <w:rFonts w:ascii="Arial Narrow" w:hAnsi="Arial Narrow"/>
        <w:i/>
      </w:rPr>
      <w:fldChar w:fldCharType="begin"/>
    </w:r>
    <w:r w:rsidR="00E243B3" w:rsidRPr="00C06666">
      <w:rPr>
        <w:rStyle w:val="Nmerodepgina"/>
        <w:rFonts w:ascii="Arial Narrow" w:hAnsi="Arial Narrow"/>
        <w:i/>
      </w:rPr>
      <w:instrText xml:space="preserve">PAGE  </w:instrText>
    </w:r>
    <w:r w:rsidRPr="00C06666">
      <w:rPr>
        <w:rStyle w:val="Nmerodepgina"/>
        <w:rFonts w:ascii="Arial Narrow" w:hAnsi="Arial Narrow"/>
        <w:i/>
      </w:rPr>
      <w:fldChar w:fldCharType="separate"/>
    </w:r>
    <w:r w:rsidR="007506E2">
      <w:rPr>
        <w:rStyle w:val="Nmerodepgina"/>
        <w:rFonts w:ascii="Arial Narrow" w:hAnsi="Arial Narrow"/>
        <w:i/>
        <w:noProof/>
      </w:rPr>
      <w:t>825</w:t>
    </w:r>
    <w:r w:rsidRPr="00C06666">
      <w:rPr>
        <w:rStyle w:val="Nmerodepgina"/>
        <w:rFonts w:ascii="Arial Narrow" w:hAnsi="Arial Narrow"/>
        <w:i/>
      </w:rPr>
      <w:fldChar w:fldCharType="end"/>
    </w:r>
  </w:p>
  <w:p w:rsidR="00E243B3" w:rsidRDefault="00E243B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9B4" w:rsidRDefault="00C579B4" w:rsidP="00E5051F">
      <w:pPr>
        <w:spacing w:line="240" w:lineRule="auto"/>
        <w:ind w:firstLine="0"/>
      </w:pPr>
      <w:r>
        <w:separator/>
      </w:r>
    </w:p>
  </w:footnote>
  <w:footnote w:type="continuationSeparator" w:id="0">
    <w:p w:rsidR="00C579B4" w:rsidRDefault="00C579B4" w:rsidP="00E5051F">
      <w:pPr>
        <w:spacing w:line="240" w:lineRule="auto"/>
        <w:ind w:firstLine="0"/>
      </w:pPr>
      <w:r>
        <w:continuationSeparator/>
      </w:r>
    </w:p>
  </w:footnote>
  <w:footnote w:id="1">
    <w:p w:rsidR="00E243B3" w:rsidRPr="00921DFD" w:rsidRDefault="00E243B3" w:rsidP="00E5051F">
      <w:pPr>
        <w:pStyle w:val="Textodenotaderodap"/>
        <w:rPr>
          <w:rFonts w:ascii="Arial Narrow" w:hAnsi="Arial Narrow"/>
          <w:lang w:val="de-DE"/>
        </w:rPr>
      </w:pPr>
      <w:r w:rsidRPr="00B32E73">
        <w:rPr>
          <w:rStyle w:val="Refdenotaderodap"/>
          <w:rFonts w:ascii="Arial Narrow" w:hAnsi="Arial Narrow"/>
        </w:rPr>
        <w:footnoteRef/>
      </w:r>
      <w:r w:rsidRPr="00921DFD">
        <w:rPr>
          <w:rFonts w:ascii="Arial Narrow" w:hAnsi="Arial Narrow"/>
          <w:lang w:val="de-DE"/>
        </w:rPr>
        <w:t xml:space="preserve"> C. M. Lorenzo (1972) 158.</w:t>
      </w:r>
    </w:p>
  </w:footnote>
  <w:footnote w:id="2">
    <w:p w:rsidR="00E243B3" w:rsidRPr="00921DFD" w:rsidRDefault="00E243B3" w:rsidP="00E5051F">
      <w:pPr>
        <w:pStyle w:val="Textodenotaderodap"/>
        <w:ind w:firstLine="708"/>
        <w:rPr>
          <w:rFonts w:ascii="Arial Narrow" w:hAnsi="Arial Narrow"/>
          <w:lang w:val="de-DE"/>
        </w:rPr>
      </w:pPr>
      <w:r w:rsidRPr="00B32E73">
        <w:rPr>
          <w:rStyle w:val="Refdenotaderodap"/>
          <w:rFonts w:ascii="Arial Narrow" w:hAnsi="Arial Narrow"/>
        </w:rPr>
        <w:footnoteRef/>
      </w:r>
      <w:r w:rsidRPr="00921DFD">
        <w:rPr>
          <w:rFonts w:ascii="Arial Narrow" w:hAnsi="Arial Narrow"/>
          <w:lang w:val="de-DE"/>
        </w:rPr>
        <w:t xml:space="preserve"> A. Malraux (1983) 44.</w:t>
      </w:r>
    </w:p>
  </w:footnote>
  <w:footnote w:id="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194-197.</w:t>
      </w:r>
    </w:p>
  </w:footnote>
  <w:footnote w:id="4">
    <w:p w:rsidR="00E243B3" w:rsidRPr="003F3324" w:rsidRDefault="00E243B3" w:rsidP="00E5051F">
      <w:pPr>
        <w:pStyle w:val="Textodenotaderodap"/>
        <w:rPr>
          <w:rFonts w:ascii="Arial Narrow" w:hAnsi="Arial Narrow"/>
        </w:rPr>
      </w:pPr>
      <w:r w:rsidRPr="003F3324">
        <w:rPr>
          <w:rStyle w:val="Refdenotaderodap"/>
          <w:rFonts w:ascii="Arial Narrow" w:hAnsi="Arial Narrow"/>
        </w:rPr>
        <w:footnoteRef/>
      </w:r>
      <w:r w:rsidRPr="003F3324">
        <w:rPr>
          <w:rFonts w:ascii="Arial Narrow" w:hAnsi="Arial Narrow"/>
        </w:rPr>
        <w:t xml:space="preserve"> V. Alba (2000)</w:t>
      </w:r>
      <w:r>
        <w:rPr>
          <w:rFonts w:ascii="Arial Narrow" w:hAnsi="Arial Narrow"/>
        </w:rPr>
        <w:t xml:space="preserve"> </w:t>
      </w:r>
      <w:r w:rsidRPr="003F3324">
        <w:rPr>
          <w:rFonts w:ascii="Arial Narrow" w:hAnsi="Arial Narrow"/>
        </w:rPr>
        <w:t>235</w:t>
      </w:r>
      <w:r>
        <w:rPr>
          <w:rFonts w:ascii="Arial Narrow" w:hAnsi="Arial Narrow"/>
        </w:rPr>
        <w:t>.</w:t>
      </w:r>
    </w:p>
  </w:footnote>
  <w:footnote w:id="5">
    <w:p w:rsidR="00E243B3" w:rsidRPr="00FD63E8"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FD63E8">
        <w:rPr>
          <w:rFonts w:ascii="Arial Narrow" w:hAnsi="Arial Narrow"/>
          <w:lang w:val="en-US"/>
        </w:rPr>
        <w:t xml:space="preserve"> C. Mera (2006) 49-50.</w:t>
      </w:r>
    </w:p>
  </w:footnote>
  <w:footnote w:id="6">
    <w:p w:rsidR="00E243B3" w:rsidRPr="00FD63E8"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FD63E8">
        <w:rPr>
          <w:rFonts w:ascii="Arial Narrow" w:hAnsi="Arial Narrow"/>
          <w:lang w:val="en-US"/>
        </w:rPr>
        <w:t xml:space="preserve"> S. Weil (1950) 66.</w:t>
      </w:r>
    </w:p>
  </w:footnote>
  <w:footnote w:id="7">
    <w:p w:rsidR="00E243B3" w:rsidRPr="00FD63E8"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FD63E8">
        <w:rPr>
          <w:rFonts w:ascii="Arial Narrow" w:hAnsi="Arial Narrow"/>
          <w:lang w:val="en-US"/>
        </w:rPr>
        <w:t xml:space="preserve"> G. Munis (1948) 369.</w:t>
      </w:r>
    </w:p>
  </w:footnote>
  <w:footnote w:id="8">
    <w:p w:rsidR="00E243B3" w:rsidRPr="00FD63E8"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FD63E8">
        <w:rPr>
          <w:rFonts w:ascii="Arial Narrow" w:hAnsi="Arial Narrow"/>
          <w:lang w:val="en-US"/>
        </w:rPr>
        <w:t xml:space="preserve"> Id., ibid., 326.</w:t>
      </w:r>
    </w:p>
  </w:footnote>
  <w:footnote w:id="9">
    <w:p w:rsidR="00E243B3" w:rsidRPr="00FD63E8" w:rsidRDefault="00E243B3">
      <w:pPr>
        <w:pStyle w:val="Textodenotaderodap"/>
        <w:rPr>
          <w:rFonts w:ascii="Arial Narrow" w:hAnsi="Arial Narrow"/>
          <w:lang w:val="en-US"/>
        </w:rPr>
      </w:pPr>
      <w:r w:rsidRPr="007D3C63">
        <w:rPr>
          <w:rStyle w:val="Refdenotaderodap"/>
          <w:rFonts w:ascii="Arial Narrow" w:hAnsi="Arial Narrow"/>
        </w:rPr>
        <w:footnoteRef/>
      </w:r>
      <w:r w:rsidRPr="00FD63E8">
        <w:rPr>
          <w:rFonts w:ascii="Arial Narrow" w:hAnsi="Arial Narrow"/>
          <w:lang w:val="en-US"/>
        </w:rPr>
        <w:t xml:space="preserve"> G. Jackson (1967) 262, 265.</w:t>
      </w:r>
    </w:p>
  </w:footnote>
  <w:footnote w:id="10">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 Paz (1972) 342. O autor insist</w:t>
      </w:r>
      <w:r>
        <w:rPr>
          <w:rFonts w:ascii="Arial Narrow" w:hAnsi="Arial Narrow"/>
        </w:rPr>
        <w:t>iu</w:t>
      </w:r>
      <w:r w:rsidRPr="00B32E73">
        <w:rPr>
          <w:rFonts w:ascii="Arial Narrow" w:hAnsi="Arial Narrow"/>
        </w:rPr>
        <w:t xml:space="preserve"> </w:t>
      </w:r>
      <w:r>
        <w:rPr>
          <w:rFonts w:ascii="Arial Narrow" w:hAnsi="Arial Narrow"/>
        </w:rPr>
        <w:t>(</w:t>
      </w:r>
      <w:r w:rsidRPr="00B32E73">
        <w:rPr>
          <w:rFonts w:ascii="Arial Narrow" w:hAnsi="Arial Narrow"/>
        </w:rPr>
        <w:t>pág. 345</w:t>
      </w:r>
      <w:r>
        <w:rPr>
          <w:rFonts w:ascii="Arial Narrow" w:hAnsi="Arial Narrow"/>
        </w:rPr>
        <w:t xml:space="preserve">) </w:t>
      </w:r>
      <w:r w:rsidRPr="00B32E73">
        <w:rPr>
          <w:rFonts w:ascii="Arial Narrow" w:hAnsi="Arial Narrow"/>
        </w:rPr>
        <w:t>que foram grupos de base a propor à direcção da coluna as acções de comandos. Não se deve confundir aqueles Hijos de la Noche com os Niños de la Noche, que constituíram o Corpo de Guerrilheiros da República, como se vê em F. Moreno Gómez (2001) 5 e 323, e que eram de obediência comunista.</w:t>
      </w:r>
    </w:p>
  </w:footnote>
  <w:footnote w:id="1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 Paz (1972) 396.</w:t>
      </w:r>
    </w:p>
  </w:footnote>
  <w:footnote w:id="12">
    <w:p w:rsidR="00E243B3" w:rsidRPr="007B769B" w:rsidRDefault="00E243B3" w:rsidP="00E5051F">
      <w:pPr>
        <w:pStyle w:val="Textodenotaderodap"/>
        <w:rPr>
          <w:rFonts w:ascii="Arial Narrow" w:hAnsi="Arial Narrow"/>
        </w:rPr>
      </w:pPr>
      <w:r w:rsidRPr="007B769B">
        <w:rPr>
          <w:rStyle w:val="Refdenotaderodap"/>
          <w:rFonts w:ascii="Arial Narrow" w:hAnsi="Arial Narrow"/>
        </w:rPr>
        <w:footnoteRef/>
      </w:r>
      <w:r w:rsidRPr="007B769B">
        <w:rPr>
          <w:rFonts w:ascii="Arial Narrow" w:hAnsi="Arial Narrow"/>
        </w:rPr>
        <w:t xml:space="preserve"> </w:t>
      </w:r>
      <w:r>
        <w:rPr>
          <w:rFonts w:ascii="Arial Narrow" w:hAnsi="Arial Narrow"/>
        </w:rPr>
        <w:t xml:space="preserve">A. Gimenez (2006) </w:t>
      </w:r>
      <w:r w:rsidRPr="007B769B">
        <w:rPr>
          <w:rFonts w:ascii="Arial Narrow" w:hAnsi="Arial Narrow"/>
          <w:i/>
        </w:rPr>
        <w:t>passim</w:t>
      </w:r>
      <w:r>
        <w:rPr>
          <w:rFonts w:ascii="Arial Narrow" w:hAnsi="Arial Narrow"/>
          <w:i/>
        </w:rPr>
        <w:t>,</w:t>
      </w:r>
      <w:r>
        <w:rPr>
          <w:rFonts w:ascii="Arial Narrow" w:hAnsi="Arial Narrow"/>
        </w:rPr>
        <w:t xml:space="preserve"> mas especialmente as págs. 118 e 180. Ver igualmente Les Giménologues (2006) 257-258, 382 e 512.</w:t>
      </w:r>
    </w:p>
  </w:footnote>
  <w:footnote w:id="1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270 n. 1.</w:t>
      </w:r>
    </w:p>
  </w:footnote>
  <w:footnote w:id="1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373.</w:t>
      </w:r>
    </w:p>
  </w:footnote>
  <w:footnote w:id="15">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483-489.</w:t>
      </w:r>
    </w:p>
  </w:footnote>
  <w:footnote w:id="16">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P. Broué et al. (1961) 384. Estes autores acrescenta</w:t>
      </w:r>
      <w:r>
        <w:rPr>
          <w:rFonts w:ascii="Arial Narrow" w:hAnsi="Arial Narrow"/>
        </w:rPr>
        <w:t>ra</w:t>
      </w:r>
      <w:r w:rsidRPr="00B32E73">
        <w:rPr>
          <w:rFonts w:ascii="Arial Narrow" w:hAnsi="Arial Narrow"/>
        </w:rPr>
        <w:t xml:space="preserve">m (pág. 413) que as guerrilhas </w:t>
      </w:r>
      <w:r>
        <w:rPr>
          <w:rFonts w:ascii="Arial Narrow" w:hAnsi="Arial Narrow"/>
        </w:rPr>
        <w:t xml:space="preserve">haviam </w:t>
      </w:r>
      <w:r w:rsidRPr="00B32E73">
        <w:rPr>
          <w:rFonts w:ascii="Arial Narrow" w:hAnsi="Arial Narrow"/>
        </w:rPr>
        <w:t>persisti</w:t>
      </w:r>
      <w:r>
        <w:rPr>
          <w:rFonts w:ascii="Arial Narrow" w:hAnsi="Arial Narrow"/>
        </w:rPr>
        <w:t>do</w:t>
      </w:r>
      <w:r w:rsidRPr="00B32E73">
        <w:rPr>
          <w:rFonts w:ascii="Arial Narrow" w:hAnsi="Arial Narrow"/>
        </w:rPr>
        <w:t xml:space="preserve"> durante bastante tempo na Andaluzia.</w:t>
      </w:r>
    </w:p>
  </w:footnote>
  <w:footnote w:id="17">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 Moreno Gómez (2001) 206.</w:t>
      </w:r>
    </w:p>
  </w:footnote>
  <w:footnote w:id="18">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B32E73">
        <w:rPr>
          <w:rFonts w:ascii="Arial Narrow" w:hAnsi="Arial Narrow"/>
        </w:rPr>
        <w:t xml:space="preserve"> P. Broué et al. </w:t>
      </w:r>
      <w:r w:rsidRPr="00921DFD">
        <w:rPr>
          <w:rFonts w:ascii="Arial Narrow" w:hAnsi="Arial Narrow"/>
          <w:lang w:val="en-GB"/>
        </w:rPr>
        <w:t>(1961) 381 n. 29; C. M. Lorenzo (1972) 145; H. Thomas (1965) 611.</w:t>
      </w:r>
    </w:p>
  </w:footnote>
  <w:footnote w:id="19">
    <w:p w:rsidR="00E243B3" w:rsidRPr="00767C7B" w:rsidRDefault="00E243B3">
      <w:pPr>
        <w:pStyle w:val="Textodenotaderodap"/>
        <w:rPr>
          <w:rFonts w:ascii="Arial Narrow" w:hAnsi="Arial Narrow"/>
          <w:lang w:val="en-US"/>
        </w:rPr>
      </w:pPr>
      <w:r w:rsidRPr="00767C7B">
        <w:rPr>
          <w:rStyle w:val="Refdenotaderodap"/>
          <w:rFonts w:ascii="Arial Narrow" w:hAnsi="Arial Narrow"/>
        </w:rPr>
        <w:footnoteRef/>
      </w:r>
      <w:r w:rsidRPr="00767C7B">
        <w:rPr>
          <w:rFonts w:ascii="Arial Narrow" w:hAnsi="Arial Narrow"/>
          <w:lang w:val="en-US"/>
        </w:rPr>
        <w:t xml:space="preserve"> </w:t>
      </w:r>
      <w:r w:rsidRPr="00725722">
        <w:rPr>
          <w:rFonts w:ascii="Arial Narrow" w:hAnsi="Arial Narrow"/>
          <w:lang w:val="en-US"/>
        </w:rPr>
        <w:t>G. Jackson (1967) 428.</w:t>
      </w:r>
    </w:p>
  </w:footnote>
  <w:footnote w:id="20">
    <w:p w:rsidR="00E243B3" w:rsidRPr="00725722" w:rsidRDefault="00E243B3" w:rsidP="00E5051F">
      <w:pPr>
        <w:pStyle w:val="Textodenotaderodap"/>
        <w:rPr>
          <w:rFonts w:ascii="Arial Narrow" w:hAnsi="Arial Narrow"/>
        </w:rPr>
      </w:pPr>
      <w:r w:rsidRPr="00B32E73">
        <w:rPr>
          <w:rStyle w:val="Refdenotaderodap"/>
          <w:rFonts w:ascii="Arial Narrow" w:hAnsi="Arial Narrow"/>
        </w:rPr>
        <w:footnoteRef/>
      </w:r>
      <w:r w:rsidRPr="00921DFD">
        <w:rPr>
          <w:rFonts w:ascii="Arial Narrow" w:hAnsi="Arial Narrow"/>
          <w:lang w:val="en-GB"/>
        </w:rPr>
        <w:t xml:space="preserve"> P. Broué et al. </w:t>
      </w:r>
      <w:r w:rsidRPr="00725722">
        <w:rPr>
          <w:rFonts w:ascii="Arial Narrow" w:hAnsi="Arial Narrow"/>
        </w:rPr>
        <w:t xml:space="preserve">(1961) 413; </w:t>
      </w:r>
      <w:r w:rsidRPr="00767C7B">
        <w:rPr>
          <w:rFonts w:ascii="Arial Narrow" w:hAnsi="Arial Narrow"/>
        </w:rPr>
        <w:t>G. Jackson (1967)</w:t>
      </w:r>
      <w:r>
        <w:rPr>
          <w:rFonts w:ascii="Arial Narrow" w:hAnsi="Arial Narrow"/>
        </w:rPr>
        <w:t xml:space="preserve"> 429; </w:t>
      </w:r>
      <w:r w:rsidRPr="00725722">
        <w:rPr>
          <w:rFonts w:ascii="Arial Narrow" w:hAnsi="Arial Narrow"/>
        </w:rPr>
        <w:t>H. Thomas (1965) 612.</w:t>
      </w:r>
    </w:p>
  </w:footnote>
  <w:footnote w:id="2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w:t>
      </w:r>
      <w:r w:rsidRPr="00B32E73">
        <w:rPr>
          <w:rFonts w:ascii="Arial Narrow" w:hAnsi="Arial Narrow"/>
          <w:i/>
        </w:rPr>
        <w:t>Historia de la Cruzada Española</w:t>
      </w:r>
      <w:r w:rsidRPr="00B32E73">
        <w:rPr>
          <w:rFonts w:ascii="Arial Narrow" w:hAnsi="Arial Narrow"/>
        </w:rPr>
        <w:t xml:space="preserve"> citada em M. García Venero (1967) 143.</w:t>
      </w:r>
    </w:p>
  </w:footnote>
  <w:footnote w:id="22">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272-273. O autor observ</w:t>
      </w:r>
      <w:r>
        <w:rPr>
          <w:rFonts w:ascii="Arial Narrow" w:hAnsi="Arial Narrow"/>
        </w:rPr>
        <w:t>ou</w:t>
      </w:r>
      <w:r w:rsidRPr="00B32E73">
        <w:rPr>
          <w:rFonts w:ascii="Arial Narrow" w:hAnsi="Arial Narrow"/>
        </w:rPr>
        <w:t xml:space="preserve"> </w:t>
      </w:r>
      <w:r>
        <w:rPr>
          <w:rFonts w:ascii="Arial Narrow" w:hAnsi="Arial Narrow"/>
        </w:rPr>
        <w:t>(</w:t>
      </w:r>
      <w:r w:rsidRPr="00B32E73">
        <w:rPr>
          <w:rFonts w:ascii="Arial Narrow" w:hAnsi="Arial Narrow"/>
        </w:rPr>
        <w:t>pág. 310</w:t>
      </w:r>
      <w:r>
        <w:rPr>
          <w:rFonts w:ascii="Arial Narrow" w:hAnsi="Arial Narrow"/>
        </w:rPr>
        <w:t>)</w:t>
      </w:r>
      <w:r w:rsidRPr="00B32E73">
        <w:rPr>
          <w:rFonts w:ascii="Arial Narrow" w:hAnsi="Arial Narrow"/>
        </w:rPr>
        <w:t xml:space="preserve"> que «as tropas regulares demonstravam falta de [...] entusiasmo».</w:t>
      </w:r>
    </w:p>
  </w:footnote>
  <w:footnote w:id="2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266.</w:t>
      </w:r>
    </w:p>
  </w:footnote>
  <w:footnote w:id="2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461-462.</w:t>
      </w:r>
    </w:p>
  </w:footnote>
  <w:footnote w:id="25">
    <w:p w:rsidR="00E243B3" w:rsidRPr="00260C04" w:rsidRDefault="00E243B3" w:rsidP="00E5051F">
      <w:pPr>
        <w:pStyle w:val="Textodenotaderodap"/>
        <w:rPr>
          <w:rFonts w:ascii="Arial Narrow" w:hAnsi="Arial Narrow"/>
        </w:rPr>
      </w:pPr>
      <w:r w:rsidRPr="00260C04">
        <w:rPr>
          <w:rStyle w:val="Refdenotaderodap"/>
          <w:rFonts w:ascii="Arial Narrow" w:hAnsi="Arial Narrow"/>
        </w:rPr>
        <w:footnoteRef/>
      </w:r>
      <w:r w:rsidRPr="00260C04">
        <w:rPr>
          <w:rFonts w:ascii="Arial Narrow" w:hAnsi="Arial Narrow"/>
        </w:rPr>
        <w:t xml:space="preserve"> </w:t>
      </w:r>
      <w:r>
        <w:rPr>
          <w:rFonts w:ascii="Arial Narrow" w:hAnsi="Arial Narrow"/>
        </w:rPr>
        <w:t>A. Gimenez (2006) 110, 111. Ver também a pág. 115.</w:t>
      </w:r>
    </w:p>
  </w:footnote>
  <w:footnote w:id="26">
    <w:p w:rsidR="00E243B3" w:rsidRPr="00E5051F"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E5051F">
        <w:rPr>
          <w:rFonts w:ascii="Arial Narrow" w:hAnsi="Arial Narrow"/>
          <w:lang w:val="en-US"/>
        </w:rPr>
        <w:t xml:space="preserve"> G. Orwell (1998 b) 209-210.</w:t>
      </w:r>
    </w:p>
  </w:footnote>
  <w:footnote w:id="27">
    <w:p w:rsidR="00E243B3" w:rsidRPr="00E5051F" w:rsidRDefault="00E243B3" w:rsidP="00E5051F">
      <w:pPr>
        <w:pStyle w:val="Textodenotaderodap"/>
        <w:rPr>
          <w:rFonts w:ascii="Arial Narrow" w:hAnsi="Arial Narrow"/>
          <w:lang w:val="en-US"/>
        </w:rPr>
      </w:pPr>
      <w:r w:rsidRPr="002D24DC">
        <w:rPr>
          <w:rStyle w:val="Refdenotaderodap"/>
          <w:rFonts w:ascii="Arial Narrow" w:hAnsi="Arial Narrow"/>
        </w:rPr>
        <w:footnoteRef/>
      </w:r>
      <w:r w:rsidRPr="00E5051F">
        <w:rPr>
          <w:rFonts w:ascii="Arial Narrow" w:hAnsi="Arial Narrow"/>
          <w:lang w:val="en-US"/>
        </w:rPr>
        <w:t xml:space="preserve"> V. Alba (2000) 373-374.</w:t>
      </w:r>
    </w:p>
  </w:footnote>
  <w:footnote w:id="28">
    <w:p w:rsidR="00E243B3" w:rsidRPr="00E5051F" w:rsidRDefault="00E243B3" w:rsidP="00E5051F">
      <w:pPr>
        <w:pStyle w:val="Textodenotaderodap"/>
        <w:rPr>
          <w:rFonts w:ascii="Arial Narrow" w:hAnsi="Arial Narrow"/>
          <w:lang w:val="en-US"/>
        </w:rPr>
      </w:pPr>
      <w:r w:rsidRPr="0047088B">
        <w:rPr>
          <w:rStyle w:val="Refdenotaderodap"/>
          <w:rFonts w:ascii="Arial Narrow" w:hAnsi="Arial Narrow"/>
        </w:rPr>
        <w:footnoteRef/>
      </w:r>
      <w:r w:rsidRPr="00E5051F">
        <w:rPr>
          <w:rFonts w:ascii="Arial Narrow" w:hAnsi="Arial Narrow"/>
          <w:lang w:val="en-US"/>
        </w:rPr>
        <w:t xml:space="preserve"> J. Delperrie de Bayac (1968) 279 n. 1.</w:t>
      </w:r>
    </w:p>
  </w:footnote>
  <w:footnote w:id="29">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 Mera (2006) 280. Ver também a pág. 288.</w:t>
      </w:r>
    </w:p>
  </w:footnote>
  <w:footnote w:id="30">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Referindo-se à actividade guerrilheira posterior a 1939 na Galiza e nas Astúrias, C. M. Lorenzo (1972) 283 n. 16 indic</w:t>
      </w:r>
      <w:r>
        <w:rPr>
          <w:rFonts w:ascii="Arial Narrow" w:hAnsi="Arial Narrow"/>
        </w:rPr>
        <w:t>ou</w:t>
      </w:r>
      <w:r w:rsidRPr="00B32E73">
        <w:rPr>
          <w:rFonts w:ascii="Arial Narrow" w:hAnsi="Arial Narrow"/>
        </w:rPr>
        <w:t xml:space="preserve"> que «é impossível avaliar a sua importância, pelo que devemos contentar</w:t>
      </w:r>
      <w:r>
        <w:rPr>
          <w:rFonts w:ascii="Arial Narrow" w:hAnsi="Arial Narrow"/>
        </w:rPr>
        <w:t>-nos</w:t>
      </w:r>
      <w:r w:rsidRPr="00B32E73">
        <w:rPr>
          <w:rFonts w:ascii="Arial Narrow" w:hAnsi="Arial Narrow"/>
        </w:rPr>
        <w:t xml:space="preserve"> em assinalar a sua existência e precisar que durou muito tempo». Ver também as págs. 293 n. 25 e 319. Acerca da guerrilha nas regiões centrais e meridionais consultar F. Moreno Gómez (2001) </w:t>
      </w:r>
      <w:r w:rsidRPr="00B32E73">
        <w:rPr>
          <w:rFonts w:ascii="Arial Narrow" w:hAnsi="Arial Narrow"/>
          <w:i/>
        </w:rPr>
        <w:t>passim</w:t>
      </w:r>
      <w:r w:rsidRPr="00B32E73">
        <w:rPr>
          <w:rFonts w:ascii="Arial Narrow" w:hAnsi="Arial Narrow"/>
        </w:rPr>
        <w:t>.</w:t>
      </w:r>
    </w:p>
  </w:footnote>
  <w:footnote w:id="31">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 Moreno Gómez (2001) </w:t>
      </w:r>
      <w:r w:rsidRPr="00B32E73">
        <w:rPr>
          <w:rFonts w:ascii="Arial Narrow" w:hAnsi="Arial Narrow"/>
          <w:i/>
        </w:rPr>
        <w:t>passim</w:t>
      </w:r>
      <w:r w:rsidRPr="00B32E73">
        <w:rPr>
          <w:rFonts w:ascii="Arial Narrow" w:hAnsi="Arial Narrow"/>
        </w:rPr>
        <w:t>.</w:t>
      </w:r>
    </w:p>
  </w:footnote>
  <w:footnote w:id="32">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243-244, 250.</w:t>
      </w:r>
    </w:p>
  </w:footnote>
  <w:footnote w:id="3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402-403 n. 5 resum</w:t>
      </w:r>
      <w:r>
        <w:rPr>
          <w:rFonts w:ascii="Arial Narrow" w:hAnsi="Arial Narrow"/>
        </w:rPr>
        <w:t>iu</w:t>
      </w:r>
      <w:r w:rsidRPr="00B32E73">
        <w:rPr>
          <w:rFonts w:ascii="Arial Narrow" w:hAnsi="Arial Narrow"/>
        </w:rPr>
        <w:t xml:space="preserve"> as origens conturbadas da expressão «quinta coluna». Também P. Broué et al. (1961) 227 n. 14</w:t>
      </w:r>
      <w:r>
        <w:rPr>
          <w:rFonts w:ascii="Arial Narrow" w:hAnsi="Arial Narrow"/>
        </w:rPr>
        <w:t>,</w:t>
      </w:r>
      <w:r w:rsidRPr="00B32E73">
        <w:rPr>
          <w:rFonts w:ascii="Arial Narrow" w:hAnsi="Arial Narrow"/>
        </w:rPr>
        <w:t xml:space="preserve"> </w:t>
      </w:r>
      <w:r>
        <w:rPr>
          <w:rFonts w:ascii="Arial Narrow" w:hAnsi="Arial Narrow"/>
        </w:rPr>
        <w:t xml:space="preserve">J. Delperrie de Bayac (1968) 180 e </w:t>
      </w:r>
      <w:r w:rsidRPr="00792665">
        <w:rPr>
          <w:rFonts w:ascii="Arial Narrow" w:hAnsi="Arial Narrow"/>
        </w:rPr>
        <w:t xml:space="preserve">G. Jackson (1967) </w:t>
      </w:r>
      <w:r>
        <w:rPr>
          <w:rFonts w:ascii="Arial Narrow" w:hAnsi="Arial Narrow"/>
        </w:rPr>
        <w:t xml:space="preserve">321 </w:t>
      </w:r>
      <w:r w:rsidRPr="00B32E73">
        <w:rPr>
          <w:rFonts w:ascii="Arial Narrow" w:hAnsi="Arial Narrow"/>
        </w:rPr>
        <w:t>a atribu</w:t>
      </w:r>
      <w:r>
        <w:rPr>
          <w:rFonts w:ascii="Arial Narrow" w:hAnsi="Arial Narrow"/>
        </w:rPr>
        <w:t>íra</w:t>
      </w:r>
      <w:r w:rsidRPr="00B32E73">
        <w:rPr>
          <w:rFonts w:ascii="Arial Narrow" w:hAnsi="Arial Narrow"/>
        </w:rPr>
        <w:t>m a Mola e o mesmo f</w:t>
      </w:r>
      <w:r>
        <w:rPr>
          <w:rFonts w:ascii="Arial Narrow" w:hAnsi="Arial Narrow"/>
        </w:rPr>
        <w:t>e</w:t>
      </w:r>
      <w:r w:rsidRPr="00B32E73">
        <w:rPr>
          <w:rFonts w:ascii="Arial Narrow" w:hAnsi="Arial Narrow"/>
        </w:rPr>
        <w:t xml:space="preserve">z o </w:t>
      </w:r>
      <w:r w:rsidRPr="00B32E73">
        <w:rPr>
          <w:rFonts w:ascii="Arial Narrow" w:hAnsi="Arial Narrow"/>
          <w:i/>
        </w:rPr>
        <w:t>Brewer’s Dictionary of Phrase and Fable,</w:t>
      </w:r>
      <w:r w:rsidRPr="00B32E73">
        <w:rPr>
          <w:rFonts w:ascii="Arial Narrow" w:hAnsi="Arial Narrow"/>
        </w:rPr>
        <w:t xml:space="preserve"> 419. Todavia, na versão de 1979 de </w:t>
      </w:r>
      <w:r w:rsidRPr="00B32E73">
        <w:rPr>
          <w:rFonts w:ascii="Arial Narrow" w:hAnsi="Arial Narrow"/>
          <w:i/>
        </w:rPr>
        <w:t>The New Encyclopædia Britannica,</w:t>
      </w:r>
      <w:r w:rsidRPr="00B32E73">
        <w:rPr>
          <w:rFonts w:ascii="Arial Narrow" w:hAnsi="Arial Narrow"/>
        </w:rPr>
        <w:t xml:space="preserve"> 15ª ed., </w:t>
      </w:r>
      <w:r w:rsidRPr="00B32E73">
        <w:rPr>
          <w:rFonts w:ascii="Arial Narrow" w:hAnsi="Arial Narrow"/>
          <w:i/>
        </w:rPr>
        <w:t>Micropaedia,</w:t>
      </w:r>
      <w:r w:rsidRPr="00B32E73">
        <w:rPr>
          <w:rFonts w:ascii="Arial Narrow" w:hAnsi="Arial Narrow"/>
        </w:rPr>
        <w:t xml:space="preserve"> IV, 130 a frase </w:t>
      </w:r>
      <w:r>
        <w:rPr>
          <w:rFonts w:ascii="Arial Narrow" w:hAnsi="Arial Narrow"/>
        </w:rPr>
        <w:t>foi</w:t>
      </w:r>
      <w:r w:rsidRPr="00B32E73">
        <w:rPr>
          <w:rFonts w:ascii="Arial Narrow" w:hAnsi="Arial Narrow"/>
        </w:rPr>
        <w:t xml:space="preserve"> imputada ao general Queipo de Llano. O fascista francês Lucien Rebatet, que freneticamente encontrava judeus por todo o lado, para por todo o lado freneticamente os odiar, pretend</w:t>
      </w:r>
      <w:r>
        <w:rPr>
          <w:rFonts w:ascii="Arial Narrow" w:hAnsi="Arial Narrow"/>
        </w:rPr>
        <w:t>eu</w:t>
      </w:r>
      <w:r w:rsidRPr="00B32E73">
        <w:rPr>
          <w:rFonts w:ascii="Arial Narrow" w:hAnsi="Arial Narrow"/>
        </w:rPr>
        <w:t xml:space="preserve"> que a expressão «quinta coluna» era um</w:t>
      </w:r>
      <w:r>
        <w:rPr>
          <w:rFonts w:ascii="Arial Narrow" w:hAnsi="Arial Narrow"/>
        </w:rPr>
        <w:t>a</w:t>
      </w:r>
      <w:r w:rsidRPr="00B32E73">
        <w:rPr>
          <w:rFonts w:ascii="Arial Narrow" w:hAnsi="Arial Narrow"/>
        </w:rPr>
        <w:t xml:space="preserve"> «</w:t>
      </w:r>
      <w:r>
        <w:rPr>
          <w:rFonts w:ascii="Arial Narrow" w:hAnsi="Arial Narrow"/>
        </w:rPr>
        <w:t>palavra judaica</w:t>
      </w:r>
      <w:r w:rsidRPr="00B32E73">
        <w:rPr>
          <w:rFonts w:ascii="Arial Narrow" w:hAnsi="Arial Narrow"/>
        </w:rPr>
        <w:t>». Ver L. Rebatet (1942) 361.</w:t>
      </w:r>
    </w:p>
  </w:footnote>
  <w:footnote w:id="34">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em P. Broué et al. (1961) 174 n. 12.</w:t>
      </w:r>
    </w:p>
  </w:footnote>
  <w:footnote w:id="35">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314 n. 2 pretende</w:t>
      </w:r>
      <w:r>
        <w:rPr>
          <w:rFonts w:ascii="Arial Narrow" w:hAnsi="Arial Narrow"/>
        </w:rPr>
        <w:t>u</w:t>
      </w:r>
      <w:r w:rsidRPr="00B32E73">
        <w:rPr>
          <w:rFonts w:ascii="Arial Narrow" w:hAnsi="Arial Narrow"/>
        </w:rPr>
        <w:t xml:space="preserve"> que </w:t>
      </w:r>
      <w:r>
        <w:rPr>
          <w:rFonts w:ascii="Arial Narrow" w:hAnsi="Arial Narrow"/>
        </w:rPr>
        <w:t>o</w:t>
      </w:r>
      <w:r w:rsidRPr="00B32E73">
        <w:rPr>
          <w:rFonts w:ascii="Arial Narrow" w:hAnsi="Arial Narrow"/>
        </w:rPr>
        <w:t xml:space="preserve"> personagem de Manuel fo</w:t>
      </w:r>
      <w:r>
        <w:rPr>
          <w:rFonts w:ascii="Arial Narrow" w:hAnsi="Arial Narrow"/>
        </w:rPr>
        <w:t>ra</w:t>
      </w:r>
      <w:r w:rsidRPr="00B32E73">
        <w:rPr>
          <w:rFonts w:ascii="Arial Narrow" w:hAnsi="Arial Narrow"/>
        </w:rPr>
        <w:t xml:space="preserve"> inspirad</w:t>
      </w:r>
      <w:r>
        <w:rPr>
          <w:rFonts w:ascii="Arial Narrow" w:hAnsi="Arial Narrow"/>
        </w:rPr>
        <w:t>o</w:t>
      </w:r>
      <w:r w:rsidRPr="00B32E73">
        <w:rPr>
          <w:rFonts w:ascii="Arial Narrow" w:hAnsi="Arial Narrow"/>
        </w:rPr>
        <w:t xml:space="preserve"> pela figura de L</w:t>
      </w:r>
      <w:r w:rsidR="00BE3D88">
        <w:rPr>
          <w:rFonts w:ascii="Arial Narrow" w:hAnsi="Arial Narrow"/>
        </w:rPr>
        <w:t>í</w:t>
      </w:r>
      <w:r w:rsidRPr="00B32E73">
        <w:rPr>
          <w:rFonts w:ascii="Arial Narrow" w:hAnsi="Arial Narrow"/>
        </w:rPr>
        <w:t>ster, mas P. Broué et al. (1961) 201 n. 15 cita</w:t>
      </w:r>
      <w:r>
        <w:rPr>
          <w:rFonts w:ascii="Arial Narrow" w:hAnsi="Arial Narrow"/>
        </w:rPr>
        <w:t>ra</w:t>
      </w:r>
      <w:r w:rsidRPr="00B32E73">
        <w:rPr>
          <w:rFonts w:ascii="Arial Narrow" w:hAnsi="Arial Narrow"/>
        </w:rPr>
        <w:t>m vários argumentos em abono da tese de que o romancista se base</w:t>
      </w:r>
      <w:r>
        <w:rPr>
          <w:rFonts w:ascii="Arial Narrow" w:hAnsi="Arial Narrow"/>
        </w:rPr>
        <w:t>ara</w:t>
      </w:r>
      <w:r w:rsidRPr="00B32E73">
        <w:rPr>
          <w:rFonts w:ascii="Arial Narrow" w:hAnsi="Arial Narrow"/>
        </w:rPr>
        <w:t xml:space="preserve"> noutro dos chefes militares comunistas, o compositor Gustavo Durán, que haveria de chefiar o SIM em Madrid.</w:t>
      </w:r>
    </w:p>
  </w:footnote>
  <w:footnote w:id="36">
    <w:p w:rsidR="00E243B3" w:rsidRPr="00921DFD" w:rsidRDefault="00E243B3" w:rsidP="00E5051F">
      <w:pPr>
        <w:pStyle w:val="Textodenotaderodap"/>
        <w:ind w:firstLine="708"/>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P. Broué et al. (1961) 348; H. Thomas (1965) 385.</w:t>
      </w:r>
    </w:p>
  </w:footnote>
  <w:footnote w:id="37">
    <w:p w:rsidR="00E243B3" w:rsidRPr="00921DFD" w:rsidRDefault="00E243B3" w:rsidP="00E5051F">
      <w:pPr>
        <w:pStyle w:val="Textodenotaderodap"/>
        <w:ind w:firstLine="708"/>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A. Malraux (1983) 588.</w:t>
      </w:r>
    </w:p>
  </w:footnote>
  <w:footnote w:id="38">
    <w:p w:rsidR="00E243B3" w:rsidRPr="00921DFD" w:rsidRDefault="00E243B3" w:rsidP="00E5051F">
      <w:pPr>
        <w:pStyle w:val="Textodenotaderodap"/>
        <w:ind w:firstLine="708"/>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136.</w:t>
      </w:r>
    </w:p>
  </w:footnote>
  <w:footnote w:id="39">
    <w:p w:rsidR="00E243B3" w:rsidRPr="00921DFD" w:rsidRDefault="00E243B3" w:rsidP="00E5051F">
      <w:pPr>
        <w:pStyle w:val="Textodenotaderodap"/>
        <w:ind w:firstLine="708"/>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181.</w:t>
      </w:r>
    </w:p>
  </w:footnote>
  <w:footnote w:id="40">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573.</w:t>
      </w:r>
    </w:p>
  </w:footnote>
  <w:footnote w:id="4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373.</w:t>
      </w:r>
    </w:p>
  </w:footnote>
  <w:footnote w:id="42">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238-246.</w:t>
      </w:r>
      <w:r>
        <w:rPr>
          <w:rFonts w:ascii="Arial Narrow" w:hAnsi="Arial Narrow"/>
        </w:rPr>
        <w:t xml:space="preserve"> Todavia, </w:t>
      </w:r>
      <w:r w:rsidRPr="006D46FE">
        <w:rPr>
          <w:rFonts w:ascii="Arial Narrow" w:hAnsi="Arial Narrow"/>
        </w:rPr>
        <w:t xml:space="preserve">J. Delperrie de Bayac (1968) 47 forneceu </w:t>
      </w:r>
      <w:r w:rsidR="0042269E">
        <w:rPr>
          <w:rFonts w:ascii="Arial Narrow" w:hAnsi="Arial Narrow"/>
        </w:rPr>
        <w:t>outro</w:t>
      </w:r>
      <w:r w:rsidRPr="006D46FE">
        <w:rPr>
          <w:rFonts w:ascii="Arial Narrow" w:hAnsi="Arial Narrow"/>
        </w:rPr>
        <w:t xml:space="preserve"> retrato da retirada e disse que «apesar de tudo conseguiu-se reembarcar a maior parte do corpo expedicionário».</w:t>
      </w:r>
    </w:p>
  </w:footnote>
  <w:footnote w:id="43">
    <w:p w:rsidR="00E243B3" w:rsidRPr="00E5051F"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E5051F">
        <w:rPr>
          <w:rFonts w:ascii="Arial Narrow" w:hAnsi="Arial Narrow"/>
          <w:lang w:val="en-US"/>
        </w:rPr>
        <w:t xml:space="preserve"> H. Thomas (1965) 460-461.</w:t>
      </w:r>
    </w:p>
  </w:footnote>
  <w:footnote w:id="44">
    <w:p w:rsidR="00E243B3" w:rsidRPr="00E5051F"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E5051F">
        <w:rPr>
          <w:rFonts w:ascii="Arial Narrow" w:hAnsi="Arial Narrow"/>
          <w:lang w:val="en-US"/>
        </w:rPr>
        <w:t xml:space="preserve"> Id., ibid., 360 n. 4.</w:t>
      </w:r>
    </w:p>
  </w:footnote>
  <w:footnote w:id="45">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 Moreno Gómez (2001) 184, 206</w:t>
      </w:r>
      <w:r>
        <w:rPr>
          <w:rFonts w:ascii="Arial Narrow" w:hAnsi="Arial Narrow"/>
        </w:rPr>
        <w:t>,</w:t>
      </w:r>
      <w:r w:rsidRPr="00B32E73">
        <w:rPr>
          <w:rFonts w:ascii="Arial Narrow" w:hAnsi="Arial Narrow"/>
        </w:rPr>
        <w:t xml:space="preserve"> 323-324.</w:t>
      </w:r>
      <w:r>
        <w:rPr>
          <w:rFonts w:ascii="Arial Narrow" w:hAnsi="Arial Narrow"/>
        </w:rPr>
        <w:t xml:space="preserve"> Ver igualmente J. Delperrie de Bayac (1968) 279.</w:t>
      </w:r>
    </w:p>
  </w:footnote>
  <w:footnote w:id="46">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389 n. 3.</w:t>
      </w:r>
    </w:p>
  </w:footnote>
  <w:footnote w:id="47">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 Moreno Gómez (2001) 241 e segs., 257-259, 697-698.</w:t>
      </w:r>
    </w:p>
  </w:footnote>
  <w:footnote w:id="48">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241 </w:t>
      </w:r>
      <w:r>
        <w:rPr>
          <w:rFonts w:ascii="Arial Narrow" w:hAnsi="Arial Narrow"/>
        </w:rPr>
        <w:t>a</w:t>
      </w:r>
      <w:r w:rsidRPr="00B32E73">
        <w:rPr>
          <w:rFonts w:ascii="Arial Narrow" w:hAnsi="Arial Narrow"/>
        </w:rPr>
        <w:t>firm</w:t>
      </w:r>
      <w:r>
        <w:rPr>
          <w:rFonts w:ascii="Arial Narrow" w:hAnsi="Arial Narrow"/>
        </w:rPr>
        <w:t>ou</w:t>
      </w:r>
      <w:r w:rsidRPr="00B32E73">
        <w:rPr>
          <w:rFonts w:ascii="Arial Narrow" w:hAnsi="Arial Narrow"/>
        </w:rPr>
        <w:t xml:space="preserve"> que o PCE «foi o único que no imediato pós-guerra apostou na oposição ou resistência armada ao regime» e acrescent</w:t>
      </w:r>
      <w:r>
        <w:rPr>
          <w:rFonts w:ascii="Arial Narrow" w:hAnsi="Arial Narrow"/>
        </w:rPr>
        <w:t>ou</w:t>
      </w:r>
      <w:r w:rsidRPr="00B32E73">
        <w:rPr>
          <w:rFonts w:ascii="Arial Narrow" w:hAnsi="Arial Narrow"/>
        </w:rPr>
        <w:t xml:space="preserve"> que «nem o PSOE nem a CNT intervieram oficialmente na organização das guerrilhas». Francisco Moreno especific</w:t>
      </w:r>
      <w:r>
        <w:rPr>
          <w:rFonts w:ascii="Arial Narrow" w:hAnsi="Arial Narrow"/>
        </w:rPr>
        <w:t>ou</w:t>
      </w:r>
      <w:r w:rsidRPr="00B32E73">
        <w:rPr>
          <w:rFonts w:ascii="Arial Narrow" w:hAnsi="Arial Narrow"/>
        </w:rPr>
        <w:t xml:space="preserve"> </w:t>
      </w:r>
      <w:r>
        <w:rPr>
          <w:rFonts w:ascii="Arial Narrow" w:hAnsi="Arial Narrow"/>
        </w:rPr>
        <w:t>(</w:t>
      </w:r>
      <w:r w:rsidRPr="00B32E73">
        <w:rPr>
          <w:rFonts w:ascii="Arial Narrow" w:hAnsi="Arial Narrow"/>
        </w:rPr>
        <w:t>pág. 355</w:t>
      </w:r>
      <w:r>
        <w:rPr>
          <w:rFonts w:ascii="Arial Narrow" w:hAnsi="Arial Narrow"/>
        </w:rPr>
        <w:t xml:space="preserve">) </w:t>
      </w:r>
      <w:r w:rsidRPr="00B32E73">
        <w:rPr>
          <w:rFonts w:ascii="Arial Narrow" w:hAnsi="Arial Narrow"/>
        </w:rPr>
        <w:t>que as directivas emanadas das organizações nacionais do PSOE e da CNT «desautorizaram publicamente a luta armada». Isto não significa, porém, como se vê ao longo de toda a obra, que não houvesse um bom número de guerrilheiros de persuasão socialista ou anarquista.</w:t>
      </w:r>
    </w:p>
  </w:footnote>
  <w:footnote w:id="49">
    <w:p w:rsidR="00E243B3" w:rsidRPr="00921DFD" w:rsidRDefault="00E243B3" w:rsidP="00E5051F">
      <w:pPr>
        <w:pStyle w:val="Textodenotaderodap"/>
        <w:ind w:firstLine="708"/>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15-16, 274, 295-296, 506-507, 664.</w:t>
      </w:r>
    </w:p>
  </w:footnote>
  <w:footnote w:id="50">
    <w:p w:rsidR="00E243B3" w:rsidRPr="00921DFD" w:rsidRDefault="00E243B3" w:rsidP="00E5051F">
      <w:pPr>
        <w:pStyle w:val="Textodenotaderodap"/>
        <w:ind w:firstLine="708"/>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8-9, 221-222, 251 e segs.</w:t>
      </w:r>
    </w:p>
  </w:footnote>
  <w:footnote w:id="51">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xml:space="preserve">, ibid., 690. </w:t>
      </w:r>
      <w:r w:rsidR="002A748B" w:rsidRPr="00B32E73">
        <w:rPr>
          <w:rFonts w:ascii="Arial Narrow" w:hAnsi="Arial Narrow"/>
        </w:rPr>
        <w:t xml:space="preserve">O </w:t>
      </w:r>
      <w:r w:rsidRPr="00B32E73">
        <w:rPr>
          <w:rFonts w:ascii="Arial Narrow" w:hAnsi="Arial Narrow"/>
        </w:rPr>
        <w:t>autor calcul</w:t>
      </w:r>
      <w:r>
        <w:rPr>
          <w:rFonts w:ascii="Arial Narrow" w:hAnsi="Arial Narrow"/>
        </w:rPr>
        <w:t>ou</w:t>
      </w:r>
      <w:r w:rsidRPr="00B32E73">
        <w:rPr>
          <w:rFonts w:ascii="Arial Narrow" w:hAnsi="Arial Narrow"/>
        </w:rPr>
        <w:t xml:space="preserve"> </w:t>
      </w:r>
      <w:r w:rsidR="002A748B">
        <w:rPr>
          <w:rFonts w:ascii="Arial Narrow" w:hAnsi="Arial Narrow"/>
        </w:rPr>
        <w:t>(</w:t>
      </w:r>
      <w:r w:rsidR="002A748B" w:rsidRPr="00B32E73">
        <w:rPr>
          <w:rFonts w:ascii="Arial Narrow" w:hAnsi="Arial Narrow"/>
        </w:rPr>
        <w:t>pág. 692</w:t>
      </w:r>
      <w:r w:rsidR="002A748B">
        <w:rPr>
          <w:rFonts w:ascii="Arial Narrow" w:hAnsi="Arial Narrow"/>
        </w:rPr>
        <w:t>)</w:t>
      </w:r>
      <w:r w:rsidR="002A748B" w:rsidRPr="00B32E73">
        <w:rPr>
          <w:rFonts w:ascii="Arial Narrow" w:hAnsi="Arial Narrow"/>
        </w:rPr>
        <w:t xml:space="preserve"> </w:t>
      </w:r>
      <w:r w:rsidRPr="00B32E73">
        <w:rPr>
          <w:rFonts w:ascii="Arial Narrow" w:hAnsi="Arial Narrow"/>
        </w:rPr>
        <w:t>que cerca de sessenta mil camponeses foram presos por terem ajudado a guerrilha, além de um milhar que foi abatido no local, sem qualquer forma de julgamento.</w:t>
      </w:r>
    </w:p>
  </w:footnote>
  <w:footnote w:id="52">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684. Francisco Moreno observ</w:t>
      </w:r>
      <w:r>
        <w:rPr>
          <w:rFonts w:ascii="Arial Narrow" w:hAnsi="Arial Narrow"/>
        </w:rPr>
        <w:t>ou</w:t>
      </w:r>
      <w:r w:rsidRPr="00B32E73">
        <w:rPr>
          <w:rFonts w:ascii="Arial Narrow" w:hAnsi="Arial Narrow"/>
        </w:rPr>
        <w:t xml:space="preserve"> (págs. 438-440, 470, 497, 605-606, 702-704) que a direcção do PCE nunca tomou medidas práticas para pôr termo à guerrilha e afastou da actividade partidária os guerrilheiros que se refugiaram no estrangeiro, mesmo quando era já manifestamente impossível continuar aquele tipo de luta. A «pretensa ordem de dissolução da guerrilha em Outubro de 1948, sobre a qual muito se escreveu, não passa de um boato histórico», garant</w:t>
      </w:r>
      <w:r>
        <w:rPr>
          <w:rFonts w:ascii="Arial Narrow" w:hAnsi="Arial Narrow"/>
        </w:rPr>
        <w:t>iu</w:t>
      </w:r>
      <w:r w:rsidRPr="00B32E73">
        <w:rPr>
          <w:rFonts w:ascii="Arial Narrow" w:hAnsi="Arial Narrow"/>
        </w:rPr>
        <w:t xml:space="preserve"> </w:t>
      </w:r>
      <w:r>
        <w:rPr>
          <w:rFonts w:ascii="Arial Narrow" w:hAnsi="Arial Narrow"/>
        </w:rPr>
        <w:t>(</w:t>
      </w:r>
      <w:r w:rsidRPr="00B32E73">
        <w:rPr>
          <w:rFonts w:ascii="Arial Narrow" w:hAnsi="Arial Narrow"/>
        </w:rPr>
        <w:t>pág. 497</w:t>
      </w:r>
      <w:r>
        <w:rPr>
          <w:rFonts w:ascii="Arial Narrow" w:hAnsi="Arial Narrow"/>
        </w:rPr>
        <w:t xml:space="preserve">) </w:t>
      </w:r>
      <w:r w:rsidRPr="00B32E73">
        <w:rPr>
          <w:rFonts w:ascii="Arial Narrow" w:hAnsi="Arial Narrow"/>
        </w:rPr>
        <w:t>este historiador. Vejam-se mais informações nas págs. 533, 605 e 702-703.</w:t>
      </w:r>
    </w:p>
  </w:footnote>
  <w:footnote w:id="5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em S. G. Payne (1961) 7-8 e H. R. Southworth (1967) 72.</w:t>
      </w:r>
    </w:p>
  </w:footnote>
  <w:footnote w:id="54">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7-8; H. R. Southworth (1967) 25 n.; H. Thomas (1965) 97.</w:t>
      </w:r>
    </w:p>
  </w:footnote>
  <w:footnote w:id="55">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H. Thomas (1965) 101.</w:t>
      </w:r>
    </w:p>
  </w:footnote>
  <w:footnote w:id="56">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P. Broué et al. (1961) 205 n. 20; V. Richards (1972) 210-211.</w:t>
      </w:r>
    </w:p>
  </w:footnote>
  <w:footnote w:id="57">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11-15; H. R. Southworth (1967) 20, 65, 72.</w:t>
      </w:r>
    </w:p>
  </w:footnote>
  <w:footnote w:id="58">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18. Num artigo publicado em Agosto de 1939, mencionado em A. Llorente Hernández (1995) 26 n. 4, Giménez Caballero recordou que a Falange adoptara as cores do anarco-sindicalismo.</w:t>
      </w:r>
    </w:p>
  </w:footnote>
  <w:footnote w:id="59">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H. Thomas (1965) 59-60, 127.</w:t>
      </w:r>
    </w:p>
  </w:footnote>
  <w:footnote w:id="60">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921DFD">
        <w:rPr>
          <w:rFonts w:ascii="Arial Narrow" w:hAnsi="Arial Narrow"/>
          <w:lang w:val="en-GB"/>
        </w:rPr>
        <w:t xml:space="preserve"> P. Broué et al. </w:t>
      </w:r>
      <w:r w:rsidRPr="00B32E73">
        <w:rPr>
          <w:rFonts w:ascii="Arial Narrow" w:hAnsi="Arial Narrow"/>
        </w:rPr>
        <w:t>(1961) 55.</w:t>
      </w:r>
    </w:p>
  </w:footnote>
  <w:footnote w:id="6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Antonio, «La Victoria sin Alas», </w:t>
      </w:r>
      <w:r w:rsidRPr="00B32E73">
        <w:rPr>
          <w:rFonts w:ascii="Arial Narrow" w:hAnsi="Arial Narrow"/>
          <w:i/>
        </w:rPr>
        <w:t>F. E.,</w:t>
      </w:r>
      <w:r w:rsidRPr="00B32E73">
        <w:rPr>
          <w:rFonts w:ascii="Arial Narrow" w:hAnsi="Arial Narrow"/>
        </w:rPr>
        <w:t xml:space="preserve"> 7 de Dezembro de 1933, reproduzido em A. Río Cisneros et al. (orgs. 1945) 535-537. A passagem transcrita encontra-se na pág. 537.</w:t>
      </w:r>
    </w:p>
  </w:footnote>
  <w:footnote w:id="62">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84 e H. Thomas (1965) 139 n. 2 refer</w:t>
      </w:r>
      <w:r>
        <w:rPr>
          <w:rFonts w:ascii="Arial Narrow" w:hAnsi="Arial Narrow"/>
        </w:rPr>
        <w:t>ira</w:t>
      </w:r>
      <w:r w:rsidRPr="00B32E73">
        <w:rPr>
          <w:rFonts w:ascii="Arial Narrow" w:hAnsi="Arial Narrow"/>
        </w:rPr>
        <w:t>m apenas as negociações de José Antonio com o Partido Sindicalista, mas C. M. Lorenzo (1972) 274 n. 3 acrescent</w:t>
      </w:r>
      <w:r>
        <w:rPr>
          <w:rFonts w:ascii="Arial Narrow" w:hAnsi="Arial Narrow"/>
        </w:rPr>
        <w:t>ou</w:t>
      </w:r>
      <w:r w:rsidRPr="00B32E73">
        <w:rPr>
          <w:rFonts w:ascii="Arial Narrow" w:hAnsi="Arial Narrow"/>
        </w:rPr>
        <w:t xml:space="preserve"> o ensaio de entendimento com a FAI. César Lorenzo, apologista de Pestaña, não ia deixar escapar esta oportunidade de comprometer a FAI na mesma rede de manobras. </w:t>
      </w:r>
      <w:r w:rsidRPr="00D44EAC">
        <w:rPr>
          <w:rFonts w:ascii="Arial Narrow" w:hAnsi="Arial Narrow"/>
        </w:rPr>
        <w:t>G. Jackson (1967)</w:t>
      </w:r>
      <w:r>
        <w:rPr>
          <w:rFonts w:ascii="Arial Narrow" w:hAnsi="Arial Narrow"/>
        </w:rPr>
        <w:t xml:space="preserve"> 125 comentou que «a influência de Pestaña sobre a CNT era muito reduzida». </w:t>
      </w:r>
      <w:r w:rsidRPr="00B32E73">
        <w:rPr>
          <w:rFonts w:ascii="Arial Narrow" w:hAnsi="Arial Narrow"/>
        </w:rPr>
        <w:t>Ainda quanto ao interesse de José Antonio pelo sindicalismo ver M. García Venero (1967) 38.</w:t>
      </w:r>
    </w:p>
  </w:footnote>
  <w:footnote w:id="6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M. García Venero (1967) 344.</w:t>
      </w:r>
    </w:p>
  </w:footnote>
  <w:footnote w:id="6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182, 343-344.</w:t>
      </w:r>
    </w:p>
  </w:footnote>
  <w:footnote w:id="65">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97. A propósito da simpatia de que a Falange goz</w:t>
      </w:r>
      <w:r>
        <w:rPr>
          <w:rFonts w:ascii="Arial Narrow" w:hAnsi="Arial Narrow"/>
        </w:rPr>
        <w:t>ou</w:t>
      </w:r>
      <w:r w:rsidRPr="00B32E73">
        <w:rPr>
          <w:rFonts w:ascii="Arial Narrow" w:hAnsi="Arial Narrow"/>
        </w:rPr>
        <w:t xml:space="preserve"> em alguns meios anarco-sindicalistas, id., ibid., 280 n. 42 cit</w:t>
      </w:r>
      <w:r>
        <w:rPr>
          <w:rFonts w:ascii="Arial Narrow" w:hAnsi="Arial Narrow"/>
        </w:rPr>
        <w:t>ou</w:t>
      </w:r>
      <w:r w:rsidRPr="00B32E73">
        <w:rPr>
          <w:rFonts w:ascii="Arial Narrow" w:hAnsi="Arial Narrow"/>
        </w:rPr>
        <w:t xml:space="preserve"> a seguinte apreciação de Frank Jellinek em </w:t>
      </w:r>
      <w:r w:rsidRPr="00B32E73">
        <w:rPr>
          <w:rFonts w:ascii="Arial Narrow" w:hAnsi="Arial Narrow"/>
          <w:i/>
        </w:rPr>
        <w:t>The Civil War in Spain,</w:t>
      </w:r>
      <w:r w:rsidRPr="00B32E73">
        <w:rPr>
          <w:rFonts w:ascii="Arial Narrow" w:hAnsi="Arial Narrow"/>
        </w:rPr>
        <w:t xml:space="preserve"> obra publicada em Londres em 1938: «É indubitável a existência de uma estreita cooperação entre alguns indivíduos irresponsáveis e a Falange Española [...] É igualmente indubitável que estes indivíduos foram completamente desaprovados pelos comités responsáveis». Mas o facto de a CNT, enquanto organização, se ter oposto à colaboração com a Falange só dá mais relevo às iniciativas de militantes ou de pequenos grupos anarco-sindicalistas.</w:t>
      </w:r>
    </w:p>
  </w:footnote>
  <w:footnote w:id="66">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M. García Venero (1967) 111.</w:t>
      </w:r>
    </w:p>
  </w:footnote>
  <w:footnote w:id="67">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Depoimento de Agustín Aznar recolhido por id., ibid., 203.</w:t>
      </w:r>
      <w:r>
        <w:rPr>
          <w:rFonts w:ascii="Arial Narrow" w:hAnsi="Arial Narrow"/>
        </w:rPr>
        <w:t xml:space="preserve"> Comparar com </w:t>
      </w:r>
      <w:r w:rsidRPr="0026124F">
        <w:rPr>
          <w:rFonts w:ascii="Arial Narrow" w:hAnsi="Arial Narrow"/>
        </w:rPr>
        <w:t>G. Jackson (1967)</w:t>
      </w:r>
      <w:r>
        <w:rPr>
          <w:rFonts w:ascii="Arial Narrow" w:hAnsi="Arial Narrow"/>
        </w:rPr>
        <w:t xml:space="preserve"> 339.</w:t>
      </w:r>
    </w:p>
  </w:footnote>
  <w:footnote w:id="68">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203.</w:t>
      </w:r>
    </w:p>
  </w:footnote>
  <w:footnote w:id="69">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346-347.</w:t>
      </w:r>
    </w:p>
  </w:footnote>
  <w:footnote w:id="70">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 Paz (1972) 451 n. 87.</w:t>
      </w:r>
    </w:p>
  </w:footnote>
  <w:footnote w:id="7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M. García Venero (1967) 344.</w:t>
      </w:r>
    </w:p>
  </w:footnote>
  <w:footnote w:id="72">
    <w:p w:rsidR="00E243B3" w:rsidRPr="004D02E6" w:rsidRDefault="00E243B3" w:rsidP="00E5051F">
      <w:pPr>
        <w:pStyle w:val="Textodenotaderodap"/>
        <w:rPr>
          <w:rFonts w:ascii="Arial Narrow" w:hAnsi="Arial Narrow"/>
        </w:rPr>
      </w:pPr>
      <w:r w:rsidRPr="004D02E6">
        <w:rPr>
          <w:rStyle w:val="Refdenotaderodap"/>
          <w:rFonts w:ascii="Arial Narrow" w:hAnsi="Arial Narrow"/>
        </w:rPr>
        <w:footnoteRef/>
      </w:r>
      <w:r w:rsidRPr="004D02E6">
        <w:rPr>
          <w:rFonts w:ascii="Arial Narrow" w:hAnsi="Arial Narrow"/>
        </w:rPr>
        <w:t xml:space="preserve"> </w:t>
      </w:r>
      <w:r w:rsidRPr="00E20C52">
        <w:rPr>
          <w:rFonts w:ascii="Arial Narrow" w:hAnsi="Arial Narrow"/>
        </w:rPr>
        <w:t>V. Alba (2000)</w:t>
      </w:r>
      <w:r>
        <w:rPr>
          <w:rFonts w:ascii="Arial Narrow" w:hAnsi="Arial Narrow"/>
        </w:rPr>
        <w:t xml:space="preserve"> </w:t>
      </w:r>
      <w:r w:rsidRPr="00E5051F">
        <w:rPr>
          <w:rFonts w:ascii="Arial Narrow" w:hAnsi="Arial Narrow"/>
        </w:rPr>
        <w:t>369-371.</w:t>
      </w:r>
    </w:p>
  </w:footnote>
  <w:footnote w:id="7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256.</w:t>
      </w:r>
    </w:p>
  </w:footnote>
  <w:footnote w:id="74">
    <w:p w:rsidR="00E243B3" w:rsidRPr="00E5051F" w:rsidRDefault="00E243B3" w:rsidP="00E5051F">
      <w:pPr>
        <w:pStyle w:val="Textodenotaderodap"/>
        <w:rPr>
          <w:rFonts w:ascii="Arial Narrow" w:hAnsi="Arial Narrow"/>
          <w:lang w:val="en-US"/>
        </w:rPr>
      </w:pPr>
      <w:r w:rsidRPr="004D02E6">
        <w:rPr>
          <w:rStyle w:val="Refdenotaderodap"/>
          <w:rFonts w:ascii="Arial Narrow" w:hAnsi="Arial Narrow"/>
        </w:rPr>
        <w:footnoteRef/>
      </w:r>
      <w:r w:rsidRPr="00E5051F">
        <w:rPr>
          <w:rFonts w:ascii="Arial Narrow" w:hAnsi="Arial Narrow"/>
          <w:lang w:val="en-US"/>
        </w:rPr>
        <w:t xml:space="preserve"> V. Alba (2000) 371-372.</w:t>
      </w:r>
    </w:p>
  </w:footnote>
  <w:footnote w:id="75">
    <w:p w:rsidR="00E243B3" w:rsidRPr="00E5051F"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E5051F">
        <w:rPr>
          <w:rFonts w:ascii="Arial Narrow" w:hAnsi="Arial Narrow"/>
          <w:lang w:val="en-US"/>
        </w:rPr>
        <w:t xml:space="preserve"> H. R. Southworth (1967) 149-150.</w:t>
      </w:r>
    </w:p>
  </w:footnote>
  <w:footnote w:id="76">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Este texto de García Venero encontra-se transcrito em id., ibid., 152-153.</w:t>
      </w:r>
    </w:p>
  </w:footnote>
  <w:footnote w:id="77">
    <w:p w:rsidR="00E243B3" w:rsidRPr="00E5051F"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E5051F">
        <w:rPr>
          <w:rFonts w:ascii="Arial Narrow" w:hAnsi="Arial Narrow"/>
          <w:lang w:val="en-US"/>
        </w:rPr>
        <w:t xml:space="preserve"> H. Thomas (1965) 97.</w:t>
      </w:r>
    </w:p>
  </w:footnote>
  <w:footnote w:id="78">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E5051F">
        <w:rPr>
          <w:rFonts w:ascii="Arial Narrow" w:hAnsi="Arial Narrow"/>
          <w:lang w:val="en-US"/>
        </w:rPr>
        <w:t xml:space="preserve"> S. G. Payne (1961) 15-16</w:t>
      </w:r>
      <w:r w:rsidRPr="00921DFD">
        <w:rPr>
          <w:rFonts w:ascii="Arial Narrow" w:hAnsi="Arial Narrow"/>
          <w:lang w:val="en-GB"/>
        </w:rPr>
        <w:t>.</w:t>
      </w:r>
    </w:p>
  </w:footnote>
  <w:footnote w:id="79">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H. Thomas (1965) 98.</w:t>
      </w:r>
    </w:p>
  </w:footnote>
  <w:footnote w:id="80">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19; H. Thomas (1965) 98.</w:t>
      </w:r>
    </w:p>
  </w:footnote>
  <w:footnote w:id="8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101.</w:t>
      </w:r>
    </w:p>
  </w:footnote>
  <w:footnote w:id="82">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Ver o Artigo 25 do programa da Falange em A. Río Cisneros et al. (orgs. 1945) 526. Um comunicado público de José Antonio a respeito das cisões causadas por este motivo no seio da Falange encontra-se em id., ibid., 927. Acerca desta questão consultar igualmente S. G. Payne (1961) 68-69.</w:t>
      </w:r>
    </w:p>
  </w:footnote>
  <w:footnote w:id="8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89-94; H. Thomas (1965) 130.</w:t>
      </w:r>
    </w:p>
  </w:footnote>
  <w:footnote w:id="8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 Río Cisneros et al. (orgs. 1945) 965. Ver também H. Thomas (1965) 138.</w:t>
      </w:r>
    </w:p>
  </w:footnote>
  <w:footnote w:id="85">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96.</w:t>
      </w:r>
    </w:p>
  </w:footnote>
  <w:footnote w:id="86">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103.</w:t>
      </w:r>
    </w:p>
  </w:footnote>
  <w:footnote w:id="87">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H. Thomas (1965) 148.</w:t>
      </w:r>
    </w:p>
  </w:footnote>
  <w:footnote w:id="88">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102-103, 110; H. Thomas (1965) 149, 153.</w:t>
      </w:r>
    </w:p>
  </w:footnote>
  <w:footnote w:id="89">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em H. Thomas (1965) 154. Ver também S. G. Payne (1961) 111-112.</w:t>
      </w:r>
    </w:p>
  </w:footnote>
  <w:footnote w:id="90">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 Río Cisneros et al. (orgs. 1945) 973-974. Consultar igualmente H. Thomas (1965) 165.</w:t>
      </w:r>
    </w:p>
  </w:footnote>
  <w:footnote w:id="9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113.</w:t>
      </w:r>
    </w:p>
  </w:footnote>
  <w:footnote w:id="92">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Esta circular encontra-se em A. Río Cisneros et al. (orgs. 1945) 969-972. A frase citada vem na pág. 970 (sub. orig.).</w:t>
      </w:r>
    </w:p>
  </w:footnote>
  <w:footnote w:id="9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81 e 98 afirm</w:t>
      </w:r>
      <w:r>
        <w:rPr>
          <w:rFonts w:ascii="Arial Narrow" w:hAnsi="Arial Narrow"/>
        </w:rPr>
        <w:t>ou</w:t>
      </w:r>
      <w:r w:rsidRPr="00B32E73">
        <w:rPr>
          <w:rFonts w:ascii="Arial Narrow" w:hAnsi="Arial Narrow"/>
        </w:rPr>
        <w:t xml:space="preserve"> que de modo </w:t>
      </w:r>
      <w:r>
        <w:rPr>
          <w:rFonts w:ascii="Arial Narrow" w:hAnsi="Arial Narrow"/>
        </w:rPr>
        <w:t>nenhum</w:t>
      </w:r>
      <w:r w:rsidRPr="00B32E73">
        <w:rPr>
          <w:rFonts w:ascii="Arial Narrow" w:hAnsi="Arial Narrow"/>
        </w:rPr>
        <w:t xml:space="preserve"> a Falange atingiria em 1935 mais de 25.000 filiados, mas que poucos meses depois da vitória da Frente Popular nas eleições de Fevereiro de 1936 teria duplicado o número de membros. Segundo H. Thomas (1965) 139, 148 n. 2 e 445, os elementos da Falange não chegariam provavelmente a 25.000 quando a Frente Popular triunfou nas eleições, mas ampliaram-se para 75.000 até Julho, na altura do começo da guerra civil, e alcançaram quase o milhão no final do ano. M. García Venero (1967) 283-284 indic</w:t>
      </w:r>
      <w:r>
        <w:rPr>
          <w:rFonts w:ascii="Arial Narrow" w:hAnsi="Arial Narrow"/>
        </w:rPr>
        <w:t>ou</w:t>
      </w:r>
      <w:r w:rsidRPr="00B32E73">
        <w:rPr>
          <w:rFonts w:ascii="Arial Narrow" w:hAnsi="Arial Narrow"/>
        </w:rPr>
        <w:t xml:space="preserve"> que Pilar Primo de Rivera, chefe da secção feminina da Falange, ao chegar à zona nacionalista encontrou mais de 50.000 filiadas, quando antes do levantamento militar não passavam de 3.000.</w:t>
      </w:r>
    </w:p>
  </w:footnote>
  <w:footnote w:id="9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285 n. 40. Sem dar razões, H. Thomas (1965) 352 consider</w:t>
      </w:r>
      <w:r>
        <w:rPr>
          <w:rFonts w:ascii="Arial Narrow" w:hAnsi="Arial Narrow"/>
        </w:rPr>
        <w:t>ou esta cifra exagerada.</w:t>
      </w:r>
    </w:p>
  </w:footnote>
  <w:footnote w:id="95">
    <w:p w:rsidR="00E243B3" w:rsidRPr="00D26B43" w:rsidRDefault="00E243B3">
      <w:pPr>
        <w:pStyle w:val="Textodenotaderodap"/>
        <w:rPr>
          <w:rFonts w:ascii="Arial Narrow" w:hAnsi="Arial Narrow"/>
        </w:rPr>
      </w:pPr>
      <w:r w:rsidRPr="00D26B43">
        <w:rPr>
          <w:rStyle w:val="Refdenotaderodap"/>
          <w:rFonts w:ascii="Arial Narrow" w:hAnsi="Arial Narrow"/>
        </w:rPr>
        <w:footnoteRef/>
      </w:r>
      <w:r w:rsidRPr="00F44443">
        <w:rPr>
          <w:rFonts w:ascii="Arial Narrow" w:hAnsi="Arial Narrow"/>
        </w:rPr>
        <w:t xml:space="preserve"> P. Marion (1939) 166. </w:t>
      </w:r>
      <w:r w:rsidRPr="00B32E73">
        <w:rPr>
          <w:rFonts w:ascii="Arial Narrow" w:hAnsi="Arial Narrow"/>
        </w:rPr>
        <w:t>Por seu lado, P. Broué et al. (1961) 393 admit</w:t>
      </w:r>
      <w:r>
        <w:rPr>
          <w:rFonts w:ascii="Arial Narrow" w:hAnsi="Arial Narrow"/>
        </w:rPr>
        <w:t>ira</w:t>
      </w:r>
      <w:r w:rsidRPr="00B32E73">
        <w:rPr>
          <w:rFonts w:ascii="Arial Narrow" w:hAnsi="Arial Narrow"/>
        </w:rPr>
        <w:t xml:space="preserve">m, sem adiantar precisões, que os falangistas eram «frequentemente de origem republicana ou sindicalista». Ainda quanto ao facto de sindicalistas e pessoas de esquerda terem aderido à Falange durante a guerra civil ver </w:t>
      </w:r>
      <w:r w:rsidRPr="004269E3">
        <w:rPr>
          <w:rFonts w:ascii="Arial Narrow" w:hAnsi="Arial Narrow"/>
        </w:rPr>
        <w:t xml:space="preserve">G. Jackson (1967) </w:t>
      </w:r>
      <w:r>
        <w:rPr>
          <w:rFonts w:ascii="Arial Narrow" w:hAnsi="Arial Narrow"/>
        </w:rPr>
        <w:t xml:space="preserve">308 e </w:t>
      </w:r>
      <w:r w:rsidRPr="00B32E73">
        <w:rPr>
          <w:rFonts w:ascii="Arial Narrow" w:hAnsi="Arial Narrow"/>
        </w:rPr>
        <w:t>E. Weber (1964) 120.</w:t>
      </w:r>
      <w:r>
        <w:rPr>
          <w:rFonts w:ascii="Arial Narrow" w:hAnsi="Arial Narrow"/>
        </w:rPr>
        <w:t xml:space="preserve"> Todavia,</w:t>
      </w:r>
      <w:r w:rsidRPr="00B32E73">
        <w:rPr>
          <w:rFonts w:ascii="Arial Narrow" w:hAnsi="Arial Narrow"/>
        </w:rPr>
        <w:t xml:space="preserve"> M. García Venero (1967) 173 minimiz</w:t>
      </w:r>
      <w:r>
        <w:rPr>
          <w:rFonts w:ascii="Arial Narrow" w:hAnsi="Arial Narrow"/>
        </w:rPr>
        <w:t>ou</w:t>
      </w:r>
      <w:r w:rsidRPr="00B32E73">
        <w:rPr>
          <w:rFonts w:ascii="Arial Narrow" w:hAnsi="Arial Narrow"/>
        </w:rPr>
        <w:t xml:space="preserve"> a contribuição dos meios de esquerda para o crescimento das milícias falangistas, e é curioso que o </w:t>
      </w:r>
      <w:r>
        <w:rPr>
          <w:rFonts w:ascii="Arial Narrow" w:hAnsi="Arial Narrow"/>
        </w:rPr>
        <w:t>fizesse</w:t>
      </w:r>
      <w:r w:rsidRPr="00B32E73">
        <w:rPr>
          <w:rFonts w:ascii="Arial Narrow" w:hAnsi="Arial Narrow"/>
        </w:rPr>
        <w:t>, precisamente ele quem, antes da eclosão da guerra civil, tivera como tarefa promover a penetração da Falange entre os membros da CNT catalã (pág. 111) e que fornece</w:t>
      </w:r>
      <w:r>
        <w:rPr>
          <w:rFonts w:ascii="Arial Narrow" w:hAnsi="Arial Narrow"/>
        </w:rPr>
        <w:t>u</w:t>
      </w:r>
      <w:r w:rsidRPr="00B32E73">
        <w:rPr>
          <w:rFonts w:ascii="Arial Narrow" w:hAnsi="Arial Narrow"/>
        </w:rPr>
        <w:t xml:space="preserve"> tantos elementos que provam a importância daquela estratégia de recrutamento.</w:t>
      </w:r>
    </w:p>
  </w:footnote>
  <w:footnote w:id="96">
    <w:p w:rsidR="00E243B3" w:rsidRPr="00F44443" w:rsidRDefault="00E243B3" w:rsidP="00E5051F">
      <w:pPr>
        <w:pStyle w:val="Textodenotaderodap"/>
        <w:rPr>
          <w:rFonts w:ascii="Arial Narrow" w:hAnsi="Arial Narrow"/>
        </w:rPr>
      </w:pPr>
      <w:r w:rsidRPr="00B32E73">
        <w:rPr>
          <w:rStyle w:val="Refdenotaderodap"/>
          <w:rFonts w:ascii="Arial Narrow" w:hAnsi="Arial Narrow"/>
        </w:rPr>
        <w:footnoteRef/>
      </w:r>
      <w:r w:rsidRPr="00F44443">
        <w:rPr>
          <w:rFonts w:ascii="Arial Narrow" w:hAnsi="Arial Narrow"/>
        </w:rPr>
        <w:t xml:space="preserve"> S. G. Payne (1961) 128-129.</w:t>
      </w:r>
    </w:p>
  </w:footnote>
  <w:footnote w:id="97">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Franz Borkenau, referido por P. Broué et al. (1961) 212 n. 27 e N. Chomsky (1969) 140 n. 65 cont., afirm</w:t>
      </w:r>
      <w:r>
        <w:rPr>
          <w:rFonts w:ascii="Arial Narrow" w:hAnsi="Arial Narrow"/>
        </w:rPr>
        <w:t>ou</w:t>
      </w:r>
      <w:r w:rsidRPr="00B32E73">
        <w:rPr>
          <w:rFonts w:ascii="Arial Narrow" w:hAnsi="Arial Narrow"/>
        </w:rPr>
        <w:t xml:space="preserve"> que no início de 1937 os militares de carreira e os funcionários administrativos constituíam o principal grupo social entre os membros do PCE, seguidos pela pequena burguesia e pelos camponeses abastados; em terceiro lugar contava-se o pessoal administrativo das empresas, assalariados não-proletários, e por último os operários industriais. Segundo José Díaz, secretário-geral do Partido Comunista, citado por H. Thomas (1965) 452 e 479, em Março de 1937 os proprietários camponeses formavam quase 31% dos membros do partido, enquanto os trabalhadores rurais se limitavam a 25%. </w:t>
      </w:r>
      <w:r>
        <w:rPr>
          <w:rFonts w:ascii="Arial Narrow" w:hAnsi="Arial Narrow"/>
        </w:rPr>
        <w:t xml:space="preserve">Ver também </w:t>
      </w:r>
      <w:r w:rsidRPr="00E14362">
        <w:rPr>
          <w:rFonts w:ascii="Arial Narrow" w:hAnsi="Arial Narrow"/>
        </w:rPr>
        <w:t>V. Alba (2000) 317</w:t>
      </w:r>
      <w:r>
        <w:rPr>
          <w:rFonts w:ascii="Arial Narrow" w:hAnsi="Arial Narrow"/>
        </w:rPr>
        <w:t xml:space="preserve">. </w:t>
      </w:r>
      <w:r w:rsidRPr="00B32E73">
        <w:rPr>
          <w:rFonts w:ascii="Arial Narrow" w:hAnsi="Arial Narrow"/>
        </w:rPr>
        <w:t>E Pierre Broué et al.</w:t>
      </w:r>
      <w:r>
        <w:rPr>
          <w:rFonts w:ascii="Arial Narrow" w:hAnsi="Arial Narrow"/>
        </w:rPr>
        <w:t>,</w:t>
      </w:r>
      <w:r w:rsidRPr="00B32E73">
        <w:rPr>
          <w:rFonts w:ascii="Arial Narrow" w:hAnsi="Arial Narrow"/>
        </w:rPr>
        <w:t xml:space="preserve"> </w:t>
      </w:r>
      <w:r w:rsidRPr="00D45A0C">
        <w:rPr>
          <w:rFonts w:ascii="Arial Narrow" w:hAnsi="Arial Narrow"/>
        </w:rPr>
        <w:t>op. cit.,</w:t>
      </w:r>
      <w:r w:rsidRPr="00B32E73">
        <w:rPr>
          <w:rFonts w:ascii="Arial Narrow" w:hAnsi="Arial Narrow"/>
        </w:rPr>
        <w:t xml:space="preserve"> 211 indica</w:t>
      </w:r>
      <w:r>
        <w:rPr>
          <w:rFonts w:ascii="Arial Narrow" w:hAnsi="Arial Narrow"/>
        </w:rPr>
        <w:t>ra</w:t>
      </w:r>
      <w:r w:rsidRPr="00B32E73">
        <w:rPr>
          <w:rFonts w:ascii="Arial Narrow" w:hAnsi="Arial Narrow"/>
        </w:rPr>
        <w:t>m que, consoante os próprios dados oficiais do PCE, do total dos militantes deste partido em Madrid, em 1938, só 16% eram membros de sindicatos.</w:t>
      </w:r>
      <w:r>
        <w:rPr>
          <w:rFonts w:ascii="Arial Narrow" w:hAnsi="Arial Narrow"/>
        </w:rPr>
        <w:t xml:space="preserve"> Ver ainda </w:t>
      </w:r>
      <w:r w:rsidRPr="00FA5A37">
        <w:rPr>
          <w:rFonts w:ascii="Arial Narrow" w:hAnsi="Arial Narrow"/>
        </w:rPr>
        <w:t>G. Jackson (1967)</w:t>
      </w:r>
      <w:r>
        <w:rPr>
          <w:rFonts w:ascii="Arial Narrow" w:hAnsi="Arial Narrow"/>
        </w:rPr>
        <w:t xml:space="preserve"> 361.</w:t>
      </w:r>
    </w:p>
  </w:footnote>
  <w:footnote w:id="98">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P. Broué et al. (1961) 176.</w:t>
      </w:r>
    </w:p>
  </w:footnote>
  <w:footnote w:id="99">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Este extracto do jornal </w:t>
      </w:r>
      <w:r w:rsidRPr="00B32E73">
        <w:rPr>
          <w:rFonts w:ascii="Arial Narrow" w:hAnsi="Arial Narrow"/>
          <w:i/>
        </w:rPr>
        <w:t>Adelante,</w:t>
      </w:r>
      <w:r w:rsidRPr="00B32E73">
        <w:rPr>
          <w:rFonts w:ascii="Arial Narrow" w:hAnsi="Arial Narrow"/>
        </w:rPr>
        <w:t xml:space="preserve"> um dos órgãos da ala encabeçada por Largo Caballero, encontra-se citado em N. Chomsky (1969) 114. No mês seguinte os socialistas de direita seguidores de Indalecio Prieto apoderaram-se militarmente do </w:t>
      </w:r>
      <w:r w:rsidRPr="00B32E73">
        <w:rPr>
          <w:rFonts w:ascii="Arial Narrow" w:hAnsi="Arial Narrow"/>
          <w:i/>
        </w:rPr>
        <w:t>Adelante,</w:t>
      </w:r>
      <w:r w:rsidRPr="00B32E73">
        <w:rPr>
          <w:rFonts w:ascii="Arial Narrow" w:hAnsi="Arial Narrow"/>
        </w:rPr>
        <w:t xml:space="preserve"> contando para is</w:t>
      </w:r>
      <w:r>
        <w:rPr>
          <w:rFonts w:ascii="Arial Narrow" w:hAnsi="Arial Narrow"/>
        </w:rPr>
        <w:t>t</w:t>
      </w:r>
      <w:r w:rsidRPr="00B32E73">
        <w:rPr>
          <w:rFonts w:ascii="Arial Narrow" w:hAnsi="Arial Narrow"/>
        </w:rPr>
        <w:t>o com o apoio dos comunistas, como relata</w:t>
      </w:r>
      <w:r>
        <w:rPr>
          <w:rFonts w:ascii="Arial Narrow" w:hAnsi="Arial Narrow"/>
        </w:rPr>
        <w:t>ra</w:t>
      </w:r>
      <w:r w:rsidRPr="00B32E73">
        <w:rPr>
          <w:rFonts w:ascii="Arial Narrow" w:hAnsi="Arial Narrow"/>
        </w:rPr>
        <w:t>m P. Broué et al. (1961) 281-282.</w:t>
      </w:r>
    </w:p>
  </w:footnote>
  <w:footnote w:id="100">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E5051F">
        <w:rPr>
          <w:rFonts w:ascii="Arial Narrow" w:hAnsi="Arial Narrow"/>
        </w:rPr>
        <w:t xml:space="preserve"> V. Alba (2000) 203; P. Broué et al. </w:t>
      </w:r>
      <w:r w:rsidRPr="00B32E73">
        <w:rPr>
          <w:rFonts w:ascii="Arial Narrow" w:hAnsi="Arial Narrow"/>
        </w:rPr>
        <w:t>(1961) 211, 257.</w:t>
      </w:r>
      <w:r>
        <w:rPr>
          <w:rFonts w:ascii="Arial Narrow" w:hAnsi="Arial Narrow"/>
        </w:rPr>
        <w:t xml:space="preserve"> </w:t>
      </w:r>
      <w:r w:rsidRPr="00CF636E">
        <w:rPr>
          <w:rFonts w:ascii="Arial Narrow" w:hAnsi="Arial Narrow"/>
        </w:rPr>
        <w:t>V</w:t>
      </w:r>
      <w:r>
        <w:rPr>
          <w:rFonts w:ascii="Arial Narrow" w:hAnsi="Arial Narrow"/>
        </w:rPr>
        <w:t xml:space="preserve">ictor </w:t>
      </w:r>
      <w:r w:rsidRPr="00CF636E">
        <w:rPr>
          <w:rFonts w:ascii="Arial Narrow" w:hAnsi="Arial Narrow"/>
        </w:rPr>
        <w:t>Alba</w:t>
      </w:r>
      <w:r>
        <w:rPr>
          <w:rFonts w:ascii="Arial Narrow" w:hAnsi="Arial Narrow"/>
        </w:rPr>
        <w:t>,</w:t>
      </w:r>
      <w:r w:rsidRPr="00CF636E">
        <w:rPr>
          <w:rFonts w:ascii="Arial Narrow" w:hAnsi="Arial Narrow"/>
        </w:rPr>
        <w:t xml:space="preserve"> </w:t>
      </w:r>
      <w:r w:rsidRPr="005B4100">
        <w:rPr>
          <w:rFonts w:ascii="Arial Narrow" w:hAnsi="Arial Narrow"/>
        </w:rPr>
        <w:t>op. cit.,</w:t>
      </w:r>
      <w:r>
        <w:rPr>
          <w:rFonts w:ascii="Arial Narrow" w:hAnsi="Arial Narrow"/>
        </w:rPr>
        <w:t xml:space="preserve"> </w:t>
      </w:r>
      <w:r w:rsidRPr="00CF636E">
        <w:rPr>
          <w:rFonts w:ascii="Arial Narrow" w:hAnsi="Arial Narrow"/>
        </w:rPr>
        <w:t>318</w:t>
      </w:r>
      <w:r>
        <w:rPr>
          <w:rFonts w:ascii="Arial Narrow" w:hAnsi="Arial Narrow"/>
        </w:rPr>
        <w:t xml:space="preserve"> afirmou que o PSUC nunca forneceu dados acerca da composição social dos militantes para ocultar o seu carácter predominantemente burguês.</w:t>
      </w:r>
    </w:p>
  </w:footnote>
  <w:footnote w:id="101">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Esta é uma das «Notas Breves» publicadas em </w:t>
      </w:r>
      <w:r w:rsidRPr="00B32E73">
        <w:rPr>
          <w:rFonts w:ascii="Arial Narrow" w:hAnsi="Arial Narrow"/>
          <w:i/>
        </w:rPr>
        <w:t>El Amigo del Pueblo,</w:t>
      </w:r>
      <w:r w:rsidRPr="00B32E73">
        <w:rPr>
          <w:rFonts w:ascii="Arial Narrow" w:hAnsi="Arial Narrow"/>
        </w:rPr>
        <w:t xml:space="preserve"> nº 7, 31 de Setembro de 1937, pág. 2. A data deste jornal está evidentemente errada, e o nº 8 é datado de 21 de Setembro.</w:t>
      </w:r>
    </w:p>
  </w:footnote>
  <w:footnote w:id="102">
    <w:p w:rsidR="0044798D" w:rsidRPr="00B32E73" w:rsidRDefault="0044798D" w:rsidP="0044798D">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125-126.</w:t>
      </w:r>
    </w:p>
  </w:footnote>
  <w:footnote w:id="10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por M. García Venero (1967) 238-239.</w:t>
      </w:r>
    </w:p>
  </w:footnote>
  <w:footnote w:id="10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por </w:t>
      </w:r>
      <w:r>
        <w:rPr>
          <w:rFonts w:ascii="Arial Narrow" w:hAnsi="Arial Narrow"/>
        </w:rPr>
        <w:t xml:space="preserve">id., ibid., </w:t>
      </w:r>
      <w:r w:rsidRPr="00B32E73">
        <w:rPr>
          <w:rFonts w:ascii="Arial Narrow" w:hAnsi="Arial Narrow"/>
        </w:rPr>
        <w:t>308.</w:t>
      </w:r>
    </w:p>
  </w:footnote>
  <w:footnote w:id="105">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por id., ibid., 240. Segundo E. Santarelli (1981) II 264, Farinacci teria seguido para Espanha a mando do Grande Conselho, mas P. Milza (1999) 540 atribui</w:t>
      </w:r>
      <w:r>
        <w:rPr>
          <w:rFonts w:ascii="Arial Narrow" w:hAnsi="Arial Narrow"/>
        </w:rPr>
        <w:t>u</w:t>
      </w:r>
      <w:r w:rsidRPr="00B32E73">
        <w:rPr>
          <w:rFonts w:ascii="Arial Narrow" w:hAnsi="Arial Narrow"/>
        </w:rPr>
        <w:t xml:space="preserve"> a iniciativa a Mussolini.</w:t>
      </w:r>
    </w:p>
  </w:footnote>
  <w:footnote w:id="106">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por M. García Venero (1967) 340.</w:t>
      </w:r>
    </w:p>
  </w:footnote>
  <w:footnote w:id="107">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128.</w:t>
      </w:r>
      <w:r>
        <w:rPr>
          <w:rFonts w:ascii="Arial Narrow" w:hAnsi="Arial Narrow"/>
        </w:rPr>
        <w:t xml:space="preserve"> Ver também </w:t>
      </w:r>
      <w:r w:rsidRPr="00494798">
        <w:rPr>
          <w:rFonts w:ascii="Arial Narrow" w:hAnsi="Arial Narrow"/>
        </w:rPr>
        <w:t>G. Jackson (1967)</w:t>
      </w:r>
      <w:r>
        <w:rPr>
          <w:rFonts w:ascii="Arial Narrow" w:hAnsi="Arial Narrow"/>
        </w:rPr>
        <w:t xml:space="preserve"> 308 e 418.</w:t>
      </w:r>
    </w:p>
  </w:footnote>
  <w:footnote w:id="108">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M. García Venero (1967) 304.</w:t>
      </w:r>
    </w:p>
  </w:footnote>
  <w:footnote w:id="109">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 G. Payne (1961) 146-147.</w:t>
      </w:r>
    </w:p>
  </w:footnote>
  <w:footnote w:id="110">
    <w:p w:rsidR="00E243B3" w:rsidRPr="00695281"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695281">
        <w:rPr>
          <w:rFonts w:ascii="Arial Narrow" w:hAnsi="Arial Narrow"/>
          <w:lang w:val="en-US"/>
        </w:rPr>
        <w:t xml:space="preserve"> Id., ibid., 142 e segs.</w:t>
      </w:r>
    </w:p>
  </w:footnote>
  <w:footnote w:id="111">
    <w:p w:rsidR="00E243B3" w:rsidRPr="008E4E32" w:rsidRDefault="00E243B3">
      <w:pPr>
        <w:pStyle w:val="Textodenotaderodap"/>
        <w:rPr>
          <w:rFonts w:ascii="Arial Narrow" w:hAnsi="Arial Narrow"/>
          <w:lang w:val="en-US"/>
        </w:rPr>
      </w:pPr>
      <w:r w:rsidRPr="003A2A58">
        <w:rPr>
          <w:rStyle w:val="Refdenotaderodap"/>
          <w:rFonts w:ascii="Arial Narrow" w:hAnsi="Arial Narrow"/>
        </w:rPr>
        <w:footnoteRef/>
      </w:r>
      <w:r w:rsidRPr="003A2A58">
        <w:rPr>
          <w:rFonts w:ascii="Arial Narrow" w:hAnsi="Arial Narrow"/>
          <w:lang w:val="en-US"/>
        </w:rPr>
        <w:t xml:space="preserve"> </w:t>
      </w:r>
      <w:r w:rsidRPr="009A6B22">
        <w:rPr>
          <w:rFonts w:ascii="Arial Narrow" w:hAnsi="Arial Narrow"/>
          <w:lang w:val="en-US"/>
        </w:rPr>
        <w:t>G. Jackson (1967) 451-452</w:t>
      </w:r>
      <w:r w:rsidR="008E4E32">
        <w:rPr>
          <w:rFonts w:ascii="Arial Narrow" w:hAnsi="Arial Narrow"/>
          <w:lang w:val="en-US"/>
        </w:rPr>
        <w:t xml:space="preserve">; </w:t>
      </w:r>
      <w:r w:rsidR="008E4E32" w:rsidRPr="008E4E32">
        <w:rPr>
          <w:rFonts w:ascii="Arial Narrow" w:hAnsi="Arial Narrow"/>
          <w:lang w:val="en-US"/>
        </w:rPr>
        <w:t>H. Thomas (1965) 673.</w:t>
      </w:r>
    </w:p>
  </w:footnote>
  <w:footnote w:id="112">
    <w:p w:rsidR="00E243B3" w:rsidRPr="009A6B22" w:rsidRDefault="00E243B3">
      <w:pPr>
        <w:pStyle w:val="Textodenotaderodap"/>
        <w:rPr>
          <w:rFonts w:ascii="Arial Narrow" w:hAnsi="Arial Narrow"/>
        </w:rPr>
      </w:pPr>
      <w:r w:rsidRPr="009A6B22">
        <w:rPr>
          <w:rStyle w:val="Refdenotaderodap"/>
          <w:rFonts w:ascii="Arial Narrow" w:hAnsi="Arial Narrow"/>
        </w:rPr>
        <w:footnoteRef/>
      </w:r>
      <w:r w:rsidRPr="009A6B22">
        <w:rPr>
          <w:rFonts w:ascii="Arial Narrow" w:hAnsi="Arial Narrow"/>
        </w:rPr>
        <w:t xml:space="preserve"> </w:t>
      </w:r>
      <w:r w:rsidRPr="00B32E73">
        <w:rPr>
          <w:rFonts w:ascii="Arial Narrow" w:hAnsi="Arial Narrow"/>
        </w:rPr>
        <w:t>H. Thomas (1965) 673</w:t>
      </w:r>
      <w:r>
        <w:rPr>
          <w:rFonts w:ascii="Arial Narrow" w:hAnsi="Arial Narrow"/>
        </w:rPr>
        <w:t>.</w:t>
      </w:r>
    </w:p>
  </w:footnote>
  <w:footnote w:id="113">
    <w:p w:rsidR="00E243B3" w:rsidRPr="0061264F" w:rsidRDefault="00E243B3" w:rsidP="009A6B22">
      <w:pPr>
        <w:pStyle w:val="Textodenotaderodap"/>
        <w:rPr>
          <w:rFonts w:ascii="Arial Narrow" w:hAnsi="Arial Narrow"/>
        </w:rPr>
      </w:pPr>
      <w:r w:rsidRPr="0061264F">
        <w:rPr>
          <w:rStyle w:val="Refdenotaderodap"/>
          <w:rFonts w:ascii="Arial Narrow" w:hAnsi="Arial Narrow"/>
        </w:rPr>
        <w:footnoteRef/>
      </w:r>
      <w:r w:rsidRPr="0061264F">
        <w:rPr>
          <w:rFonts w:ascii="Arial Narrow" w:hAnsi="Arial Narrow"/>
        </w:rPr>
        <w:t xml:space="preserve"> </w:t>
      </w:r>
      <w:r w:rsidRPr="00B32E73">
        <w:rPr>
          <w:rFonts w:ascii="Arial Narrow" w:hAnsi="Arial Narrow"/>
        </w:rPr>
        <w:t>Presidência do Conselho de Ministros, Comissão do Livro Negro sobre o Regime Fascista (org. 1987-1991) II 202.</w:t>
      </w:r>
    </w:p>
  </w:footnote>
  <w:footnote w:id="114">
    <w:p w:rsidR="00E243B3" w:rsidRPr="00695281" w:rsidRDefault="00E243B3" w:rsidP="00E5051F">
      <w:pPr>
        <w:pStyle w:val="Textodenotaderodap"/>
        <w:rPr>
          <w:rFonts w:ascii="Arial Narrow" w:hAnsi="Arial Narrow"/>
        </w:rPr>
      </w:pPr>
      <w:r w:rsidRPr="00B32E73">
        <w:rPr>
          <w:rStyle w:val="Refdenotaderodap"/>
          <w:rFonts w:ascii="Arial Narrow" w:hAnsi="Arial Narrow"/>
        </w:rPr>
        <w:footnoteRef/>
      </w:r>
      <w:r w:rsidRPr="00695281">
        <w:rPr>
          <w:rFonts w:ascii="Arial Narrow" w:hAnsi="Arial Narrow"/>
        </w:rPr>
        <w:t xml:space="preserve"> S. G. Payne (1961) 291 n. 29.</w:t>
      </w:r>
    </w:p>
  </w:footnote>
  <w:footnote w:id="115">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J. García Oliver (1978) 555.</w:t>
      </w:r>
    </w:p>
  </w:footnote>
  <w:footnote w:id="116">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C. M. Lorenzo (1972) 59 n. 41; H. Thomas (1965) 47.</w:t>
      </w:r>
    </w:p>
  </w:footnote>
  <w:footnote w:id="117">
    <w:p w:rsidR="00E243B3" w:rsidRPr="00E5051F"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921DFD">
        <w:rPr>
          <w:rFonts w:ascii="Arial Narrow" w:hAnsi="Arial Narrow"/>
          <w:lang w:val="en-GB"/>
        </w:rPr>
        <w:t xml:space="preserve"> </w:t>
      </w:r>
      <w:r w:rsidRPr="00353897">
        <w:rPr>
          <w:rFonts w:ascii="Arial Narrow" w:hAnsi="Arial Narrow"/>
          <w:lang w:val="en-GB"/>
        </w:rPr>
        <w:t xml:space="preserve">V. Alba (2000) 42; </w:t>
      </w:r>
      <w:r w:rsidRPr="00921DFD">
        <w:rPr>
          <w:rFonts w:ascii="Arial Narrow" w:hAnsi="Arial Narrow"/>
          <w:lang w:val="en-GB"/>
        </w:rPr>
        <w:t xml:space="preserve">P. Broué et al. </w:t>
      </w:r>
      <w:r w:rsidRPr="00E5051F">
        <w:rPr>
          <w:rFonts w:ascii="Arial Narrow" w:hAnsi="Arial Narrow"/>
        </w:rPr>
        <w:t>(1961) 48.</w:t>
      </w:r>
    </w:p>
  </w:footnote>
  <w:footnote w:id="118">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E5051F">
        <w:rPr>
          <w:rFonts w:ascii="Arial Narrow" w:hAnsi="Arial Narrow"/>
        </w:rPr>
        <w:t xml:space="preserve"> S. G. Payne (1961) 32-33. </w:t>
      </w:r>
      <w:r w:rsidRPr="00B32E73">
        <w:rPr>
          <w:rFonts w:ascii="Arial Narrow" w:hAnsi="Arial Narrow"/>
        </w:rPr>
        <w:t>Ver igualmente H. Thomas (1965) 98 n. 3.</w:t>
      </w:r>
    </w:p>
  </w:footnote>
  <w:footnote w:id="119">
    <w:p w:rsidR="00E243B3" w:rsidRPr="00F70016"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Ver a este respeito o discurso pronunciado por José Antonio no parlamento a 3 de Julho de 1934, reproduzido em A. Río Cisneros et al. </w:t>
      </w:r>
      <w:r w:rsidRPr="00F70016">
        <w:rPr>
          <w:rFonts w:ascii="Arial Narrow" w:hAnsi="Arial Narrow"/>
        </w:rPr>
        <w:t xml:space="preserve">(orgs. 1945) 293-299. Ver também </w:t>
      </w:r>
      <w:r w:rsidRPr="00A45829">
        <w:rPr>
          <w:rFonts w:ascii="Arial Narrow" w:hAnsi="Arial Narrow"/>
        </w:rPr>
        <w:t xml:space="preserve">G. Jackson (1967) </w:t>
      </w:r>
      <w:r>
        <w:rPr>
          <w:rFonts w:ascii="Arial Narrow" w:hAnsi="Arial Narrow"/>
        </w:rPr>
        <w:t>138-140.</w:t>
      </w:r>
    </w:p>
  </w:footnote>
  <w:footnote w:id="120">
    <w:p w:rsidR="00E243B3" w:rsidRPr="00F70016" w:rsidRDefault="00E243B3" w:rsidP="00E5051F">
      <w:pPr>
        <w:pStyle w:val="Textodenotaderodap"/>
        <w:rPr>
          <w:rFonts w:ascii="Arial Narrow" w:hAnsi="Arial Narrow"/>
        </w:rPr>
      </w:pPr>
      <w:r w:rsidRPr="00B32E73">
        <w:rPr>
          <w:rStyle w:val="Refdenotaderodap"/>
          <w:rFonts w:ascii="Arial Narrow" w:hAnsi="Arial Narrow"/>
        </w:rPr>
        <w:footnoteRef/>
      </w:r>
      <w:r w:rsidRPr="00F70016">
        <w:rPr>
          <w:rFonts w:ascii="Arial Narrow" w:hAnsi="Arial Narrow"/>
        </w:rPr>
        <w:t xml:space="preserve"> </w:t>
      </w:r>
      <w:r w:rsidRPr="00B32E73">
        <w:rPr>
          <w:rFonts w:ascii="Arial Narrow" w:hAnsi="Arial Narrow"/>
        </w:rPr>
        <w:t xml:space="preserve">A. Río Cisneros et al. </w:t>
      </w:r>
      <w:r w:rsidRPr="00F70016">
        <w:rPr>
          <w:rFonts w:ascii="Arial Narrow" w:hAnsi="Arial Narrow"/>
        </w:rPr>
        <w:t>(orgs. 1945) 282-283.</w:t>
      </w:r>
    </w:p>
  </w:footnote>
  <w:footnote w:id="121">
    <w:p w:rsidR="00E243B3" w:rsidRPr="00F70016" w:rsidRDefault="00E243B3" w:rsidP="00E5051F">
      <w:pPr>
        <w:pStyle w:val="Textodenotaderodap"/>
        <w:rPr>
          <w:rFonts w:ascii="Arial Narrow" w:hAnsi="Arial Narrow"/>
        </w:rPr>
      </w:pPr>
      <w:r w:rsidRPr="00B32E73">
        <w:rPr>
          <w:rStyle w:val="Refdenotaderodap"/>
          <w:rFonts w:ascii="Arial Narrow" w:hAnsi="Arial Narrow"/>
        </w:rPr>
        <w:footnoteRef/>
      </w:r>
      <w:r w:rsidRPr="00F70016">
        <w:rPr>
          <w:rFonts w:ascii="Arial Narrow" w:hAnsi="Arial Narrow"/>
        </w:rPr>
        <w:t xml:space="preserve"> M. García Venero (1967) 49; S. G. Payne (1961) 59-61.</w:t>
      </w:r>
    </w:p>
  </w:footnote>
  <w:footnote w:id="122">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79.</w:t>
      </w:r>
    </w:p>
  </w:footnote>
  <w:footnote w:id="123">
    <w:p w:rsidR="00E243B3" w:rsidRPr="00F70016"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F70016">
        <w:rPr>
          <w:rFonts w:ascii="Arial Narrow" w:hAnsi="Arial Narrow"/>
          <w:lang w:val="en-US"/>
        </w:rPr>
        <w:t xml:space="preserve"> Id., ibid., 97-98; H. Thomas (1965) 138.</w:t>
      </w:r>
    </w:p>
  </w:footnote>
  <w:footnote w:id="12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O panfleto de José Antonio, </w:t>
      </w:r>
      <w:r w:rsidRPr="00B32E73">
        <w:rPr>
          <w:rFonts w:ascii="Arial Narrow" w:hAnsi="Arial Narrow"/>
          <w:i/>
        </w:rPr>
        <w:t>Prieto se Acerca a la Falange,</w:t>
      </w:r>
      <w:r w:rsidRPr="00B32E73">
        <w:rPr>
          <w:rFonts w:ascii="Arial Narrow" w:hAnsi="Arial Narrow"/>
        </w:rPr>
        <w:t xml:space="preserve"> publicado em Palma de Maiorca em 23 de Maio de 1936, encontra-se reproduzido em A. Río Cisneros et al. (orgs. 1945) 557-562. As passagens citadas vêm nas págs. 560 e 561. Veja-se igualmente H. Thomas (1965) 149.</w:t>
      </w:r>
    </w:p>
  </w:footnote>
  <w:footnote w:id="125">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S. G. Payne (1961) 133-135.</w:t>
      </w:r>
    </w:p>
  </w:footnote>
  <w:footnote w:id="126">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135.</w:t>
      </w:r>
    </w:p>
  </w:footnote>
  <w:footnote w:id="127">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137-138.</w:t>
      </w:r>
    </w:p>
  </w:footnote>
  <w:footnote w:id="128">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140 n., 178-179.</w:t>
      </w:r>
    </w:p>
  </w:footnote>
  <w:footnote w:id="129">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M. García Venero (1967) 197, 316, 407; S. G. Payne (1961) 110-111, 115, 151-152, 171.</w:t>
      </w:r>
    </w:p>
  </w:footnote>
  <w:footnote w:id="130">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501. Este autor não indica </w:t>
      </w:r>
      <w:r w:rsidR="004B5D86">
        <w:rPr>
          <w:rFonts w:ascii="Arial Narrow" w:hAnsi="Arial Narrow"/>
        </w:rPr>
        <w:t xml:space="preserve">a </w:t>
      </w:r>
      <w:r w:rsidRPr="00B32E73">
        <w:rPr>
          <w:rFonts w:ascii="Arial Narrow" w:hAnsi="Arial Narrow"/>
        </w:rPr>
        <w:t xml:space="preserve">data </w:t>
      </w:r>
      <w:r w:rsidR="004B5D86">
        <w:rPr>
          <w:rFonts w:ascii="Arial Narrow" w:hAnsi="Arial Narrow"/>
        </w:rPr>
        <w:t>d</w:t>
      </w:r>
      <w:r w:rsidRPr="00B32E73">
        <w:rPr>
          <w:rFonts w:ascii="Arial Narrow" w:hAnsi="Arial Narrow"/>
        </w:rPr>
        <w:t>o encontro, necessariamente posterior a 18 de Março de 1937, dia em que terminou a batalha de Guadalajara, e anterior a Outubro desse ano, quando Fernández Cuesta foi libertado.</w:t>
      </w:r>
    </w:p>
  </w:footnote>
  <w:footnote w:id="13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w:t>
      </w:r>
      <w:r w:rsidRPr="00725722">
        <w:rPr>
          <w:rFonts w:ascii="Arial Narrow" w:hAnsi="Arial Narrow"/>
        </w:rPr>
        <w:t xml:space="preserve">G. Jackson (1967) </w:t>
      </w:r>
      <w:r>
        <w:rPr>
          <w:rFonts w:ascii="Arial Narrow" w:hAnsi="Arial Narrow"/>
        </w:rPr>
        <w:t xml:space="preserve">451-452; </w:t>
      </w:r>
      <w:r w:rsidRPr="00B32E73">
        <w:rPr>
          <w:rFonts w:ascii="Arial Narrow" w:hAnsi="Arial Narrow"/>
        </w:rPr>
        <w:t>H. Thomas (1965) 673.</w:t>
      </w:r>
      <w:r>
        <w:rPr>
          <w:rFonts w:ascii="Arial Narrow" w:hAnsi="Arial Narrow"/>
        </w:rPr>
        <w:t xml:space="preserve"> A frase citada encontra-se em Hugh Thomas.</w:t>
      </w:r>
    </w:p>
  </w:footnote>
  <w:footnote w:id="132">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M. García Venero (1967) 289.</w:t>
      </w:r>
    </w:p>
  </w:footnote>
  <w:footnote w:id="133">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613. A mesma visão dos acontecimentos encontra-se em M. García Venero (1967) 333. Note-se que S. G. Payne (1961) 176 e 178-179, ao relatar este episódio, </w:t>
      </w:r>
      <w:r>
        <w:rPr>
          <w:rFonts w:ascii="Arial Narrow" w:hAnsi="Arial Narrow"/>
        </w:rPr>
        <w:t>foi</w:t>
      </w:r>
      <w:r w:rsidRPr="00B32E73">
        <w:rPr>
          <w:rFonts w:ascii="Arial Narrow" w:hAnsi="Arial Narrow"/>
        </w:rPr>
        <w:t xml:space="preserve"> bastante mais cauteloso quanto às origens da Falange Española Auténtica e às suas eventuais relações com Prieto. As informações coligidas por H. R. Southworth (1967) 216-217 mostram que a Falange Auténtica, se se identificar com a Falange Autónoma, não dependeu apenas das manobras do dirigente socialista e teve uma existência política real.</w:t>
      </w:r>
    </w:p>
  </w:footnote>
  <w:footnote w:id="134">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H. Thomas (1965) 626.</w:t>
      </w:r>
    </w:p>
  </w:footnote>
  <w:footnote w:id="135">
    <w:p w:rsidR="00E243B3" w:rsidRPr="00921DFD" w:rsidRDefault="00E243B3" w:rsidP="00E5051F">
      <w:pPr>
        <w:pStyle w:val="Textodenotaderodap"/>
        <w:rPr>
          <w:rFonts w:ascii="Arial Narrow" w:hAnsi="Arial Narrow"/>
          <w:lang w:val="en-GB"/>
        </w:rPr>
      </w:pPr>
      <w:r w:rsidRPr="00B32E73">
        <w:rPr>
          <w:rStyle w:val="Refdenotaderodap"/>
          <w:rFonts w:ascii="Arial Narrow" w:hAnsi="Arial Narrow"/>
        </w:rPr>
        <w:footnoteRef/>
      </w:r>
      <w:r w:rsidRPr="00921DFD">
        <w:rPr>
          <w:rFonts w:ascii="Arial Narrow" w:hAnsi="Arial Narrow"/>
          <w:lang w:val="en-GB"/>
        </w:rPr>
        <w:t xml:space="preserve"> </w:t>
      </w:r>
      <w:smartTag w:uri="urn:schemas-microsoft-com:office:smarttags" w:element="State">
        <w:smartTag w:uri="urn:schemas-microsoft-com:office:smarttags" w:element="place">
          <w:r w:rsidRPr="00921DFD">
            <w:rPr>
              <w:rFonts w:ascii="Arial Narrow" w:hAnsi="Arial Narrow"/>
              <w:lang w:val="en-GB"/>
            </w:rPr>
            <w:t>Id.</w:t>
          </w:r>
        </w:smartTag>
      </w:smartTag>
      <w:r w:rsidRPr="00921DFD">
        <w:rPr>
          <w:rFonts w:ascii="Arial Narrow" w:hAnsi="Arial Narrow"/>
          <w:lang w:val="en-GB"/>
        </w:rPr>
        <w:t>, ibid., 632, 652.</w:t>
      </w:r>
    </w:p>
  </w:footnote>
  <w:footnote w:id="136">
    <w:p w:rsidR="00E243B3" w:rsidRPr="00E5051F" w:rsidRDefault="00E243B3" w:rsidP="00E5051F">
      <w:pPr>
        <w:pStyle w:val="Textodenotaderodap"/>
        <w:rPr>
          <w:rFonts w:ascii="Arial Narrow" w:hAnsi="Arial Narrow"/>
          <w:lang w:val="en-US"/>
        </w:rPr>
      </w:pPr>
      <w:r w:rsidRPr="00B32E73">
        <w:rPr>
          <w:rStyle w:val="Refdenotaderodap"/>
          <w:rFonts w:ascii="Arial Narrow" w:hAnsi="Arial Narrow"/>
        </w:rPr>
        <w:footnoteRef/>
      </w:r>
      <w:r w:rsidRPr="00E5051F">
        <w:rPr>
          <w:rFonts w:ascii="Arial Narrow" w:hAnsi="Arial Narrow"/>
          <w:lang w:val="en-US"/>
        </w:rPr>
        <w:t xml:space="preserve"> G. Orwell (1998 b) 88-89.</w:t>
      </w:r>
    </w:p>
  </w:footnote>
  <w:footnote w:id="137">
    <w:p w:rsidR="00E37FEF" w:rsidRPr="00921DFD" w:rsidRDefault="00E37FEF" w:rsidP="00E37FEF">
      <w:pPr>
        <w:pStyle w:val="Textodenotaderodap"/>
        <w:ind w:firstLine="708"/>
        <w:rPr>
          <w:rFonts w:ascii="Arial Narrow" w:hAnsi="Arial Narrow"/>
          <w:lang w:val="en-GB"/>
        </w:rPr>
      </w:pPr>
      <w:r w:rsidRPr="00B32E73">
        <w:rPr>
          <w:rStyle w:val="Refdenotaderodap"/>
          <w:rFonts w:ascii="Arial Narrow" w:hAnsi="Arial Narrow"/>
        </w:rPr>
        <w:footnoteRef/>
      </w:r>
      <w:r w:rsidRPr="00B32E73">
        <w:rPr>
          <w:rFonts w:ascii="Arial Narrow" w:hAnsi="Arial Narrow"/>
        </w:rPr>
        <w:t xml:space="preserve"> Acerca das jornadas de Maio de 1937 em Barcelona consultei: </w:t>
      </w:r>
      <w:r w:rsidRPr="00AD2C71">
        <w:rPr>
          <w:rFonts w:ascii="Arial Narrow" w:hAnsi="Arial Narrow"/>
        </w:rPr>
        <w:t>V</w:t>
      </w:r>
      <w:r>
        <w:rPr>
          <w:rFonts w:ascii="Arial Narrow" w:hAnsi="Arial Narrow"/>
        </w:rPr>
        <w:t xml:space="preserve">. </w:t>
      </w:r>
      <w:r w:rsidRPr="00AD2C71">
        <w:rPr>
          <w:rFonts w:ascii="Arial Narrow" w:hAnsi="Arial Narrow"/>
        </w:rPr>
        <w:t xml:space="preserve">Alba (2000) </w:t>
      </w:r>
      <w:r w:rsidRPr="00197411">
        <w:rPr>
          <w:rFonts w:ascii="Arial Narrow" w:hAnsi="Arial Narrow"/>
        </w:rPr>
        <w:t>285</w:t>
      </w:r>
      <w:r>
        <w:rPr>
          <w:rFonts w:ascii="Arial Narrow" w:hAnsi="Arial Narrow"/>
        </w:rPr>
        <w:t>-</w:t>
      </w:r>
      <w:r w:rsidRPr="00197411">
        <w:rPr>
          <w:rFonts w:ascii="Arial Narrow" w:hAnsi="Arial Narrow"/>
        </w:rPr>
        <w:t>295</w:t>
      </w:r>
      <w:r>
        <w:rPr>
          <w:rFonts w:ascii="Arial Narrow" w:hAnsi="Arial Narrow"/>
        </w:rPr>
        <w:t xml:space="preserve">; </w:t>
      </w:r>
      <w:r w:rsidRPr="00B32E73">
        <w:rPr>
          <w:rFonts w:ascii="Arial Narrow" w:hAnsi="Arial Narrow"/>
        </w:rPr>
        <w:t xml:space="preserve">P. Broué et al. </w:t>
      </w:r>
      <w:r w:rsidRPr="00921DFD">
        <w:rPr>
          <w:rFonts w:ascii="Arial Narrow" w:hAnsi="Arial Narrow"/>
          <w:lang w:val="en-GB"/>
        </w:rPr>
        <w:t xml:space="preserve">(1961) 260-266; </w:t>
      </w:r>
      <w:r w:rsidRPr="00FD63E8">
        <w:rPr>
          <w:rFonts w:ascii="Arial Narrow" w:hAnsi="Arial Narrow"/>
          <w:lang w:val="en-US"/>
        </w:rPr>
        <w:t xml:space="preserve">G. Jackson (1967) 369-370; </w:t>
      </w:r>
      <w:r w:rsidRPr="00921DFD">
        <w:rPr>
          <w:rFonts w:ascii="Arial Narrow" w:hAnsi="Arial Narrow"/>
          <w:lang w:val="en-GB"/>
        </w:rPr>
        <w:t>G. Munis (1948) 297-306; G. Orwell (1998 b) 98-127, 213-234; V. Richards (1972) 122-134; H. Thomas (1965) 544-550.</w:t>
      </w:r>
    </w:p>
  </w:footnote>
  <w:footnote w:id="138">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E37FEF">
        <w:rPr>
          <w:rFonts w:ascii="Arial Narrow" w:hAnsi="Arial Narrow"/>
          <w:lang w:val="en-US"/>
        </w:rPr>
        <w:t xml:space="preserve"> P. Broué et al. </w:t>
      </w:r>
      <w:r w:rsidRPr="00B32E73">
        <w:rPr>
          <w:rFonts w:ascii="Arial Narrow" w:hAnsi="Arial Narrow"/>
        </w:rPr>
        <w:t>(1961) 261 e 265 pretende</w:t>
      </w:r>
      <w:r>
        <w:rPr>
          <w:rFonts w:ascii="Arial Narrow" w:hAnsi="Arial Narrow"/>
        </w:rPr>
        <w:t>ra</w:t>
      </w:r>
      <w:r w:rsidRPr="00B32E73">
        <w:rPr>
          <w:rFonts w:ascii="Arial Narrow" w:hAnsi="Arial Narrow"/>
        </w:rPr>
        <w:t>m que o POUM tivera inicialmente a intenção de imprimir ao movimento uma estratégia ofensiva e recu</w:t>
      </w:r>
      <w:r>
        <w:rPr>
          <w:rFonts w:ascii="Arial Narrow" w:hAnsi="Arial Narrow"/>
        </w:rPr>
        <w:t>ara</w:t>
      </w:r>
      <w:r w:rsidRPr="00B32E73">
        <w:rPr>
          <w:rFonts w:ascii="Arial Narrow" w:hAnsi="Arial Narrow"/>
        </w:rPr>
        <w:t xml:space="preserve"> ao perceber que a moderação revelada pelos dirigentes da CNT e da FAI o deixaria perigosamente exposto. Mas George Orwell, que estava em Barcelona naquela ocasião e combatia nas fileiras do POUM, mostr</w:t>
      </w:r>
      <w:r>
        <w:rPr>
          <w:rFonts w:ascii="Arial Narrow" w:hAnsi="Arial Narrow"/>
        </w:rPr>
        <w:t>ou</w:t>
      </w:r>
      <w:r w:rsidRPr="00B32E73">
        <w:rPr>
          <w:rFonts w:ascii="Arial Narrow" w:hAnsi="Arial Narrow"/>
        </w:rPr>
        <w:t xml:space="preserve"> que este partido mant</w:t>
      </w:r>
      <w:r>
        <w:rPr>
          <w:rFonts w:ascii="Arial Narrow" w:hAnsi="Arial Narrow"/>
        </w:rPr>
        <w:t>i</w:t>
      </w:r>
      <w:r w:rsidRPr="00B32E73">
        <w:rPr>
          <w:rFonts w:ascii="Arial Narrow" w:hAnsi="Arial Narrow"/>
        </w:rPr>
        <w:t>ve</w:t>
      </w:r>
      <w:r>
        <w:rPr>
          <w:rFonts w:ascii="Arial Narrow" w:hAnsi="Arial Narrow"/>
        </w:rPr>
        <w:t>ra</w:t>
      </w:r>
      <w:r w:rsidRPr="00B32E73">
        <w:rPr>
          <w:rFonts w:ascii="Arial Narrow" w:hAnsi="Arial Narrow"/>
        </w:rPr>
        <w:t xml:space="preserve"> sempre uma atitude defensiva, esforçando-se por impedir os trabalhadores </w:t>
      </w:r>
      <w:r w:rsidR="00FB41F2">
        <w:rPr>
          <w:rFonts w:ascii="Arial Narrow" w:hAnsi="Arial Narrow"/>
        </w:rPr>
        <w:t xml:space="preserve">de </w:t>
      </w:r>
      <w:r w:rsidRPr="00B32E73">
        <w:rPr>
          <w:rFonts w:ascii="Arial Narrow" w:hAnsi="Arial Narrow"/>
        </w:rPr>
        <w:t>passa</w:t>
      </w:r>
      <w:r w:rsidR="00FB41F2">
        <w:rPr>
          <w:rFonts w:ascii="Arial Narrow" w:hAnsi="Arial Narrow"/>
        </w:rPr>
        <w:t>r</w:t>
      </w:r>
      <w:r w:rsidRPr="00B32E73">
        <w:rPr>
          <w:rFonts w:ascii="Arial Narrow" w:hAnsi="Arial Narrow"/>
        </w:rPr>
        <w:t>em ao ataque.</w:t>
      </w:r>
      <w:r>
        <w:rPr>
          <w:rFonts w:ascii="Arial Narrow" w:hAnsi="Arial Narrow"/>
        </w:rPr>
        <w:t xml:space="preserve"> </w:t>
      </w:r>
      <w:r w:rsidRPr="002E2FD0">
        <w:rPr>
          <w:rFonts w:ascii="Arial Narrow" w:hAnsi="Arial Narrow"/>
        </w:rPr>
        <w:t>Ver G. Orwell (1998 b) 107, 218-219 e 226-227</w:t>
      </w:r>
      <w:r>
        <w:rPr>
          <w:rFonts w:ascii="Arial Narrow" w:hAnsi="Arial Narrow"/>
        </w:rPr>
        <w:t>. Com efeito, B. D. Wolfe (1972) 21 afirmou que em Maio de 1937 o POUM «aconselhou os trabalhadores de Barcelona a não tentarem uma luta armada», acrescentando que só depois de iniciada a sublevação este partido se decidiu a apoiar o movimento.</w:t>
      </w:r>
    </w:p>
  </w:footnote>
  <w:footnote w:id="139">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H. Thomas (1965) 549 afirm</w:t>
      </w:r>
      <w:r>
        <w:rPr>
          <w:rFonts w:ascii="Arial Narrow" w:hAnsi="Arial Narrow"/>
        </w:rPr>
        <w:t>ou</w:t>
      </w:r>
      <w:r w:rsidRPr="00B32E73">
        <w:rPr>
          <w:rFonts w:ascii="Arial Narrow" w:hAnsi="Arial Narrow"/>
        </w:rPr>
        <w:t xml:space="preserve"> que os dois ministros anarquistas </w:t>
      </w:r>
      <w:r>
        <w:rPr>
          <w:rFonts w:ascii="Arial Narrow" w:hAnsi="Arial Narrow"/>
        </w:rPr>
        <w:t>haviam sido</w:t>
      </w:r>
      <w:r w:rsidRPr="00B32E73">
        <w:rPr>
          <w:rFonts w:ascii="Arial Narrow" w:hAnsi="Arial Narrow"/>
        </w:rPr>
        <w:t xml:space="preserve"> acompanhados por Mariano Rodríguez Vázquez, secretário do Comité Nacional da CNT. Por seu lado, P. Broué et al. (1961) 261 e G. Munis (1948) 300 escreve</w:t>
      </w:r>
      <w:r>
        <w:rPr>
          <w:rFonts w:ascii="Arial Narrow" w:hAnsi="Arial Narrow"/>
        </w:rPr>
        <w:t>ra</w:t>
      </w:r>
      <w:r w:rsidRPr="00B32E73">
        <w:rPr>
          <w:rFonts w:ascii="Arial Narrow" w:hAnsi="Arial Narrow"/>
        </w:rPr>
        <w:t>m que o terceiro participante na viagem fo</w:t>
      </w:r>
      <w:r>
        <w:rPr>
          <w:rFonts w:ascii="Arial Narrow" w:hAnsi="Arial Narrow"/>
        </w:rPr>
        <w:t>ra</w:t>
      </w:r>
      <w:r w:rsidRPr="00B32E73">
        <w:rPr>
          <w:rFonts w:ascii="Arial Narrow" w:hAnsi="Arial Narrow"/>
        </w:rPr>
        <w:t xml:space="preserve"> um representante da UGT. Juntando tudo, V. Richards (1972) 130 pretende</w:t>
      </w:r>
      <w:r>
        <w:rPr>
          <w:rFonts w:ascii="Arial Narrow" w:hAnsi="Arial Narrow"/>
        </w:rPr>
        <w:t>u</w:t>
      </w:r>
      <w:r w:rsidRPr="00B32E73">
        <w:rPr>
          <w:rFonts w:ascii="Arial Narrow" w:hAnsi="Arial Narrow"/>
        </w:rPr>
        <w:t xml:space="preserve"> que tanto Rodríguez Vázquez como alguns membros da direcção da UGT se deslocaram a Barcelona e especific</w:t>
      </w:r>
      <w:r>
        <w:rPr>
          <w:rFonts w:ascii="Arial Narrow" w:hAnsi="Arial Narrow"/>
        </w:rPr>
        <w:t>ou</w:t>
      </w:r>
      <w:r w:rsidRPr="00B32E73">
        <w:rPr>
          <w:rFonts w:ascii="Arial Narrow" w:hAnsi="Arial Narrow"/>
        </w:rPr>
        <w:t xml:space="preserve"> que Federica Montseny </w:t>
      </w:r>
      <w:r>
        <w:rPr>
          <w:rFonts w:ascii="Arial Narrow" w:hAnsi="Arial Narrow"/>
        </w:rPr>
        <w:t xml:space="preserve">fizera </w:t>
      </w:r>
      <w:r w:rsidRPr="00B32E73">
        <w:rPr>
          <w:rFonts w:ascii="Arial Narrow" w:hAnsi="Arial Narrow"/>
        </w:rPr>
        <w:t>a viagem separadamente, chegando depois de García Oliver.</w:t>
      </w:r>
      <w:r>
        <w:rPr>
          <w:rFonts w:ascii="Arial Narrow" w:hAnsi="Arial Narrow"/>
        </w:rPr>
        <w:t xml:space="preserve"> Sem fornecer detalhes,</w:t>
      </w:r>
      <w:r w:rsidRPr="00AF6F21">
        <w:rPr>
          <w:rFonts w:ascii="Arial Narrow" w:hAnsi="Arial Narrow"/>
        </w:rPr>
        <w:t xml:space="preserve"> V. Alba (2000)</w:t>
      </w:r>
      <w:r>
        <w:rPr>
          <w:rFonts w:ascii="Arial Narrow" w:hAnsi="Arial Narrow"/>
        </w:rPr>
        <w:t xml:space="preserve"> </w:t>
      </w:r>
      <w:r w:rsidRPr="00AF6F21">
        <w:rPr>
          <w:rFonts w:ascii="Arial Narrow" w:hAnsi="Arial Narrow"/>
        </w:rPr>
        <w:t>289</w:t>
      </w:r>
      <w:r>
        <w:rPr>
          <w:rFonts w:ascii="Arial Narrow" w:hAnsi="Arial Narrow"/>
        </w:rPr>
        <w:t>-290 mencionou a ida dos três a Barcelona.</w:t>
      </w:r>
    </w:p>
  </w:footnote>
  <w:footnote w:id="140">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921DFD">
        <w:rPr>
          <w:rFonts w:ascii="Arial Narrow" w:hAnsi="Arial Narrow"/>
          <w:lang w:val="en-GB"/>
        </w:rPr>
        <w:t xml:space="preserve"> P. Broué et al. (1961) 262; G. Orwell (1998 b) 114; V. Richards (1972) 134; H. Thomas (1965) 549. </w:t>
      </w:r>
      <w:r w:rsidRPr="00B32E73">
        <w:rPr>
          <w:rFonts w:ascii="Arial Narrow" w:hAnsi="Arial Narrow"/>
        </w:rPr>
        <w:t>Georges Orwell refer</w:t>
      </w:r>
      <w:r>
        <w:rPr>
          <w:rFonts w:ascii="Arial Narrow" w:hAnsi="Arial Narrow"/>
        </w:rPr>
        <w:t>iu</w:t>
      </w:r>
      <w:r w:rsidRPr="00B32E73">
        <w:rPr>
          <w:rFonts w:ascii="Arial Narrow" w:hAnsi="Arial Narrow"/>
        </w:rPr>
        <w:t xml:space="preserve"> o envio de seis mil soldados governamentais, enquanto Pierre Broué et al. menciona</w:t>
      </w:r>
      <w:r>
        <w:rPr>
          <w:rFonts w:ascii="Arial Narrow" w:hAnsi="Arial Narrow"/>
        </w:rPr>
        <w:t>ra</w:t>
      </w:r>
      <w:r w:rsidRPr="00B32E73">
        <w:rPr>
          <w:rFonts w:ascii="Arial Narrow" w:hAnsi="Arial Narrow"/>
        </w:rPr>
        <w:t>m cinco mil e Hugh Thomas reduz</w:t>
      </w:r>
      <w:r>
        <w:rPr>
          <w:rFonts w:ascii="Arial Narrow" w:hAnsi="Arial Narrow"/>
        </w:rPr>
        <w:t>iu</w:t>
      </w:r>
      <w:r w:rsidRPr="00B32E73">
        <w:rPr>
          <w:rFonts w:ascii="Arial Narrow" w:hAnsi="Arial Narrow"/>
        </w:rPr>
        <w:t xml:space="preserve"> o número </w:t>
      </w:r>
      <w:r>
        <w:rPr>
          <w:rFonts w:ascii="Arial Narrow" w:hAnsi="Arial Narrow"/>
        </w:rPr>
        <w:t>par</w:t>
      </w:r>
      <w:r w:rsidRPr="00B32E73">
        <w:rPr>
          <w:rFonts w:ascii="Arial Narrow" w:hAnsi="Arial Narrow"/>
        </w:rPr>
        <w:t>a quatro mil. Mais prudente, Vernon Richards escreve</w:t>
      </w:r>
      <w:r>
        <w:rPr>
          <w:rFonts w:ascii="Arial Narrow" w:hAnsi="Arial Narrow"/>
        </w:rPr>
        <w:t>u</w:t>
      </w:r>
      <w:r w:rsidRPr="00B32E73">
        <w:rPr>
          <w:rFonts w:ascii="Arial Narrow" w:hAnsi="Arial Narrow"/>
        </w:rPr>
        <w:t xml:space="preserve"> «vários milhares».</w:t>
      </w:r>
    </w:p>
  </w:footnote>
  <w:footnote w:id="14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 Mintz (1977) 231.</w:t>
      </w:r>
      <w:r>
        <w:rPr>
          <w:rFonts w:ascii="Arial Narrow" w:hAnsi="Arial Narrow"/>
        </w:rPr>
        <w:t xml:space="preserve"> Sem especificar, J. Delperrie de Bayac (1968) 277 pretendeu que algumas tropas abandonaram a frente de Aragão para apoiar os insurrectos, mas </w:t>
      </w:r>
      <w:r w:rsidRPr="003363FD">
        <w:rPr>
          <w:rFonts w:ascii="Arial Narrow" w:hAnsi="Arial Narrow"/>
        </w:rPr>
        <w:t>V. Alba (2000) 294-295</w:t>
      </w:r>
      <w:r>
        <w:rPr>
          <w:rFonts w:ascii="Arial Narrow" w:hAnsi="Arial Narrow"/>
        </w:rPr>
        <w:t xml:space="preserve"> afirmou que não houve tropas da CNT a saírem da frente para combater em Barcelona.</w:t>
      </w:r>
    </w:p>
  </w:footnote>
  <w:footnote w:id="142">
    <w:p w:rsidR="00E243B3" w:rsidRPr="002D665E" w:rsidRDefault="00E243B3" w:rsidP="00E5051F">
      <w:pPr>
        <w:pStyle w:val="Textodenotaderodap"/>
        <w:rPr>
          <w:rFonts w:ascii="Arial Narrow" w:hAnsi="Arial Narrow"/>
        </w:rPr>
      </w:pPr>
      <w:r w:rsidRPr="002D665E">
        <w:rPr>
          <w:rStyle w:val="Refdenotaderodap"/>
          <w:rFonts w:ascii="Arial Narrow" w:hAnsi="Arial Narrow"/>
        </w:rPr>
        <w:footnoteRef/>
      </w:r>
      <w:r w:rsidRPr="002D665E">
        <w:rPr>
          <w:rFonts w:ascii="Arial Narrow" w:hAnsi="Arial Narrow"/>
        </w:rPr>
        <w:t xml:space="preserve"> </w:t>
      </w:r>
      <w:r>
        <w:rPr>
          <w:rFonts w:ascii="Arial Narrow" w:hAnsi="Arial Narrow"/>
        </w:rPr>
        <w:t xml:space="preserve">Segundo </w:t>
      </w:r>
      <w:r w:rsidRPr="00733B06">
        <w:rPr>
          <w:rFonts w:ascii="Arial Narrow" w:hAnsi="Arial Narrow"/>
        </w:rPr>
        <w:t>G. Orwell (1998 b) 107, 218-219 e 226-227</w:t>
      </w:r>
      <w:r>
        <w:rPr>
          <w:rFonts w:ascii="Arial Narrow" w:hAnsi="Arial Narrow"/>
        </w:rPr>
        <w:t xml:space="preserve">, </w:t>
      </w:r>
      <w:r w:rsidRPr="00733B06">
        <w:rPr>
          <w:rFonts w:ascii="Arial Narrow" w:hAnsi="Arial Narrow"/>
        </w:rPr>
        <w:t>o POUM</w:t>
      </w:r>
      <w:r>
        <w:rPr>
          <w:rFonts w:ascii="Arial Narrow" w:hAnsi="Arial Narrow"/>
        </w:rPr>
        <w:t xml:space="preserve"> deu </w:t>
      </w:r>
      <w:r w:rsidRPr="00733B06">
        <w:rPr>
          <w:rFonts w:ascii="Arial Narrow" w:hAnsi="Arial Narrow"/>
        </w:rPr>
        <w:t>instruções às suas tropas para que não abandonassem a frente de combate e não viessem ajudar os insurrectos</w:t>
      </w:r>
      <w:r>
        <w:rPr>
          <w:rFonts w:ascii="Arial Narrow" w:hAnsi="Arial Narrow"/>
        </w:rPr>
        <w:t xml:space="preserve">, e a mesma versão foi defendida por </w:t>
      </w:r>
      <w:r w:rsidRPr="001C453B">
        <w:rPr>
          <w:rFonts w:ascii="Arial Narrow" w:hAnsi="Arial Narrow"/>
        </w:rPr>
        <w:t>V. Alba (2000) 294</w:t>
      </w:r>
      <w:r>
        <w:rPr>
          <w:rFonts w:ascii="Arial Narrow" w:hAnsi="Arial Narrow"/>
        </w:rPr>
        <w:t xml:space="preserve">-295. </w:t>
      </w:r>
      <w:r w:rsidRPr="00733B06">
        <w:rPr>
          <w:rFonts w:ascii="Arial Narrow" w:hAnsi="Arial Narrow"/>
        </w:rPr>
        <w:t xml:space="preserve">Todavia, Pierre Broué et al. </w:t>
      </w:r>
      <w:r w:rsidRPr="001C453B">
        <w:rPr>
          <w:rFonts w:ascii="Arial Narrow" w:hAnsi="Arial Narrow"/>
        </w:rPr>
        <w:t xml:space="preserve">(1961) </w:t>
      </w:r>
      <w:r w:rsidRPr="00733B06">
        <w:rPr>
          <w:rFonts w:ascii="Arial Narrow" w:hAnsi="Arial Narrow"/>
        </w:rPr>
        <w:t>261-262 escreveram que um movimento de tropas deste partido em direcção a Barcelona fo</w:t>
      </w:r>
      <w:r>
        <w:rPr>
          <w:rFonts w:ascii="Arial Narrow" w:hAnsi="Arial Narrow"/>
        </w:rPr>
        <w:t>ra</w:t>
      </w:r>
      <w:r w:rsidRPr="00733B06">
        <w:rPr>
          <w:rFonts w:ascii="Arial Narrow" w:hAnsi="Arial Narrow"/>
        </w:rPr>
        <w:t xml:space="preserve"> interrompido por acção de representantes da CNT.</w:t>
      </w:r>
    </w:p>
  </w:footnote>
  <w:footnote w:id="143">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Segundo G. Orwell (1998 b) 215, o número oficial de baixas foi de quatrocentos mortos e aproximadamente mil feridos, embora este autor consider</w:t>
      </w:r>
      <w:r>
        <w:rPr>
          <w:rFonts w:ascii="Arial Narrow" w:hAnsi="Arial Narrow"/>
        </w:rPr>
        <w:t>ass</w:t>
      </w:r>
      <w:r w:rsidRPr="00B32E73">
        <w:rPr>
          <w:rFonts w:ascii="Arial Narrow" w:hAnsi="Arial Narrow"/>
        </w:rPr>
        <w:t>e exagerada a estimativa dos mortos. Todavia, P. Broué et al. (1961) 263 indica</w:t>
      </w:r>
      <w:r>
        <w:rPr>
          <w:rFonts w:ascii="Arial Narrow" w:hAnsi="Arial Narrow"/>
        </w:rPr>
        <w:t>ra</w:t>
      </w:r>
      <w:r w:rsidRPr="00B32E73">
        <w:rPr>
          <w:rFonts w:ascii="Arial Narrow" w:hAnsi="Arial Narrow"/>
        </w:rPr>
        <w:t>m como balanço oficial quinhentos mortos e mil feridos. Por seu lado, V. Richards (1972) 122 afirm</w:t>
      </w:r>
      <w:r>
        <w:rPr>
          <w:rFonts w:ascii="Arial Narrow" w:hAnsi="Arial Narrow"/>
        </w:rPr>
        <w:t>ou</w:t>
      </w:r>
      <w:r w:rsidRPr="00B32E73">
        <w:rPr>
          <w:rFonts w:ascii="Arial Narrow" w:hAnsi="Arial Narrow"/>
        </w:rPr>
        <w:t xml:space="preserve"> que o número de mortos teria sido no mínimo de quinhentos e que os feridos ultrapassaram o milhar</w:t>
      </w:r>
      <w:r>
        <w:rPr>
          <w:rFonts w:ascii="Arial Narrow" w:hAnsi="Arial Narrow"/>
        </w:rPr>
        <w:t xml:space="preserve">. </w:t>
      </w:r>
      <w:r w:rsidRPr="00A133A1">
        <w:rPr>
          <w:rFonts w:ascii="Arial Narrow" w:hAnsi="Arial Narrow"/>
        </w:rPr>
        <w:t>V. Alba (2000) 293</w:t>
      </w:r>
      <w:r>
        <w:rPr>
          <w:rFonts w:ascii="Arial Narrow" w:hAnsi="Arial Narrow"/>
        </w:rPr>
        <w:t xml:space="preserve"> mencionou quinhentos mortos e mil e quinhentos feridos, </w:t>
      </w:r>
      <w:r w:rsidRPr="00B32E73">
        <w:rPr>
          <w:rFonts w:ascii="Arial Narrow" w:hAnsi="Arial Narrow"/>
        </w:rPr>
        <w:t xml:space="preserve">enquanto </w:t>
      </w:r>
      <w:r w:rsidRPr="00B32E73">
        <w:rPr>
          <w:rFonts w:ascii="Arial Narrow" w:hAnsi="Arial Narrow"/>
          <w:i/>
        </w:rPr>
        <w:t>El Amigo del Pueblo,</w:t>
      </w:r>
      <w:r w:rsidRPr="00B32E73">
        <w:rPr>
          <w:rFonts w:ascii="Arial Narrow" w:hAnsi="Arial Narrow"/>
        </w:rPr>
        <w:t xml:space="preserve"> nº 1, [Maio de 1937], pág. 3 refer</w:t>
      </w:r>
      <w:r>
        <w:rPr>
          <w:rFonts w:ascii="Arial Narrow" w:hAnsi="Arial Narrow"/>
        </w:rPr>
        <w:t>iu</w:t>
      </w:r>
      <w:r w:rsidRPr="00B32E73">
        <w:rPr>
          <w:rFonts w:ascii="Arial Narrow" w:hAnsi="Arial Narrow"/>
        </w:rPr>
        <w:t xml:space="preserve"> quinhentos mortos e dois mil feridos.</w:t>
      </w:r>
      <w:r>
        <w:rPr>
          <w:rFonts w:ascii="Arial Narrow" w:hAnsi="Arial Narrow"/>
        </w:rPr>
        <w:t xml:space="preserve"> J. Delperrie de Bayac (1968) 278 ultrapassou todas estas estimativas, contabilizando novecentos mortos e cerca de três mil feridos.</w:t>
      </w:r>
    </w:p>
  </w:footnote>
  <w:footnote w:id="144">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P. Broué et al. (1961) 290.</w:t>
      </w:r>
    </w:p>
  </w:footnote>
  <w:footnote w:id="145">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em id., ibid., 188-189.</w:t>
      </w:r>
      <w:r>
        <w:rPr>
          <w:rFonts w:ascii="Arial Narrow" w:hAnsi="Arial Narrow"/>
        </w:rPr>
        <w:t xml:space="preserve"> Na carta aberta que dirigiu a Federica Montseny, publicada no jornal </w:t>
      </w:r>
      <w:r w:rsidRPr="00754C69">
        <w:rPr>
          <w:rFonts w:ascii="Arial Narrow" w:hAnsi="Arial Narrow"/>
          <w:i/>
        </w:rPr>
        <w:t>Guerra di Classe</w:t>
      </w:r>
      <w:r>
        <w:rPr>
          <w:rFonts w:ascii="Arial Narrow" w:hAnsi="Arial Narrow"/>
          <w:i/>
        </w:rPr>
        <w:t>,</w:t>
      </w:r>
      <w:r>
        <w:rPr>
          <w:rFonts w:ascii="Arial Narrow" w:hAnsi="Arial Narrow"/>
        </w:rPr>
        <w:t xml:space="preserve"> 14 de Abril de 1937, Camillo Berneri escreveu: «O dilema guerra ou revolução já não tem sentido. O único dilema é este: ou a vitória sobre Franco, graças à guerra revolucionária, ou a derrota». Citado em Les Giménologues (2006) 313-314. Mas nas suas Memórias um miliciano anarquista escreveu que «perdida a revolução, podíamos esperar ainda ganhar a guerra». Ver A. Gimenez (2006) 160. O problema é que não foi possível ganhar a guerra tendo perdido a revolução.</w:t>
      </w:r>
    </w:p>
  </w:footnote>
  <w:footnote w:id="146">
    <w:p w:rsidR="00E243B3" w:rsidRPr="009E0F6E" w:rsidRDefault="00E243B3" w:rsidP="00E5051F">
      <w:pPr>
        <w:pStyle w:val="Textodenotaderodap"/>
        <w:rPr>
          <w:rFonts w:ascii="Arial Narrow" w:hAnsi="Arial Narrow"/>
        </w:rPr>
      </w:pPr>
      <w:r w:rsidRPr="009E0F6E">
        <w:rPr>
          <w:rStyle w:val="Refdenotaderodap"/>
          <w:rFonts w:ascii="Arial Narrow" w:hAnsi="Arial Narrow"/>
        </w:rPr>
        <w:footnoteRef/>
      </w:r>
      <w:r w:rsidRPr="009E0F6E">
        <w:rPr>
          <w:rFonts w:ascii="Arial Narrow" w:hAnsi="Arial Narrow"/>
        </w:rPr>
        <w:t xml:space="preserve"> </w:t>
      </w:r>
      <w:r>
        <w:rPr>
          <w:rFonts w:ascii="Arial Narrow" w:hAnsi="Arial Narrow"/>
        </w:rPr>
        <w:t>Para a data de formação de Los Amigos de Durruti ver Les Giménologues (2006) 377.</w:t>
      </w:r>
    </w:p>
  </w:footnote>
  <w:footnote w:id="147">
    <w:p w:rsidR="00E243B3" w:rsidRPr="00A06716" w:rsidRDefault="00E243B3" w:rsidP="00E5051F">
      <w:pPr>
        <w:pStyle w:val="Textodenotaderodap"/>
        <w:rPr>
          <w:rFonts w:ascii="Arial Narrow" w:hAnsi="Arial Narrow"/>
        </w:rPr>
      </w:pPr>
      <w:r w:rsidRPr="00A06716">
        <w:rPr>
          <w:rStyle w:val="Refdenotaderodap"/>
          <w:rFonts w:ascii="Arial Narrow" w:hAnsi="Arial Narrow"/>
        </w:rPr>
        <w:footnoteRef/>
      </w:r>
      <w:r w:rsidRPr="00A06716">
        <w:rPr>
          <w:rFonts w:ascii="Arial Narrow" w:hAnsi="Arial Narrow"/>
        </w:rPr>
        <w:t xml:space="preserve"> </w:t>
      </w:r>
      <w:r>
        <w:rPr>
          <w:rFonts w:ascii="Arial Narrow" w:hAnsi="Arial Narrow"/>
        </w:rPr>
        <w:t>Id., ibid., 390.</w:t>
      </w:r>
    </w:p>
  </w:footnote>
  <w:footnote w:id="148">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Uma testemunha célebre destes acontecimentos observ</w:t>
      </w:r>
      <w:r>
        <w:rPr>
          <w:rFonts w:ascii="Arial Narrow" w:hAnsi="Arial Narrow"/>
        </w:rPr>
        <w:t>ou</w:t>
      </w:r>
      <w:r w:rsidRPr="00B32E73">
        <w:rPr>
          <w:rFonts w:ascii="Arial Narrow" w:hAnsi="Arial Narrow"/>
        </w:rPr>
        <w:t xml:space="preserve"> que «reina uma grande incerteza acerca deste folheto e ninguém parece ser capaz de mostrar um exemplar». Ver G. Orwell (1998 b) 217. Mas tenho um diante de mim. Encabeçado com a assinatura </w:t>
      </w:r>
      <w:r w:rsidRPr="00B32E73">
        <w:rPr>
          <w:rFonts w:ascii="Arial Narrow" w:hAnsi="Arial Narrow"/>
          <w:i/>
        </w:rPr>
        <w:t>«C.N.T. F.A.I. Agrupación “Los Amigos de Durruti”»,</w:t>
      </w:r>
      <w:r w:rsidRPr="00B32E73">
        <w:rPr>
          <w:rFonts w:ascii="Arial Narrow" w:hAnsi="Arial Narrow"/>
        </w:rPr>
        <w:t xml:space="preserve"> o panfleto proclama, no texto original: </w:t>
      </w:r>
      <w:r w:rsidRPr="00B32E73">
        <w:rPr>
          <w:rFonts w:ascii="Arial Narrow" w:hAnsi="Arial Narrow"/>
          <w:i/>
        </w:rPr>
        <w:t>«TRABAJADORES! Una Junta revolucionaria. Fusilamiento de los culpables. Desarme de todos los Cuerpos armados. Socialización de la economia. Disolución de los Partidos políticos que hayan agredido a la clase trabajadora. No cedamos la caile</w:t>
      </w:r>
      <w:r w:rsidRPr="00B32E73">
        <w:rPr>
          <w:rFonts w:ascii="Arial Narrow" w:hAnsi="Arial Narrow"/>
        </w:rPr>
        <w:t xml:space="preserve"> [sic]. </w:t>
      </w:r>
      <w:r w:rsidRPr="00B32E73">
        <w:rPr>
          <w:rFonts w:ascii="Arial Narrow" w:hAnsi="Arial Narrow"/>
          <w:i/>
        </w:rPr>
        <w:t>La revolución ante todo. Saludamos a nuestros Camaradas del P.O.U.M. que han confraternizado en la calle con nosostros. VIVA LA REVOLUCIÓN SOCIAL... ABAJO LA CONTRAREVOLUCIÓN!»</w:t>
      </w:r>
      <w:r w:rsidRPr="00B32E73">
        <w:rPr>
          <w:rFonts w:ascii="Arial Narrow" w:hAnsi="Arial Narrow"/>
        </w:rPr>
        <w:t>.</w:t>
      </w:r>
    </w:p>
  </w:footnote>
  <w:footnote w:id="149">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w:t>
      </w:r>
      <w:r w:rsidRPr="00B32E73">
        <w:rPr>
          <w:rFonts w:ascii="Arial Narrow" w:hAnsi="Arial Narrow"/>
          <w:i/>
        </w:rPr>
        <w:t>El Amigo del Pueblo,</w:t>
      </w:r>
      <w:r w:rsidRPr="00B32E73">
        <w:rPr>
          <w:rFonts w:ascii="Arial Narrow" w:hAnsi="Arial Narrow"/>
        </w:rPr>
        <w:t xml:space="preserve"> nº 1, [Maio de 1937], pág. 2. Ver no mesmo sentido o artigo «La Guerra y la Revolución», na pág. 4.</w:t>
      </w:r>
    </w:p>
  </w:footnote>
  <w:footnote w:id="150">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«La Guerra y la Revolución», em id., ibid., 4.</w:t>
      </w:r>
    </w:p>
  </w:footnote>
  <w:footnote w:id="151">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«Editorial. Una Nueva Fase de la Revolución», </w:t>
      </w:r>
      <w:r>
        <w:rPr>
          <w:rFonts w:ascii="Arial Narrow" w:hAnsi="Arial Narrow"/>
        </w:rPr>
        <w:t xml:space="preserve">id., </w:t>
      </w:r>
      <w:r w:rsidRPr="00B32E73">
        <w:rPr>
          <w:rFonts w:ascii="Arial Narrow" w:hAnsi="Arial Narrow"/>
        </w:rPr>
        <w:t>nº 4, 22 de Junho de 1937, 4.</w:t>
      </w:r>
    </w:p>
  </w:footnote>
  <w:footnote w:id="152">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«El Asalto a la Telefónica», </w:t>
      </w:r>
      <w:r>
        <w:rPr>
          <w:rFonts w:ascii="Arial Narrow" w:hAnsi="Arial Narrow"/>
        </w:rPr>
        <w:t xml:space="preserve">id., </w:t>
      </w:r>
      <w:r w:rsidRPr="00B32E73">
        <w:rPr>
          <w:rFonts w:ascii="Arial Narrow" w:hAnsi="Arial Narrow"/>
        </w:rPr>
        <w:t>ibid., 3.</w:t>
      </w:r>
    </w:p>
  </w:footnote>
  <w:footnote w:id="153">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«Editorial. Para Triunfar se Necesita un Programa», </w:t>
      </w:r>
      <w:r>
        <w:rPr>
          <w:rFonts w:ascii="Arial Narrow" w:hAnsi="Arial Narrow"/>
        </w:rPr>
        <w:t xml:space="preserve">id., </w:t>
      </w:r>
      <w:r w:rsidRPr="00B32E73">
        <w:rPr>
          <w:rFonts w:ascii="Arial Narrow" w:hAnsi="Arial Narrow"/>
        </w:rPr>
        <w:t>nº 8, 21 de Setembro de 1937, 1.</w:t>
      </w:r>
    </w:p>
  </w:footnote>
  <w:footnote w:id="154">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 Roig, «Hablemos con Firmeza», </w:t>
      </w:r>
      <w:r>
        <w:rPr>
          <w:rFonts w:ascii="Arial Narrow" w:hAnsi="Arial Narrow"/>
        </w:rPr>
        <w:t xml:space="preserve">id., </w:t>
      </w:r>
      <w:r w:rsidRPr="00B32E73">
        <w:rPr>
          <w:rFonts w:ascii="Arial Narrow" w:hAnsi="Arial Narrow"/>
        </w:rPr>
        <w:t>nº 2, 26 de Maio de 1937, 2. No nº 1, pág. 3, Eleuterio Roig vem mencionado entre os membros da redacção do jornal.</w:t>
      </w:r>
    </w:p>
  </w:footnote>
  <w:footnote w:id="155">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«En Torno de las Jornadas de Mayo», </w:t>
      </w:r>
      <w:r>
        <w:rPr>
          <w:rFonts w:ascii="Arial Narrow" w:hAnsi="Arial Narrow"/>
        </w:rPr>
        <w:t xml:space="preserve">id., </w:t>
      </w:r>
      <w:r w:rsidRPr="00B32E73">
        <w:rPr>
          <w:rFonts w:ascii="Arial Narrow" w:hAnsi="Arial Narrow"/>
        </w:rPr>
        <w:t>nº 3, 12 de Junho de 1937, 1.</w:t>
      </w:r>
    </w:p>
  </w:footnote>
  <w:footnote w:id="156">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P. Broué et al. (1961) 264-265; G. Munis (1948) 302-303.</w:t>
      </w:r>
    </w:p>
  </w:footnote>
  <w:footnote w:id="157">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 descrição do golpe dirigido pelo coronel Segismundo Casado encontra-se em P. Broué et al. (1961) 487-497</w:t>
      </w:r>
      <w:r>
        <w:rPr>
          <w:rFonts w:ascii="Arial Narrow" w:hAnsi="Arial Narrow"/>
        </w:rPr>
        <w:t>,</w:t>
      </w:r>
      <w:r w:rsidRPr="00B32E73">
        <w:rPr>
          <w:rFonts w:ascii="Arial Narrow" w:hAnsi="Arial Narrow"/>
        </w:rPr>
        <w:t xml:space="preserve"> </w:t>
      </w:r>
      <w:r w:rsidRPr="007A0939">
        <w:rPr>
          <w:rFonts w:ascii="Arial Narrow" w:hAnsi="Arial Narrow"/>
        </w:rPr>
        <w:t xml:space="preserve">G. Jackson (1967) </w:t>
      </w:r>
      <w:r>
        <w:rPr>
          <w:rFonts w:ascii="Arial Narrow" w:hAnsi="Arial Narrow"/>
        </w:rPr>
        <w:t xml:space="preserve">469-472, 475 </w:t>
      </w:r>
      <w:r w:rsidRPr="00B32E73">
        <w:rPr>
          <w:rFonts w:ascii="Arial Narrow" w:hAnsi="Arial Narrow"/>
        </w:rPr>
        <w:t>e H. Thomas (1965) 734-755. Hugh Thomas</w:t>
      </w:r>
      <w:r>
        <w:rPr>
          <w:rFonts w:ascii="Arial Narrow" w:hAnsi="Arial Narrow"/>
        </w:rPr>
        <w:t>,</w:t>
      </w:r>
      <w:r w:rsidRPr="00B32E73">
        <w:rPr>
          <w:rFonts w:ascii="Arial Narrow" w:hAnsi="Arial Narrow"/>
        </w:rPr>
        <w:t xml:space="preserve"> </w:t>
      </w:r>
      <w:r w:rsidRPr="00BC398B">
        <w:rPr>
          <w:rFonts w:ascii="Arial Narrow" w:hAnsi="Arial Narrow"/>
        </w:rPr>
        <w:t>op. cit.,</w:t>
      </w:r>
      <w:r w:rsidRPr="00B32E73">
        <w:rPr>
          <w:rFonts w:ascii="Arial Narrow" w:hAnsi="Arial Narrow"/>
        </w:rPr>
        <w:t xml:space="preserve"> 734 escreve</w:t>
      </w:r>
      <w:r>
        <w:rPr>
          <w:rFonts w:ascii="Arial Narrow" w:hAnsi="Arial Narrow"/>
        </w:rPr>
        <w:t>u</w:t>
      </w:r>
      <w:r w:rsidRPr="00B32E73">
        <w:rPr>
          <w:rFonts w:ascii="Arial Narrow" w:hAnsi="Arial Narrow"/>
        </w:rPr>
        <w:t xml:space="preserve"> que «os preparativos da conspiração e o seu prosseguimento não teriam talvez resultado sem a contribuição dos anarquistas de Madrid», mas, como </w:t>
      </w:r>
      <w:r>
        <w:rPr>
          <w:rFonts w:ascii="Arial Narrow" w:hAnsi="Arial Narrow"/>
        </w:rPr>
        <w:t>era</w:t>
      </w:r>
      <w:r w:rsidRPr="00B32E73">
        <w:rPr>
          <w:rFonts w:ascii="Arial Narrow" w:hAnsi="Arial Narrow"/>
        </w:rPr>
        <w:t xml:space="preserve"> seu hábito, esquece</w:t>
      </w:r>
      <w:r>
        <w:rPr>
          <w:rFonts w:ascii="Arial Narrow" w:hAnsi="Arial Narrow"/>
        </w:rPr>
        <w:t>u</w:t>
      </w:r>
      <w:r w:rsidRPr="00B32E73">
        <w:rPr>
          <w:rFonts w:ascii="Arial Narrow" w:hAnsi="Arial Narrow"/>
        </w:rPr>
        <w:t>-se depois de analisar o papel desempenhado pelos libertários, que pouco aprecia</w:t>
      </w:r>
      <w:r>
        <w:rPr>
          <w:rFonts w:ascii="Arial Narrow" w:hAnsi="Arial Narrow"/>
        </w:rPr>
        <w:t>va</w:t>
      </w:r>
      <w:r w:rsidRPr="00B32E73">
        <w:rPr>
          <w:rFonts w:ascii="Arial Narrow" w:hAnsi="Arial Narrow"/>
        </w:rPr>
        <w:t>. Uma descrição do golpe, confirmando o papel decisivo dos anarco-sindicalistas de Madrid, encontra-se em C. Mera (2006) 283-306</w:t>
      </w:r>
      <w:r>
        <w:rPr>
          <w:rFonts w:ascii="Arial Narrow" w:hAnsi="Arial Narrow"/>
        </w:rPr>
        <w:t>,</w:t>
      </w:r>
      <w:r w:rsidRPr="00B32E73">
        <w:rPr>
          <w:rFonts w:ascii="Arial Narrow" w:hAnsi="Arial Narrow"/>
        </w:rPr>
        <w:t xml:space="preserve"> e também C. M. Lorenzo (1972) 264-265 d</w:t>
      </w:r>
      <w:r>
        <w:rPr>
          <w:rFonts w:ascii="Arial Narrow" w:hAnsi="Arial Narrow"/>
        </w:rPr>
        <w:t>eu</w:t>
      </w:r>
      <w:r w:rsidRPr="00B32E73">
        <w:rPr>
          <w:rFonts w:ascii="Arial Narrow" w:hAnsi="Arial Narrow"/>
        </w:rPr>
        <w:t xml:space="preserve"> o devido realce à participação dos anarco-sindicalistas. Ver igualmente Pierre Broué et al.</w:t>
      </w:r>
      <w:r>
        <w:rPr>
          <w:rFonts w:ascii="Arial Narrow" w:hAnsi="Arial Narrow"/>
        </w:rPr>
        <w:t>,</w:t>
      </w:r>
      <w:r w:rsidRPr="00B32E73">
        <w:rPr>
          <w:rFonts w:ascii="Arial Narrow" w:hAnsi="Arial Narrow"/>
        </w:rPr>
        <w:t xml:space="preserve"> </w:t>
      </w:r>
      <w:r w:rsidRPr="00BC398B">
        <w:rPr>
          <w:rFonts w:ascii="Arial Narrow" w:hAnsi="Arial Narrow"/>
        </w:rPr>
        <w:t>op. cit.,</w:t>
      </w:r>
      <w:r w:rsidRPr="00B32E73">
        <w:rPr>
          <w:rFonts w:ascii="Arial Narrow" w:hAnsi="Arial Narrow"/>
        </w:rPr>
        <w:t xml:space="preserve"> 488 e 491.</w:t>
      </w:r>
    </w:p>
  </w:footnote>
  <w:footnote w:id="158">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F. Moreno Gómez (2001) 33, 135.</w:t>
      </w:r>
    </w:p>
  </w:footnote>
  <w:footnote w:id="159">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 M. Lorenzo (1972) 264 indic</w:t>
      </w:r>
      <w:r>
        <w:rPr>
          <w:rFonts w:ascii="Arial Narrow" w:hAnsi="Arial Narrow"/>
        </w:rPr>
        <w:t>ou</w:t>
      </w:r>
      <w:r w:rsidRPr="00B32E73">
        <w:rPr>
          <w:rFonts w:ascii="Arial Narrow" w:hAnsi="Arial Narrow"/>
        </w:rPr>
        <w:t xml:space="preserve"> que «vários milhares de homens pagaram este recontro com a sua vida»</w:t>
      </w:r>
      <w:r>
        <w:rPr>
          <w:rFonts w:ascii="Arial Narrow" w:hAnsi="Arial Narrow"/>
        </w:rPr>
        <w:t xml:space="preserve"> e</w:t>
      </w:r>
      <w:r w:rsidRPr="00B32E73">
        <w:rPr>
          <w:rFonts w:ascii="Arial Narrow" w:hAnsi="Arial Narrow"/>
        </w:rPr>
        <w:t xml:space="preserve"> P. Broué et al. (1961) 493 </w:t>
      </w:r>
      <w:r>
        <w:rPr>
          <w:rFonts w:ascii="Arial Narrow" w:hAnsi="Arial Narrow"/>
        </w:rPr>
        <w:t xml:space="preserve">e J. Delperrie de Bayac (1968) 382 </w:t>
      </w:r>
      <w:r w:rsidRPr="00B32E73">
        <w:rPr>
          <w:rFonts w:ascii="Arial Narrow" w:hAnsi="Arial Narrow"/>
        </w:rPr>
        <w:t>menciona</w:t>
      </w:r>
      <w:r>
        <w:rPr>
          <w:rFonts w:ascii="Arial Narrow" w:hAnsi="Arial Narrow"/>
        </w:rPr>
        <w:t>ra</w:t>
      </w:r>
      <w:r w:rsidRPr="00B32E73">
        <w:rPr>
          <w:rFonts w:ascii="Arial Narrow" w:hAnsi="Arial Narrow"/>
        </w:rPr>
        <w:t xml:space="preserve">m dois mil mortos. </w:t>
      </w:r>
      <w:r w:rsidRPr="009C225C">
        <w:rPr>
          <w:rFonts w:ascii="Arial Narrow" w:hAnsi="Arial Narrow"/>
        </w:rPr>
        <w:t xml:space="preserve">G. Jackson (1967) </w:t>
      </w:r>
      <w:r>
        <w:rPr>
          <w:rFonts w:ascii="Arial Narrow" w:hAnsi="Arial Narrow"/>
        </w:rPr>
        <w:t>475 referiu «</w:t>
      </w:r>
      <w:r w:rsidR="00964460">
        <w:rPr>
          <w:rFonts w:ascii="Arial Narrow" w:hAnsi="Arial Narrow"/>
        </w:rPr>
        <w:t>várias</w:t>
      </w:r>
      <w:r>
        <w:rPr>
          <w:rFonts w:ascii="Arial Narrow" w:hAnsi="Arial Narrow"/>
        </w:rPr>
        <w:t xml:space="preserve"> [</w:t>
      </w:r>
      <w:r w:rsidRPr="009C225C">
        <w:rPr>
          <w:rFonts w:ascii="Arial Narrow" w:hAnsi="Arial Narrow"/>
          <w:i/>
        </w:rPr>
        <w:t>several</w:t>
      </w:r>
      <w:r>
        <w:rPr>
          <w:rFonts w:ascii="Arial Narrow" w:hAnsi="Arial Narrow"/>
        </w:rPr>
        <w:t xml:space="preserve">] centenas de mortos». </w:t>
      </w:r>
      <w:r w:rsidRPr="00B32E73">
        <w:rPr>
          <w:rFonts w:ascii="Arial Narrow" w:hAnsi="Arial Narrow"/>
        </w:rPr>
        <w:t>C. Mera (2006) abst</w:t>
      </w:r>
      <w:r>
        <w:rPr>
          <w:rFonts w:ascii="Arial Narrow" w:hAnsi="Arial Narrow"/>
        </w:rPr>
        <w:t>eve</w:t>
      </w:r>
      <w:r w:rsidRPr="00B32E73">
        <w:rPr>
          <w:rFonts w:ascii="Arial Narrow" w:hAnsi="Arial Narrow"/>
        </w:rPr>
        <w:t xml:space="preserve">-se de dizer quantos antifascistas as suas tropas dizimaram naquele derradeiro combate e, apesar de ser geralmente minucioso nas estimativas de baixas, H. Thomas (1965) nem sequer </w:t>
      </w:r>
      <w:r>
        <w:rPr>
          <w:rFonts w:ascii="Arial Narrow" w:hAnsi="Arial Narrow"/>
        </w:rPr>
        <w:t>e</w:t>
      </w:r>
      <w:r w:rsidRPr="00B32E73">
        <w:rPr>
          <w:rFonts w:ascii="Arial Narrow" w:hAnsi="Arial Narrow"/>
        </w:rPr>
        <w:t>voc</w:t>
      </w:r>
      <w:r>
        <w:rPr>
          <w:rFonts w:ascii="Arial Narrow" w:hAnsi="Arial Narrow"/>
        </w:rPr>
        <w:t>ou</w:t>
      </w:r>
      <w:r w:rsidRPr="00B32E73">
        <w:rPr>
          <w:rFonts w:ascii="Arial Narrow" w:hAnsi="Arial Narrow"/>
        </w:rPr>
        <w:t xml:space="preserve"> a questão a propósito do golpe de Casado.</w:t>
      </w:r>
    </w:p>
  </w:footnote>
  <w:footnote w:id="160">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Com uma certa candura, C. Mera (2006) 306 n. 1 afirm</w:t>
      </w:r>
      <w:r>
        <w:rPr>
          <w:rFonts w:ascii="Arial Narrow" w:hAnsi="Arial Narrow"/>
        </w:rPr>
        <w:t>ou</w:t>
      </w:r>
      <w:r w:rsidRPr="00B32E73">
        <w:rPr>
          <w:rFonts w:ascii="Arial Narrow" w:hAnsi="Arial Narrow"/>
        </w:rPr>
        <w:t xml:space="preserve"> que, sendo inelutável a derrota republicana depois da queda da Catalunha, Negrín e os comunistas seriam incapazes de negociar a paz e só o Conselho Nacional de Defesa estaria em condições de fazê-lo.</w:t>
      </w:r>
    </w:p>
  </w:footnote>
  <w:footnote w:id="16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Citado em H. Thomas (1965) 751.</w:t>
      </w:r>
    </w:p>
  </w:footnote>
  <w:footnote w:id="162">
    <w:p w:rsidR="00B5102B" w:rsidRPr="00B5102B" w:rsidRDefault="00B5102B">
      <w:pPr>
        <w:pStyle w:val="Textodenotaderodap"/>
        <w:rPr>
          <w:rFonts w:ascii="Arial Narrow" w:hAnsi="Arial Narrow"/>
        </w:rPr>
      </w:pPr>
      <w:r w:rsidRPr="00B5102B">
        <w:rPr>
          <w:rStyle w:val="Refdenotaderodap"/>
          <w:rFonts w:ascii="Arial Narrow" w:hAnsi="Arial Narrow"/>
        </w:rPr>
        <w:footnoteRef/>
      </w:r>
      <w:r w:rsidRPr="00B5102B">
        <w:rPr>
          <w:rFonts w:ascii="Arial Narrow" w:hAnsi="Arial Narrow"/>
        </w:rPr>
        <w:t xml:space="preserve"> </w:t>
      </w:r>
      <w:r w:rsidRPr="004433BE">
        <w:rPr>
          <w:rFonts w:ascii="Arial Narrow" w:hAnsi="Arial Narrow"/>
        </w:rPr>
        <w:t>G. Jackson (1967) 468.</w:t>
      </w:r>
    </w:p>
  </w:footnote>
  <w:footnote w:id="163">
    <w:p w:rsidR="00E243B3" w:rsidRPr="00345103" w:rsidRDefault="00E243B3">
      <w:pPr>
        <w:pStyle w:val="Textodenotaderodap"/>
        <w:rPr>
          <w:rFonts w:ascii="Arial Narrow" w:hAnsi="Arial Narrow"/>
        </w:rPr>
      </w:pPr>
      <w:r w:rsidRPr="007C10EA">
        <w:rPr>
          <w:rStyle w:val="Refdenotaderodap"/>
          <w:rFonts w:ascii="Arial Narrow" w:hAnsi="Arial Narrow"/>
        </w:rPr>
        <w:footnoteRef/>
      </w:r>
      <w:r w:rsidRPr="00345103">
        <w:rPr>
          <w:rFonts w:ascii="Arial Narrow" w:hAnsi="Arial Narrow"/>
        </w:rPr>
        <w:t xml:space="preserve"> </w:t>
      </w:r>
      <w:r>
        <w:rPr>
          <w:rFonts w:ascii="Arial Narrow" w:hAnsi="Arial Narrow"/>
        </w:rPr>
        <w:t xml:space="preserve">Na noite de </w:t>
      </w:r>
      <w:r w:rsidRPr="00345103">
        <w:rPr>
          <w:rFonts w:ascii="Arial Narrow" w:hAnsi="Arial Narrow"/>
        </w:rPr>
        <w:t>19</w:t>
      </w:r>
      <w:r>
        <w:rPr>
          <w:rFonts w:ascii="Arial Narrow" w:hAnsi="Arial Narrow"/>
        </w:rPr>
        <w:t xml:space="preserve"> para </w:t>
      </w:r>
      <w:r w:rsidRPr="00345103">
        <w:rPr>
          <w:rFonts w:ascii="Arial Narrow" w:hAnsi="Arial Narrow"/>
        </w:rPr>
        <w:t>20 de Fevereiro de 1942</w:t>
      </w:r>
      <w:r>
        <w:rPr>
          <w:rFonts w:ascii="Arial Narrow" w:hAnsi="Arial Narrow"/>
        </w:rPr>
        <w:t xml:space="preserve">, </w:t>
      </w:r>
      <w:r w:rsidRPr="00345103">
        <w:rPr>
          <w:rFonts w:ascii="Arial Narrow" w:hAnsi="Arial Narrow"/>
        </w:rPr>
        <w:t xml:space="preserve">em </w:t>
      </w:r>
      <w:r w:rsidRPr="00345103">
        <w:rPr>
          <w:rFonts w:ascii="Arial Narrow" w:hAnsi="Arial Narrow"/>
          <w:bCs/>
          <w:i/>
          <w:iCs/>
        </w:rPr>
        <w:t>Hitler’s Table Talk</w:t>
      </w:r>
      <w:r w:rsidRPr="00345103">
        <w:rPr>
          <w:rFonts w:ascii="Arial Narrow" w:hAnsi="Arial Narrow"/>
          <w:iCs/>
        </w:rPr>
        <w:t>...,</w:t>
      </w:r>
      <w:r>
        <w:rPr>
          <w:rFonts w:ascii="Arial Narrow" w:hAnsi="Arial Narrow"/>
          <w:iCs/>
        </w:rPr>
        <w:t xml:space="preserve"> 320.</w:t>
      </w:r>
    </w:p>
  </w:footnote>
  <w:footnote w:id="164">
    <w:p w:rsidR="00E243B3" w:rsidRPr="003330EE" w:rsidRDefault="00E243B3">
      <w:pPr>
        <w:pStyle w:val="Textodenotaderodap"/>
        <w:rPr>
          <w:rFonts w:ascii="Arial Narrow" w:hAnsi="Arial Narrow"/>
        </w:rPr>
      </w:pPr>
      <w:r w:rsidRPr="00BB11A1">
        <w:rPr>
          <w:rStyle w:val="Refdenotaderodap"/>
          <w:rFonts w:ascii="Arial Narrow" w:hAnsi="Arial Narrow"/>
        </w:rPr>
        <w:footnoteRef/>
      </w:r>
      <w:r w:rsidRPr="003330EE">
        <w:rPr>
          <w:rFonts w:ascii="Arial Narrow" w:hAnsi="Arial Narrow"/>
        </w:rPr>
        <w:t xml:space="preserve"> Ibid., 515-516, 520, 538, 568, 607</w:t>
      </w:r>
      <w:r>
        <w:rPr>
          <w:rFonts w:ascii="Arial Narrow" w:hAnsi="Arial Narrow"/>
        </w:rPr>
        <w:t>, 665</w:t>
      </w:r>
      <w:r w:rsidRPr="003330EE">
        <w:rPr>
          <w:rFonts w:ascii="Arial Narrow" w:hAnsi="Arial Narrow"/>
        </w:rPr>
        <w:t>.</w:t>
      </w:r>
    </w:p>
  </w:footnote>
  <w:footnote w:id="165">
    <w:p w:rsidR="00E243B3" w:rsidRPr="004214BA" w:rsidRDefault="00E243B3">
      <w:pPr>
        <w:pStyle w:val="Textodenotaderodap"/>
        <w:rPr>
          <w:rFonts w:ascii="Arial Narrow" w:hAnsi="Arial Narrow"/>
        </w:rPr>
      </w:pPr>
      <w:r w:rsidRPr="006F48D2">
        <w:rPr>
          <w:rStyle w:val="Refdenotaderodap"/>
          <w:rFonts w:ascii="Arial Narrow" w:hAnsi="Arial Narrow"/>
        </w:rPr>
        <w:footnoteRef/>
      </w:r>
      <w:r w:rsidRPr="006F48D2">
        <w:rPr>
          <w:rFonts w:ascii="Arial Narrow" w:hAnsi="Arial Narrow"/>
        </w:rPr>
        <w:t xml:space="preserve"> </w:t>
      </w:r>
      <w:r>
        <w:rPr>
          <w:rFonts w:ascii="Arial Narrow" w:hAnsi="Arial Narrow"/>
        </w:rPr>
        <w:t xml:space="preserve">Em </w:t>
      </w:r>
      <w:r w:rsidRPr="004214BA">
        <w:rPr>
          <w:rFonts w:ascii="Arial Narrow" w:hAnsi="Arial Narrow"/>
          <w:iCs/>
        </w:rPr>
        <w:t>7 de Junho de 1942</w:t>
      </w:r>
      <w:r>
        <w:rPr>
          <w:rFonts w:ascii="Arial Narrow" w:hAnsi="Arial Narrow"/>
          <w:iCs/>
        </w:rPr>
        <w:t xml:space="preserve">, em ibid., </w:t>
      </w:r>
      <w:r w:rsidR="0062037A">
        <w:rPr>
          <w:rFonts w:ascii="Arial Narrow" w:hAnsi="Arial Narrow"/>
          <w:iCs/>
        </w:rPr>
        <w:t xml:space="preserve">516 e </w:t>
      </w:r>
      <w:r>
        <w:rPr>
          <w:rFonts w:ascii="Arial Narrow" w:hAnsi="Arial Narrow"/>
          <w:iCs/>
        </w:rPr>
        <w:t>520.</w:t>
      </w:r>
      <w:r w:rsidR="0062037A">
        <w:rPr>
          <w:rFonts w:ascii="Arial Narrow" w:hAnsi="Arial Narrow"/>
          <w:iCs/>
        </w:rPr>
        <w:t xml:space="preserve"> Ver também a pág. 607.</w:t>
      </w:r>
    </w:p>
  </w:footnote>
  <w:footnote w:id="166">
    <w:p w:rsidR="00E243B3" w:rsidRPr="00000BF8" w:rsidRDefault="00E243B3">
      <w:pPr>
        <w:pStyle w:val="Textodenotaderodap"/>
        <w:rPr>
          <w:rFonts w:ascii="Arial Narrow" w:hAnsi="Arial Narrow"/>
        </w:rPr>
      </w:pPr>
      <w:r w:rsidRPr="00000BF8">
        <w:rPr>
          <w:rStyle w:val="Refdenotaderodap"/>
          <w:rFonts w:ascii="Arial Narrow" w:hAnsi="Arial Narrow"/>
        </w:rPr>
        <w:footnoteRef/>
      </w:r>
      <w:r w:rsidRPr="00000BF8">
        <w:rPr>
          <w:rFonts w:ascii="Arial Narrow" w:hAnsi="Arial Narrow"/>
        </w:rPr>
        <w:t xml:space="preserve"> </w:t>
      </w:r>
      <w:r>
        <w:rPr>
          <w:rFonts w:ascii="Arial Narrow" w:hAnsi="Arial Narrow"/>
        </w:rPr>
        <w:t xml:space="preserve">Em </w:t>
      </w:r>
      <w:r w:rsidRPr="00000BF8">
        <w:rPr>
          <w:rFonts w:ascii="Arial Narrow" w:hAnsi="Arial Narrow"/>
        </w:rPr>
        <w:t>Dezembro de 1941</w:t>
      </w:r>
      <w:r>
        <w:rPr>
          <w:rFonts w:ascii="Arial Narrow" w:hAnsi="Arial Narrow"/>
        </w:rPr>
        <w:t>, em ibid., 157.</w:t>
      </w:r>
    </w:p>
  </w:footnote>
  <w:footnote w:id="167">
    <w:p w:rsidR="00E243B3" w:rsidRPr="00207FA9" w:rsidRDefault="00E243B3">
      <w:pPr>
        <w:pStyle w:val="Textodenotaderodap"/>
        <w:rPr>
          <w:rFonts w:ascii="Arial Narrow" w:hAnsi="Arial Narrow"/>
        </w:rPr>
      </w:pPr>
      <w:r w:rsidRPr="00207FA9">
        <w:rPr>
          <w:rStyle w:val="Refdenotaderodap"/>
          <w:rFonts w:ascii="Arial Narrow" w:hAnsi="Arial Narrow"/>
        </w:rPr>
        <w:footnoteRef/>
      </w:r>
      <w:r w:rsidRPr="00207FA9">
        <w:rPr>
          <w:rFonts w:ascii="Arial Narrow" w:hAnsi="Arial Narrow"/>
        </w:rPr>
        <w:t xml:space="preserve"> </w:t>
      </w:r>
      <w:r>
        <w:rPr>
          <w:rFonts w:ascii="Arial Narrow" w:hAnsi="Arial Narrow"/>
        </w:rPr>
        <w:t>Ibid., 693-694.</w:t>
      </w:r>
    </w:p>
  </w:footnote>
  <w:footnote w:id="168">
    <w:p w:rsidR="00E243B3" w:rsidRPr="00966F38" w:rsidRDefault="00E243B3">
      <w:pPr>
        <w:pStyle w:val="Textodenotaderodap"/>
        <w:rPr>
          <w:rFonts w:ascii="Arial Narrow" w:hAnsi="Arial Narrow"/>
        </w:rPr>
      </w:pPr>
      <w:r w:rsidRPr="00966F38">
        <w:rPr>
          <w:rStyle w:val="Refdenotaderodap"/>
          <w:rFonts w:ascii="Arial Narrow" w:hAnsi="Arial Narrow"/>
        </w:rPr>
        <w:footnoteRef/>
      </w:r>
      <w:r w:rsidRPr="00966F38">
        <w:rPr>
          <w:rFonts w:ascii="Arial Narrow" w:hAnsi="Arial Narrow"/>
        </w:rPr>
        <w:t xml:space="preserve"> </w:t>
      </w:r>
      <w:r>
        <w:rPr>
          <w:rFonts w:ascii="Arial Narrow" w:hAnsi="Arial Narrow"/>
        </w:rPr>
        <w:t xml:space="preserve">Em </w:t>
      </w:r>
      <w:r w:rsidRPr="00966F38">
        <w:rPr>
          <w:rFonts w:ascii="Arial Narrow" w:hAnsi="Arial Narrow"/>
          <w:iCs/>
        </w:rPr>
        <w:t>Julho de 1942, em ibid.,</w:t>
      </w:r>
      <w:r>
        <w:rPr>
          <w:rFonts w:ascii="Arial Narrow" w:hAnsi="Arial Narrow"/>
          <w:iCs/>
        </w:rPr>
        <w:t xml:space="preserve"> 569-570. Ver também a pág. 693.</w:t>
      </w:r>
    </w:p>
  </w:footnote>
  <w:footnote w:id="169">
    <w:p w:rsidR="00E243B3" w:rsidRPr="003355F2" w:rsidRDefault="00E243B3">
      <w:pPr>
        <w:pStyle w:val="Textodenotaderodap"/>
        <w:rPr>
          <w:rFonts w:ascii="Arial Narrow" w:hAnsi="Arial Narrow"/>
        </w:rPr>
      </w:pPr>
      <w:r w:rsidRPr="003355F2">
        <w:rPr>
          <w:rStyle w:val="Refdenotaderodap"/>
          <w:rFonts w:ascii="Arial Narrow" w:hAnsi="Arial Narrow"/>
        </w:rPr>
        <w:footnoteRef/>
      </w:r>
      <w:r w:rsidRPr="003355F2">
        <w:rPr>
          <w:rFonts w:ascii="Arial Narrow" w:hAnsi="Arial Narrow"/>
        </w:rPr>
        <w:t xml:space="preserve"> </w:t>
      </w:r>
      <w:r>
        <w:rPr>
          <w:rFonts w:ascii="Arial Narrow" w:hAnsi="Arial Narrow"/>
        </w:rPr>
        <w:t xml:space="preserve">Em </w:t>
      </w:r>
      <w:r w:rsidRPr="00BD0EBB">
        <w:rPr>
          <w:rFonts w:ascii="Arial Narrow" w:hAnsi="Arial Narrow"/>
          <w:iCs/>
        </w:rPr>
        <w:t>Julho de 1942, em ibid.,</w:t>
      </w:r>
      <w:r>
        <w:rPr>
          <w:rFonts w:ascii="Arial Narrow" w:hAnsi="Arial Narrow"/>
          <w:iCs/>
        </w:rPr>
        <w:t xml:space="preserve"> 568-569. </w:t>
      </w:r>
      <w:r>
        <w:rPr>
          <w:rFonts w:ascii="Arial Narrow" w:hAnsi="Arial Narrow"/>
        </w:rPr>
        <w:t>Não entendo que Hitler tivesse usado o presente para mencionar Todt, qu</w:t>
      </w:r>
      <w:r w:rsidR="0062037A">
        <w:rPr>
          <w:rFonts w:ascii="Arial Narrow" w:hAnsi="Arial Narrow"/>
        </w:rPr>
        <w:t xml:space="preserve">e </w:t>
      </w:r>
      <w:r>
        <w:rPr>
          <w:rFonts w:ascii="Arial Narrow" w:hAnsi="Arial Narrow"/>
        </w:rPr>
        <w:t>morrera cinco meses antes.</w:t>
      </w:r>
      <w:r w:rsidR="00D816FA">
        <w:rPr>
          <w:rFonts w:ascii="Arial Narrow" w:hAnsi="Arial Narrow"/>
        </w:rPr>
        <w:t xml:space="preserve"> Talvez se relacion</w:t>
      </w:r>
      <w:r w:rsidR="00BC40DC">
        <w:rPr>
          <w:rFonts w:ascii="Arial Narrow" w:hAnsi="Arial Narrow"/>
        </w:rPr>
        <w:t>ass</w:t>
      </w:r>
      <w:r w:rsidR="00D816FA">
        <w:rPr>
          <w:rFonts w:ascii="Arial Narrow" w:hAnsi="Arial Narrow"/>
        </w:rPr>
        <w:t xml:space="preserve">e com este projecto do Führer o facto de a </w:t>
      </w:r>
      <w:r w:rsidR="00D816FA" w:rsidRPr="00D816FA">
        <w:rPr>
          <w:rFonts w:ascii="Arial Narrow" w:hAnsi="Arial Narrow"/>
        </w:rPr>
        <w:t xml:space="preserve">partir da Primavera de 1943 os republicanos espanhóis internados em Mauthausen </w:t>
      </w:r>
      <w:r w:rsidR="00D816FA">
        <w:rPr>
          <w:rFonts w:ascii="Arial Narrow" w:hAnsi="Arial Narrow"/>
        </w:rPr>
        <w:t xml:space="preserve">terem </w:t>
      </w:r>
      <w:r w:rsidR="00D816FA" w:rsidRPr="00D816FA">
        <w:rPr>
          <w:rFonts w:ascii="Arial Narrow" w:hAnsi="Arial Narrow"/>
        </w:rPr>
        <w:t>passa</w:t>
      </w:r>
      <w:r w:rsidR="00D816FA">
        <w:rPr>
          <w:rFonts w:ascii="Arial Narrow" w:hAnsi="Arial Narrow"/>
        </w:rPr>
        <w:t>do</w:t>
      </w:r>
      <w:r w:rsidR="00D816FA" w:rsidRPr="00D816FA">
        <w:rPr>
          <w:rFonts w:ascii="Arial Narrow" w:hAnsi="Arial Narrow"/>
        </w:rPr>
        <w:t xml:space="preserve"> a receber um tratamento preferencial</w:t>
      </w:r>
      <w:r w:rsidR="00D816FA">
        <w:rPr>
          <w:rFonts w:ascii="Arial Narrow" w:hAnsi="Arial Narrow"/>
        </w:rPr>
        <w:t>,</w:t>
      </w:r>
      <w:r w:rsidR="00D816FA" w:rsidRPr="00D816FA">
        <w:rPr>
          <w:rFonts w:ascii="Arial Narrow" w:hAnsi="Arial Narrow"/>
        </w:rPr>
        <w:t xml:space="preserve"> </w:t>
      </w:r>
      <w:r w:rsidR="00D816FA">
        <w:rPr>
          <w:rFonts w:ascii="Arial Narrow" w:hAnsi="Arial Narrow"/>
        </w:rPr>
        <w:t xml:space="preserve">a crer em </w:t>
      </w:r>
      <w:r w:rsidR="00D816FA" w:rsidRPr="00D816FA">
        <w:rPr>
          <w:rFonts w:ascii="Arial Narrow" w:hAnsi="Arial Narrow"/>
        </w:rPr>
        <w:t>W. Sofsky (199</w:t>
      </w:r>
      <w:r w:rsidR="000E569C">
        <w:rPr>
          <w:rFonts w:ascii="Arial Narrow" w:hAnsi="Arial Narrow"/>
        </w:rPr>
        <w:t>7</w:t>
      </w:r>
      <w:r w:rsidR="00D816FA" w:rsidRPr="00D816FA">
        <w:rPr>
          <w:rFonts w:ascii="Arial Narrow" w:hAnsi="Arial Narrow"/>
        </w:rPr>
        <w:t xml:space="preserve">) </w:t>
      </w:r>
      <w:r w:rsidR="00D816FA" w:rsidRPr="00D006DB">
        <w:rPr>
          <w:rFonts w:ascii="Arial Narrow" w:hAnsi="Arial Narrow"/>
        </w:rPr>
        <w:t xml:space="preserve">215-216; e </w:t>
      </w:r>
      <w:r w:rsidR="00D816FA" w:rsidRPr="00D006DB">
        <w:rPr>
          <w:rFonts w:ascii="Arial Narrow" w:hAnsi="Arial Narrow"/>
          <w:bCs/>
        </w:rPr>
        <w:t xml:space="preserve">Wolfgang Sofsky </w:t>
      </w:r>
      <w:r w:rsidR="00D816FA" w:rsidRPr="00D006DB">
        <w:rPr>
          <w:rFonts w:ascii="Arial Narrow" w:hAnsi="Arial Narrow"/>
        </w:rPr>
        <w:t xml:space="preserve">acrescentou </w:t>
      </w:r>
      <w:r w:rsidR="000E569C">
        <w:rPr>
          <w:rFonts w:ascii="Arial Narrow" w:hAnsi="Arial Narrow"/>
        </w:rPr>
        <w:t xml:space="preserve">(pág. </w:t>
      </w:r>
      <w:r w:rsidR="00D816FA" w:rsidRPr="00D006DB">
        <w:rPr>
          <w:rFonts w:ascii="Arial Narrow" w:hAnsi="Arial Narrow"/>
        </w:rPr>
        <w:t>216</w:t>
      </w:r>
      <w:r w:rsidR="000E569C">
        <w:rPr>
          <w:rFonts w:ascii="Arial Narrow" w:hAnsi="Arial Narrow"/>
        </w:rPr>
        <w:t>)</w:t>
      </w:r>
      <w:r w:rsidR="00D816FA" w:rsidRPr="00D006DB">
        <w:rPr>
          <w:rFonts w:ascii="Arial Narrow" w:hAnsi="Arial Narrow"/>
        </w:rPr>
        <w:t xml:space="preserve"> que nos dois últimos anos da guerra a taxa de mortalidade entre os republicanos espanhóis foi inferior à dos restantes detidos nos campos de concentração.</w:t>
      </w:r>
    </w:p>
  </w:footnote>
  <w:footnote w:id="170">
    <w:p w:rsidR="00E243B3" w:rsidRPr="00325CB3" w:rsidRDefault="00E243B3" w:rsidP="00E5051F">
      <w:pPr>
        <w:pStyle w:val="Textodenotaderodap"/>
        <w:rPr>
          <w:rFonts w:ascii="Arial Narrow" w:hAnsi="Arial Narrow"/>
        </w:rPr>
      </w:pPr>
      <w:r w:rsidRPr="00B32E73">
        <w:rPr>
          <w:rStyle w:val="Refdenotaderodap"/>
          <w:rFonts w:ascii="Arial Narrow" w:hAnsi="Arial Narrow"/>
        </w:rPr>
        <w:footnoteRef/>
      </w:r>
      <w:r w:rsidRPr="00325CB3">
        <w:rPr>
          <w:rFonts w:ascii="Arial Narrow" w:hAnsi="Arial Narrow"/>
        </w:rPr>
        <w:t xml:space="preserve"> C. M. Lorenzo (1972) 274 n. 3.</w:t>
      </w:r>
    </w:p>
  </w:footnote>
  <w:footnote w:id="171">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274-276.</w:t>
      </w:r>
    </w:p>
  </w:footnote>
  <w:footnote w:id="172">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Presidência do Conselho de Ministros, Comissão do Livro Negro sobre o Regime Fascista (org. 1987-1991) II 387-388 (sub. orig.).</w:t>
      </w:r>
    </w:p>
  </w:footnote>
  <w:footnote w:id="173">
    <w:p w:rsidR="00E243B3" w:rsidRPr="00B32E73" w:rsidRDefault="00E243B3" w:rsidP="00E5051F">
      <w:pPr>
        <w:pStyle w:val="Textodenotaderodap"/>
        <w:ind w:firstLine="708"/>
        <w:rPr>
          <w:rFonts w:ascii="Arial Narrow" w:hAnsi="Arial Narrow"/>
        </w:rPr>
      </w:pPr>
      <w:r w:rsidRPr="00B32E73">
        <w:rPr>
          <w:rStyle w:val="Refdenotaderodap"/>
          <w:rFonts w:ascii="Arial Narrow" w:hAnsi="Arial Narrow"/>
        </w:rPr>
        <w:footnoteRef/>
      </w:r>
      <w:r w:rsidRPr="00B32E73">
        <w:rPr>
          <w:rFonts w:ascii="Arial Narrow" w:hAnsi="Arial Narrow"/>
        </w:rPr>
        <w:t xml:space="preserve"> Acerca de Girón consultei S. G. Payne (1961) 213-214. Em Presidência do Conselho de Ministros, Comissão do Livro Negro sobre o Regime Fascista (org. 1987-1991) III 189 pode ver-se que, na sua correspondência para Salazar, o embaixador português em Espanha se fez eco dos rumores que ligavam Girón aos falangistas autores do atentado bombista de Agosto de 1942 em Bilbao, que provocou várias dezenas de feridos. Com esta acção os sectores radicais da Falange visaram a direita militar e os carlistas.</w:t>
      </w:r>
    </w:p>
  </w:footnote>
  <w:footnote w:id="174">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 M. Lorenzo (1972) 276-277 n. 7, 320.</w:t>
      </w:r>
    </w:p>
  </w:footnote>
  <w:footnote w:id="175">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320.</w:t>
      </w:r>
    </w:p>
  </w:footnote>
  <w:footnote w:id="176">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Id., ibid., 302-304, 307, 310-311, 316-318; C. Mera (2006) 404-405, 409.</w:t>
      </w:r>
    </w:p>
  </w:footnote>
  <w:footnote w:id="177">
    <w:p w:rsidR="00E243B3" w:rsidRPr="00B32E73" w:rsidRDefault="00E243B3" w:rsidP="00E5051F">
      <w:pPr>
        <w:pStyle w:val="Textodenotaderodap"/>
        <w:rPr>
          <w:rFonts w:ascii="Arial Narrow" w:hAnsi="Arial Narrow"/>
        </w:rPr>
      </w:pPr>
      <w:r w:rsidRPr="00B32E73">
        <w:rPr>
          <w:rStyle w:val="Refdenotaderodap"/>
          <w:rFonts w:ascii="Arial Narrow" w:hAnsi="Arial Narrow"/>
        </w:rPr>
        <w:footnoteRef/>
      </w:r>
      <w:r w:rsidRPr="00B32E73">
        <w:rPr>
          <w:rFonts w:ascii="Arial Narrow" w:hAnsi="Arial Narrow"/>
        </w:rPr>
        <w:t xml:space="preserve"> C. M. Lorenzo (1972) 323-324. A proposta feita por altos funcionários franquistas a Iñigo e Marco Nadal vem nas págs. 276-277 n. 7. Quanto à passagem de Juan López para o franquismo ver o verbete respectivo em V. Richards (1972) 239. A seu respeito comenta</w:t>
      </w:r>
      <w:r>
        <w:rPr>
          <w:rFonts w:ascii="Arial Narrow" w:hAnsi="Arial Narrow"/>
        </w:rPr>
        <w:t>ra</w:t>
      </w:r>
      <w:r w:rsidRPr="00B32E73">
        <w:rPr>
          <w:rFonts w:ascii="Arial Narrow" w:hAnsi="Arial Narrow"/>
        </w:rPr>
        <w:t xml:space="preserve">m P. Broué et al. (1961) 194 n. 6: «São raros aqueles que, como Juan López, regressarão à fábrica depois de terem sido ministros ou altos funcionários». Quando se sabe para onde López acabou por ir vê-se que é sempre arriscado, porque prematuro, fazer elogios aos políticos antes de eles </w:t>
      </w:r>
      <w:r w:rsidR="00152D24">
        <w:rPr>
          <w:rFonts w:ascii="Arial Narrow" w:hAnsi="Arial Narrow"/>
        </w:rPr>
        <w:t>terem morrido</w:t>
      </w:r>
      <w:r w:rsidRPr="00B32E73">
        <w:rPr>
          <w:rFonts w:ascii="Arial Narrow" w:hAnsi="Arial Narrow"/>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5051F"/>
    <w:rsid w:val="00000BF8"/>
    <w:rsid w:val="00002173"/>
    <w:rsid w:val="0000371B"/>
    <w:rsid w:val="00005C9D"/>
    <w:rsid w:val="00030115"/>
    <w:rsid w:val="00050408"/>
    <w:rsid w:val="00055653"/>
    <w:rsid w:val="00063AC4"/>
    <w:rsid w:val="00066759"/>
    <w:rsid w:val="00072772"/>
    <w:rsid w:val="00072954"/>
    <w:rsid w:val="00072F13"/>
    <w:rsid w:val="00086DD7"/>
    <w:rsid w:val="0009018A"/>
    <w:rsid w:val="00090357"/>
    <w:rsid w:val="00090ADF"/>
    <w:rsid w:val="00095D13"/>
    <w:rsid w:val="000A214F"/>
    <w:rsid w:val="000A2E07"/>
    <w:rsid w:val="000A2E0E"/>
    <w:rsid w:val="000A3138"/>
    <w:rsid w:val="000A6D19"/>
    <w:rsid w:val="000C0C97"/>
    <w:rsid w:val="000C2040"/>
    <w:rsid w:val="000D36E5"/>
    <w:rsid w:val="000D710D"/>
    <w:rsid w:val="000E569C"/>
    <w:rsid w:val="000F005D"/>
    <w:rsid w:val="00100B13"/>
    <w:rsid w:val="00101BF3"/>
    <w:rsid w:val="00111C9F"/>
    <w:rsid w:val="0011724B"/>
    <w:rsid w:val="001220BC"/>
    <w:rsid w:val="001313C8"/>
    <w:rsid w:val="001316BE"/>
    <w:rsid w:val="00136BF3"/>
    <w:rsid w:val="00152D24"/>
    <w:rsid w:val="00153B2D"/>
    <w:rsid w:val="00161C26"/>
    <w:rsid w:val="00177072"/>
    <w:rsid w:val="00185964"/>
    <w:rsid w:val="001A4764"/>
    <w:rsid w:val="001B2639"/>
    <w:rsid w:val="001B51FD"/>
    <w:rsid w:val="001D1975"/>
    <w:rsid w:val="001D301D"/>
    <w:rsid w:val="001D60C8"/>
    <w:rsid w:val="001D6FC7"/>
    <w:rsid w:val="001D746A"/>
    <w:rsid w:val="001F6BBB"/>
    <w:rsid w:val="002001FF"/>
    <w:rsid w:val="00200351"/>
    <w:rsid w:val="00207FA9"/>
    <w:rsid w:val="00210CE1"/>
    <w:rsid w:val="002129DE"/>
    <w:rsid w:val="00217BCF"/>
    <w:rsid w:val="002251DE"/>
    <w:rsid w:val="00230083"/>
    <w:rsid w:val="00242686"/>
    <w:rsid w:val="00254AFE"/>
    <w:rsid w:val="0026124F"/>
    <w:rsid w:val="00261477"/>
    <w:rsid w:val="0026661A"/>
    <w:rsid w:val="00267252"/>
    <w:rsid w:val="0028443B"/>
    <w:rsid w:val="00286C67"/>
    <w:rsid w:val="002878E7"/>
    <w:rsid w:val="00297723"/>
    <w:rsid w:val="002A6802"/>
    <w:rsid w:val="002A6C83"/>
    <w:rsid w:val="002A748B"/>
    <w:rsid w:val="002B10B9"/>
    <w:rsid w:val="002B12AB"/>
    <w:rsid w:val="002B2663"/>
    <w:rsid w:val="002C12F5"/>
    <w:rsid w:val="002D7F29"/>
    <w:rsid w:val="002E0721"/>
    <w:rsid w:val="002E199C"/>
    <w:rsid w:val="002E4280"/>
    <w:rsid w:val="002E7E80"/>
    <w:rsid w:val="002F512C"/>
    <w:rsid w:val="003017AD"/>
    <w:rsid w:val="003255F5"/>
    <w:rsid w:val="00325CB3"/>
    <w:rsid w:val="003330EE"/>
    <w:rsid w:val="003355F2"/>
    <w:rsid w:val="00340AF9"/>
    <w:rsid w:val="00344EF8"/>
    <w:rsid w:val="00345103"/>
    <w:rsid w:val="00351B52"/>
    <w:rsid w:val="00364425"/>
    <w:rsid w:val="00364EA7"/>
    <w:rsid w:val="0037581F"/>
    <w:rsid w:val="003804D4"/>
    <w:rsid w:val="003810C3"/>
    <w:rsid w:val="00383849"/>
    <w:rsid w:val="0039037E"/>
    <w:rsid w:val="003925F8"/>
    <w:rsid w:val="003A2A58"/>
    <w:rsid w:val="003B5BED"/>
    <w:rsid w:val="003E0EE6"/>
    <w:rsid w:val="003E2441"/>
    <w:rsid w:val="003E4416"/>
    <w:rsid w:val="003E77B4"/>
    <w:rsid w:val="003F2531"/>
    <w:rsid w:val="0040715E"/>
    <w:rsid w:val="004118FA"/>
    <w:rsid w:val="004214BA"/>
    <w:rsid w:val="0042269E"/>
    <w:rsid w:val="004269E3"/>
    <w:rsid w:val="004352F8"/>
    <w:rsid w:val="00435712"/>
    <w:rsid w:val="004433BE"/>
    <w:rsid w:val="004474B3"/>
    <w:rsid w:val="0044798D"/>
    <w:rsid w:val="00451750"/>
    <w:rsid w:val="00460BD0"/>
    <w:rsid w:val="00464D77"/>
    <w:rsid w:val="0047017A"/>
    <w:rsid w:val="00470FB6"/>
    <w:rsid w:val="00471EC3"/>
    <w:rsid w:val="00475FB9"/>
    <w:rsid w:val="004868C2"/>
    <w:rsid w:val="00490611"/>
    <w:rsid w:val="00490A64"/>
    <w:rsid w:val="00493978"/>
    <w:rsid w:val="00494798"/>
    <w:rsid w:val="004A423C"/>
    <w:rsid w:val="004A61B9"/>
    <w:rsid w:val="004B4775"/>
    <w:rsid w:val="004B5D86"/>
    <w:rsid w:val="004B7BD8"/>
    <w:rsid w:val="004C1093"/>
    <w:rsid w:val="004C1F99"/>
    <w:rsid w:val="004C2211"/>
    <w:rsid w:val="004C4EA2"/>
    <w:rsid w:val="004C5274"/>
    <w:rsid w:val="004C7BE9"/>
    <w:rsid w:val="004E2C4C"/>
    <w:rsid w:val="004E61F3"/>
    <w:rsid w:val="004F2A26"/>
    <w:rsid w:val="004F38DF"/>
    <w:rsid w:val="004F3F19"/>
    <w:rsid w:val="004F76C4"/>
    <w:rsid w:val="0050157D"/>
    <w:rsid w:val="005024D6"/>
    <w:rsid w:val="00502ED8"/>
    <w:rsid w:val="00520001"/>
    <w:rsid w:val="005259E0"/>
    <w:rsid w:val="00544D80"/>
    <w:rsid w:val="0054520F"/>
    <w:rsid w:val="005502CE"/>
    <w:rsid w:val="0055396D"/>
    <w:rsid w:val="00555EB4"/>
    <w:rsid w:val="00561AE4"/>
    <w:rsid w:val="0058739B"/>
    <w:rsid w:val="00593082"/>
    <w:rsid w:val="0059582E"/>
    <w:rsid w:val="005A3BD1"/>
    <w:rsid w:val="005B4100"/>
    <w:rsid w:val="005D5B24"/>
    <w:rsid w:val="005E092A"/>
    <w:rsid w:val="005F192A"/>
    <w:rsid w:val="005F4742"/>
    <w:rsid w:val="005F6ACC"/>
    <w:rsid w:val="00611321"/>
    <w:rsid w:val="00613459"/>
    <w:rsid w:val="0062037A"/>
    <w:rsid w:val="00625080"/>
    <w:rsid w:val="0064280E"/>
    <w:rsid w:val="0064385D"/>
    <w:rsid w:val="00646609"/>
    <w:rsid w:val="0065162A"/>
    <w:rsid w:val="0065527A"/>
    <w:rsid w:val="006706C2"/>
    <w:rsid w:val="006778AD"/>
    <w:rsid w:val="00686ABC"/>
    <w:rsid w:val="006875EB"/>
    <w:rsid w:val="00695281"/>
    <w:rsid w:val="006A00A7"/>
    <w:rsid w:val="006A0E4A"/>
    <w:rsid w:val="006A3629"/>
    <w:rsid w:val="006A434D"/>
    <w:rsid w:val="006B0F07"/>
    <w:rsid w:val="006D4B89"/>
    <w:rsid w:val="006E628A"/>
    <w:rsid w:val="006F0DA5"/>
    <w:rsid w:val="006F48D2"/>
    <w:rsid w:val="00701E0F"/>
    <w:rsid w:val="00705DE8"/>
    <w:rsid w:val="00713710"/>
    <w:rsid w:val="00716860"/>
    <w:rsid w:val="007215AD"/>
    <w:rsid w:val="00725722"/>
    <w:rsid w:val="00726134"/>
    <w:rsid w:val="00731DE9"/>
    <w:rsid w:val="007361BD"/>
    <w:rsid w:val="00743DE0"/>
    <w:rsid w:val="007506E2"/>
    <w:rsid w:val="00754FAF"/>
    <w:rsid w:val="00755807"/>
    <w:rsid w:val="007574CF"/>
    <w:rsid w:val="007675EB"/>
    <w:rsid w:val="00767C7B"/>
    <w:rsid w:val="007763C7"/>
    <w:rsid w:val="00781D25"/>
    <w:rsid w:val="00782D0E"/>
    <w:rsid w:val="00792665"/>
    <w:rsid w:val="00795885"/>
    <w:rsid w:val="007A0939"/>
    <w:rsid w:val="007A2244"/>
    <w:rsid w:val="007A250D"/>
    <w:rsid w:val="007C10EA"/>
    <w:rsid w:val="007C1CDA"/>
    <w:rsid w:val="007C4782"/>
    <w:rsid w:val="007C6064"/>
    <w:rsid w:val="007D14F4"/>
    <w:rsid w:val="007D2DC7"/>
    <w:rsid w:val="007D3C63"/>
    <w:rsid w:val="007E40E7"/>
    <w:rsid w:val="007E5A50"/>
    <w:rsid w:val="007F7720"/>
    <w:rsid w:val="007F7ABA"/>
    <w:rsid w:val="00805402"/>
    <w:rsid w:val="00807D47"/>
    <w:rsid w:val="00807E6B"/>
    <w:rsid w:val="00812B63"/>
    <w:rsid w:val="0081752F"/>
    <w:rsid w:val="00824FD4"/>
    <w:rsid w:val="00825F9A"/>
    <w:rsid w:val="00831FF2"/>
    <w:rsid w:val="00835248"/>
    <w:rsid w:val="008442F4"/>
    <w:rsid w:val="00847ED1"/>
    <w:rsid w:val="00851355"/>
    <w:rsid w:val="008554B2"/>
    <w:rsid w:val="0086056E"/>
    <w:rsid w:val="00864A84"/>
    <w:rsid w:val="00872516"/>
    <w:rsid w:val="0087461F"/>
    <w:rsid w:val="00875071"/>
    <w:rsid w:val="00877D64"/>
    <w:rsid w:val="008821A0"/>
    <w:rsid w:val="00893BB4"/>
    <w:rsid w:val="00894966"/>
    <w:rsid w:val="008A0A50"/>
    <w:rsid w:val="008A1F14"/>
    <w:rsid w:val="008A3861"/>
    <w:rsid w:val="008A652C"/>
    <w:rsid w:val="008B06BE"/>
    <w:rsid w:val="008B70DD"/>
    <w:rsid w:val="008D4DF2"/>
    <w:rsid w:val="008E4E32"/>
    <w:rsid w:val="008F1C06"/>
    <w:rsid w:val="008F6829"/>
    <w:rsid w:val="008F7806"/>
    <w:rsid w:val="00906920"/>
    <w:rsid w:val="00913011"/>
    <w:rsid w:val="0091663D"/>
    <w:rsid w:val="00917437"/>
    <w:rsid w:val="009178CF"/>
    <w:rsid w:val="0092084A"/>
    <w:rsid w:val="009274DB"/>
    <w:rsid w:val="00932FC7"/>
    <w:rsid w:val="00941F7B"/>
    <w:rsid w:val="00950825"/>
    <w:rsid w:val="00957DB7"/>
    <w:rsid w:val="00964460"/>
    <w:rsid w:val="00966F38"/>
    <w:rsid w:val="00990BE4"/>
    <w:rsid w:val="00997482"/>
    <w:rsid w:val="009A4C46"/>
    <w:rsid w:val="009A5FB8"/>
    <w:rsid w:val="009A6A43"/>
    <w:rsid w:val="009A6B22"/>
    <w:rsid w:val="009B090B"/>
    <w:rsid w:val="009C0439"/>
    <w:rsid w:val="009C225C"/>
    <w:rsid w:val="009C2BDF"/>
    <w:rsid w:val="009C62C4"/>
    <w:rsid w:val="009D02F4"/>
    <w:rsid w:val="009D0C4F"/>
    <w:rsid w:val="009D4AAC"/>
    <w:rsid w:val="009E14CE"/>
    <w:rsid w:val="009E6CF5"/>
    <w:rsid w:val="009F11C1"/>
    <w:rsid w:val="009F231A"/>
    <w:rsid w:val="009F26DC"/>
    <w:rsid w:val="00A035CC"/>
    <w:rsid w:val="00A06234"/>
    <w:rsid w:val="00A062C8"/>
    <w:rsid w:val="00A068C5"/>
    <w:rsid w:val="00A11FB8"/>
    <w:rsid w:val="00A13A1F"/>
    <w:rsid w:val="00A23CD7"/>
    <w:rsid w:val="00A263DA"/>
    <w:rsid w:val="00A263ED"/>
    <w:rsid w:val="00A32A74"/>
    <w:rsid w:val="00A3709A"/>
    <w:rsid w:val="00A41C77"/>
    <w:rsid w:val="00A43788"/>
    <w:rsid w:val="00A45829"/>
    <w:rsid w:val="00A54182"/>
    <w:rsid w:val="00A54D0F"/>
    <w:rsid w:val="00A572CC"/>
    <w:rsid w:val="00A7199F"/>
    <w:rsid w:val="00A759EC"/>
    <w:rsid w:val="00A77A37"/>
    <w:rsid w:val="00A80124"/>
    <w:rsid w:val="00A804FF"/>
    <w:rsid w:val="00A84903"/>
    <w:rsid w:val="00A8717C"/>
    <w:rsid w:val="00A91E62"/>
    <w:rsid w:val="00AA01F7"/>
    <w:rsid w:val="00AB4451"/>
    <w:rsid w:val="00AC0429"/>
    <w:rsid w:val="00AC0DD4"/>
    <w:rsid w:val="00AC2350"/>
    <w:rsid w:val="00AC518D"/>
    <w:rsid w:val="00AD21B9"/>
    <w:rsid w:val="00AD655E"/>
    <w:rsid w:val="00AE029D"/>
    <w:rsid w:val="00AE0424"/>
    <w:rsid w:val="00AE0AD9"/>
    <w:rsid w:val="00AE1318"/>
    <w:rsid w:val="00B05321"/>
    <w:rsid w:val="00B101D7"/>
    <w:rsid w:val="00B10D37"/>
    <w:rsid w:val="00B12259"/>
    <w:rsid w:val="00B164FD"/>
    <w:rsid w:val="00B1650C"/>
    <w:rsid w:val="00B265D3"/>
    <w:rsid w:val="00B32485"/>
    <w:rsid w:val="00B37009"/>
    <w:rsid w:val="00B45097"/>
    <w:rsid w:val="00B45225"/>
    <w:rsid w:val="00B45D34"/>
    <w:rsid w:val="00B45F02"/>
    <w:rsid w:val="00B5102B"/>
    <w:rsid w:val="00B54994"/>
    <w:rsid w:val="00B57CBE"/>
    <w:rsid w:val="00B63535"/>
    <w:rsid w:val="00B667C0"/>
    <w:rsid w:val="00B80CA3"/>
    <w:rsid w:val="00B82EA5"/>
    <w:rsid w:val="00B933ED"/>
    <w:rsid w:val="00B96BE7"/>
    <w:rsid w:val="00BB11A1"/>
    <w:rsid w:val="00BC1F04"/>
    <w:rsid w:val="00BC398B"/>
    <w:rsid w:val="00BC40DC"/>
    <w:rsid w:val="00BC4DD6"/>
    <w:rsid w:val="00BD0EBB"/>
    <w:rsid w:val="00BD3119"/>
    <w:rsid w:val="00BD3A96"/>
    <w:rsid w:val="00BE3D88"/>
    <w:rsid w:val="00BE75F6"/>
    <w:rsid w:val="00BF1EB2"/>
    <w:rsid w:val="00C06666"/>
    <w:rsid w:val="00C14CBD"/>
    <w:rsid w:val="00C23D6F"/>
    <w:rsid w:val="00C24B0E"/>
    <w:rsid w:val="00C25FF4"/>
    <w:rsid w:val="00C30632"/>
    <w:rsid w:val="00C31D84"/>
    <w:rsid w:val="00C4285C"/>
    <w:rsid w:val="00C55C54"/>
    <w:rsid w:val="00C571EA"/>
    <w:rsid w:val="00C579B4"/>
    <w:rsid w:val="00C60657"/>
    <w:rsid w:val="00C8418E"/>
    <w:rsid w:val="00C91522"/>
    <w:rsid w:val="00CA0B6A"/>
    <w:rsid w:val="00CA1B60"/>
    <w:rsid w:val="00CB139A"/>
    <w:rsid w:val="00CB5491"/>
    <w:rsid w:val="00CC1374"/>
    <w:rsid w:val="00CD2586"/>
    <w:rsid w:val="00CD627E"/>
    <w:rsid w:val="00CF0B33"/>
    <w:rsid w:val="00CF0BFE"/>
    <w:rsid w:val="00CF4D4B"/>
    <w:rsid w:val="00CF4FA4"/>
    <w:rsid w:val="00D006DB"/>
    <w:rsid w:val="00D1402A"/>
    <w:rsid w:val="00D17AF7"/>
    <w:rsid w:val="00D20A2A"/>
    <w:rsid w:val="00D26B43"/>
    <w:rsid w:val="00D30C4F"/>
    <w:rsid w:val="00D42C32"/>
    <w:rsid w:val="00D44EAC"/>
    <w:rsid w:val="00D45A0C"/>
    <w:rsid w:val="00D50D3E"/>
    <w:rsid w:val="00D5234B"/>
    <w:rsid w:val="00D54BFA"/>
    <w:rsid w:val="00D55835"/>
    <w:rsid w:val="00D61E67"/>
    <w:rsid w:val="00D635CD"/>
    <w:rsid w:val="00D73663"/>
    <w:rsid w:val="00D73BD9"/>
    <w:rsid w:val="00D75AEC"/>
    <w:rsid w:val="00D816FA"/>
    <w:rsid w:val="00D82AFF"/>
    <w:rsid w:val="00D93005"/>
    <w:rsid w:val="00D95B4C"/>
    <w:rsid w:val="00DA027D"/>
    <w:rsid w:val="00DA7030"/>
    <w:rsid w:val="00DB3697"/>
    <w:rsid w:val="00DD3D08"/>
    <w:rsid w:val="00DE10F1"/>
    <w:rsid w:val="00DE3C35"/>
    <w:rsid w:val="00DE433B"/>
    <w:rsid w:val="00DF01A2"/>
    <w:rsid w:val="00DF15D4"/>
    <w:rsid w:val="00DF75D6"/>
    <w:rsid w:val="00E1250F"/>
    <w:rsid w:val="00E20F8F"/>
    <w:rsid w:val="00E243B3"/>
    <w:rsid w:val="00E2763A"/>
    <w:rsid w:val="00E32D24"/>
    <w:rsid w:val="00E37FEF"/>
    <w:rsid w:val="00E41137"/>
    <w:rsid w:val="00E5051F"/>
    <w:rsid w:val="00E515C2"/>
    <w:rsid w:val="00E54EEA"/>
    <w:rsid w:val="00E661C4"/>
    <w:rsid w:val="00E67BAE"/>
    <w:rsid w:val="00E757C3"/>
    <w:rsid w:val="00E94AAC"/>
    <w:rsid w:val="00EA2FF3"/>
    <w:rsid w:val="00EB34F6"/>
    <w:rsid w:val="00EB4491"/>
    <w:rsid w:val="00EC6D0F"/>
    <w:rsid w:val="00ED6DD6"/>
    <w:rsid w:val="00EE2443"/>
    <w:rsid w:val="00EE3E45"/>
    <w:rsid w:val="00EF5485"/>
    <w:rsid w:val="00EF5684"/>
    <w:rsid w:val="00EF5BCB"/>
    <w:rsid w:val="00F05227"/>
    <w:rsid w:val="00F13BD5"/>
    <w:rsid w:val="00F1512B"/>
    <w:rsid w:val="00F21840"/>
    <w:rsid w:val="00F413A0"/>
    <w:rsid w:val="00F42D96"/>
    <w:rsid w:val="00F44443"/>
    <w:rsid w:val="00F51F11"/>
    <w:rsid w:val="00F544D2"/>
    <w:rsid w:val="00F6126F"/>
    <w:rsid w:val="00F70016"/>
    <w:rsid w:val="00F71960"/>
    <w:rsid w:val="00F81C1B"/>
    <w:rsid w:val="00FA5A37"/>
    <w:rsid w:val="00FA6877"/>
    <w:rsid w:val="00FB41F2"/>
    <w:rsid w:val="00FB5158"/>
    <w:rsid w:val="00FB7D0D"/>
    <w:rsid w:val="00FC2DF4"/>
    <w:rsid w:val="00FC4B18"/>
    <w:rsid w:val="00FD63E8"/>
    <w:rsid w:val="00FE0574"/>
    <w:rsid w:val="00FE3088"/>
    <w:rsid w:val="00FF1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5051F"/>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E5051F"/>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E5051F"/>
    <w:rPr>
      <w:lang w:val="pt-PT" w:eastAsia="zh-CN"/>
    </w:rPr>
  </w:style>
  <w:style w:type="paragraph" w:styleId="Rodap">
    <w:name w:val="footer"/>
    <w:basedOn w:val="Normal"/>
    <w:link w:val="RodapChar"/>
    <w:rsid w:val="00E5051F"/>
    <w:pPr>
      <w:tabs>
        <w:tab w:val="center" w:pos="4320"/>
        <w:tab w:val="right" w:pos="8640"/>
      </w:tabs>
      <w:ind w:firstLine="720"/>
    </w:pPr>
    <w:rPr>
      <w:rFonts w:ascii="Times New Roman" w:hAnsi="Times New Roman"/>
      <w:noProof w:val="0"/>
      <w:lang w:eastAsia="zh-CN"/>
    </w:rPr>
  </w:style>
  <w:style w:type="character" w:customStyle="1" w:styleId="RodapChar">
    <w:name w:val="Rodapé Char"/>
    <w:basedOn w:val="Fontepargpadro"/>
    <w:link w:val="Rodap"/>
    <w:rsid w:val="00E5051F"/>
    <w:rPr>
      <w:sz w:val="24"/>
      <w:szCs w:val="24"/>
      <w:lang w:val="pt-PT" w:eastAsia="zh-CN"/>
    </w:rPr>
  </w:style>
  <w:style w:type="paragraph" w:styleId="Ttulo">
    <w:name w:val="Title"/>
    <w:basedOn w:val="Normal"/>
    <w:link w:val="TtuloChar"/>
    <w:qFormat/>
    <w:rsid w:val="00E5051F"/>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E5051F"/>
    <w:rPr>
      <w:b/>
      <w:bCs/>
      <w:kern w:val="28"/>
      <w:sz w:val="32"/>
      <w:szCs w:val="32"/>
      <w:lang w:val="pt-PT" w:eastAsia="zh-CN"/>
    </w:rPr>
  </w:style>
  <w:style w:type="paragraph" w:styleId="Corpodetexto2">
    <w:name w:val="Body Text 2"/>
    <w:basedOn w:val="Normal"/>
    <w:link w:val="Corpodetexto2Char"/>
    <w:rsid w:val="00E5051F"/>
    <w:pPr>
      <w:keepNext/>
      <w:tabs>
        <w:tab w:val="left" w:pos="720"/>
        <w:tab w:val="left" w:pos="3312"/>
      </w:tabs>
      <w:spacing w:after="360"/>
      <w:ind w:firstLine="0"/>
    </w:pPr>
    <w:rPr>
      <w:rFonts w:ascii="Times New Roman" w:hAnsi="Times New Roman"/>
      <w:b/>
      <w:bCs/>
      <w:noProof w:val="0"/>
      <w:sz w:val="28"/>
      <w:szCs w:val="28"/>
      <w:lang w:eastAsia="zh-CN"/>
    </w:rPr>
  </w:style>
  <w:style w:type="character" w:customStyle="1" w:styleId="Corpodetexto2Char">
    <w:name w:val="Corpo de texto 2 Char"/>
    <w:basedOn w:val="Fontepargpadro"/>
    <w:link w:val="Corpodetexto2"/>
    <w:rsid w:val="00E5051F"/>
    <w:rPr>
      <w:b/>
      <w:bCs/>
      <w:sz w:val="28"/>
      <w:szCs w:val="28"/>
      <w:lang w:val="pt-PT" w:eastAsia="zh-CN"/>
    </w:rPr>
  </w:style>
  <w:style w:type="character" w:styleId="Refdenotaderodap">
    <w:name w:val="footnote reference"/>
    <w:basedOn w:val="Fontepargpadro"/>
    <w:semiHidden/>
    <w:rsid w:val="00E5051F"/>
    <w:rPr>
      <w:vertAlign w:val="superscript"/>
    </w:rPr>
  </w:style>
  <w:style w:type="paragraph" w:styleId="Corpodetexto">
    <w:name w:val="Body Text"/>
    <w:basedOn w:val="Normal"/>
    <w:link w:val="CorpodetextoChar"/>
    <w:rsid w:val="00E5051F"/>
    <w:pPr>
      <w:tabs>
        <w:tab w:val="left" w:pos="720"/>
        <w:tab w:val="left" w:pos="3312"/>
      </w:tabs>
      <w:ind w:firstLine="0"/>
    </w:pPr>
    <w:rPr>
      <w:rFonts w:ascii="Times New Roman" w:hAnsi="Times New Roman"/>
      <w:noProof w:val="0"/>
      <w:lang w:val="en-GB" w:eastAsia="zh-CN"/>
    </w:rPr>
  </w:style>
  <w:style w:type="character" w:customStyle="1" w:styleId="CorpodetextoChar">
    <w:name w:val="Corpo de texto Char"/>
    <w:basedOn w:val="Fontepargpadro"/>
    <w:link w:val="Corpodetexto"/>
    <w:rsid w:val="00E5051F"/>
    <w:rPr>
      <w:sz w:val="24"/>
      <w:szCs w:val="24"/>
      <w:lang w:val="en-GB" w:eastAsia="zh-CN"/>
    </w:rPr>
  </w:style>
  <w:style w:type="character" w:styleId="Nmerodepgina">
    <w:name w:val="page number"/>
    <w:basedOn w:val="Fontepargpadro"/>
    <w:rsid w:val="00E5051F"/>
  </w:style>
  <w:style w:type="paragraph" w:styleId="Recuodecorpodetexto">
    <w:name w:val="Body Text Indent"/>
    <w:basedOn w:val="Normal"/>
    <w:link w:val="RecuodecorpodetextoChar"/>
    <w:rsid w:val="00E5051F"/>
    <w:pPr>
      <w:keepNext/>
      <w:tabs>
        <w:tab w:val="left" w:pos="720"/>
        <w:tab w:val="left" w:pos="3312"/>
      </w:tabs>
      <w:spacing w:before="720" w:after="360"/>
      <w:ind w:firstLine="720"/>
    </w:pPr>
    <w:rPr>
      <w:rFonts w:ascii="Times New Roman" w:hAnsi="Times New Roman"/>
      <w:b/>
      <w:bCs/>
      <w:noProof w:val="0"/>
      <w:sz w:val="28"/>
      <w:szCs w:val="28"/>
      <w:lang w:eastAsia="zh-CN"/>
    </w:rPr>
  </w:style>
  <w:style w:type="character" w:customStyle="1" w:styleId="RecuodecorpodetextoChar">
    <w:name w:val="Recuo de corpo de texto Char"/>
    <w:basedOn w:val="Fontepargpadro"/>
    <w:link w:val="Recuodecorpodetexto"/>
    <w:rsid w:val="00E5051F"/>
    <w:rPr>
      <w:b/>
      <w:bCs/>
      <w:sz w:val="28"/>
      <w:szCs w:val="28"/>
      <w:lang w:val="pt-PT" w:eastAsia="zh-CN"/>
    </w:rPr>
  </w:style>
  <w:style w:type="paragraph" w:styleId="Cabealho">
    <w:name w:val="header"/>
    <w:basedOn w:val="Normal"/>
    <w:link w:val="CabealhoChar"/>
    <w:uiPriority w:val="99"/>
    <w:semiHidden/>
    <w:unhideWhenUsed/>
    <w:rsid w:val="00C06666"/>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C06666"/>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B312C-F4F3-45ED-9838-A300A624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45</Pages>
  <Words>16855</Words>
  <Characters>96075</Characters>
  <Application>Microsoft Office Word</Application>
  <DocSecurity>0</DocSecurity>
  <Lines>800</Lines>
  <Paragraphs>225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313</cp:revision>
  <dcterms:created xsi:type="dcterms:W3CDTF">2010-10-07T00:15:00Z</dcterms:created>
  <dcterms:modified xsi:type="dcterms:W3CDTF">2015-05-05T12:09:00Z</dcterms:modified>
</cp:coreProperties>
</file>