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B40" w:rsidRPr="003E305A" w:rsidRDefault="00DF4B40" w:rsidP="00F322A8">
      <w:pPr>
        <w:pStyle w:val="Ttulo"/>
        <w:spacing w:before="3000" w:after="960"/>
        <w:rPr>
          <w:rFonts w:ascii="Arial Narrow" w:hAnsi="Arial Narrow"/>
        </w:rPr>
      </w:pPr>
      <w:r w:rsidRPr="003E305A">
        <w:rPr>
          <w:rFonts w:ascii="Arial Narrow" w:hAnsi="Arial Narrow"/>
        </w:rPr>
        <w:t>Parte 4</w:t>
      </w:r>
      <w:r w:rsidRPr="003E305A">
        <w:rPr>
          <w:rFonts w:ascii="Arial Narrow" w:hAnsi="Arial Narrow"/>
        </w:rPr>
        <w:br/>
        <w:t>RACISMO</w:t>
      </w:r>
    </w:p>
    <w:p w:rsidR="00DF4B40" w:rsidRPr="003E305A" w:rsidRDefault="00DF4B40" w:rsidP="00DF4B40">
      <w:pPr>
        <w:pStyle w:val="Ttulo"/>
        <w:spacing w:before="0" w:after="960"/>
        <w:rPr>
          <w:rFonts w:ascii="Arial Narrow" w:hAnsi="Arial Narrow"/>
        </w:rPr>
      </w:pPr>
      <w:r w:rsidRPr="003E305A">
        <w:rPr>
          <w:rFonts w:ascii="Arial Narrow" w:hAnsi="Arial Narrow"/>
        </w:rPr>
        <w:br w:type="page"/>
      </w:r>
      <w:r w:rsidRPr="003E305A">
        <w:rPr>
          <w:rFonts w:ascii="Arial Narrow" w:hAnsi="Arial Narrow"/>
        </w:rPr>
        <w:lastRenderedPageBreak/>
        <w:t>Capítulo 1</w:t>
      </w:r>
      <w:r w:rsidRPr="003E305A">
        <w:rPr>
          <w:rFonts w:ascii="Arial Narrow" w:hAnsi="Arial Narrow"/>
        </w:rPr>
        <w:br/>
        <w:t>A LINHAGEM DO RACISMO NACIONAL-SOCIALISTA</w:t>
      </w:r>
    </w:p>
    <w:p w:rsidR="00DF4B40" w:rsidRPr="003E305A" w:rsidRDefault="00DF4B40" w:rsidP="00D96872">
      <w:pPr>
        <w:keepNext/>
        <w:spacing w:before="720" w:after="360"/>
        <w:ind w:firstLine="0"/>
        <w:jc w:val="center"/>
        <w:rPr>
          <w:b/>
          <w:sz w:val="28"/>
        </w:rPr>
      </w:pPr>
      <w:r>
        <w:rPr>
          <w:b/>
          <w:sz w:val="28"/>
        </w:rPr>
        <w:t>1</w:t>
      </w:r>
      <w:r w:rsidRPr="003E305A">
        <w:rPr>
          <w:b/>
          <w:sz w:val="28"/>
        </w:rPr>
        <w:t>. A conversão das línguas em raças pelo romantismo germânico</w:t>
      </w:r>
    </w:p>
    <w:p w:rsidR="00DF4B40" w:rsidRPr="003E305A" w:rsidRDefault="00DF4B40" w:rsidP="00DF4B40">
      <w:r w:rsidRPr="003E305A">
        <w:t>A atribuição de um carácter biológico à diversidade civilizacional e a transformação das diferenças entre sociedades numa diferença de raças foram inauguradas na Europ</w:t>
      </w:r>
      <w:r w:rsidR="00D14A0C">
        <w:t>a pelos intelectuais germânicos</w:t>
      </w:r>
      <w:r w:rsidRPr="003E305A">
        <w:t xml:space="preserve"> durante a luta pela unificação do país e pela aquisição de um novo prestígio no âmbito continental. É certo que os elementos formadores desta concepção se devem a Herder, que escreveu nas últimas décadas do século XVIII, mas o choque entre o imperialismo napoleónico e a problemática da independência nacional deu-lhes </w:t>
      </w:r>
      <w:r w:rsidR="005C5669">
        <w:t xml:space="preserve">outra </w:t>
      </w:r>
      <w:r w:rsidRPr="003E305A">
        <w:t xml:space="preserve">acepção e precipitou-os num sistema ideológico que veio a marcar toda uma cultura. </w:t>
      </w:r>
    </w:p>
    <w:p w:rsidR="00DF4B40" w:rsidRPr="003E305A" w:rsidRDefault="00DF4B40" w:rsidP="00DF4B40">
      <w:r w:rsidRPr="003E305A">
        <w:t>No centro das concepções de Herder estava a noção de organismo, inclu</w:t>
      </w:r>
      <w:r w:rsidR="005C5669">
        <w:t>indo</w:t>
      </w:r>
      <w:r w:rsidRPr="003E305A">
        <w:t xml:space="preserve"> numa mesma unidade total os fenómenos materiais, biológicos e sociais</w:t>
      </w:r>
      <w:r w:rsidR="00941A1D">
        <w:t>,</w:t>
      </w:r>
      <w:r w:rsidRPr="003E305A">
        <w:t xml:space="preserve"> e nestes, </w:t>
      </w:r>
      <w:r w:rsidR="003D02F8" w:rsidRPr="003E305A">
        <w:t>indissociavelmente ligados</w:t>
      </w:r>
      <w:r w:rsidR="003D02F8">
        <w:t>,</w:t>
      </w:r>
      <w:r w:rsidR="003D02F8" w:rsidRPr="003E305A">
        <w:t xml:space="preserve"> </w:t>
      </w:r>
      <w:r w:rsidRPr="003E305A">
        <w:t>tanto os aspectos físicos do ser humano como os aspectos mentais</w:t>
      </w:r>
      <w:r w:rsidR="00B3721C">
        <w:t xml:space="preserve"> </w:t>
      </w:r>
      <w:r w:rsidR="003D02F8">
        <w:t>ou</w:t>
      </w:r>
      <w:r w:rsidR="00B3721C">
        <w:t xml:space="preserve"> culturais</w:t>
      </w:r>
      <w:r w:rsidRPr="003E305A">
        <w:t>. A diversidade dos elementos, a individualidade de cada um, em que Herder insistia, era</w:t>
      </w:r>
      <w:r w:rsidR="00D14A0C">
        <w:t>m</w:t>
      </w:r>
      <w:r w:rsidRPr="003E305A">
        <w:t xml:space="preserve"> o corolário da sua conjugação numa só totalidade, de maneira que as relações não se distinguiam dos elementos relacionados e, assim como a pluralidade de elementos interdependentes compunha o todo, também o todo determinava a natureza dos elementos. Este processo, que unia num mesmo organismo os diversos elementos componentes e unia os vários organismos numa mesma totalidade orgânica, correspondia a uma força vital interna que transformava o todo em algo mais do que a soma das partes. E se a força vital constituía o princípio de unidade, assegurando a inter-relação dos elementos no todo, então a existência orgânica era sinónimo de existência activa, o organismo era sinónimo da vida, o que implicava que para Herder o princípio de actividade do todo, que ao mesmo tempo servia de princípio de articulação dos elementos no todo, formava a própria substância desses elementos. Por isso o </w:t>
      </w:r>
      <w:r w:rsidRPr="00777298">
        <w:t>or</w:t>
      </w:r>
      <w:r w:rsidRPr="008B0B36">
        <w:rPr>
          <w:rStyle w:val="Refdenotaderodap"/>
          <w:vertAlign w:val="baseline"/>
        </w:rPr>
        <w:t>ganismo</w:t>
      </w:r>
      <w:r w:rsidRPr="00777298">
        <w:rPr>
          <w:rStyle w:val="Refdenotaderodap"/>
        </w:rPr>
        <w:t xml:space="preserve"> </w:t>
      </w:r>
      <w:r w:rsidRPr="003E305A">
        <w:t>era obrigatoriamente um organismo em desenvolvimento,</w:t>
      </w:r>
      <w:r w:rsidRPr="00777298">
        <w:t xml:space="preserve"> n</w:t>
      </w:r>
      <w:r w:rsidRPr="008B0B36">
        <w:rPr>
          <w:rStyle w:val="Refdenotaderodap"/>
          <w:vertAlign w:val="baseline"/>
        </w:rPr>
        <w:t>um processo</w:t>
      </w:r>
      <w:r w:rsidRPr="00777298">
        <w:rPr>
          <w:rStyle w:val="Refdenotaderodap"/>
        </w:rPr>
        <w:t xml:space="preserve"> </w:t>
      </w:r>
      <w:r w:rsidRPr="003E305A">
        <w:t>de mutações</w:t>
      </w:r>
      <w:r w:rsidRPr="00777298">
        <w:t xml:space="preserve"> </w:t>
      </w:r>
      <w:r w:rsidRPr="008B0B36">
        <w:rPr>
          <w:rStyle w:val="Refdenotaderodap"/>
          <w:vertAlign w:val="baseline"/>
        </w:rPr>
        <w:t>contínuo</w:t>
      </w:r>
      <w:r w:rsidRPr="003E305A">
        <w:t>, tal como sucedia com cada um dos seus elementos, e a existência do tempo estava implícita na manifestação da força vital</w:t>
      </w:r>
      <w:r w:rsidRPr="003E305A">
        <w:rPr>
          <w:rStyle w:val="Refdenotaderodap"/>
        </w:rPr>
        <w:footnoteReference w:id="1"/>
      </w:r>
      <w:r w:rsidRPr="003E305A">
        <w:t xml:space="preserve">. </w:t>
      </w:r>
    </w:p>
    <w:p w:rsidR="00DF4B40" w:rsidRPr="003E305A" w:rsidRDefault="00DF4B40" w:rsidP="00DF4B40">
      <w:r w:rsidRPr="003E305A">
        <w:lastRenderedPageBreak/>
        <w:t>Esta energia simultaneamente espiritual e biológica sustentava a noção de linguagem. A língua constituía, para Herder, a força criadora da unidade social orgânica. Só uma língua podia criar um povo, unificando as várias classes sociais, e, reunindo as diversas esferas de soberania, formar uma nação</w:t>
      </w:r>
      <w:r w:rsidRPr="003E305A">
        <w:rPr>
          <w:rStyle w:val="Refdenotaderodap"/>
        </w:rPr>
        <w:footnoteReference w:id="2"/>
      </w:r>
      <w:r w:rsidRPr="003E305A">
        <w:t>. Ora, supor que uma identidade nacional estava subjacente a uma língua comum correspondia à admissão de que falar do mesmo modo implicasse pensar do mesmo modo. «Cada nação fala da maneira que pensa e pensa da maneira que fala», afirmou Herder, que resumiu esta concepção ao escrever que «a linguagem é deveras um sumptuoso tesouro, onde se reúnem os mais variados pensamentos e as mais diversas actividades da mente»</w:t>
      </w:r>
      <w:r w:rsidRPr="003E305A">
        <w:rPr>
          <w:rStyle w:val="Refdenotaderodap"/>
        </w:rPr>
        <w:footnoteReference w:id="3"/>
      </w:r>
      <w:r w:rsidRPr="003E305A">
        <w:t>. Falar uma dada língua era, para Herder, inserir-se num quadro pré-estabelecido de tradições culturais, que se preservavam sobretudo no estilo poético, transmissível oralmente, e asseguravam a continuidade de um povo para além de todas as mudanças</w:t>
      </w:r>
      <w:r w:rsidRPr="003E305A">
        <w:rPr>
          <w:rStyle w:val="Refdenotaderodap"/>
        </w:rPr>
        <w:footnoteReference w:id="4"/>
      </w:r>
      <w:r w:rsidRPr="003E305A">
        <w:t>. A própria forma de construir as palavras foi considerada um sintoma da constituição da mente, num sentido não só psicológico como igualmente biológico. Com efeito, a noção de organismo desenvolveu-se primeiro nas ciências da natureza</w:t>
      </w:r>
      <w:r w:rsidRPr="003E305A">
        <w:rPr>
          <w:rStyle w:val="Refdenotaderodap"/>
        </w:rPr>
        <w:footnoteReference w:id="5"/>
      </w:r>
      <w:r w:rsidRPr="003E305A">
        <w:t>, e ao ser aplicada às reflexões sobre a sociedade transportou consigo as implicações físicas originárias. Também a noção de força vital, imprescindível na concepção herderiana de totalidade orgânica, fora inicialmente formulada no âmbito das ciências biológicas</w:t>
      </w:r>
      <w:r w:rsidRPr="003E305A">
        <w:rPr>
          <w:rStyle w:val="Refdenotaderodap"/>
        </w:rPr>
        <w:footnoteReference w:id="6"/>
      </w:r>
      <w:r w:rsidRPr="003E305A">
        <w:t xml:space="preserve">. </w:t>
      </w:r>
      <w:r>
        <w:t xml:space="preserve">Aliás, um contemporâneo de Herder, o mineralogista </w:t>
      </w:r>
      <w:r w:rsidRPr="00290B77">
        <w:rPr>
          <w:lang w:val="fr-FR"/>
        </w:rPr>
        <w:t>Abraham Gottlieb Werner</w:t>
      </w:r>
      <w:r>
        <w:rPr>
          <w:lang w:val="fr-FR"/>
        </w:rPr>
        <w:t>,</w:t>
      </w:r>
      <w:r w:rsidRPr="00290B77">
        <w:rPr>
          <w:lang w:val="fr-FR"/>
        </w:rPr>
        <w:t xml:space="preserve"> </w:t>
      </w:r>
      <w:r>
        <w:rPr>
          <w:lang w:val="fr-FR"/>
        </w:rPr>
        <w:t>supunha a existência de uma analogia entre a gramática e a estrutura da natureza</w:t>
      </w:r>
      <w:r>
        <w:rPr>
          <w:rStyle w:val="Refdenotaderodap"/>
          <w:lang w:val="fr-FR"/>
        </w:rPr>
        <w:footnoteReference w:id="7"/>
      </w:r>
      <w:r>
        <w:rPr>
          <w:lang w:val="fr-FR"/>
        </w:rPr>
        <w:t xml:space="preserve">. Por outro lado, na opinião de </w:t>
      </w:r>
      <w:r w:rsidRPr="003E305A">
        <w:t>Herder o processo de pensamento era indissociável dos processos sensoriais e volitivos, sendo a razão humana um todo orgânico que incluía tanto as manifestações espirituais como as biológicas</w:t>
      </w:r>
      <w:r w:rsidRPr="003E305A">
        <w:rPr>
          <w:rStyle w:val="Refdenotaderodap"/>
        </w:rPr>
        <w:footnoteReference w:id="8"/>
      </w:r>
      <w:r w:rsidRPr="003E305A">
        <w:t>. Por esta série de motivos, ao definir uma língua como manifestação da força vital de um povo, que lhe assegurava a existência enquanto comunidade orgânica, Herder estava necessariamente a considerar a língua num plano também biológico e não puramente metafísico e a atribuir à comunidade linguística o carácter de comunidade racial</w:t>
      </w:r>
      <w:r w:rsidRPr="003E305A">
        <w:rPr>
          <w:rStyle w:val="Refdenotaderodap"/>
        </w:rPr>
        <w:footnoteReference w:id="9"/>
      </w:r>
      <w:r w:rsidRPr="003E305A">
        <w:t xml:space="preserve">. Numa língua comum encontrar-se-ia uma atitude biológica comum, não na </w:t>
      </w:r>
      <w:r w:rsidRPr="003E305A">
        <w:lastRenderedPageBreak/>
        <w:t>acepção que os empiristas davam ao termo, mas numa perspectiva ampla que, abordando a matéria pelo lado da ideia, não introduzia distinções fundamentais entre o plano mental e o físico</w:t>
      </w:r>
      <w:r w:rsidRPr="003E305A">
        <w:rPr>
          <w:rStyle w:val="Refdenotaderodap"/>
        </w:rPr>
        <w:footnoteReference w:id="10"/>
      </w:r>
      <w:r w:rsidRPr="003E305A">
        <w:t>. Mais tarde Hitler e Rosenberg, ao passearem com todo o à-vontade entre o espírito e o corpo e ao proclamarem o sangue da raça como uma entidade físico-espiritual, recorreriam a uma noção que só pelo simplismo da sua formulação e pela rudeza das suas implicações práticas diferiu do tema herderiano da comunidade linguística nacional. Herder, escreve</w:t>
      </w:r>
      <w:r>
        <w:t>u</w:t>
      </w:r>
      <w:r w:rsidRPr="003E305A">
        <w:t xml:space="preserve"> um historiador, «imagina a nação como uma concepção biológico-filológica»</w:t>
      </w:r>
      <w:r w:rsidRPr="003E305A">
        <w:rPr>
          <w:rStyle w:val="Refdenotaderodap"/>
        </w:rPr>
        <w:footnoteReference w:id="11"/>
      </w:r>
      <w:r w:rsidRPr="003E305A">
        <w:t xml:space="preserve"> e foi ele quem primeiro desenvolveu a ideia, que logo veio a ser tão importante na cultura histórica racista, de que existia uma psicologia dos povos</w:t>
      </w:r>
      <w:r w:rsidRPr="003E305A">
        <w:rPr>
          <w:rStyle w:val="Refdenotaderodap"/>
        </w:rPr>
        <w:footnoteReference w:id="12"/>
      </w:r>
      <w:r w:rsidRPr="003E305A">
        <w:t xml:space="preserve">. </w:t>
      </w:r>
    </w:p>
    <w:p w:rsidR="00DF4B40" w:rsidRPr="003E305A" w:rsidRDefault="00DF4B40" w:rsidP="00DF4B40">
      <w:r w:rsidRPr="003E305A">
        <w:t xml:space="preserve">Embora </w:t>
      </w:r>
      <w:r w:rsidR="006B048D">
        <w:t xml:space="preserve">haja quem </w:t>
      </w:r>
      <w:r w:rsidRPr="003E305A">
        <w:t>considere que Herder se manteve fiel aos ideais universalistas do iluminismo e nunca desposou um nacionalismo estreito</w:t>
      </w:r>
      <w:r w:rsidRPr="003E305A">
        <w:rPr>
          <w:rStyle w:val="Refdenotaderodap"/>
        </w:rPr>
        <w:footnoteReference w:id="13"/>
      </w:r>
      <w:r w:rsidRPr="003E305A">
        <w:t xml:space="preserve">, há </w:t>
      </w:r>
      <w:r w:rsidR="006B048D">
        <w:t xml:space="preserve">também </w:t>
      </w:r>
      <w:r w:rsidRPr="003E305A">
        <w:t>quem sustente que as páginas onde se manifestou contrário às pretensões de supremacia germânica devem ser interpretadas em sentido figurado, destinando-se realmente a pôr em causa as aspirações hegemónicas da França jacobina</w:t>
      </w:r>
      <w:r w:rsidRPr="003E305A">
        <w:rPr>
          <w:rStyle w:val="Refdenotaderodap"/>
        </w:rPr>
        <w:footnoteReference w:id="14"/>
      </w:r>
      <w:r w:rsidRPr="003E305A">
        <w:t xml:space="preserve">. Parece </w:t>
      </w:r>
      <w:r w:rsidR="006B048D">
        <w:t>ainda</w:t>
      </w:r>
      <w:r w:rsidRPr="003E305A">
        <w:t xml:space="preserve"> que, apesar de se ter pronunciado contra o colonialismo e negado que os europeus possuíssem o exclusivo da cultura</w:t>
      </w:r>
      <w:r w:rsidRPr="003E305A">
        <w:rPr>
          <w:rStyle w:val="Refdenotaderodap"/>
        </w:rPr>
        <w:footnoteReference w:id="15"/>
      </w:r>
      <w:r w:rsidRPr="003E305A">
        <w:t>, noutras passagens da sua obra Herder admitiu que os negros fossem intelectualmente inferiores</w:t>
      </w:r>
      <w:r w:rsidRPr="003E305A">
        <w:rPr>
          <w:rStyle w:val="Refdenotaderodap"/>
        </w:rPr>
        <w:footnoteReference w:id="16"/>
      </w:r>
      <w:r w:rsidRPr="003E305A">
        <w:t>. Mas pelo menos não oferece dúvidas que era de raiz liberal a concepção herderiana da necessária singularidade e diversidade dos elementos do todo. Com menos ambiguidade, ou talvez até sem ambiguidade nenhuma, os dois irmãos Humboldt, igualmente defensores de uma concepção orgânica das entidades sociais</w:t>
      </w:r>
      <w:r w:rsidRPr="003E305A">
        <w:rPr>
          <w:rStyle w:val="Refdenotaderodap"/>
        </w:rPr>
        <w:footnoteReference w:id="17"/>
      </w:r>
      <w:r w:rsidRPr="003E305A">
        <w:t>, postulavam a unidade biológica da humanidade e rejeitavam qualquer hierarquia racial</w:t>
      </w:r>
      <w:r w:rsidRPr="003E305A">
        <w:rPr>
          <w:rStyle w:val="Refdenotaderodap"/>
        </w:rPr>
        <w:footnoteReference w:id="18"/>
      </w:r>
      <w:r w:rsidRPr="003E305A">
        <w:t xml:space="preserve">. Paradoxalmente, foi o prosseguimento da revolução francesa que pôs termo a esta tradição liberal entre os intelectuais germânicos e levou os discípulos de Herder a remodelarem o modelo da unidade orgânica no sentido de um conservadorismo acentuadamente </w:t>
      </w:r>
      <w:r w:rsidRPr="003E305A">
        <w:lastRenderedPageBreak/>
        <w:t>aristocratizante, substituindo a diversidade interna por um totalitarismo estatal</w:t>
      </w:r>
      <w:r w:rsidRPr="003E305A">
        <w:rPr>
          <w:rStyle w:val="Refdenotaderodap"/>
        </w:rPr>
        <w:footnoteReference w:id="19"/>
      </w:r>
      <w:r w:rsidRPr="003E305A">
        <w:t xml:space="preserve"> e desenvolvendo o racismo implícito no tema da comunidade linguística. </w:t>
      </w:r>
    </w:p>
    <w:p w:rsidR="00DF4B40" w:rsidRPr="003E305A" w:rsidRDefault="00DF4B40" w:rsidP="00DF4B40">
      <w:r w:rsidRPr="003E305A">
        <w:t xml:space="preserve">A expressão «libertação nacional» nasceu entre </w:t>
      </w:r>
      <w:r w:rsidR="00546100">
        <w:t>o</w:t>
      </w:r>
      <w:r w:rsidRPr="003E305A">
        <w:t>s voluntári</w:t>
      </w:r>
      <w:r w:rsidR="00546100">
        <w:t>o</w:t>
      </w:r>
      <w:r w:rsidRPr="003E305A">
        <w:t>s germânic</w:t>
      </w:r>
      <w:r w:rsidR="00546100">
        <w:t>o</w:t>
      </w:r>
      <w:r w:rsidRPr="003E305A">
        <w:t>s que prepararam a guerra de 1813 contra a França</w:t>
      </w:r>
      <w:r w:rsidRPr="003E305A">
        <w:rPr>
          <w:rStyle w:val="Refdenotaderodap"/>
        </w:rPr>
        <w:footnoteReference w:id="20"/>
      </w:r>
      <w:r w:rsidRPr="003E305A">
        <w:t xml:space="preserve"> e desde então têm sido considerados democráticos os valores da autodeterminação cultural, da construção nacional e da autonomia política quando afirmados contra as pretensões expansionistas de vizinhos mais fortes. Como se não fosse suficiente esta ironia da história, concedendo </w:t>
      </w:r>
      <w:r w:rsidR="001C409B" w:rsidRPr="003E305A">
        <w:t xml:space="preserve">a uma das variantes do racismo moderno </w:t>
      </w:r>
      <w:r w:rsidRPr="003E305A">
        <w:t xml:space="preserve">uma génese </w:t>
      </w:r>
      <w:r w:rsidR="001C409B">
        <w:t xml:space="preserve">que hoje é classificada como </w:t>
      </w:r>
      <w:r w:rsidRPr="003E305A">
        <w:t xml:space="preserve">progressista, o paradoxo fica reforçado pelo facto de o imperialismo saído da revolução francesa não ter sido racista. Tanto o jacobinismo republicano como o bonapartista admitiam que as culturas e nações europeias pudessem ser unificadas num mesmo espaço político, e aliás a França contemporânea resulta de uma fusão que naquela época decerto </w:t>
      </w:r>
      <w:r w:rsidR="0019087F">
        <w:t xml:space="preserve"> </w:t>
      </w:r>
      <w:r w:rsidRPr="003E305A">
        <w:t xml:space="preserve">pareceria tão hipotética </w:t>
      </w:r>
      <w:r w:rsidR="00546100">
        <w:t>—</w:t>
      </w:r>
      <w:r w:rsidRPr="003E305A">
        <w:t xml:space="preserve"> ou tão segura </w:t>
      </w:r>
      <w:r w:rsidR="00546100">
        <w:t>—</w:t>
      </w:r>
      <w:r w:rsidRPr="003E305A">
        <w:t xml:space="preserve"> como a das monarquias continentais sob a égide de Napoleão. Basta recordar que durante a revolução os decretos deviam ser publicados nas diferentes línguas, dialectos e maneiras de falar do país, e só a elite possuía uma língua comum, o francês, que era então precisamente a língua comum da elite nos outros países da Europa. Foi contra este expansionismo caracterizadamente anti-racista que os povos germânicos sentiram um sobressalto de independência. Se Corradini tivesse nascido cem anos mais cedo descobriria entre eles a «nação proletária», pois nem a Itália anterior ao </w:t>
      </w:r>
      <w:r w:rsidRPr="003E305A">
        <w:rPr>
          <w:i/>
        </w:rPr>
        <w:t>Risorgimento</w:t>
      </w:r>
      <w:r w:rsidRPr="003E305A">
        <w:t xml:space="preserve"> estava tão fragmentada. A esfera da cultura germânica era constituída por um povo sem Estado próprio, repartido entre uma multiplicidade de soberanos e participando até numa monarquia, a dos Habsburgos, que não se apresentava como exclusivamente germânica. A dispersão era agravada pela divisão entre católicos e protestantes, acentuando no plano religioso as rivalidades profundas que opunham a Áustria e a Baviera à Prússia. Neste povo esfacelado surgiram vozes para defender uma unificação feita nos seus próprios termos, contra a confederação parcial que Napoleão levara a cabo sob a condição de uma definitiva dependência</w:t>
      </w:r>
      <w:r w:rsidR="009E31E3">
        <w:t xml:space="preserve"> política</w:t>
      </w:r>
      <w:r w:rsidRPr="003E305A">
        <w:t xml:space="preserve">. Além disso, um nacionalismo estritamente germânico só podia ser antinapoleónico, pois </w:t>
      </w:r>
      <w:r w:rsidR="0038701C">
        <w:t>Napoleão</w:t>
      </w:r>
      <w:r w:rsidRPr="003E305A">
        <w:t xml:space="preserve"> pretendia reunir o continente sob o seu império, e desse quadro resultaria uma Alemanha cosmopolita, nunca nacionalista. Os patriotas germânicos esforçavam-se por insuflar no povo uma inspiração comum e fazer dele uma nação. Mas como a nação mais não é do que a territorialização do poder de Estado, se os germanos não possuíam um Estado único estavam igualmente desprovidos de uma conotação nacional. Em que termos se poderia, então, definir a nova Germânia? </w:t>
      </w:r>
    </w:p>
    <w:p w:rsidR="00DF4B40" w:rsidRPr="003E305A" w:rsidRDefault="00DF4B40" w:rsidP="00DF4B40">
      <w:r w:rsidRPr="003E305A">
        <w:lastRenderedPageBreak/>
        <w:t xml:space="preserve">O factor de coesão apenas se podia </w:t>
      </w:r>
      <w:r>
        <w:t>achar</w:t>
      </w:r>
      <w:r w:rsidRPr="003E305A">
        <w:t xml:space="preserve"> onde Herder o havia indicado, na língua e na literatura, e com elas o romantismo germânico promoveu o ideal de uma nação unida para além das divisões políticas. </w:t>
      </w:r>
      <w:r>
        <w:t xml:space="preserve">Não era em soberanias retalhadas aos pedaços que </w:t>
      </w:r>
      <w:r w:rsidRPr="003E305A">
        <w:t xml:space="preserve">Ernst Moritz </w:t>
      </w:r>
      <w:r>
        <w:t>Arndt encontrava a pátria</w:t>
      </w:r>
      <w:r w:rsidR="00733697">
        <w:t xml:space="preserve">; </w:t>
      </w:r>
      <w:r>
        <w:t>mas onde se falava alemão, proclamou ele num poema, ali se encontrava a Alemanha</w:t>
      </w:r>
      <w:r>
        <w:rPr>
          <w:rStyle w:val="Refdenotaderodap"/>
        </w:rPr>
        <w:footnoteReference w:id="21"/>
      </w:r>
      <w:r>
        <w:t xml:space="preserve">. </w:t>
      </w:r>
      <w:r w:rsidR="00733697">
        <w:t xml:space="preserve">Também </w:t>
      </w:r>
      <w:r w:rsidRPr="003E305A">
        <w:t xml:space="preserve">Schleiermacher e Friedrich von Schlegel apresentavam </w:t>
      </w:r>
      <w:r w:rsidR="00733697" w:rsidRPr="003E305A">
        <w:t xml:space="preserve">a língua </w:t>
      </w:r>
      <w:r w:rsidRPr="003E305A">
        <w:t>como o instrumento necessário para a compreensão da vida política</w:t>
      </w:r>
      <w:r w:rsidRPr="003E305A">
        <w:rPr>
          <w:rStyle w:val="Refdenotaderodap"/>
        </w:rPr>
        <w:footnoteReference w:id="22"/>
      </w:r>
      <w:r w:rsidRPr="003E305A">
        <w:t>. «A unidade da língua», escreveu Friedrich von Schlegel, «é aqui muito importante. Ela constitui o testemunho irrecusável, o traço de união mais íntimo e natural, e será considerada, junto com a identidade dos costumes, como o elo mais sólido e mais durável, assegurando a unidade da nação através dos séculos»</w:t>
      </w:r>
      <w:r w:rsidRPr="003E305A">
        <w:rPr>
          <w:rStyle w:val="Refdenotaderodap"/>
        </w:rPr>
        <w:footnoteReference w:id="23"/>
      </w:r>
      <w:r w:rsidRPr="003E305A">
        <w:t>. Erguendo-se contra as concepções de direito assentes na igualdade jurídica, Savigny tomou como postulado que o fundamento do direito se encontrava no povo, entendido enquanto comunidade cultural, e a função dos juristas não consistia em criar leis mas em formalizar normas estabelecidas já consuetudinariamente. Para esta nova escola de interpretação as leis surgiam e desenvolviam-se do mesmo modo que o faziam as palavras e a língua, a partir de um núcleo originário irracional e indefinível, formando-se uma entidade evolutiva que os contemporâneos partilhavam com todos os ancestrais</w:t>
      </w:r>
      <w:r w:rsidRPr="003E305A">
        <w:rPr>
          <w:rStyle w:val="Refdenotaderodap"/>
        </w:rPr>
        <w:footnoteReference w:id="24"/>
      </w:r>
      <w:r w:rsidRPr="003E305A">
        <w:t>. Referindo-se a Savigny e à sua interpretação histórica do direito, Georges Sorel observou com pertinência que na época o direito consuetudinário era assimilado à língua</w:t>
      </w:r>
      <w:r w:rsidRPr="003E305A">
        <w:rPr>
          <w:rStyle w:val="Refdenotaderodap"/>
        </w:rPr>
        <w:footnoteReference w:id="25"/>
      </w:r>
      <w:r w:rsidRPr="003E305A">
        <w:t xml:space="preserve">. </w:t>
      </w:r>
    </w:p>
    <w:p w:rsidR="00DF4B40" w:rsidRPr="003E305A" w:rsidRDefault="00DF4B40" w:rsidP="00DF4B40">
      <w:r w:rsidRPr="003E305A">
        <w:t>Mas na área linguística alemã havia uma grande quantidade de dialectos e maneiras de falar, e assim o primeiro objectivo destes novos nacionalistas consistiu no estabelecimento de um padrão linguístico e na ordenação das tradições orais. Foi um nacionalismo de literatos, de etnólogos do conto popular, de pesquisadores de canções tradicionais</w:t>
      </w:r>
      <w:r w:rsidRPr="003E305A">
        <w:rPr>
          <w:rStyle w:val="Refdenotaderodap"/>
        </w:rPr>
        <w:footnoteReference w:id="26"/>
      </w:r>
      <w:r w:rsidRPr="003E305A">
        <w:t xml:space="preserve">. </w:t>
      </w:r>
      <w:r w:rsidR="000774DD" w:rsidRPr="003E305A">
        <w:t xml:space="preserve">O folclore, </w:t>
      </w:r>
      <w:r w:rsidRPr="003E305A">
        <w:t>o tesouro de saber de um povo, nasceu como nacionalismo literário. «É o espírito da nossa nação que reside no conjunto da nossa literatura», lemos num artigo de Joseph von Görres, «e como a poesia é, mais do que qualquer outra forma literária, um espelho fiel do povo, graças a ela podemos conhecer facilmente a essência do nosso carácter nacional, a sua fisionomia particular e os traços dominantes do seu génio»</w:t>
      </w:r>
      <w:r w:rsidRPr="003E305A">
        <w:rPr>
          <w:rStyle w:val="Refdenotaderodap"/>
        </w:rPr>
        <w:footnoteReference w:id="27"/>
      </w:r>
      <w:r w:rsidRPr="003E305A">
        <w:t xml:space="preserve">. </w:t>
      </w:r>
      <w:r>
        <w:t xml:space="preserve">É </w:t>
      </w:r>
      <w:r w:rsidRPr="003E305A">
        <w:t xml:space="preserve">certo que </w:t>
      </w:r>
      <w:r w:rsidR="000774DD">
        <w:t>n</w:t>
      </w:r>
      <w:r w:rsidRPr="003E305A">
        <w:t xml:space="preserve">outros países houve eruditos a preocuparem-se igualmente com os contos e cantos tradicionais e com as raízes dos costumes rurais, mas só </w:t>
      </w:r>
      <w:r w:rsidRPr="003E305A">
        <w:lastRenderedPageBreak/>
        <w:t>entre os germanos eles detiveram uma posição central na cultura e na vida social, a tal ponto que a antologia de canções populares publicada pelos jovens Achim von Arnim e Clemens Brentano nos primeiros anos do século XIX pôde ser saudada como um acontecimento político</w:t>
      </w:r>
      <w:r w:rsidRPr="003E305A">
        <w:rPr>
          <w:rStyle w:val="Refdenotaderodap"/>
        </w:rPr>
        <w:footnoteReference w:id="28"/>
      </w:r>
      <w:r w:rsidRPr="003E305A">
        <w:t xml:space="preserve"> e quatro décadas depois Jacob Grimm anunciou no prefácio à sua </w:t>
      </w:r>
      <w:r w:rsidRPr="003E305A">
        <w:rPr>
          <w:i/>
        </w:rPr>
        <w:t>História da Língua Alemã</w:t>
      </w:r>
      <w:r w:rsidRPr="003E305A">
        <w:t xml:space="preserve"> que se tratava de «uma obra política até à medula dos ossos»</w:t>
      </w:r>
      <w:r w:rsidRPr="003E305A">
        <w:rPr>
          <w:rStyle w:val="Refdenotaderodap"/>
        </w:rPr>
        <w:footnoteReference w:id="29"/>
      </w:r>
      <w:r w:rsidRPr="003E305A">
        <w:t xml:space="preserve">. </w:t>
      </w:r>
      <w:r>
        <w:t>Já Herder se interessara por publicar recolhas de poesia popular</w:t>
      </w:r>
      <w:r>
        <w:rPr>
          <w:rStyle w:val="Refdenotaderodap"/>
        </w:rPr>
        <w:footnoteReference w:id="30"/>
      </w:r>
      <w:r>
        <w:t xml:space="preserve">. </w:t>
      </w:r>
      <w:r w:rsidRPr="003E305A">
        <w:t>Se nos demais Estados os literatos foram os serventes dos políticos, na formação da Alemanha moderna foram os literatos os primeiros políticos</w:t>
      </w:r>
      <w:r w:rsidR="00794FD0">
        <w:rPr>
          <w:rStyle w:val="Refdenotaderodap"/>
        </w:rPr>
        <w:footnoteReference w:id="31"/>
      </w:r>
      <w:r w:rsidRPr="003E305A">
        <w:t xml:space="preserve">. </w:t>
      </w:r>
      <w:r w:rsidR="006D2C63">
        <w:t>«Os alemães não tinham escolha», explicou um historiador das ideias; «tinham de criar um teatro nacional antes de serem capazes de se converter numa nação»</w:t>
      </w:r>
      <w:r w:rsidR="006D2C63">
        <w:rPr>
          <w:rStyle w:val="Refdenotaderodap"/>
        </w:rPr>
        <w:footnoteReference w:id="32"/>
      </w:r>
      <w:r w:rsidR="006D2C63">
        <w:t xml:space="preserve">. </w:t>
      </w:r>
    </w:p>
    <w:p w:rsidR="00DF4B40" w:rsidRPr="003E305A" w:rsidRDefault="00DF4B40" w:rsidP="00DF4B40">
      <w:r w:rsidRPr="003E305A">
        <w:t xml:space="preserve">Aqueles que se exprimiam em alemão estariam possuídos por uma alma comum, um </w:t>
      </w:r>
      <w:r w:rsidRPr="003E305A">
        <w:rPr>
          <w:i/>
        </w:rPr>
        <w:t>Volksgeist,</w:t>
      </w:r>
      <w:r w:rsidRPr="003E305A">
        <w:t xml:space="preserve"> o génio colectivo de um povo. Fichte deduziu a partir daqui todo o seu plano de renascimento do patriotismo germânico, de resistência ao invasor e de restauração da liberdade nacional. Ele considerava a língua como o factor originário e, inspirado talvez pelas teses defendidas por Schottel no século XVII, deduzia a vitalidade cultural e política dos alemães do facto de terem mantido viva a sua língua própria, enquanto os outros ramos germânicos espalhados pela cristandade ocidental haviam adoptado uma língua morta, o latim, o que provocara a sua degenerescência</w:t>
      </w:r>
      <w:r w:rsidRPr="003E305A">
        <w:rPr>
          <w:rStyle w:val="Refdenotaderodap"/>
        </w:rPr>
        <w:footnoteReference w:id="33"/>
      </w:r>
      <w:r w:rsidRPr="003E305A">
        <w:t>. A dialéctica concebida por Fichte para explicar a história das culturas assentava nesta oposição entre a continuidade de uma língua viva e o uso de uma língua morta. Eram os alemães os únicos que podiam pensar de maneira criativa e sincera, desenvolvendo portanto a ciência e dando asas ao progresso, ao mesmo tempo que conservavam os valores sóbrios e tradicionais da honestidade intelectual. Bastava-lhes para isso reflectirem a partir dos fundamentos da língua, que na opinião de Fichte correspondiam à essência mais íntima do povo</w:t>
      </w:r>
      <w:r w:rsidR="00B131CB">
        <w:t>.</w:t>
      </w:r>
      <w:r w:rsidRPr="003E305A">
        <w:t xml:space="preserve"> «[...] a bem dizer, não é esse povo quem exprime o seu conhecimento, mas o seu conhecimento que se exprime através dele»</w:t>
      </w:r>
      <w:r w:rsidRPr="003E305A">
        <w:rPr>
          <w:rStyle w:val="Refdenotaderodap"/>
        </w:rPr>
        <w:footnoteReference w:id="34"/>
      </w:r>
      <w:r w:rsidRPr="003E305A">
        <w:t xml:space="preserve">. Não </w:t>
      </w:r>
      <w:r>
        <w:t>seria</w:t>
      </w:r>
      <w:r w:rsidRPr="003E305A">
        <w:t xml:space="preserve"> o povo a falar a língua, mas a língua a fazer falar o povo. Desta maneira os franceses, antigos germanos, tendo-se sujeitado ao uso do latim, que era estranho à identidade orgânica do povo germânico, </w:t>
      </w:r>
      <w:r w:rsidRPr="003E305A">
        <w:lastRenderedPageBreak/>
        <w:t>ficaram condenados a uma cultura artificial. Como poderia uma língua morta exprimir-se através de um povo, se ela já nada mais tinha a dizer? Incapaz de profundidade porque não podia retomar as raízes populares, a cultura francesa esvaiu-se na superficialidade do discurso</w:t>
      </w:r>
      <w:r w:rsidRPr="003E305A">
        <w:rPr>
          <w:rStyle w:val="Refdenotaderodap"/>
        </w:rPr>
        <w:footnoteReference w:id="35"/>
      </w:r>
      <w:r w:rsidRPr="003E305A">
        <w:t xml:space="preserve">. </w:t>
      </w:r>
    </w:p>
    <w:p w:rsidR="00DF4B40" w:rsidRPr="003E305A" w:rsidRDefault="00DF4B40" w:rsidP="00DF4B40">
      <w:r w:rsidRPr="003E305A">
        <w:t xml:space="preserve">Para Fichte a língua não era uma criação social, que um povo conseguia moldar consoante os traços da sua cultura, quaisquer que fossem os materiais de origem empregues. Pelo contrário, «os homens são formados pela língua, mais do que a língua o é pelos homens. [...] A língua em geral, e mais particularmente a designação dos objectos com a ajuda de sons emitidos pelo aparelho vocal, em nada depende de decisões arbitrárias ou de convenções [...] Na verdade, não é o homem enquanto tal quem fala, mas a natureza humana que se exprime através dele e se comunica aos outros. Assim, devia dizer-se que a língua é </w:t>
      </w:r>
      <w:r w:rsidRPr="003E305A">
        <w:rPr>
          <w:i/>
        </w:rPr>
        <w:t>una</w:t>
      </w:r>
      <w:r w:rsidRPr="003E305A">
        <w:t xml:space="preserve"> e inteiramente necessária»</w:t>
      </w:r>
      <w:r w:rsidRPr="003E305A">
        <w:rPr>
          <w:rStyle w:val="Refdenotaderodap"/>
        </w:rPr>
        <w:footnoteReference w:id="36"/>
      </w:r>
      <w:r w:rsidRPr="003E305A">
        <w:t xml:space="preserve">. Considerada a língua como o factor primitivo, saído directamente da natureza, as palavras possuiriam o estatuto de coisas reais. «[...] não sendo a língua uma criação arbitrária, mas emanando da vida inteligente como uma força directa da natureza, sucede que ao prosseguir o seu desenvolvimento sob a égide desta lei ela possui igualmente a força para intervir na vida e para a estimular. Tal como as coisas, mediante a sua presença directa, são capazes de estimular a actividade dos homens, também as palavras dessa língua devem estimular aqueles que as compreendem, porque estas palavras são igualmente coisas reais, e de modo </w:t>
      </w:r>
      <w:r w:rsidR="00B131CB">
        <w:t>nenhum</w:t>
      </w:r>
      <w:r w:rsidRPr="003E305A">
        <w:t xml:space="preserve"> produtos arbitrários»</w:t>
      </w:r>
      <w:r w:rsidRPr="003E305A">
        <w:rPr>
          <w:rStyle w:val="Refdenotaderodap"/>
        </w:rPr>
        <w:footnoteReference w:id="37"/>
      </w:r>
      <w:r w:rsidRPr="003E305A">
        <w:t xml:space="preserve">. </w:t>
      </w:r>
    </w:p>
    <w:p w:rsidR="00DF4B40" w:rsidRPr="003E305A" w:rsidRDefault="00DF4B40" w:rsidP="00DF4B40">
      <w:r w:rsidRPr="003E305A">
        <w:t>Esta tese desenvolveu-se num sentido racista quando da alma se passou ao corpo, pretendendo-se que os elementos de um povo falavam e pensavam da mesma maneira porque tinham o mesmo tipo de cérebro. A ansiada existência de um povo germânico não se justificava em função de um Estado enquanto mero conjunto de instituições políticas centralizadoras, nem em função de uma nação, quer apresentada simplesmente como um território quer considerada de maneira sentimental como um solo, com todas as conotações metafísicas. Neste contexto, o povo só era compreensível em termos de raça. A língua passou a significar, antes de mais, uma expressão da raça. Quem pretenda negar o racismo de Fichte invocando o facto de ele reconhecer que a população dos Estados alemães resultava de uma mistura com as antigas populações autóctones e com elementos eslavos está a iludir-se quanto ao verdadeiro lugar deste racismo, que não se referia originariamente ao sangue, mas à língua</w:t>
      </w:r>
      <w:r w:rsidRPr="003E305A">
        <w:rPr>
          <w:rStyle w:val="Refdenotaderodap"/>
        </w:rPr>
        <w:footnoteReference w:id="38"/>
      </w:r>
      <w:r w:rsidRPr="003E305A">
        <w:t xml:space="preserve">. Para Fichte era em </w:t>
      </w:r>
      <w:r w:rsidRPr="003E305A">
        <w:lastRenderedPageBreak/>
        <w:t xml:space="preserve">sentido pleno e literal que «os homens são formados pela língua». A pureza linguística, entendida como conservação viva da língua originária, garantia a pureza rácica, que as outras mestiçagens não atingiam. Assim, pouco importavam o sangue e a genealogia, porque a língua não era só uma maneira de pensar e falar, mas materializava-se numa constituição cerebral própria. Com esta materialização da expressão oral passava-se o mesmo que com tudo o resto na «síntese genética» concebida por Fichte, que restringia ao plano intelectual os processos cognitivos e fenomenológicos necessários para a criação da realidade empírica. O </w:t>
      </w:r>
      <w:r w:rsidRPr="003E305A">
        <w:rPr>
          <w:i/>
        </w:rPr>
        <w:t>ego</w:t>
      </w:r>
      <w:r w:rsidRPr="003E305A">
        <w:t xml:space="preserve"> era para Fichte uma noção colectiva e ele considerava a acção intelectual desta entidade colectiva como criadora da realidade</w:t>
      </w:r>
      <w:r w:rsidRPr="003E305A">
        <w:rPr>
          <w:rStyle w:val="Refdenotaderodap"/>
        </w:rPr>
        <w:footnoteReference w:id="39"/>
      </w:r>
      <w:r w:rsidRPr="003E305A">
        <w:t xml:space="preserve">. O único verdadeiro problema na filosofia de Fichte era a sequência de processos cognitivos e fenomenológicos, não a materialização destes processos. A língua não era uma excepção, e enganar-nos-íamos gravemente se considerássemos que Fichte a deixava em suspenso no plano das ideias, sem pressupor a sua corporalização. </w:t>
      </w:r>
    </w:p>
    <w:p w:rsidR="00DF4B40" w:rsidRPr="003E305A" w:rsidRDefault="00DF4B40" w:rsidP="00DF4B40">
      <w:r w:rsidRPr="003E305A">
        <w:t>Fichte, que várias vezes</w:t>
      </w:r>
      <w:r w:rsidR="0009363D">
        <w:t xml:space="preserve"> </w:t>
      </w:r>
      <w:r w:rsidRPr="003E305A">
        <w:t>adoptou uma postura universal, prevendo as implicações positivas do sistema educacional de Pestalozzi para «toda a humanidade»</w:t>
      </w:r>
      <w:r w:rsidRPr="003E305A">
        <w:rPr>
          <w:rStyle w:val="Refdenotaderodap"/>
        </w:rPr>
        <w:footnoteReference w:id="40"/>
      </w:r>
      <w:r w:rsidRPr="003E305A">
        <w:t xml:space="preserve"> e afirmando que «o género humano é um todo, eternamente em progresso»</w:t>
      </w:r>
      <w:r w:rsidRPr="003E305A">
        <w:rPr>
          <w:rStyle w:val="Refdenotaderodap"/>
        </w:rPr>
        <w:footnoteReference w:id="41"/>
      </w:r>
      <w:r w:rsidRPr="003E305A">
        <w:t>, desvendou os limites desta abertura de espírito ao erigir a nação alemã em mãe da civilização e ao proclamar, na conclusão do último</w:t>
      </w:r>
      <w:r w:rsidR="0009363D">
        <w:t xml:space="preserve"> dos</w:t>
      </w:r>
      <w:r w:rsidRPr="003E305A">
        <w:t xml:space="preserve"> </w:t>
      </w:r>
      <w:r w:rsidR="0009363D" w:rsidRPr="003E305A">
        <w:rPr>
          <w:i/>
        </w:rPr>
        <w:t>Discursos à Nação Alemã</w:t>
      </w:r>
      <w:r w:rsidRPr="003E305A">
        <w:t>, que a degradação da cultura germânica e da sua entidade nacional implicaria o fim definitivo da humanidade</w:t>
      </w:r>
      <w:r w:rsidRPr="003E305A">
        <w:rPr>
          <w:rStyle w:val="Refdenotaderodap"/>
        </w:rPr>
        <w:footnoteReference w:id="42"/>
      </w:r>
      <w:r w:rsidRPr="003E305A">
        <w:t>. Ou, como escreveu noutra obra, «se o Alemão não salva a cultura da humanidade, nenhuma outra nação europeia a poderá salvar»</w:t>
      </w:r>
      <w:r w:rsidRPr="003E305A">
        <w:rPr>
          <w:rStyle w:val="Refdenotaderodap"/>
        </w:rPr>
        <w:footnoteReference w:id="43"/>
      </w:r>
      <w:r w:rsidRPr="003E305A">
        <w:t xml:space="preserve">. </w:t>
      </w:r>
      <w:r>
        <w:t xml:space="preserve">Talvez se </w:t>
      </w:r>
      <w:r w:rsidRPr="003E305A">
        <w:t>afigur</w:t>
      </w:r>
      <w:r>
        <w:t xml:space="preserve">e </w:t>
      </w:r>
      <w:r w:rsidRPr="003E305A">
        <w:t xml:space="preserve">paradoxal que o nacionalismo, no momento da gestação, se </w:t>
      </w:r>
      <w:r>
        <w:t>tivesse</w:t>
      </w:r>
      <w:r w:rsidRPr="003E305A">
        <w:t xml:space="preserve"> </w:t>
      </w:r>
      <w:r w:rsidRPr="003E305A">
        <w:lastRenderedPageBreak/>
        <w:t>apresentado como um universalismo, mas esta contradição resolve-se ao verificarmos que qualquer nacionalismo encontra no imperialismo a sua vocação última e anuncia este processo de expansão como a sua missão universal</w:t>
      </w:r>
      <w:r w:rsidRPr="003E305A">
        <w:rPr>
          <w:rStyle w:val="Refdenotaderodap"/>
        </w:rPr>
        <w:footnoteReference w:id="44"/>
      </w:r>
      <w:r w:rsidRPr="003E305A">
        <w:t xml:space="preserve">. </w:t>
      </w:r>
    </w:p>
    <w:p w:rsidR="00DF4B40" w:rsidRPr="003E305A" w:rsidRDefault="00DF4B40" w:rsidP="00DF4B40">
      <w:r w:rsidRPr="003E305A">
        <w:t xml:space="preserve">Todavia, o facto de Fichte se ter mantido fiel ao jacobinismo introduziu uma certa ambiguidade nas suas formulações. Foi entre os conservadores e os jacobinos convertidos ao conservadorismo, formando a grande maioria dos românticos na área germânica, que a passagem do tema da língua para o tema da raça se operou sem equívocos, dentro do modelo orgânico de nação proposto por Herder. Este antropomorfismo social não espanta, se o colocarmos no contexto de um nacionalismo que atribuía aos povos uma psicologia, como se fossem indivíduos. Dando um cérebro ao </w:t>
      </w:r>
      <w:r w:rsidRPr="003E305A">
        <w:rPr>
          <w:i/>
        </w:rPr>
        <w:t>Volksgeist,</w:t>
      </w:r>
      <w:r w:rsidRPr="003E305A">
        <w:t xml:space="preserve"> acabava-se dando-lhe também um </w:t>
      </w:r>
      <w:r w:rsidR="00167C09">
        <w:t>corpo</w:t>
      </w:r>
      <w:r w:rsidRPr="003E305A">
        <w:t>, e assim a nação ficava definitivamente convertida numa raça</w:t>
      </w:r>
      <w:r w:rsidRPr="003E305A">
        <w:rPr>
          <w:rStyle w:val="Refdenotaderodap"/>
        </w:rPr>
        <w:footnoteReference w:id="45"/>
      </w:r>
      <w:r w:rsidRPr="003E305A">
        <w:t xml:space="preserve">. </w:t>
      </w:r>
      <w:r w:rsidR="00B975FA">
        <w:t xml:space="preserve">Curiosamente, </w:t>
      </w:r>
      <w:r w:rsidR="00987A2A">
        <w:t xml:space="preserve">existe </w:t>
      </w:r>
      <w:r w:rsidR="00F57435">
        <w:t>n</w:t>
      </w:r>
      <w:r w:rsidR="00B975FA">
        <w:t>a esquerda de tradição marxista uma certa miopia acerca desta questão, devid</w:t>
      </w:r>
      <w:r w:rsidR="00987A2A">
        <w:t>a</w:t>
      </w:r>
      <w:r w:rsidR="00B975FA">
        <w:t xml:space="preserve"> à forma </w:t>
      </w:r>
      <w:r w:rsidR="00B975FA" w:rsidRPr="003E305A">
        <w:t xml:space="preserve">como entende o papel desempenhado por Hegel e </w:t>
      </w:r>
      <w:r w:rsidR="00B975FA">
        <w:t xml:space="preserve">como </w:t>
      </w:r>
      <w:r w:rsidR="00B975FA" w:rsidRPr="003E305A">
        <w:t xml:space="preserve">reviu as concepções hegelianas de Estado. Analisar os pensadores do romantismo germânico à luz da versão marxista do hegelianismo é fechar os olhos </w:t>
      </w:r>
      <w:r w:rsidR="00B975FA">
        <w:t>ao tema do racismo</w:t>
      </w:r>
      <w:r w:rsidR="00B975FA" w:rsidRPr="003E305A">
        <w:t xml:space="preserve">. </w:t>
      </w:r>
      <w:r w:rsidRPr="003E305A">
        <w:t xml:space="preserve">«Em si, cada raça é um todo fechado, um círculo completo», escreveu Görres, que viria a ser tão apreciado pelos </w:t>
      </w:r>
      <w:r w:rsidR="00B975FA">
        <w:t>nacionais-socialistas</w:t>
      </w:r>
      <w:r w:rsidRPr="003E305A">
        <w:t>; «todos os seus membros estão unidos por uma comunidade de sangue; e tal como falam uma única língua, também devem ter uma única consciência e comportar-se como um só homem. É esta a regra fundamental»</w:t>
      </w:r>
      <w:r w:rsidRPr="003E305A">
        <w:rPr>
          <w:rStyle w:val="Refdenotaderodap"/>
        </w:rPr>
        <w:footnoteReference w:id="46"/>
      </w:r>
      <w:r w:rsidRPr="003E305A">
        <w:t xml:space="preserve">. Se, na sua dispersão política, os povos germânicos nada possuíam em comum além da língua, ela foi assimilada à raça, no sentido biológico. </w:t>
      </w:r>
    </w:p>
    <w:p w:rsidR="00DF4B40" w:rsidRPr="003E305A" w:rsidRDefault="00DF4B40" w:rsidP="00DF4B40">
      <w:r w:rsidRPr="003E305A">
        <w:lastRenderedPageBreak/>
        <w:t xml:space="preserve">Na verdade, os teóricos </w:t>
      </w:r>
      <w:r w:rsidR="001E7E00">
        <w:t>deste</w:t>
      </w:r>
      <w:r w:rsidRPr="003E305A">
        <w:t xml:space="preserve"> racismo inverteram os critérios de avaliação histórica e mistificaram a transitoriedade cultural mediante a invocação de uma perenidade biológica, pois os discursos que proferiam sobre as raças mais não eram do que discursos sobre as línguas. O passo decisivo foi dado por Friedrich von Schlegel</w:t>
      </w:r>
      <w:r w:rsidR="001E7E00">
        <w:t xml:space="preserve"> ao</w:t>
      </w:r>
      <w:r w:rsidRPr="003E305A">
        <w:t xml:space="preserve"> defende</w:t>
      </w:r>
      <w:r w:rsidR="001E7E00">
        <w:t>r</w:t>
      </w:r>
      <w:r w:rsidRPr="003E305A">
        <w:t xml:space="preserve"> que a comunidade linguística encontrada na origem do sânscrito, do persa e de várias línguas europeias correspondera a uma entidade racial, os arianos, conquistadores da Índia e fundadores da cultura ocidental</w:t>
      </w:r>
      <w:r w:rsidRPr="003E305A">
        <w:rPr>
          <w:rStyle w:val="Refdenotaderodap"/>
        </w:rPr>
        <w:footnoteReference w:id="47"/>
      </w:r>
      <w:r w:rsidRPr="003E305A">
        <w:t>. Assim se passou da descoberta de uma família linguística para a invenção de uma raça e esta transição constituiu o acto fundador do novo tipo de racismo. «De uma língua fez-se um povo, e deste povo fez-se em seguida uma raça», observ</w:t>
      </w:r>
      <w:r>
        <w:t>ou</w:t>
      </w:r>
      <w:r w:rsidRPr="003E305A">
        <w:t xml:space="preserve"> com pertinência um especialista. «Sobre essa base linguística e depois racial construiu-se toda uma história mítica»</w:t>
      </w:r>
      <w:r w:rsidRPr="003E305A">
        <w:rPr>
          <w:rStyle w:val="Refdenotaderodap"/>
        </w:rPr>
        <w:footnoteReference w:id="48"/>
      </w:r>
      <w:r w:rsidRPr="003E305A">
        <w:t>. E graças a tais acrobacias a filologia expandiu o seu domínio da história cultural das línguas para a pretensa história biológica da humanidade</w:t>
      </w:r>
      <w:r w:rsidRPr="003E305A">
        <w:rPr>
          <w:rStyle w:val="Refdenotaderodap"/>
        </w:rPr>
        <w:footnoteReference w:id="49"/>
      </w:r>
      <w:r w:rsidRPr="003E305A">
        <w:t xml:space="preserve">. Houston Stewart Chamberlain deixou clara a genealogia das suas teses ao escrever, no prefácio a uma das reedições da sua obra principal, que «se a questão das raças pôde ser progressivamente esclarecida a despeito dos antropólogos [...] devemo-lo à filologia comparada do século passado. Todos os conceitos fundamentais que constituem hoje um património comum e que a própria antropologia anatómica não poderia dispensar [...] devemo-los em primeiro lugar à filologia. Ela não buscou o ser exterior, a ossatura, mas, pelo contrário, o ser mais íntimo, a alma invisível do que a nossos olhos aparece sob a forma de corpo </w:t>
      </w:r>
      <w:r w:rsidR="00BE6A10">
        <w:t>—</w:t>
      </w:r>
      <w:r w:rsidRPr="003E305A">
        <w:t xml:space="preserve"> a linguagem»</w:t>
      </w:r>
      <w:r w:rsidRPr="003E305A">
        <w:rPr>
          <w:rStyle w:val="Refdenotaderodap"/>
        </w:rPr>
        <w:footnoteReference w:id="50"/>
      </w:r>
      <w:r w:rsidRPr="003E305A">
        <w:t xml:space="preserve">. </w:t>
      </w:r>
      <w:r w:rsidR="00BE6A10">
        <w:t xml:space="preserve">Ficou assim </w:t>
      </w:r>
      <w:r w:rsidR="001E7E00">
        <w:t xml:space="preserve">traçado o caminho que levou do </w:t>
      </w:r>
      <w:r w:rsidR="00BE6A10">
        <w:t xml:space="preserve">romantismo germânico </w:t>
      </w:r>
      <w:r w:rsidR="001E7E00">
        <w:t xml:space="preserve">ao </w:t>
      </w:r>
      <w:r w:rsidR="00BE6A10">
        <w:t xml:space="preserve">racismo nacional-socialista. </w:t>
      </w:r>
    </w:p>
    <w:p w:rsidR="00DF4B40" w:rsidRPr="003E305A" w:rsidRDefault="00DF4B40" w:rsidP="00DF4B40">
      <w:r w:rsidRPr="003E305A">
        <w:t>As teorias racistas de conotação linguística foram forçosamente irracionalistas</w:t>
      </w:r>
      <w:r w:rsidRPr="003E305A">
        <w:rPr>
          <w:rStyle w:val="Refdenotaderodap"/>
        </w:rPr>
        <w:footnoteReference w:id="51"/>
      </w:r>
      <w:r w:rsidRPr="003E305A">
        <w:t>, pois a língua não é um conteúdo do pensamento, mas a sua forma. «Considerava-se que as duas essências mais puras de uma “raça” eram a sua linguagem e os seus cantos populares. [...] e considerava-se que eles comunicavam o sentimento, não a razão», observ</w:t>
      </w:r>
      <w:r>
        <w:t>ou</w:t>
      </w:r>
      <w:r w:rsidRPr="003E305A">
        <w:t xml:space="preserve"> um historiador da historiografia. «Herder negou a prioridade do pensamento e da razão relativamente às palavras [...] Para Herder e para os românticos o objectivo principal da linguagem não era transmitir a </w:t>
      </w:r>
      <w:r w:rsidRPr="003E305A">
        <w:lastRenderedPageBreak/>
        <w:t>razão, mas expressar o sentimento [...]»</w:t>
      </w:r>
      <w:r w:rsidRPr="003E305A">
        <w:rPr>
          <w:rStyle w:val="Refdenotaderodap"/>
        </w:rPr>
        <w:footnoteReference w:id="52"/>
      </w:r>
      <w:r w:rsidRPr="003E305A">
        <w:t xml:space="preserve">. A língua falada e a língua cantada seriam formas capazes de comunicar as sensações antes de veicular as ideias, aptas a estabelecer uma verdadeira comunhão física elementar. Os românticos levaram ao extremo a noção de psicologia dos povos, estipulando como elemento rácico determinante uma forma de pensamento, anteriormente ao seu conteúdo intelectual ou mesmo sem esse conteúdo. E é precisamente isto que caracteriza o irracionalismo. Tratava-se, no entanto, de um tipo de irracionalismo bastante diferente do intuicionismo que </w:t>
      </w:r>
      <w:r w:rsidR="001D682D">
        <w:t xml:space="preserve">haveria de estar </w:t>
      </w:r>
      <w:r w:rsidRPr="003E305A">
        <w:t xml:space="preserve">em voga no começo do século XX, porque para o romantismo racista germânico a forma do pensamento não </w:t>
      </w:r>
      <w:r w:rsidR="001D682D">
        <w:t>era</w:t>
      </w:r>
      <w:r w:rsidRPr="003E305A">
        <w:t xml:space="preserve"> apenas uma categoria lógica, mas uma verdadeira manifestação física, sensorial. </w:t>
      </w:r>
    </w:p>
    <w:p w:rsidR="00DF4B40" w:rsidRPr="003E305A" w:rsidRDefault="00DF4B40" w:rsidP="00DF4B40">
      <w:r w:rsidRPr="003E305A">
        <w:t xml:space="preserve">Contra as abstracções niveladoras da razão, que explicavam todas as diferenças sociais graças ao dinheiro, esse grande redutor da qualidade à quantidade, os românticos </w:t>
      </w:r>
      <w:r w:rsidR="00B03534">
        <w:t>germanos</w:t>
      </w:r>
      <w:r w:rsidRPr="003E305A">
        <w:t xml:space="preserve"> usaram o irracionalismo para afirmar a irredutibilidade das distinções qualitativas e puderam assim repensar os princípios da sociedade conservadora. Por um lado, ao denunciarem os teóricos e políticos jacobinos eles deviam inevitavelmente aparecer como conservadores. O modelo orgânico, que Herder usara para abordar a comunidade popular e converter a plebe num objecto primordial da reflexão política, passou a servir de justificação às hierarquias sociais</w:t>
      </w:r>
      <w:r w:rsidRPr="003E305A">
        <w:rPr>
          <w:rStyle w:val="Refdenotaderodap"/>
        </w:rPr>
        <w:footnoteReference w:id="53"/>
      </w:r>
      <w:r w:rsidR="00B03534">
        <w:t>,</w:t>
      </w:r>
      <w:r w:rsidRPr="003E305A">
        <w:t xml:space="preserve"> </w:t>
      </w:r>
      <w:r w:rsidR="00B03534" w:rsidRPr="003E305A">
        <w:t>legitim</w:t>
      </w:r>
      <w:r w:rsidR="00B03534">
        <w:t xml:space="preserve">ando </w:t>
      </w:r>
      <w:r w:rsidR="00B03534" w:rsidRPr="003E305A">
        <w:t xml:space="preserve">como natural a </w:t>
      </w:r>
      <w:r w:rsidRPr="003E305A">
        <w:t>superioridade das classes dominantes</w:t>
      </w:r>
      <w:r w:rsidRPr="003E305A">
        <w:rPr>
          <w:rStyle w:val="Refdenotaderodap"/>
        </w:rPr>
        <w:footnoteReference w:id="54"/>
      </w:r>
      <w:r w:rsidRPr="003E305A">
        <w:t>. «A mesma substância intelectual que se representa a si própria na natureza enquanto organismo biológico cria na esfera da mente humana e na história uma forma apropriada no organismo do Estado», pretend</w:t>
      </w:r>
      <w:r>
        <w:t>eu</w:t>
      </w:r>
      <w:r w:rsidRPr="003E305A">
        <w:t xml:space="preserve"> Schelling</w:t>
      </w:r>
      <w:r w:rsidRPr="003E305A">
        <w:rPr>
          <w:rStyle w:val="Refdenotaderodap"/>
        </w:rPr>
        <w:footnoteReference w:id="55"/>
      </w:r>
      <w:r w:rsidRPr="003E305A">
        <w:t>. Por outro lado, porém, como as forças mais retrógradas, ligadas aos interesses da multiplicidade de casas reinantes, defend</w:t>
      </w:r>
      <w:r>
        <w:t>iam</w:t>
      </w:r>
      <w:r w:rsidRPr="003E305A">
        <w:t xml:space="preserve"> a fragmentação da soberania e </w:t>
      </w:r>
      <w:r>
        <w:t xml:space="preserve">eram </w:t>
      </w:r>
      <w:r w:rsidRPr="003E305A">
        <w:t>contrárias a qualquer ensaio centralizador, o nacionalismo germânico, apesar de conservador, foi paradoxalmente obrigado a ser inovador</w:t>
      </w:r>
      <w:r w:rsidRPr="003E305A">
        <w:rPr>
          <w:rStyle w:val="Refdenotaderodap"/>
        </w:rPr>
        <w:footnoteReference w:id="56"/>
      </w:r>
      <w:r w:rsidRPr="003E305A">
        <w:t xml:space="preserve">. E como lucidamente não era possível depositar nos monarcas todas as esperanças de renovação, teve também de ser popular. Por isso os românticos não puderam recorrer ao corpo de doutrina política dos séculos XVII e XVIII e tiveram de partir das teses de Herder. </w:t>
      </w:r>
    </w:p>
    <w:p w:rsidR="00DF4B40" w:rsidRPr="003E305A" w:rsidRDefault="00DF4B40" w:rsidP="00DF4B40">
      <w:r w:rsidRPr="003E305A">
        <w:t>Eles começaram por seguir a lição de Herder quando aplicaram à história da humanidade e às suas instituições o modelo biológico dos organismos</w:t>
      </w:r>
      <w:r w:rsidRPr="003E305A">
        <w:rPr>
          <w:rStyle w:val="Refdenotaderodap"/>
        </w:rPr>
        <w:footnoteReference w:id="57"/>
      </w:r>
      <w:r w:rsidRPr="003E305A">
        <w:t xml:space="preserve">, que se desenvolvem e, apesar disso, mantêm a identidade através da sucessão das fases. A razão abstracta, triunfante </w:t>
      </w:r>
      <w:r w:rsidRPr="003E305A">
        <w:lastRenderedPageBreak/>
        <w:t>na revolução francesa, tinha como corolário a noção de progresso. O romantismo germânico, todavia, ao conceber a solidariedade das sucessivas gerações no interior de uma sociedade entendida de maneira orgânica, não atribuía à história uma dinâmica de progresso, considerando a passagem do tempo como uma evolução a cujos estádios presidia a imanência do passado</w:t>
      </w:r>
      <w:r w:rsidRPr="003E305A">
        <w:rPr>
          <w:rStyle w:val="Refdenotaderodap"/>
        </w:rPr>
        <w:footnoteReference w:id="58"/>
      </w:r>
      <w:r w:rsidRPr="003E305A">
        <w:t>. Deste modo, e contrariamente ao que Herder havia postulado, as especificidades dos indivíduos eram apagadas pela participação em comunidades nacionais</w:t>
      </w:r>
      <w:r w:rsidRPr="003E305A">
        <w:rPr>
          <w:rStyle w:val="Refdenotaderodap"/>
        </w:rPr>
        <w:footnoteReference w:id="59"/>
      </w:r>
      <w:r w:rsidRPr="003E305A">
        <w:t xml:space="preserve">. Para os românticos alemães, </w:t>
      </w:r>
      <w:r w:rsidR="003E38D6">
        <w:t>observou</w:t>
      </w:r>
      <w:r w:rsidRPr="003E305A">
        <w:t xml:space="preserve"> um estudioso, «é o organismo social que se vai tornar o principal elemento de reflexão»</w:t>
      </w:r>
      <w:r w:rsidRPr="003E305A">
        <w:rPr>
          <w:rStyle w:val="Refdenotaderodap"/>
        </w:rPr>
        <w:footnoteReference w:id="60"/>
      </w:r>
      <w:r>
        <w:t>,</w:t>
      </w:r>
      <w:r w:rsidRPr="003E305A">
        <w:t xml:space="preserve"> e esta redução do indivíduo a uma mera expressão da colectividade constituiu uma forma de totalitarismo. Contra a </w:t>
      </w:r>
      <w:r w:rsidRPr="003E305A">
        <w:rPr>
          <w:i/>
        </w:rPr>
        <w:t>nation</w:t>
      </w:r>
      <w:r w:rsidRPr="003E305A">
        <w:t xml:space="preserve"> dos cidadãos jacobinos definiu-se um </w:t>
      </w:r>
      <w:r w:rsidRPr="003E305A">
        <w:rPr>
          <w:i/>
        </w:rPr>
        <w:t>Volk,</w:t>
      </w:r>
      <w:r w:rsidRPr="003E305A">
        <w:t xml:space="preserve"> fundido num sentimento e num pensamento comuns, e que por isso tendia a ser representado não só culturalmente mas racialmente, de maneira </w:t>
      </w:r>
      <w:r w:rsidRPr="003E305A">
        <w:rPr>
          <w:i/>
        </w:rPr>
        <w:t>völkisch</w:t>
      </w:r>
      <w:r w:rsidRPr="003E305A">
        <w:t xml:space="preserve">. Os indivíduos não eram cidadãos, mas membros de uma raça. </w:t>
      </w:r>
      <w:r w:rsidR="003E38D6">
        <w:t xml:space="preserve">Como escreveu um dos mais profundos </w:t>
      </w:r>
      <w:r w:rsidR="00C462B6">
        <w:t>conhecedores</w:t>
      </w:r>
      <w:r w:rsidR="003E38D6">
        <w:t xml:space="preserve"> do nacional-socialismo, </w:t>
      </w:r>
      <w:r w:rsidRPr="003E305A">
        <w:t>«sempre que os teóricos e as figuras políticas da Alemanha se referiram à nação divorciaram-na de qualquer conotação jacobina, tanto democrática como política, quer dizer, de qualquer doutrina da soberania popular. Uma teoria biológica racial substituiu a teoria política da nacionalidade. Muito antes de Hitler, na teoria política alemã o vínculo político entre homens livres tendia a dar lugar ao vínculo natural entre membros da raça germânica»</w:t>
      </w:r>
      <w:r w:rsidRPr="003E305A">
        <w:rPr>
          <w:rStyle w:val="Refdenotaderodap"/>
        </w:rPr>
        <w:footnoteReference w:id="61"/>
      </w:r>
      <w:r w:rsidRPr="003E305A">
        <w:t xml:space="preserve">. Não se tratava de unificar mediante discursos e interesses os indivíduos de uma nação, mas de inspirar para uma nova fase de desenvolvimento um povo cujos elementos comungavam de uma mesma sensibilidade perante o mundo. E assim os nacionalistas românticos introduziram uma alteração profunda no conceito de liberdade que havia sido inaugurado pela democracia jacobina. </w:t>
      </w:r>
      <w:r w:rsidR="00C462B6">
        <w:t xml:space="preserve">Observou um especialista que </w:t>
      </w:r>
      <w:r w:rsidRPr="003E305A">
        <w:t xml:space="preserve">«se eles proclamam a liberdade como necessária, não é de modo </w:t>
      </w:r>
      <w:r w:rsidR="00C462B6">
        <w:t>nenhum</w:t>
      </w:r>
      <w:r w:rsidRPr="003E305A">
        <w:t xml:space="preserve"> para emancipar o indivíduo dos constrangimentos históricos, de ordem política ou social, mas para criar uma colectividade organizada, um “ser popular”, uma vontade colectiva de poder, em suma, para integrar mais fortemente o indivíduo no todo»</w:t>
      </w:r>
      <w:r w:rsidRPr="003E305A">
        <w:rPr>
          <w:rStyle w:val="Refdenotaderodap"/>
        </w:rPr>
        <w:footnoteReference w:id="62"/>
      </w:r>
      <w:r w:rsidRPr="003E305A">
        <w:t xml:space="preserve">. </w:t>
      </w:r>
    </w:p>
    <w:p w:rsidR="00DF4B40" w:rsidRPr="003E305A" w:rsidRDefault="00DF4B40" w:rsidP="00DF4B40">
      <w:r w:rsidRPr="003E305A">
        <w:t xml:space="preserve">Esta história entendida como imanência do passado encontrava nas raças o sujeito próprio. Evoluindo, como as línguas evoluem, as raças manteriam através dos tempos os seus caracteres fundamentais, tal como a maneira de falar de uma época </w:t>
      </w:r>
      <w:r>
        <w:t>tem</w:t>
      </w:r>
      <w:r w:rsidRPr="003E305A">
        <w:t xml:space="preserve"> raízes nas outras épocas. Contra a abstracção corrosiva difundida pelo imperialismo jacobino e napoleónico, o nacionalismo germânico defendia uma interpretação orgânica dos povos, que privilegiava as </w:t>
      </w:r>
      <w:r w:rsidRPr="003E305A">
        <w:lastRenderedPageBreak/>
        <w:t xml:space="preserve">diferenças colectivas e as considerava definidoras de uma identidade trans-histórica. Por muito que custe aos marxistas admiti-lo, a dialéctica hegeliana, tentando conceber o desdobrar das mudanças enquanto realização de uma permanência fundamental, foi a tentativa suprema de conferir uma lógica coerente a uma ideia de processo orgânico que começou com Herder e atingiu as suas consequências últimas </w:t>
      </w:r>
      <w:r w:rsidR="00C462B6">
        <w:t>—</w:t>
      </w:r>
      <w:r w:rsidRPr="003E305A">
        <w:t xml:space="preserve"> embora não forçosamente únicas </w:t>
      </w:r>
      <w:r w:rsidR="00C462B6">
        <w:t>—</w:t>
      </w:r>
      <w:r w:rsidRPr="003E305A">
        <w:t xml:space="preserve"> no </w:t>
      </w:r>
      <w:r w:rsidR="000D06F7">
        <w:t>fascismo</w:t>
      </w:r>
      <w:r w:rsidRPr="003E305A">
        <w:t xml:space="preserve"> racista. Num livro publicado em 1809, um ano que tantas esperanças frustradas trouxe para o patriotismo germânico, Adam Müller escreveu que o Estado, já que englobava todas as formas de colectividade humana e se mantinha em permanente mutação, incluía também a comunidade dos mortos e mesmo a dos que haveriam de nascer no futuro, daí lhe advindo a sua qualidade fundamental, que era a duração no tempo. Por isso Müller, o principal dos pensadores políticos do romantismo germânico, que os </w:t>
      </w:r>
      <w:r w:rsidR="0030169B">
        <w:t xml:space="preserve">nacionais-socialistas </w:t>
      </w:r>
      <w:r w:rsidRPr="003E305A">
        <w:t>tanto estimar</w:t>
      </w:r>
      <w:r w:rsidR="00273F08">
        <w:t>iam</w:t>
      </w:r>
      <w:r w:rsidRPr="003E305A">
        <w:t xml:space="preserve">, pretendia que o Estado não podia ser contido no interior de </w:t>
      </w:r>
      <w:r w:rsidR="000D06F7">
        <w:t>nenhuma</w:t>
      </w:r>
      <w:r w:rsidRPr="003E305A">
        <w:t xml:space="preserve"> teoria política. «O Estado e todas as grandes questões humanas têm em comum uma qualidade que os caracteriza, a de a sua essência ser completamente insusceptível de se envolver ou condensar mediante palavras ou definições», afirmou Müller naquela obra. «Às fórmulas rígidas [...] chamamos conceitos. Mas não existe </w:t>
      </w:r>
      <w:r w:rsidR="000D06F7">
        <w:t>nenhum</w:t>
      </w:r>
      <w:r w:rsidRPr="003E305A">
        <w:t xml:space="preserve"> conceito de Estado. [...] Se o pensamento que dedicámos a um tão sublime objecto se expande, se ele se move e desenvolve à medida que o objecto se move e desenvolve, chamamos então a este pensamento não o conceito da coisa, mas a ideia da coisa, do Estado, da vida»</w:t>
      </w:r>
      <w:r w:rsidRPr="003E305A">
        <w:rPr>
          <w:rStyle w:val="Refdenotaderodap"/>
        </w:rPr>
        <w:footnoteReference w:id="63"/>
      </w:r>
      <w:r w:rsidRPr="003E305A">
        <w:t xml:space="preserve">. Vemos que a crítica à abstracção científica em nome do lirismo do concreto, que veio depois a inspirar os postulados da Física Ariana, se encontrava na pura linhagem da problemática que levou à fundação do Estado alemão moderno. </w:t>
      </w:r>
    </w:p>
    <w:p w:rsidR="00DF4B40" w:rsidRPr="003E305A" w:rsidRDefault="00DF4B40" w:rsidP="00DF4B40">
      <w:r w:rsidRPr="003E305A">
        <w:t xml:space="preserve">Neste contexto compreende-se o entusiasmo por instituições políticas </w:t>
      </w:r>
      <w:r>
        <w:t>englobantes</w:t>
      </w:r>
      <w:r w:rsidRPr="003E305A">
        <w:t xml:space="preserve">, capazes de justificar na prática o povo-raça definido pelos linguistas e pelos literatos, e que deviam ser tanto mais </w:t>
      </w:r>
      <w:r>
        <w:t>unificadoras</w:t>
      </w:r>
      <w:r w:rsidRPr="003E305A">
        <w:t xml:space="preserve"> quanto os futuros súbditos estavam secularmente dispersos. «[...] assim como um ser humano não pode sair de si próprio também não pode sair do Estado», proclam</w:t>
      </w:r>
      <w:r>
        <w:t>ou</w:t>
      </w:r>
      <w:r w:rsidRPr="003E305A">
        <w:t xml:space="preserve"> Adam Müller em 1808. «É impossível pensar o homem fora do Estado. [... ... ...] O Estado é a totalidade dos interesses humanos, a sua união num todo vivo»</w:t>
      </w:r>
      <w:r w:rsidRPr="003E305A">
        <w:rPr>
          <w:rStyle w:val="Refdenotaderodap"/>
        </w:rPr>
        <w:footnoteReference w:id="64"/>
      </w:r>
      <w:r w:rsidRPr="003E305A">
        <w:t xml:space="preserve">. Quem se opunha à </w:t>
      </w:r>
      <w:r w:rsidRPr="003E305A">
        <w:lastRenderedPageBreak/>
        <w:t>vocação racista e totalitária do novo Estado? A precari</w:t>
      </w:r>
      <w:r>
        <w:t>e</w:t>
      </w:r>
      <w:r w:rsidRPr="003E305A">
        <w:t>dade da sua base social fez com que a esmagadora maioria dos liberais ou evoluísse para posições conservadoras ou se comprometesse com o imperialismo napoleónico e assim, paradoxalmente, não houve entre os germanos um verdadeiro jacobinismo nacionalista</w:t>
      </w:r>
      <w:r w:rsidRPr="003E305A">
        <w:rPr>
          <w:rStyle w:val="Refdenotaderodap"/>
        </w:rPr>
        <w:footnoteReference w:id="65"/>
      </w:r>
      <w:r w:rsidRPr="003E305A">
        <w:t xml:space="preserve">. Fichte, nos </w:t>
      </w:r>
      <w:r w:rsidRPr="003E305A">
        <w:rPr>
          <w:i/>
        </w:rPr>
        <w:t>Discursos à Nação Alemã,</w:t>
      </w:r>
      <w:r w:rsidRPr="003E305A">
        <w:t xml:space="preserve"> </w:t>
      </w:r>
      <w:r w:rsidR="00FB788E">
        <w:t xml:space="preserve">parece </w:t>
      </w:r>
      <w:r w:rsidRPr="003E305A">
        <w:t xml:space="preserve">uma excepção, já que criticou o império de </w:t>
      </w:r>
      <w:r w:rsidR="0030169B">
        <w:t>Napoleão</w:t>
      </w:r>
      <w:r w:rsidRPr="003E305A">
        <w:t xml:space="preserve"> por ter traído as</w:t>
      </w:r>
      <w:r>
        <w:t xml:space="preserve"> origens jacobinas da revolução</w:t>
      </w:r>
      <w:r w:rsidRPr="003E305A">
        <w:t xml:space="preserve"> e propôs-se resolver em termos democráticos e republicanos os problemas da unidade alemã. Ao fazê-lo, porém, adoptou os temas propostos pelo romantismo conservador. A pequena minoria de liberais que participou no movimento patriótico não se opôs, antes deu nova força, às teses defendidas pelos conservadores e só nes</w:t>
      </w:r>
      <w:r>
        <w:t>t</w:t>
      </w:r>
      <w:r w:rsidRPr="003E305A">
        <w:t>e quadro conceptual avanç</w:t>
      </w:r>
      <w:r w:rsidR="00FB788E">
        <w:t>ou</w:t>
      </w:r>
      <w:r w:rsidRPr="003E305A">
        <w:t xml:space="preserve"> as suas propostas. Um especialista resum</w:t>
      </w:r>
      <w:r>
        <w:t>iu</w:t>
      </w:r>
      <w:r w:rsidRPr="003E305A">
        <w:t xml:space="preserve"> a situação escrevendo que «eles foram obrigados a sacrificar o seu liberalismo ao seu nacionalismo»</w:t>
      </w:r>
      <w:r w:rsidRPr="003E305A">
        <w:rPr>
          <w:rStyle w:val="Refdenotaderodap"/>
        </w:rPr>
        <w:footnoteReference w:id="66"/>
      </w:r>
      <w:r w:rsidRPr="003E305A">
        <w:t xml:space="preserve"> e outro autor analis</w:t>
      </w:r>
      <w:r>
        <w:t>ou</w:t>
      </w:r>
      <w:r w:rsidRPr="003E305A">
        <w:t xml:space="preserve"> os dilemas sentidos por Fichte e pelos nacionalistas democratas</w:t>
      </w:r>
      <w:r w:rsidR="0030169B">
        <w:t>:</w:t>
      </w:r>
      <w:r w:rsidRPr="003E305A">
        <w:t xml:space="preserve"> «Fichte confessava-se anti-semita e os seus sentimentos anti-semitas assumiram a forma mais aguda na época em que formulava a sua teoria quase anarquista do Estado. É importante saber que essas declarações anti-semitas ocorreram durante o período liberal do seu pensamento. Não se tratou de uma coincidência, como podemos verificar quando recordamos que na época posterior à revolução francesa e às guerras napoleónicas foi o movimento liberal a adoptar e prosseguir o anti-semitismo. O regime napoleónico levara a cabo a emancipação jurídica dos judeus na Alemanha, e neste país a luta contra Napoleão converteu-se em luta contra as reformas que ele realizara. Mobilizadas por lemas liberais e patrióticos, as multidões destruíram as sinagogas e as residências judaicas, e os maus tratos infligidos aos judeus tornaram-se quase quotidianos»</w:t>
      </w:r>
      <w:r w:rsidRPr="003E305A">
        <w:rPr>
          <w:rStyle w:val="Refdenotaderodap"/>
        </w:rPr>
        <w:footnoteReference w:id="67"/>
      </w:r>
      <w:r w:rsidRPr="003E305A">
        <w:t>. A conversão linguística do povo em raça incluía o anti-semitismo, e um polemista vigoroso, Arndt, citou o anti-semitismo entre os temas do romantismo nacionalista</w:t>
      </w:r>
      <w:r w:rsidRPr="003E305A">
        <w:rPr>
          <w:rStyle w:val="Refdenotaderodap"/>
        </w:rPr>
        <w:footnoteReference w:id="68"/>
      </w:r>
      <w:r w:rsidRPr="003E305A">
        <w:t xml:space="preserve">. Com efeito, não foram poucas as figuras cimeiras da literatura romântica </w:t>
      </w:r>
      <w:r w:rsidR="00FB788E">
        <w:t>germana</w:t>
      </w:r>
      <w:r w:rsidRPr="003E305A">
        <w:t xml:space="preserve"> profundamente hostis aos judeus</w:t>
      </w:r>
      <w:r w:rsidRPr="003E305A">
        <w:rPr>
          <w:rStyle w:val="Refdenotaderodap"/>
        </w:rPr>
        <w:footnoteReference w:id="69"/>
      </w:r>
      <w:r w:rsidRPr="003E305A">
        <w:t xml:space="preserve">. </w:t>
      </w:r>
    </w:p>
    <w:p w:rsidR="00DF4B40" w:rsidRPr="003E305A" w:rsidRDefault="00DF4B40" w:rsidP="00DF4B40">
      <w:r w:rsidRPr="003E305A">
        <w:lastRenderedPageBreak/>
        <w:t>O paradoxo constituído pela génese progressista do racismo germânico foi seguido por um conjunto de circunstâncias não menos singular, aparecendo os liberais como defensores de instituições políticas de vocação totalitária. Ao se oporem às dinastias, os liberais de 1848 lutaram igualmente pela instauração de um Estado central poderoso e anexionista</w:t>
      </w:r>
      <w:r w:rsidRPr="003E305A">
        <w:rPr>
          <w:rStyle w:val="Refdenotaderodap"/>
        </w:rPr>
        <w:footnoteReference w:id="70"/>
      </w:r>
      <w:r w:rsidRPr="003E305A">
        <w:t>, capaz de realizar a unificação do povo-raça, e se reapreciarmos nesta perspectiva as opiniões defendidas por Friedrich Engels e por Karl Marx acerca da relação entre alemães e eslavos, tal como as expus no capítulo dedicado a analisar a origem do conceito de «nação proletária»</w:t>
      </w:r>
      <w:r w:rsidR="00651387">
        <w:t xml:space="preserve"> (capítulo 1 da Parte 3)</w:t>
      </w:r>
      <w:r w:rsidRPr="003E305A">
        <w:t>, apercebemo-nos da dimensão do problema. Os fundadores do comunismo moderno não se destacaram do quadro político do povo-raça e permaneceram até ao final da vida apegados a um tema que na sua procedência e nas suas implicações era de carácter estritamente romântico e conservador. Não é difícil compreender que muitos liberais de 1848 figurassem depois de 1871 entre os apologistas do regime prussiano</w:t>
      </w:r>
      <w:r w:rsidR="00651387">
        <w:t>,</w:t>
      </w:r>
      <w:r w:rsidRPr="003E305A">
        <w:t xml:space="preserve"> </w:t>
      </w:r>
      <w:r w:rsidR="00651387">
        <w:t xml:space="preserve">já que </w:t>
      </w:r>
      <w:r w:rsidR="00651387" w:rsidRPr="003E305A">
        <w:t xml:space="preserve">o </w:t>
      </w:r>
      <w:r w:rsidRPr="003E305A">
        <w:t>Império acaba</w:t>
      </w:r>
      <w:r w:rsidR="00651387">
        <w:t>do</w:t>
      </w:r>
      <w:r w:rsidRPr="003E305A">
        <w:t xml:space="preserve"> de se formar constituíra</w:t>
      </w:r>
      <w:r w:rsidR="00ED2FD9">
        <w:t xml:space="preserve">-se </w:t>
      </w:r>
      <w:r>
        <w:t xml:space="preserve">como </w:t>
      </w:r>
      <w:r w:rsidRPr="003E305A">
        <w:t>um</w:t>
      </w:r>
      <w:r>
        <w:t>a</w:t>
      </w:r>
      <w:r w:rsidRPr="003E305A">
        <w:t xml:space="preserve"> </w:t>
      </w:r>
      <w:r>
        <w:t xml:space="preserve">força </w:t>
      </w:r>
      <w:r w:rsidRPr="003E305A">
        <w:t>centralizador</w:t>
      </w:r>
      <w:r>
        <w:t>a</w:t>
      </w:r>
      <w:r w:rsidRPr="003E305A">
        <w:t xml:space="preserve">. Aqueles que se tinham oposto à antiga dispersão das soberanias podiam identificar-se com as instituições imperiais. Richard Wagner representou o elo de continuidade indispensável entre as concepções racistas românticas, tal como haviam sido reformuladas em 1848, e o racismo hitleriano, tal como viria a ser inspirado por Houston Stewart Chamberlain. Nada houve de peculiar na sua evolução, que desvendou a vocação totalitária do liberalismo germânico. </w:t>
      </w:r>
    </w:p>
    <w:p w:rsidR="00DF4B40" w:rsidRPr="003E305A" w:rsidRDefault="00DF4B40" w:rsidP="00DF4B40">
      <w:r w:rsidRPr="003E305A">
        <w:t>«Este é, na verdade, o fenómeno mais estranho da história alemã», observ</w:t>
      </w:r>
      <w:r>
        <w:t>ou</w:t>
      </w:r>
      <w:r w:rsidRPr="003E305A">
        <w:t xml:space="preserve"> um comentador arguto e conhecedor; «a burguesia industrial, incapaz de lutar pela democracia parlamentar ou sem vontade de o fazer, submetida ao sistema semiabsolutista do Império, orienta toda a sua energia política em direcção a um imperialismo agressivo»</w:t>
      </w:r>
      <w:r w:rsidRPr="003E305A">
        <w:rPr>
          <w:rStyle w:val="Refdenotaderodap"/>
        </w:rPr>
        <w:footnoteReference w:id="71"/>
      </w:r>
      <w:r w:rsidRPr="003E305A">
        <w:t xml:space="preserve">. Creio que o mistério se esclarece quando traçamos a origem </w:t>
      </w:r>
      <w:r w:rsidR="00ED2FD9" w:rsidRPr="003E305A">
        <w:t xml:space="preserve">do totalitarismo </w:t>
      </w:r>
      <w:r w:rsidR="00ED2FD9">
        <w:t xml:space="preserve">e </w:t>
      </w:r>
      <w:r w:rsidRPr="003E305A">
        <w:t>do racismo moderno na esfera da cultura germânica. Os liberais do Império tinham uma aspiração totalitária no âmbito interno e nas relações externas eram agressivos, visto que as potências vizinhas, que se haviam oposto à unificação do país, continuavam a vê-la com desconfiança depois de ela ter sido realizada</w:t>
      </w:r>
      <w:r w:rsidRPr="003E305A">
        <w:rPr>
          <w:rStyle w:val="Refdenotaderodap"/>
        </w:rPr>
        <w:footnoteReference w:id="72"/>
      </w:r>
      <w:r w:rsidRPr="003E305A">
        <w:t>. Isto ajuda a compreender a fragilidade das instituições implantadas pela república de Weimar, bem como a ausência de uma corrente significativa de tradição democrátic</w:t>
      </w:r>
      <w:r>
        <w:t>a</w:t>
      </w:r>
      <w:r w:rsidRPr="003E305A">
        <w:t>-burguesa entre os movimentos que se opuseram à ascensão do nacional-socialismo. O triunfo de Hitler ficou singularmente facilitado num país em que</w:t>
      </w:r>
      <w:r w:rsidR="00AD4C5B">
        <w:t>,</w:t>
      </w:r>
      <w:r w:rsidRPr="003E305A">
        <w:t xml:space="preserve"> não cab</w:t>
      </w:r>
      <w:r w:rsidR="00AD4C5B">
        <w:t>endo</w:t>
      </w:r>
      <w:r w:rsidRPr="003E305A">
        <w:t xml:space="preserve"> aos conservadores enfrentar o totalitarismo</w:t>
      </w:r>
      <w:r w:rsidR="00AD4C5B">
        <w:t>,</w:t>
      </w:r>
      <w:r w:rsidRPr="003E305A">
        <w:t xml:space="preserve"> os próprios liberais o promovi</w:t>
      </w:r>
      <w:r w:rsidR="00AD4C5B">
        <w:t>am</w:t>
      </w:r>
      <w:r w:rsidRPr="003E305A">
        <w:t xml:space="preserve">. A versão racista do fascismo veio na continuidade </w:t>
      </w:r>
      <w:r w:rsidRPr="003E305A">
        <w:lastRenderedPageBreak/>
        <w:t>da concepção do povo como raça, originariamente defendida num quadro de valores de inspiração emancipadora. «O nacional-socialismo é uma consequência muitíssimo venenosa, ou mais exactamente uma sobreconsequência, do romantismo alemão», diagnosticou Victor Klemperer em 1944, quando se havia já tornado patente a integralidade dos efeitos nocivos do hitlerismo, e denunciou em seguida «a absoluta descida aos infernos do romantismo no Terceiro Reich»</w:t>
      </w:r>
      <w:r w:rsidRPr="003E305A">
        <w:rPr>
          <w:rStyle w:val="Refdenotaderodap"/>
        </w:rPr>
        <w:footnoteReference w:id="73"/>
      </w:r>
      <w:r w:rsidRPr="003E305A">
        <w:t xml:space="preserve">. </w:t>
      </w:r>
    </w:p>
    <w:p w:rsidR="00DF4B40" w:rsidRPr="003E305A" w:rsidRDefault="00DF4B40" w:rsidP="00DF4B40">
      <w:r w:rsidRPr="003E305A">
        <w:t xml:space="preserve">Todavia, se na genealogia do </w:t>
      </w:r>
      <w:r w:rsidR="00AD4C5B">
        <w:t>nacional-socialismo</w:t>
      </w:r>
      <w:r w:rsidRPr="003E305A">
        <w:t xml:space="preserve"> se encontra o racismo romântico, caracterizado por conferir uma conotação biológica a traços culturais ou psicológicos que até então haviam sido remetidos para a esfera exclusivamente espiritual, o outro dos precedentes da selecção racial promovida por Hitler e por Himmler encontra-se na obra de alguns consagrados cientistas. O nacional-socialismo conjugou ambas as tradições num sistema único. </w:t>
      </w:r>
    </w:p>
    <w:p w:rsidR="00DF4B40" w:rsidRPr="003E305A" w:rsidRDefault="00DF4B40" w:rsidP="00D96872">
      <w:pPr>
        <w:keepNext/>
        <w:spacing w:before="720" w:after="360"/>
        <w:ind w:firstLine="0"/>
        <w:jc w:val="center"/>
        <w:rPr>
          <w:b/>
          <w:sz w:val="28"/>
        </w:rPr>
      </w:pPr>
      <w:r>
        <w:rPr>
          <w:b/>
          <w:sz w:val="28"/>
        </w:rPr>
        <w:t>2</w:t>
      </w:r>
      <w:r w:rsidRPr="003E305A">
        <w:rPr>
          <w:b/>
          <w:sz w:val="28"/>
        </w:rPr>
        <w:t>. O aparecimento do racismo na obra de Darwin</w:t>
      </w:r>
    </w:p>
    <w:p w:rsidR="00DF4B40" w:rsidRPr="003E305A" w:rsidRDefault="00DF4B40" w:rsidP="00DF4B40">
      <w:r w:rsidRPr="003E305A">
        <w:t xml:space="preserve">A generalização nos países europeus do tipo de racismo que converte as diferenças culturais em hierarquias biológicas fica ilustrada com especial clareza se compararmos duas obras de Charles Darwin. </w:t>
      </w:r>
      <w:r w:rsidR="00CD6014">
        <w:rPr>
          <w:lang w:val="en-GB"/>
        </w:rPr>
        <w:t>Uma</w:t>
      </w:r>
      <w:r w:rsidRPr="003E305A">
        <w:rPr>
          <w:lang w:val="en-GB"/>
        </w:rPr>
        <w:t xml:space="preserve">, publicada em 1839 sob o título </w:t>
      </w:r>
      <w:r w:rsidRPr="003E305A">
        <w:rPr>
          <w:i/>
          <w:lang w:val="en-GB"/>
        </w:rPr>
        <w:t>Journal of Researches into the Geology and Natural History of the Various Countries Visited by H.M.S. Beagle, 1832-36,</w:t>
      </w:r>
      <w:r w:rsidRPr="003E305A">
        <w:rPr>
          <w:lang w:val="en-GB"/>
        </w:rPr>
        <w:t xml:space="preserve"> tornou-se correntemente conhecida como </w:t>
      </w:r>
      <w:r w:rsidRPr="003E305A">
        <w:rPr>
          <w:i/>
          <w:lang w:val="en-GB"/>
        </w:rPr>
        <w:t>The Voyage of the Beagle</w:t>
      </w:r>
      <w:r w:rsidRPr="003E305A">
        <w:rPr>
          <w:lang w:val="en-GB"/>
        </w:rPr>
        <w:t xml:space="preserve">. </w:t>
      </w:r>
      <w:r w:rsidR="00464461" w:rsidRPr="00464461">
        <w:t xml:space="preserve">Nesta obra, </w:t>
      </w:r>
      <w:r w:rsidR="00464461" w:rsidRPr="003E305A">
        <w:t xml:space="preserve">embora </w:t>
      </w:r>
      <w:r w:rsidRPr="003E305A">
        <w:t xml:space="preserve">desdenhasse certos povos pelas limitações tecnológicas e por serem desprovidos de Estado, Darwin </w:t>
      </w:r>
      <w:r w:rsidR="005C726B">
        <w:t xml:space="preserve">compreendeu </w:t>
      </w:r>
      <w:r w:rsidRPr="003E305A">
        <w:t>as suas relações sociais e as suas culturas. Por exemplo, depois de narrar as atrocidades que as tropas de Rosas estavam a cometer na Argentina na guerra contra os índios, observou: «É triste descobrir como os índios cederam perante os invasores espanhóis. Schirdel diz que em 1535, quando foi fundada Buenos Aires, havia aldeias com dois e três mil habitantes. Mesmo no tempo de Falconer (1750) os índios organizavam expedições contra lugares tão distantes como Luxan, Areco e Arrecife, mas agora estão remetidos para além do Salado. Não só foram exterminadas tribos inteiras, mas os que restam tornaram-se mais selvagens; em vez de habitar</w:t>
      </w:r>
      <w:r w:rsidR="00F840B6">
        <w:t>em</w:t>
      </w:r>
      <w:r w:rsidRPr="003E305A">
        <w:t xml:space="preserve"> grandes aldeias e se dedicar</w:t>
      </w:r>
      <w:r w:rsidR="00F840B6">
        <w:t>em</w:t>
      </w:r>
      <w:r w:rsidRPr="003E305A">
        <w:t xml:space="preserve"> aos ofícios da pesca e da caça, vagueiam agora pelas planícies, sem casa nem ocupação fixa»</w:t>
      </w:r>
      <w:r w:rsidRPr="003E305A">
        <w:rPr>
          <w:rStyle w:val="Refdenotaderodap"/>
        </w:rPr>
        <w:footnoteReference w:id="74"/>
      </w:r>
      <w:r w:rsidRPr="003E305A">
        <w:t xml:space="preserve">. A análise é interessante por mostrar que a situação das populações indígenas naquela época não correspondia a </w:t>
      </w:r>
      <w:r w:rsidR="00464461">
        <w:t>nenhumas</w:t>
      </w:r>
      <w:r w:rsidRPr="003E305A">
        <w:t xml:space="preserve"> características inatas</w:t>
      </w:r>
      <w:r>
        <w:t>, mas</w:t>
      </w:r>
      <w:r w:rsidRPr="003E305A">
        <w:t xml:space="preserve"> resulta</w:t>
      </w:r>
      <w:r>
        <w:t>va</w:t>
      </w:r>
      <w:r w:rsidRPr="003E305A">
        <w:t xml:space="preserve"> de uma degradação provocada exclusivamente pelos invasores. E tendo </w:t>
      </w:r>
      <w:r w:rsidRPr="003E305A">
        <w:lastRenderedPageBreak/>
        <w:t xml:space="preserve">dedicado </w:t>
      </w:r>
      <w:r w:rsidR="005C726B">
        <w:t xml:space="preserve">várias </w:t>
      </w:r>
      <w:r w:rsidRPr="003E305A">
        <w:t>páginas a descrever, sempre com compreensão e frequentemente com argúcia, o tipo de vida dos nativos do extremo sul das Américas, Darwin expôs a relação entre as formas sociais e as condições económicas e políticas</w:t>
      </w:r>
      <w:r w:rsidR="005C726B">
        <w:t>:</w:t>
      </w:r>
      <w:r w:rsidRPr="003E305A">
        <w:t xml:space="preserve"> «A perfeita igualdade existente entre os indivíduos que compõem as tribos da Terra do Fogo há-de atrasar por muito tempo a sua civilização. [...] Quer se considere como causa ou como consequência, são sempre os mais civilizados a ter as formas de governo mais artificiais. [...] Na Terra do Fogo, até que surja um chefe com poder suficiente para se apoderar de qualquer vantagem adquirida, por exemplo, dos animais domesticados, não se afigura possível melhorar o estado político da região. Mesmo uma peça de tecido dada a alguém é rasgada em pedaços e distribuída; e nenhum indivíduo se torna mais rico do que outro. Por outro lado, é difícil entender como possa vir a surgir um chefe sem que haja antes algum tipo de propriedade que lhe permita manifestar a sua superioridade e aumentar o seu poder»</w:t>
      </w:r>
      <w:r w:rsidRPr="003E305A">
        <w:rPr>
          <w:rStyle w:val="Refdenotaderodap"/>
        </w:rPr>
        <w:footnoteReference w:id="75"/>
      </w:r>
      <w:r w:rsidRPr="003E305A">
        <w:t xml:space="preserve">. Não importa que Darwin tivesse considerado uma sociedade tanto mais perfeita quanto mais desiguais fossem as fortunas e </w:t>
      </w:r>
      <w:r w:rsidR="00464461">
        <w:t>autoritário</w:t>
      </w:r>
      <w:r w:rsidRPr="003E305A">
        <w:t xml:space="preserve"> o Estado. O fundamental é que explicou a situação daquelas populações em termos estritamente sociais, não rácicos. </w:t>
      </w:r>
    </w:p>
    <w:p w:rsidR="00DF4B40" w:rsidRPr="003E305A" w:rsidRDefault="00DF4B40" w:rsidP="00DF4B40">
      <w:r w:rsidRPr="003E305A">
        <w:t xml:space="preserve">No entanto, em 1874, ao publicar a segunda edição, ampliada, de </w:t>
      </w:r>
      <w:r w:rsidRPr="003E305A">
        <w:rPr>
          <w:i/>
        </w:rPr>
        <w:t>The Descent of Man and Selection in Relation to Sex,</w:t>
      </w:r>
      <w:r w:rsidRPr="003E305A">
        <w:t xml:space="preserve"> a sua perspectiva mudara radicalmente. O pressuposto do livro é a inferioridade biológica dos povos que vivem em sistemas sem propriedade ou com um grau reduzido de diferenciação das fortunas, e sem Estado ou sob formas rudimentares de </w:t>
      </w:r>
      <w:r w:rsidR="00464461">
        <w:t>autoridade</w:t>
      </w:r>
      <w:r w:rsidRPr="003E305A">
        <w:t>. Segundo a tese que serve de fio condutor à obra, as diferenças de raça constituem uma hierarquia, ocupando os brancos o nível superior e ficando os anglo-saxónicos acima dos demais. O enunciado é conciso, por vezes de flagrante rudeza</w:t>
      </w:r>
      <w:r w:rsidR="000C008C">
        <w:t>:</w:t>
      </w:r>
      <w:r w:rsidRPr="003E305A">
        <w:t xml:space="preserve"> «A convicção de que existe no homem uma estreita relação entre a dimensão do cérebro e o desenvolvimento das faculdades intelectuais apoia-se na comparação dos crânios das raças selvagens e civilizadas, dos povos antigos e modernos, e por analogia com toda a série dos vertebrados»</w:t>
      </w:r>
      <w:r w:rsidRPr="003E305A">
        <w:rPr>
          <w:rStyle w:val="Refdenotaderodap"/>
        </w:rPr>
        <w:footnoteReference w:id="76"/>
      </w:r>
      <w:r w:rsidRPr="003E305A">
        <w:t>. E «os poderes mentais dos animais superiores não diferem em género, ainda que o façam muito em grau, dos poderes correspondentes do homem, especialmente das raças inferiores e selvagens [...]»</w:t>
      </w:r>
      <w:r w:rsidRPr="003E305A">
        <w:rPr>
          <w:rStyle w:val="Refdenotaderodap"/>
        </w:rPr>
        <w:footnoteReference w:id="77"/>
      </w:r>
      <w:r w:rsidRPr="003E305A">
        <w:t xml:space="preserve">. Esta distância menor que separaria </w:t>
      </w:r>
      <w:r w:rsidR="0084475D" w:rsidRPr="003E305A">
        <w:t xml:space="preserve">os animais superiores </w:t>
      </w:r>
      <w:r w:rsidR="0084475D">
        <w:t>d</w:t>
      </w:r>
      <w:r w:rsidRPr="003E305A">
        <w:t xml:space="preserve">as raças </w:t>
      </w:r>
      <w:r w:rsidR="0084475D">
        <w:t xml:space="preserve">humanas </w:t>
      </w:r>
      <w:r w:rsidRPr="003E305A">
        <w:t>inferiores explicaria, sem dúvida, «a forte tendência observada nos nossos aliados mais próximos, os macacos, nos idiotas microcéfalos e nas raças selvagens da humanidade para imitar tudo aquilo que ouçam e lhes desperte a atenção [...]»</w:t>
      </w:r>
      <w:r w:rsidRPr="003E305A">
        <w:rPr>
          <w:rStyle w:val="Refdenotaderodap"/>
        </w:rPr>
        <w:footnoteReference w:id="78"/>
      </w:r>
      <w:r w:rsidRPr="003E305A">
        <w:t xml:space="preserve">. Ao mesmo tempo Darwin considerou também as mulheres física e mentalmente inferiores aos homens. Será bom nunca esquecer que a conversão do racismo </w:t>
      </w:r>
      <w:r w:rsidRPr="003E305A">
        <w:lastRenderedPageBreak/>
        <w:t xml:space="preserve">numa gradação biológica se operou juntamente com idêntica transformação no sexismo. Porém, se Darwin se tornou um racista, não deixou por isso de ser um grande cientista, e a sua argumentação ilustra involuntariamente este paradoxo. No primeiro terço do livro Darwin afirmou a inferioridade biológica dos povos selvagens e propôs-se em seguida explicá-la. Para isso introduziu a noção de selecção sexual, mas com tal isenção que tudo o que conseguiu, nos restantes dois terços da obra, foi tentar justificar as diferenças de cor e de fisionomia, sem que nunca, nem numa linha sequer, pudesse daí inferir </w:t>
      </w:r>
      <w:r w:rsidR="00464461">
        <w:t>a</w:t>
      </w:r>
      <w:r w:rsidRPr="003E305A">
        <w:t xml:space="preserve"> hierarquização das capacidades mentais. E assim ficou por demonstrar aquela que para Darwin seria precisamente a questão. </w:t>
      </w:r>
    </w:p>
    <w:p w:rsidR="00DF4B40" w:rsidRPr="003E305A" w:rsidRDefault="00DF4B40" w:rsidP="00DF4B40">
      <w:r w:rsidRPr="003E305A">
        <w:t xml:space="preserve">Darwin forneceu um mecanismo teórico que permite explicar como uma multiplicidade de seres com diferenças infinitesimais pode vir a formar grandes grupos muito diferentes uns dos outros e relativamente homogéneos no seu interior. Foi decerto no funcionamento do capitalismo britânico, tal como se apresentava nos meados do século XIX, com entidades económicas constituídas graças à livre concorrência entre pequenas empresas e com partidos parlamentares </w:t>
      </w:r>
      <w:r>
        <w:t xml:space="preserve">legitimados pelo </w:t>
      </w:r>
      <w:r w:rsidRPr="003E305A">
        <w:t>voto de cidadãos isolados, que Darwin encontrou a inspiração para um modelo exclusivamente interindividual, em que os grupos se reduzem à acção recíproca de componentes dispersos</w:t>
      </w:r>
      <w:r w:rsidRPr="003E305A">
        <w:rPr>
          <w:rStyle w:val="Refdenotaderodap"/>
        </w:rPr>
        <w:footnoteReference w:id="79"/>
      </w:r>
      <w:r w:rsidRPr="003E305A">
        <w:t xml:space="preserve">. Darwin propôs a base biológica de um sistema de relacionamento entre indivíduos e parou à beira do social. Deste limiar em diante os linguistas românticos haviam já dado o seu contributo, ao representarem a essência do corpo político como língua e a história como filologia. O modelo do romantismo linguístico é supra-individual, definindo a língua, e portanto a suposta raça, como o verdadeiro sujeito, acima dos indivíduos e independentemente deles. </w:t>
      </w:r>
    </w:p>
    <w:p w:rsidR="00DF4B40" w:rsidRPr="003E305A" w:rsidRDefault="00DF4B40" w:rsidP="00DF4B40">
      <w:r w:rsidRPr="003E305A">
        <w:t xml:space="preserve">O racismo moderno nasceu </w:t>
      </w:r>
      <w:r>
        <w:t>naquela</w:t>
      </w:r>
      <w:r w:rsidRPr="003E305A">
        <w:t xml:space="preserve"> encruzilhada cultural. </w:t>
      </w:r>
      <w:r w:rsidR="00EB7AB2">
        <w:t xml:space="preserve">Um dos principais historiadores do genocídio dos judeus </w:t>
      </w:r>
      <w:r w:rsidR="007C6200" w:rsidRPr="003E305A">
        <w:t>observ</w:t>
      </w:r>
      <w:r w:rsidR="007C6200">
        <w:t>ou</w:t>
      </w:r>
      <w:r w:rsidR="007C6200" w:rsidRPr="003E305A">
        <w:t xml:space="preserve"> que «existe uma diferença funcional entre o racismo americano e o racismo germânico. O racista americano identifica um grupo racial [...] e atribui-lhe padrões de comportamento social. O racista germânico procede da maneira oposta, identificando um grupo com características étnicas e atribuindo-lhe uma qualidade racial. No modelo americano o racismo é indispensável. [...] No modelo germânico o racismo limita-se a </w:t>
      </w:r>
      <w:r w:rsidR="007C6200" w:rsidRPr="003E305A">
        <w:lastRenderedPageBreak/>
        <w:t>uma função de reforço»</w:t>
      </w:r>
      <w:r w:rsidR="00EB7AB2" w:rsidRPr="003E305A">
        <w:rPr>
          <w:rStyle w:val="Refdenotaderodap"/>
        </w:rPr>
        <w:footnoteReference w:id="80"/>
      </w:r>
      <w:r w:rsidR="007C6200" w:rsidRPr="003E305A">
        <w:t xml:space="preserve">. </w:t>
      </w:r>
      <w:r w:rsidR="007C6200">
        <w:t xml:space="preserve">Pode entender-se assim </w:t>
      </w:r>
      <w:r w:rsidR="007C6200" w:rsidRPr="003E305A">
        <w:t>a oposição</w:t>
      </w:r>
      <w:r w:rsidR="007C6200">
        <w:t>,</w:t>
      </w:r>
      <w:r w:rsidR="007C6200" w:rsidRPr="003E305A">
        <w:t xml:space="preserve"> ou complementaridade</w:t>
      </w:r>
      <w:r w:rsidR="007C6200">
        <w:t>,</w:t>
      </w:r>
      <w:r w:rsidR="007C6200" w:rsidRPr="003E305A">
        <w:t xml:space="preserve"> entre o modelo de Darwin, que prosseguiu da biologia para a cultura, e o do romantismo germânico, que tomou o caminho inverso.</w:t>
      </w:r>
      <w:r w:rsidR="007C6200">
        <w:t xml:space="preserve"> </w:t>
      </w:r>
      <w:r w:rsidR="007A2EEA">
        <w:t xml:space="preserve">Nesta convergência se </w:t>
      </w:r>
      <w:r w:rsidR="00FA6C7C">
        <w:t>gerou</w:t>
      </w:r>
      <w:r w:rsidR="007A2EEA">
        <w:t xml:space="preserve"> o racismo moderno. </w:t>
      </w:r>
    </w:p>
    <w:p w:rsidR="00DF4B40" w:rsidRPr="003E305A" w:rsidRDefault="00DF4B40" w:rsidP="00DF4B40">
      <w:r w:rsidRPr="003E305A">
        <w:t>Que se passou para provocar uma mutação tão cabal entre o Darwin de 1839 e o de 1874? Não creio que aquela profunda alteração de perspectivas se tivesse devido a uma mera evolução pessoal nem sequer a transformações operadas exclusivamente na cultura britânica. Um minucioso conhecedor destas questões pretende</w:t>
      </w:r>
      <w:r>
        <w:t>u</w:t>
      </w:r>
      <w:r w:rsidRPr="003E305A">
        <w:t xml:space="preserve"> que durante a primeira metade do século XIX os meios intelectuais da Grã-Bretanha haviam permanecido imunes ao racismo biológico e admitiam que os povos de pele escura pudessem assimilar os conhecimentos europeus se fossem colocados num ambiente social propício, enquanto na Europa continental os literatos e os cientistas já desde o século XVIII </w:t>
      </w:r>
      <w:r>
        <w:t xml:space="preserve">atribuíam a </w:t>
      </w:r>
      <w:r w:rsidRPr="003E305A">
        <w:t>esses povos uma natureza biológica inferior à dos brancos</w:t>
      </w:r>
      <w:r w:rsidRPr="003E305A">
        <w:rPr>
          <w:rStyle w:val="Refdenotaderodap"/>
        </w:rPr>
        <w:footnoteReference w:id="81"/>
      </w:r>
      <w:r w:rsidR="002B18A5">
        <w:t>.</w:t>
      </w:r>
      <w:r w:rsidRPr="003E305A">
        <w:t xml:space="preserve"> </w:t>
      </w:r>
      <w:r w:rsidR="002B18A5" w:rsidRPr="003E305A">
        <w:t xml:space="preserve">É </w:t>
      </w:r>
      <w:r w:rsidRPr="003E305A">
        <w:t>sem dúvida instrutivo coleccionar exemplos de menosprezo pelos negros, pelos índios e pelos orientais da parte de alguns ilustres representantes franceses e germânicos do iluminismo e do primeiro romantismo</w:t>
      </w:r>
      <w:r w:rsidRPr="003E305A">
        <w:rPr>
          <w:rStyle w:val="Refdenotaderodap"/>
        </w:rPr>
        <w:footnoteReference w:id="82"/>
      </w:r>
      <w:r w:rsidRPr="003E305A">
        <w:t xml:space="preserve">, mas não me parece que o racismo </w:t>
      </w:r>
      <w:r>
        <w:t>desses</w:t>
      </w:r>
      <w:r w:rsidRPr="003E305A">
        <w:t xml:space="preserve"> meios intelectuais indicasse um comportamento generalizado </w:t>
      </w:r>
      <w:r>
        <w:t>n</w:t>
      </w:r>
      <w:r w:rsidRPr="003E305A">
        <w:t xml:space="preserve">a globalidade da população. Embora haja momentos em que as teses </w:t>
      </w:r>
      <w:r w:rsidR="002B18A5">
        <w:t>dos</w:t>
      </w:r>
      <w:r w:rsidRPr="003E305A">
        <w:t xml:space="preserve"> eruditos revelam de maneira concentrada e sistemática uma cultura, neste caso creio que devemos distinguir a história cultural e algumas vertentes da história intelectual. </w:t>
      </w:r>
    </w:p>
    <w:p w:rsidR="00DF4B40" w:rsidRPr="003E305A" w:rsidRDefault="00DF4B40" w:rsidP="00DF4B40">
      <w:r w:rsidRPr="003E305A">
        <w:t xml:space="preserve">Tradicionalmente as sociedades </w:t>
      </w:r>
      <w:r>
        <w:t xml:space="preserve">eram </w:t>
      </w:r>
      <w:r w:rsidRPr="003E305A">
        <w:t>exclusivistas. Mas se povos com crenças, línguas e formas de organização diferentes podiam ser considerados inferiores, esta alegada inferioridade cultural e social só muito raramente se projectava numa degradação biológica. Se a generalidade de uma população desdenhava o falar das outras, os seus hábitos, até a cor da pele, não desprezava por isso as aptidões de cada indivíduo. Todos os grandes impérios consideraram bárbaros os vizinhos, mas um bárbaro que se pusesse ao serviço do império e demonstrasse talentos podia ascender aos mais altos postos, ocupar o trono. A clivagem ocorreu nos meados do século XIX</w:t>
      </w:r>
      <w:r w:rsidR="001B4E9E">
        <w:rPr>
          <w:rStyle w:val="Refdenotaderodap"/>
        </w:rPr>
        <w:footnoteReference w:id="83"/>
      </w:r>
      <w:r w:rsidRPr="003E305A">
        <w:t>. Até então a expansão dos europeus em direcção à África</w:t>
      </w:r>
      <w:r w:rsidR="009979C1">
        <w:t>,</w:t>
      </w:r>
      <w:r w:rsidRPr="003E305A">
        <w:t xml:space="preserve"> </w:t>
      </w:r>
      <w:r w:rsidR="009979C1">
        <w:t xml:space="preserve">à Ásia </w:t>
      </w:r>
      <w:r w:rsidRPr="003E305A">
        <w:t xml:space="preserve">e ao Oceano Pacífico tivera objectivos comerciais e assentara na fundação de entrepostos, que serviam para manter relações de tráfico com as sociedades autóctones. Todavia, o desenvolvimento da indústria nas metrópoles obrigou a uma profunda remodelação da estratégia colonial, que passou a visar principalmente a obtenção </w:t>
      </w:r>
      <w:r w:rsidR="00F97749">
        <w:t>massiv</w:t>
      </w:r>
      <w:r w:rsidRPr="003E305A">
        <w:t>a de alguns tipos de matérias-</w:t>
      </w:r>
      <w:r w:rsidRPr="003E305A">
        <w:lastRenderedPageBreak/>
        <w:t xml:space="preserve">primas, quer pela extracção quer pelo estabelecimento de plantações. Para isso foi necessário converter ao assalariamento povos que enquanto parceiros comerciais tinham conservado sistemas </w:t>
      </w:r>
      <w:r w:rsidR="00C534CA">
        <w:t>sócio-</w:t>
      </w:r>
      <w:r w:rsidRPr="003E305A">
        <w:t xml:space="preserve">económicos próprios, e a destruição metódica dos modos de produção tradicionais não pôde ocorrer sem a ocupação dos territórios. </w:t>
      </w:r>
      <w:r w:rsidR="009979C1">
        <w:t xml:space="preserve">A transformação do domínio britânico sobre a Índia e </w:t>
      </w:r>
      <w:r w:rsidR="009979C1" w:rsidRPr="003E305A">
        <w:t xml:space="preserve">as </w:t>
      </w:r>
      <w:r w:rsidRPr="003E305A">
        <w:t xml:space="preserve">guerras de conquista que os países europeus desencadearam em África na segunda metade do século XIX foram a condição prévia à assimilação de povos que haviam antes sido aliados. E a obtenção de mão-de-obra para as minas e plantações conseguiu-se com um misto de pressões económicas e fiscais permanentes, de enquadramento administrativo e de violência pura, resultando numa conjugação peculiar de assalariamento e trabalho forçado. Este processo de anulação de soberanias e implantação de novos sistemas de trabalho fez-se acompanhar, na cultura europeia, pela convicção da inferioridade biológica das pessoas de pele escura. O sistemático desdém a que passaram a ser votados </w:t>
      </w:r>
      <w:r w:rsidR="008212DA">
        <w:t xml:space="preserve">os indianos e </w:t>
      </w:r>
      <w:r w:rsidRPr="003E305A">
        <w:t>os africanos serviu para tranquilizar as consciências brancas</w:t>
      </w:r>
      <w:r w:rsidR="008212DA">
        <w:t>,</w:t>
      </w:r>
      <w:r w:rsidRPr="003E305A">
        <w:t xml:space="preserve"> certific</w:t>
      </w:r>
      <w:r w:rsidR="008212DA">
        <w:t>ando</w:t>
      </w:r>
      <w:r w:rsidRPr="003E305A">
        <w:t xml:space="preserve">-as de que a opressão colonial entrava na ordem natural das coisas, e ao mesmo tempo contribuiu para minar a autoconfiança daqueles povos e constituiu um dos factores da sua subjugação. </w:t>
      </w:r>
    </w:p>
    <w:p w:rsidR="00DF4B40" w:rsidRPr="003E305A" w:rsidRDefault="00DF4B40" w:rsidP="00DF4B40">
      <w:r w:rsidRPr="003E305A">
        <w:t xml:space="preserve">O que se passara já em vastas regiões das Américas confirma esta análise. Desde há vários séculos que aí se mobilizavam grandes equipas de escravos, especialmente vindos de África, empregues numa produção em grande escala destinada directamente ao mercado mundial. E de igual modo as vítimas do sistema foram consideradas física e mentalmente inferiores pelas classes dominantes locais. A versão biológica do racismo foi necessária para justificar aos colonos de origem europeia a destruição dos modos de produção arcaicos, a desorganização social de vastas populações e a escravização de muitos dos seus elementos, bem como da mão-de-obra importada. Como, porém, as sociedades coloniais estabelecidas nas duas Américas se haviam mantido na periferia da cultura ocidental, recebendo a influência da Europa mas não exercendo elas mesmas uma acção ideológica em sentido inverso, a generalidade da população europeia só começou a ser permeada pelo racismo biológico a partir dos meados do século XIX, quando as empresas metropolitanas e os colonos vindos das metrópoles se encarregaram directamente de destruir as civilizações dos outros continentes. </w:t>
      </w:r>
    </w:p>
    <w:p w:rsidR="00DF4B40" w:rsidRPr="003E305A" w:rsidRDefault="00DF4B40" w:rsidP="00DF4B40">
      <w:r w:rsidRPr="003E305A">
        <w:t xml:space="preserve">A representação plástica dos negros permite um teste interessante. Se virmos uma boa colecção de máscaras africanas constatamos que a maior parte não apresenta as características faciais tidas hoje como convencionalmente negróides, e isto sucede tanto em peças de carácter naturalista como naquelas cujo grau de síntese as aproxima quase da abstracção. </w:t>
      </w:r>
      <w:r w:rsidR="009C299C" w:rsidRPr="003E305A">
        <w:t xml:space="preserve">A </w:t>
      </w:r>
      <w:r w:rsidRPr="003E305A">
        <w:t xml:space="preserve">forma como os negros historicamente se observaram a si mesmos não difere da sua figuração na arte ocidental anterior ao século XIX. Os artistas europeus do renascimento e do barroco, quando </w:t>
      </w:r>
      <w:r w:rsidRPr="003E305A">
        <w:lastRenderedPageBreak/>
        <w:t>tinham oportunidade de pintar negros, escolhiam tipos fisionómicos que não contrastavam demasiado com os brancos, sem narizes muito achatados ou lábios exageradamente cheios, e representavam-nos sempre de maneira digna, sem intuito de ridicularização, mesmo quando os negros figuravam como servidores exóticos das cortes de monarcas e príncipes</w:t>
      </w:r>
      <w:r w:rsidR="009D7588">
        <w:t xml:space="preserve"> ou pagens de famílias nobres</w:t>
      </w:r>
      <w:r w:rsidRPr="003E305A">
        <w:t>. Mas foram os Reis Magos que</w:t>
      </w:r>
      <w:r w:rsidR="00FE73A6">
        <w:t>m</w:t>
      </w:r>
      <w:r w:rsidRPr="003E305A">
        <w:t xml:space="preserve"> conferi</w:t>
      </w:r>
      <w:r w:rsidR="00FE73A6">
        <w:t>u</w:t>
      </w:r>
      <w:r w:rsidRPr="003E305A">
        <w:t xml:space="preserve"> aos negros</w:t>
      </w:r>
      <w:r w:rsidR="007F1843">
        <w:t>,</w:t>
      </w:r>
      <w:r w:rsidRPr="003E305A">
        <w:t xml:space="preserve"> </w:t>
      </w:r>
      <w:r w:rsidR="007F1843">
        <w:t xml:space="preserve">na figura de Baltasar, </w:t>
      </w:r>
      <w:r w:rsidRPr="003E305A">
        <w:t>um lugar permanente na iconografia europeia</w:t>
      </w:r>
      <w:r w:rsidR="007F1843">
        <w:t>.</w:t>
      </w:r>
      <w:r w:rsidRPr="003E305A">
        <w:t xml:space="preserve"> </w:t>
      </w:r>
      <w:r w:rsidR="007F1843">
        <w:t>Aliás,</w:t>
      </w:r>
      <w:r w:rsidRPr="003E305A">
        <w:t xml:space="preserve"> convém observar que a substituição dos pastores pelos Reis Magos enquanto testemunhas do nascimento de Cristo equivaleu a uma apologia do poder soberano. A função deste tema era a tal ponto consciente que Fra Angelico, ou um dos seus discípulos, pintou os Reis Magos na capela anexa à cela ocupada por Cosimo de’ Medici em São Marcos de Florença, se bem que eles não apareçam em </w:t>
      </w:r>
      <w:r w:rsidR="007F1843">
        <w:t>nenhum</w:t>
      </w:r>
      <w:r w:rsidRPr="003E305A">
        <w:t xml:space="preserve"> outro fresco do convento. Naquela época os monarcas brancos podiam, portanto, ser exaltados pelos traços de um negro. Só durante o século XIX a mentalidade dos europeus acentuou a distância física que os separa dos outros povos e as representações plásticas dos africanos converteram-se em caricaturas. Sobretudo nas modalidades artísticas destinadas a um público popular, nas ilustrações de jornais, na decoração de objectos de uso quotidiano, os negros, pela posição do corpo e pelos traços do rosto, foram-se tornando simiescos. </w:t>
      </w:r>
      <w:r w:rsidR="00FE73A6">
        <w:t xml:space="preserve">Depois o modernismo, que desde início se projectou num horizonte mundial e integrou as lições plásticas </w:t>
      </w:r>
      <w:r w:rsidR="00E957EF">
        <w:t>de</w:t>
      </w:r>
      <w:r w:rsidR="00FE73A6">
        <w:t xml:space="preserve"> outras culturas, </w:t>
      </w:r>
      <w:r w:rsidR="00377EAB">
        <w:t>aboliu</w:t>
      </w:r>
      <w:r w:rsidR="00F72784">
        <w:t xml:space="preserve"> qualquer possibilidade de </w:t>
      </w:r>
      <w:r w:rsidR="00FE73A6">
        <w:t xml:space="preserve">racismo na pintura e na escultura, mas cavou-se neste mesmo processo </w:t>
      </w:r>
      <w:r w:rsidR="00E957EF">
        <w:t>a</w:t>
      </w:r>
      <w:r w:rsidR="00FE73A6">
        <w:t xml:space="preserve"> dicotomia entre </w:t>
      </w:r>
      <w:r w:rsidR="00FE73A6" w:rsidRPr="00E957EF">
        <w:rPr>
          <w:i/>
        </w:rPr>
        <w:t>high culture</w:t>
      </w:r>
      <w:r w:rsidR="00FE73A6">
        <w:t xml:space="preserve"> e </w:t>
      </w:r>
      <w:r w:rsidR="00FE73A6" w:rsidRPr="00E957EF">
        <w:rPr>
          <w:i/>
        </w:rPr>
        <w:t>low culture</w:t>
      </w:r>
      <w:r w:rsidR="00FE73A6">
        <w:t xml:space="preserve"> e o racismo continuou </w:t>
      </w:r>
      <w:r w:rsidR="00377EAB">
        <w:t xml:space="preserve">durante </w:t>
      </w:r>
      <w:r w:rsidR="000405EC">
        <w:t xml:space="preserve">várias décadas </w:t>
      </w:r>
      <w:r w:rsidR="00FE73A6">
        <w:t xml:space="preserve">a predominar nas representações plásticas destinadas ao público popular. </w:t>
      </w:r>
    </w:p>
    <w:p w:rsidR="00DF4B40" w:rsidRPr="003E305A" w:rsidRDefault="00DF4B40" w:rsidP="00D96872">
      <w:pPr>
        <w:keepNext/>
        <w:spacing w:before="720" w:after="360"/>
        <w:ind w:firstLine="0"/>
        <w:jc w:val="center"/>
        <w:rPr>
          <w:b/>
        </w:rPr>
      </w:pPr>
      <w:r>
        <w:rPr>
          <w:b/>
          <w:sz w:val="28"/>
        </w:rPr>
        <w:t>3</w:t>
      </w:r>
      <w:r w:rsidRPr="003E305A">
        <w:rPr>
          <w:b/>
          <w:sz w:val="28"/>
        </w:rPr>
        <w:t>. Eugenia</w:t>
      </w:r>
    </w:p>
    <w:p w:rsidR="00DF4B40" w:rsidRPr="003E305A" w:rsidRDefault="00DF4B40" w:rsidP="00DF4B40">
      <w:r w:rsidRPr="003E305A">
        <w:t xml:space="preserve">A Eugenia foi </w:t>
      </w:r>
      <w:r>
        <w:t xml:space="preserve">uma </w:t>
      </w:r>
      <w:r w:rsidRPr="003E305A">
        <w:t xml:space="preserve">disciplina académica criada </w:t>
      </w:r>
      <w:r w:rsidR="005F76DC">
        <w:t xml:space="preserve">em sociedades </w:t>
      </w:r>
      <w:r w:rsidRPr="003E305A">
        <w:t>democrátic</w:t>
      </w:r>
      <w:r w:rsidR="005F76DC">
        <w:t>a</w:t>
      </w:r>
      <w:r w:rsidRPr="003E305A">
        <w:t xml:space="preserve">s que contribuiu decisivamente para a formação do quadro ideológico </w:t>
      </w:r>
      <w:r>
        <w:t xml:space="preserve">e prático </w:t>
      </w:r>
      <w:r w:rsidRPr="003E305A">
        <w:t xml:space="preserve">do </w:t>
      </w:r>
      <w:r w:rsidR="000405EC">
        <w:t>nacional-socialismo</w:t>
      </w:r>
      <w:r w:rsidRPr="003E305A">
        <w:t>. De nada serve pretender, como hoje se faz por vezes, que ela interessou só meios marginais ou pessoas alheias ao pensamento científico</w:t>
      </w:r>
      <w:r w:rsidR="000405EC">
        <w:t xml:space="preserve">. </w:t>
      </w:r>
      <w:r w:rsidR="000405EC" w:rsidRPr="003E305A">
        <w:t xml:space="preserve">Um </w:t>
      </w:r>
      <w:r w:rsidRPr="003E305A">
        <w:t>pesquisador observ</w:t>
      </w:r>
      <w:r>
        <w:t>ou</w:t>
      </w:r>
      <w:r w:rsidRPr="003E305A">
        <w:t xml:space="preserve"> que «durante muito tempo não houve uma distinção nítida entre eugenia e genética humana»</w:t>
      </w:r>
      <w:r w:rsidRPr="003E305A">
        <w:rPr>
          <w:rStyle w:val="Refdenotaderodap"/>
        </w:rPr>
        <w:footnoteReference w:id="84"/>
      </w:r>
      <w:r w:rsidR="00C20E9D">
        <w:t>,</w:t>
      </w:r>
      <w:r w:rsidRPr="003E305A">
        <w:t xml:space="preserve"> outro historiador advert</w:t>
      </w:r>
      <w:r>
        <w:t>iu</w:t>
      </w:r>
      <w:r w:rsidRPr="003E305A">
        <w:t xml:space="preserve"> que «originariamente, genética humana e eugenia eram uma única e a mesma coisa»</w:t>
      </w:r>
      <w:r w:rsidRPr="003E305A">
        <w:rPr>
          <w:rStyle w:val="Refdenotaderodap"/>
        </w:rPr>
        <w:footnoteReference w:id="85"/>
      </w:r>
      <w:r w:rsidR="00C20E9D">
        <w:t xml:space="preserve"> e uma especialista esclareceu que se tratava do lado teórico e do lado prático da mesma ciência</w:t>
      </w:r>
      <w:r w:rsidR="00C20E9D">
        <w:rPr>
          <w:rStyle w:val="Refdenotaderodap"/>
        </w:rPr>
        <w:footnoteReference w:id="86"/>
      </w:r>
      <w:r w:rsidRPr="003E305A">
        <w:t xml:space="preserve">. </w:t>
      </w:r>
      <w:r w:rsidR="00B55F75" w:rsidRPr="003E305A">
        <w:t xml:space="preserve">Praticamente todos os que se dedicavam ao estudo da genética e da evolução defendiam os </w:t>
      </w:r>
      <w:r w:rsidR="00B55F75" w:rsidRPr="003E305A">
        <w:lastRenderedPageBreak/>
        <w:t>princípios da eugenia, tal como o faziam também numerosos médicos e outros especialistas da biologia</w:t>
      </w:r>
      <w:r w:rsidR="00B55F75">
        <w:t>, e a antropologia racial era considerada como uma disciplina científica, no mesmo plano que qualquer outra</w:t>
      </w:r>
      <w:r w:rsidR="00B55F75">
        <w:rPr>
          <w:rStyle w:val="Refdenotaderodap"/>
        </w:rPr>
        <w:footnoteReference w:id="87"/>
      </w:r>
      <w:r w:rsidR="00B55F75">
        <w:t xml:space="preserve">. </w:t>
      </w:r>
      <w:r w:rsidR="00DB5539" w:rsidRPr="003E305A">
        <w:t>Lothrop Stoddard, um dos dirigentes da Eugenics Research Association e ideólogo do Ku Klux Klan,</w:t>
      </w:r>
      <w:r w:rsidR="00DB5539">
        <w:t xml:space="preserve"> defendeu </w:t>
      </w:r>
      <w:r w:rsidR="005F76DC">
        <w:t>até</w:t>
      </w:r>
      <w:r w:rsidR="00DB5539">
        <w:t xml:space="preserve"> que «a eugenia está, de facto, a </w:t>
      </w:r>
      <w:r w:rsidR="00A27964">
        <w:t>evoluir</w:t>
      </w:r>
      <w:r w:rsidR="00DB5539">
        <w:t xml:space="preserve"> </w:t>
      </w:r>
      <w:r w:rsidR="00A27964">
        <w:t>rumo a</w:t>
      </w:r>
      <w:r w:rsidR="00DB5539">
        <w:t xml:space="preserve"> uma síntese superior, aproveitando</w:t>
      </w:r>
      <w:r w:rsidR="00A27964">
        <w:t>-se</w:t>
      </w:r>
      <w:r w:rsidR="00DB5539">
        <w:t xml:space="preserve"> livremente </w:t>
      </w:r>
      <w:r w:rsidR="00A27964">
        <w:t xml:space="preserve">de </w:t>
      </w:r>
      <w:r w:rsidR="00DB5539">
        <w:t>outros ramos do conhecimento como a psicologia e as ciências sociais [...]»</w:t>
      </w:r>
      <w:r w:rsidR="00A27964">
        <w:rPr>
          <w:rStyle w:val="Refdenotaderodap"/>
        </w:rPr>
        <w:footnoteReference w:id="88"/>
      </w:r>
      <w:r w:rsidR="00DB5539">
        <w:t xml:space="preserve">. </w:t>
      </w:r>
    </w:p>
    <w:p w:rsidR="00055C1E" w:rsidRDefault="00831805" w:rsidP="00DF4B40">
      <w:r>
        <w:t xml:space="preserve">Numa reflexão </w:t>
      </w:r>
      <w:r w:rsidR="00D358A0">
        <w:t xml:space="preserve">sobre as origens da </w:t>
      </w:r>
      <w:r w:rsidR="00BD1EE8">
        <w:t>eugenia</w:t>
      </w:r>
      <w:r w:rsidR="00D358A0">
        <w:t xml:space="preserve">, um historiador </w:t>
      </w:r>
      <w:r w:rsidR="0034713A">
        <w:t xml:space="preserve">neoconservador </w:t>
      </w:r>
      <w:r w:rsidR="00D358A0">
        <w:t xml:space="preserve">observou que, </w:t>
      </w:r>
      <w:r w:rsidR="009622EA">
        <w:t>aceitando</w:t>
      </w:r>
      <w:r w:rsidR="00D358A0">
        <w:t xml:space="preserve">-se a noção da sociedade como um organismo, proposta pela filosofia romântica alemã, então as contradições sociais </w:t>
      </w:r>
      <w:r w:rsidR="009622EA">
        <w:t>seriam</w:t>
      </w:r>
      <w:r w:rsidR="00D358A0">
        <w:t xml:space="preserve"> consideradas como doenças e a política fica</w:t>
      </w:r>
      <w:r w:rsidR="009622EA">
        <w:t>ria</w:t>
      </w:r>
      <w:r w:rsidR="00D358A0">
        <w:t xml:space="preserve"> convertida num ramo da medicina. «Atribundo credibilidade científica à visão hegeliana e romântica das nações enquanto entidades orgânicas, o darwinismo legou aos cientistas a permissão de tratar os problemas sociais como enigmas biológicos»</w:t>
      </w:r>
      <w:r w:rsidR="00D358A0">
        <w:rPr>
          <w:rStyle w:val="Refdenotaderodap"/>
        </w:rPr>
        <w:footnoteReference w:id="89"/>
      </w:r>
      <w:r w:rsidR="00D358A0">
        <w:t xml:space="preserve">. </w:t>
      </w:r>
      <w:r w:rsidR="00DF4B40" w:rsidRPr="003E305A">
        <w:t xml:space="preserve">Directo continuador da obra de Darwin, o seu primo Francis Galton, fundador da eugenia, desenvolveu o racismo em dois aspectos que teriam grandes repercussões. </w:t>
      </w:r>
    </w:p>
    <w:p w:rsidR="00055C1E" w:rsidRDefault="00055C1E" w:rsidP="00055C1E">
      <w:pPr>
        <w:keepNext/>
        <w:spacing w:before="240" w:after="120"/>
        <w:ind w:firstLine="0"/>
        <w:jc w:val="center"/>
      </w:pPr>
      <w:r>
        <w:rPr>
          <w:b/>
          <w:sz w:val="28"/>
          <w:szCs w:val="28"/>
        </w:rPr>
        <w:t>1</w:t>
      </w:r>
    </w:p>
    <w:p w:rsidR="00DF4B40" w:rsidRPr="003E305A" w:rsidRDefault="00DF4B40" w:rsidP="00DF4B40">
      <w:r>
        <w:t xml:space="preserve">Em primeiro lugar, </w:t>
      </w:r>
      <w:r w:rsidR="00055C1E" w:rsidRPr="003E305A">
        <w:t xml:space="preserve">Galton </w:t>
      </w:r>
      <w:r w:rsidRPr="003E305A">
        <w:t>considerou em termos biológicos não só as diferenças de situação entre os povos mas ainda as diferenças sociais no interior de cada povo, de maneira que a elite da classe dominante seria superior aos seus concidadãos sob os pontos de vista físico e mental. Como os descendentes destas famílias herdariam as qualidades dos pais, enquanto as características negativas se reproduziriam também hereditariamente nas famílias das camadas inferiores, o mesmo modelo biológico que servia para justificar o domínio de uns povos sobre os outros era invocado para explicar o ascendente de uma classe sobre a outra</w:t>
      </w:r>
      <w:r w:rsidR="003B7C37">
        <w:rPr>
          <w:rStyle w:val="Refdenotaderodap"/>
        </w:rPr>
        <w:footnoteReference w:id="90"/>
      </w:r>
      <w:r w:rsidRPr="003E305A">
        <w:t xml:space="preserve">. </w:t>
      </w:r>
    </w:p>
    <w:p w:rsidR="00DF4B40" w:rsidRPr="003E305A" w:rsidRDefault="000856A7" w:rsidP="00DF4B40">
      <w:r w:rsidRPr="003E305A">
        <w:t xml:space="preserve">Não </w:t>
      </w:r>
      <w:r w:rsidR="00DF4B40" w:rsidRPr="003E305A">
        <w:t>se tratava de uma inovação. A fulgurante vitória das tropas prussianas na guerra de 1870 caus</w:t>
      </w:r>
      <w:r w:rsidR="00267F82">
        <w:t>ara</w:t>
      </w:r>
      <w:r w:rsidR="00DF4B40" w:rsidRPr="003E305A">
        <w:t xml:space="preserve"> uma enorme consternação nas camadas sociais francesas mais conservadoras, e a instauração da Comuna de Paris no ano seguinte provoc</w:t>
      </w:r>
      <w:r w:rsidR="00267F82">
        <w:t>ara</w:t>
      </w:r>
      <w:r w:rsidR="00DF4B40" w:rsidRPr="003E305A">
        <w:t xml:space="preserve"> um pânico sem precedentes nas classes proprietárias e </w:t>
      </w:r>
      <w:r>
        <w:t xml:space="preserve">entre a </w:t>
      </w:r>
      <w:r w:rsidR="00DF4B40" w:rsidRPr="003E305A">
        <w:t>maioria dos intelectuais. Para explicarem um acontecimento que ultrapassava as suas capacidades de compreensão e que consideravam como o fim do mundo</w:t>
      </w:r>
      <w:r w:rsidR="00DF4B40" w:rsidRPr="003E305A">
        <w:rPr>
          <w:rStyle w:val="Refdenotaderodap"/>
        </w:rPr>
        <w:footnoteReference w:id="91"/>
      </w:r>
      <w:r w:rsidR="00DF4B40" w:rsidRPr="003E305A">
        <w:t xml:space="preserve"> </w:t>
      </w:r>
      <w:r w:rsidR="00267F82">
        <w:t>—</w:t>
      </w:r>
      <w:r w:rsidR="00DF4B40" w:rsidRPr="003E305A">
        <w:t xml:space="preserve"> e sem dúvida era o fim do seu mundo </w:t>
      </w:r>
      <w:r w:rsidR="003D36A4">
        <w:t>—</w:t>
      </w:r>
      <w:r w:rsidR="00DF4B40" w:rsidRPr="003E305A">
        <w:t xml:space="preserve"> estes cérebros apavorados recorreram à tese da </w:t>
      </w:r>
      <w:r w:rsidR="00DF4B40" w:rsidRPr="003E305A">
        <w:lastRenderedPageBreak/>
        <w:t>degenerescência biológica do proletariado</w:t>
      </w:r>
      <w:r w:rsidR="00DF4B40" w:rsidRPr="003E305A">
        <w:rPr>
          <w:rStyle w:val="Refdenotaderodap"/>
        </w:rPr>
        <w:footnoteReference w:id="92"/>
      </w:r>
      <w:r w:rsidR="00DF4B40" w:rsidRPr="003E305A">
        <w:t xml:space="preserve">. A insatisfação social e a acção revolucionária dever-se-iam à inferioridade patológica que condenava os pobres à miséria e ao crime. E assim o mesmo argumento que servia para consagrar a superioridade da elite era utilizado para estigmatizar os anseios de mudança social. </w:t>
      </w:r>
    </w:p>
    <w:p w:rsidR="00DF4B40" w:rsidRPr="00C73F75" w:rsidRDefault="00DF4B40" w:rsidP="00DF4B40">
      <w:r w:rsidRPr="003E305A">
        <w:t>Embora usa</w:t>
      </w:r>
      <w:r w:rsidR="00267F82">
        <w:t>sse</w:t>
      </w:r>
      <w:r w:rsidRPr="003E305A">
        <w:t xml:space="preserve"> o vocabulário recente da med</w:t>
      </w:r>
      <w:r>
        <w:t>i</w:t>
      </w:r>
      <w:r w:rsidRPr="003E305A">
        <w:t xml:space="preserve">cina e da biologia, </w:t>
      </w:r>
      <w:r w:rsidR="00267F82">
        <w:t xml:space="preserve">o modelo formalizado por Galton </w:t>
      </w:r>
      <w:r w:rsidRPr="003E305A">
        <w:t>deriv</w:t>
      </w:r>
      <w:r>
        <w:t>ou</w:t>
      </w:r>
      <w:r w:rsidRPr="003E305A">
        <w:t xml:space="preserve"> de um quadro ideológico mais antigo. A confusão entre a hierarquia social e a hierarquia racial havia-se já tornado um lugar-comum em França, onde a historiografia da segunda metade do século XVII atribuíra à nobreza uma ascendência franca, entroncando-a na raça dos conquistadores, enquanto a plebe descenderia dos gauleses, a raça conquistada</w:t>
      </w:r>
      <w:r w:rsidRPr="003E305A">
        <w:rPr>
          <w:rStyle w:val="Refdenotaderodap"/>
        </w:rPr>
        <w:footnoteReference w:id="93"/>
      </w:r>
      <w:r w:rsidRPr="003E305A">
        <w:t>. Escrevendo no primeiro quartel do século seguinte, Henri, conde de Boulainvilliers, recorreu a es</w:t>
      </w:r>
      <w:r>
        <w:t>t</w:t>
      </w:r>
      <w:r w:rsidRPr="003E305A">
        <w:t xml:space="preserve">a concepção para defender os privilégios da nobreza tradicional contra as pretensões do absolutismo, pois embora o monarca pudesse distribuir cartas patentes ou conceder títulos, </w:t>
      </w:r>
      <w:r w:rsidR="00B132F5">
        <w:t xml:space="preserve">era-lhe impossível </w:t>
      </w:r>
      <w:r w:rsidRPr="003E305A">
        <w:t xml:space="preserve">alterar os sangues e a verdadeira nobreza só </w:t>
      </w:r>
      <w:r>
        <w:t xml:space="preserve">seria </w:t>
      </w:r>
      <w:r w:rsidRPr="003E305A">
        <w:t>assegura</w:t>
      </w:r>
      <w:r>
        <w:t>d</w:t>
      </w:r>
      <w:r w:rsidRPr="003E305A">
        <w:t xml:space="preserve">a </w:t>
      </w:r>
      <w:r>
        <w:t xml:space="preserve">pelo </w:t>
      </w:r>
      <w:r w:rsidRPr="003E305A">
        <w:t>sangue que corria nas veias dos descendentes dos francos, tidos como mentalmente superiores aos gauleses</w:t>
      </w:r>
      <w:r w:rsidRPr="003E305A">
        <w:rPr>
          <w:rStyle w:val="Refdenotaderodap"/>
        </w:rPr>
        <w:footnoteReference w:id="94"/>
      </w:r>
      <w:r w:rsidRPr="003E305A">
        <w:t xml:space="preserve">. Em 1789 Sieyès deu a esta genealogia consequências imprevistas, apelando para a desforra dos gauleses sobre os francos, e no panfleto que melhor sintetiza a fase inicial da revolução, </w:t>
      </w:r>
      <w:r w:rsidRPr="003E305A">
        <w:rPr>
          <w:i/>
        </w:rPr>
        <w:t>Qu’est-ce que le Tiers État?,</w:t>
      </w:r>
      <w:r w:rsidRPr="003E305A">
        <w:t xml:space="preserve"> ele perguntou por que </w:t>
      </w:r>
      <w:r w:rsidR="007C6F3F">
        <w:t>motivo</w:t>
      </w:r>
      <w:r w:rsidRPr="003E305A">
        <w:t xml:space="preserve"> a plebe «não mandaria de regresso para as florestas da Francónia todas essas famílias que conservam a louca pretensão de descenderem da raça dos Conquistadores e de terem herdado direitos de conquista?»</w:t>
      </w:r>
      <w:r w:rsidRPr="003E305A">
        <w:rPr>
          <w:rStyle w:val="Refdenotaderodap"/>
        </w:rPr>
        <w:footnoteReference w:id="95"/>
      </w:r>
      <w:r w:rsidRPr="003E305A">
        <w:t>. A inversão dos termos reforçou o mito, e na primeira metade do século XIX, quando o conde de Montlosier lembrou à plebe que ela jamais poderia apagar as suas origens raciais, tal como as origens raciais da nobreza lhe confeririam inevitavelmente o carácter de elite</w:t>
      </w:r>
      <w:r w:rsidRPr="003E305A">
        <w:rPr>
          <w:rStyle w:val="Refdenotaderodap"/>
        </w:rPr>
        <w:footnoteReference w:id="96"/>
      </w:r>
      <w:r w:rsidRPr="003E305A">
        <w:t xml:space="preserve">, Augustin Thierry usou a mesma dialéctica para defender o pólo oposto. Se a revolução, recordou ele, fora feita pelo </w:t>
      </w:r>
      <w:r w:rsidRPr="003E305A">
        <w:rPr>
          <w:i/>
        </w:rPr>
        <w:t>Tiers État,</w:t>
      </w:r>
      <w:r w:rsidRPr="003E305A">
        <w:t xml:space="preserve"> herdeiro das antigas comunas urbanas onde </w:t>
      </w:r>
      <w:r w:rsidR="003D36A4">
        <w:t>—</w:t>
      </w:r>
      <w:r w:rsidRPr="003E305A">
        <w:t xml:space="preserve"> a crer na historiografia daquela época </w:t>
      </w:r>
      <w:r w:rsidR="003D36A4">
        <w:t>—</w:t>
      </w:r>
      <w:r w:rsidRPr="003E305A">
        <w:t xml:space="preserve"> haviam encontrado asilo os servos, descendentes da raça vencida, então «nós chegamos ao termo final de uma conquista que nos cumpre revogar»</w:t>
      </w:r>
      <w:r w:rsidRPr="003E305A">
        <w:rPr>
          <w:rStyle w:val="Refdenotaderodap"/>
        </w:rPr>
        <w:footnoteReference w:id="97"/>
      </w:r>
      <w:r w:rsidRPr="003E305A">
        <w:t xml:space="preserve">. Na verdade, Thierry não só apelou para essa revogação no plano dos factos mas invalidou a teoria também, denunciando «o emprego de uma fraseologia» que «substitui a ideia de classes e de ordens pela ideia de povos diversos» e «aplica à luta das classes inimigas ou rivais o vocabulário pinturesco da </w:t>
      </w:r>
      <w:r w:rsidRPr="003E305A">
        <w:lastRenderedPageBreak/>
        <w:t>história das invasões e das conquistas»</w:t>
      </w:r>
      <w:r w:rsidRPr="003E305A">
        <w:rPr>
          <w:rStyle w:val="Refdenotaderodap"/>
        </w:rPr>
        <w:footnoteReference w:id="98"/>
      </w:r>
      <w:r w:rsidRPr="003E305A">
        <w:t>. Não foi por acaso que Saint-Simon fez publicar em 1817 o primeiro volume de uma das suas obras mais importantes sob a assinatura de Augustin Thierry, nomeando-o nessas circunstâncias seu «filho adoptivo», e num conjunto de fascículos editado meia dúzia de anos mais tarde também ele se ergueu contra o facto de os descendentes dos francos continuarem a deter o exclusivo da força política, enquanto a força económica cabia já aos descendentes dos gauleses</w:t>
      </w:r>
      <w:r w:rsidRPr="003E305A">
        <w:rPr>
          <w:rStyle w:val="Refdenotaderodap"/>
        </w:rPr>
        <w:footnoteReference w:id="99"/>
      </w:r>
      <w:r w:rsidRPr="003E305A">
        <w:t xml:space="preserve">. Do mesmo modo Guizot apresentou a revolução francesa como o recomeço da guerra mais do que milenar entre dois povos que, apesar de reunidos no mesmo país, se haviam mantido estrangeiros </w:t>
      </w:r>
      <w:r w:rsidR="00B132F5">
        <w:t xml:space="preserve">— </w:t>
      </w:r>
      <w:r w:rsidRPr="003E305A">
        <w:t>os francos e os gauleses, conquistadores e conquistados, senhores e servos</w:t>
      </w:r>
      <w:r w:rsidRPr="003E305A">
        <w:rPr>
          <w:rStyle w:val="Refdenotaderodap"/>
        </w:rPr>
        <w:footnoteReference w:id="100"/>
      </w:r>
      <w:r w:rsidRPr="003E305A">
        <w:t>. Entretanto, o tema viria a encontrar repetidamente eco na obra de Balzac</w:t>
      </w:r>
      <w:r w:rsidRPr="003E305A">
        <w:rPr>
          <w:rStyle w:val="Refdenotaderodap"/>
        </w:rPr>
        <w:footnoteReference w:id="101"/>
      </w:r>
      <w:r w:rsidRPr="003E305A">
        <w:t xml:space="preserve">. </w:t>
      </w:r>
      <w:r w:rsidRPr="00C73F75">
        <w:t xml:space="preserve">Glosado pelas gerações seguintes dos historiadores franceses, </w:t>
      </w:r>
      <w:r>
        <w:t xml:space="preserve">o mito </w:t>
      </w:r>
      <w:r w:rsidRPr="00C73F75">
        <w:t>sócio-racial acabaria banalizado nos manuais de instrução primária da Terceira República, que evocariam «os nossos antepassados gauleses»</w:t>
      </w:r>
      <w:r w:rsidRPr="00C73F75">
        <w:rPr>
          <w:vertAlign w:val="superscript"/>
        </w:rPr>
        <w:footnoteReference w:id="102"/>
      </w:r>
      <w:r w:rsidRPr="00C73F75">
        <w:t xml:space="preserve">. Ainda em 1912 um professor de história coberto de louvores e palmas académicas, falando numa das mais ilustres instituições, </w:t>
      </w:r>
      <w:r>
        <w:t>disse</w:t>
      </w:r>
      <w:r w:rsidRPr="00C73F75">
        <w:t xml:space="preserve"> com uma pesada retórica que «quando brilharam as escaldantes jornadas do Verão de 1830, os mais entusiastas perguntaram se aquele sol de Julho não iluminava a derrota suprema dos antigos conquistadores, o triunfo, assinalado pela Providência, da raça imortal dos gauleses»</w:t>
      </w:r>
      <w:r w:rsidRPr="00C73F75">
        <w:rPr>
          <w:vertAlign w:val="superscript"/>
        </w:rPr>
        <w:footnoteReference w:id="103"/>
      </w:r>
      <w:r w:rsidRPr="00C73F75">
        <w:t xml:space="preserve">. Exactamente setenta e três anos antes, já Balzac havia posto o velho marquês d’Esgrignon a exclamar, perante o </w:t>
      </w:r>
      <w:r>
        <w:t>sucesso</w:t>
      </w:r>
      <w:r w:rsidRPr="00C73F75">
        <w:t xml:space="preserve"> da revolução de Julho de 1830: «Os gauleses triunfam!»</w:t>
      </w:r>
      <w:r w:rsidRPr="00C73F75">
        <w:rPr>
          <w:vertAlign w:val="superscript"/>
        </w:rPr>
        <w:footnoteReference w:id="104"/>
      </w:r>
      <w:r w:rsidRPr="00C73F75">
        <w:t xml:space="preserve">. </w:t>
      </w:r>
    </w:p>
    <w:p w:rsidR="00DF4B40" w:rsidRPr="00C73F75" w:rsidRDefault="00DF4B40" w:rsidP="00DF4B40">
      <w:r w:rsidRPr="00C73F75">
        <w:t xml:space="preserve">Do outro lado da suposta fronteira </w:t>
      </w:r>
      <w:r>
        <w:t>racial</w:t>
      </w:r>
      <w:r w:rsidRPr="00C73F75">
        <w:t>, Gobineau deu uma nova conotação àquele mito nos meados do século XIX, afirma</w:t>
      </w:r>
      <w:r w:rsidR="00B44D76">
        <w:t>ndo</w:t>
      </w:r>
      <w:r w:rsidRPr="00C73F75">
        <w:t xml:space="preserve"> que, apesar de uma certa mestiçagem, a classe superior, continuadora dos velhos guerreiros francos </w:t>
      </w:r>
      <w:r>
        <w:t>vitoriosos</w:t>
      </w:r>
      <w:r w:rsidRPr="00C73F75">
        <w:t>, mantinha desde os tempos antigos um relativo grau de pureza rácica, enquanto os elementos da classe inferior, continuado</w:t>
      </w:r>
      <w:r w:rsidR="00B44D76">
        <w:t>res</w:t>
      </w:r>
      <w:r w:rsidRPr="00C73F75">
        <w:t xml:space="preserve"> </w:t>
      </w:r>
      <w:r w:rsidR="00B44D76">
        <w:t>d</w:t>
      </w:r>
      <w:r w:rsidRPr="00C73F75">
        <w:t xml:space="preserve">a população gaulesa vencida, se encontravam suplementarmente deprimidos por numerosíssimos cruzamentos com outras raças. Mais tarde, quase a encerrar-se o século XIX, </w:t>
      </w:r>
      <w:r w:rsidRPr="00C73F75">
        <w:lastRenderedPageBreak/>
        <w:t>Vacher de Lapouge, que abandonara o marxismo para considerar a luta de classes como uma luta de raças e promovia o sincretismo, ou a confusão, entre o social e o racial, modernizou os termos do problema e lamentou que a revolução francesa tivesse consistido na vitória dos braquicéfalos, obviamente gauleses, sobre os dolicocéfalos, evidentemente francos. Desta maneira o «poder tende a concentrar-se nas classes inferiores, as mais braquicéfalas», o que provocaria um desastroso declínio do país</w:t>
      </w:r>
      <w:r w:rsidRPr="00C73F75">
        <w:rPr>
          <w:vertAlign w:val="superscript"/>
        </w:rPr>
        <w:footnoteReference w:id="105"/>
      </w:r>
      <w:r w:rsidRPr="00C73F75">
        <w:t xml:space="preserve">. </w:t>
      </w:r>
    </w:p>
    <w:p w:rsidR="00DF4B40" w:rsidRDefault="00DF4B40" w:rsidP="00DF4B40">
      <w:r>
        <w:t>A</w:t>
      </w:r>
      <w:r w:rsidRPr="003E305A">
        <w:t xml:space="preserve"> assimilação a que a historiografia francesa procedia entre classes e raças divulgou-se a tal ponto que intelectuais russos de persuasões opostas empregaram</w:t>
      </w:r>
      <w:r w:rsidR="00681F1E">
        <w:t>-na</w:t>
      </w:r>
      <w:r w:rsidRPr="003E305A">
        <w:t xml:space="preserve"> para demonstrar que no seu país a luta social assumiria necessariamente formas menos violentas, já que aí a aristocracia era nativa e não provinha de conquistadores. Os eslavófilos apoderaram-se desta tese em abono da sua convicção de que a Rússia estava destinada a seguir caminhos históricos diferentes dos europeus. Do lado contrário, entre os ocidentalizantes, Herzen invocou </w:t>
      </w:r>
      <w:r>
        <w:t>esse</w:t>
      </w:r>
      <w:r w:rsidRPr="003E305A">
        <w:t xml:space="preserve"> argumento em vários ensaios publicados ao longo da década de 1850 e Turguenev fez o mesmo num texto de 1860. Já em 1849, durante os interrogatórios policiais a que fora submetido, Dostoievsky procurara convencer a comissão de inquérito de que a sua simpatia pelas ideias francesas não implicava a defesa de soluções violentas na Rússia, </w:t>
      </w:r>
      <w:r w:rsidR="00681F1E">
        <w:t xml:space="preserve">pois </w:t>
      </w:r>
      <w:r w:rsidR="00681F1E" w:rsidRPr="00681F1E">
        <w:rPr>
          <w:i/>
        </w:rPr>
        <w:t>mujiks</w:t>
      </w:r>
      <w:r w:rsidRPr="00681F1E">
        <w:rPr>
          <w:i/>
        </w:rPr>
        <w:t>,</w:t>
      </w:r>
      <w:r w:rsidRPr="003E305A">
        <w:t xml:space="preserve"> senhores e czar tinham uma origem étnica comum, enquanto a história europeia padecia de «uma secular e obstinada luta entre a sociedade e uma autoridade originária de uma civilização estrangeira, de conquista, força e repressão». Passados doze anos, quando ocupava uma posição complexa </w:t>
      </w:r>
      <w:r>
        <w:t xml:space="preserve">entre </w:t>
      </w:r>
      <w:r w:rsidRPr="003E305A">
        <w:t xml:space="preserve">o campo eslavófilo e o campo progressista, Dostoievsky repetiu o argumento </w:t>
      </w:r>
      <w:r w:rsidR="00681F1E">
        <w:t>na</w:t>
      </w:r>
      <w:r w:rsidRPr="003E305A">
        <w:t xml:space="preserve"> apresenta</w:t>
      </w:r>
      <w:r w:rsidR="00681F1E">
        <w:t>ção</w:t>
      </w:r>
      <w:r w:rsidRPr="003E305A">
        <w:t xml:space="preserve"> </w:t>
      </w:r>
      <w:r w:rsidR="00681F1E">
        <w:t xml:space="preserve">de </w:t>
      </w:r>
      <w:r w:rsidRPr="003E305A">
        <w:t>uma revista de que era o principal inspirador. «O desenvolvimento dos futuros princípios da nossa vida não deveria fundamentar-se na inimizade entre as classes, entre conquistadores e conquistados, como acontece em toda a Europa», escreveu ele. «Nós não somos a Europa e entre nós não haverá e não deveria haver conquistadores e conquistados»</w:t>
      </w:r>
      <w:r w:rsidRPr="003E305A">
        <w:rPr>
          <w:rStyle w:val="Refdenotaderodap"/>
        </w:rPr>
        <w:footnoteReference w:id="106"/>
      </w:r>
      <w:r w:rsidRPr="003E305A">
        <w:t xml:space="preserve">. </w:t>
      </w:r>
    </w:p>
    <w:p w:rsidR="00DF4B40" w:rsidRPr="003E305A" w:rsidRDefault="00681F1E" w:rsidP="00DF4B40">
      <w:r>
        <w:t xml:space="preserve">Nisto tudo o mais </w:t>
      </w:r>
      <w:r w:rsidR="00DF4B40" w:rsidRPr="003E305A">
        <w:t>elucidativ</w:t>
      </w:r>
      <w:r>
        <w:t>o</w:t>
      </w:r>
      <w:r w:rsidR="00DF4B40" w:rsidRPr="003E305A">
        <w:t xml:space="preserve"> </w:t>
      </w:r>
      <w:r>
        <w:t xml:space="preserve">é </w:t>
      </w:r>
      <w:r w:rsidR="00DF4B40">
        <w:t xml:space="preserve">a </w:t>
      </w:r>
      <w:r w:rsidR="00DF4B40" w:rsidRPr="003E305A">
        <w:t>natural</w:t>
      </w:r>
      <w:r w:rsidR="00DF4B40">
        <w:t>idade</w:t>
      </w:r>
      <w:r w:rsidR="00DF4B40" w:rsidRPr="003E305A">
        <w:t xml:space="preserve"> com</w:t>
      </w:r>
      <w:r w:rsidR="00DF4B40">
        <w:t xml:space="preserve"> que se transpunha </w:t>
      </w:r>
      <w:r w:rsidR="00DF4B40" w:rsidRPr="003E305A">
        <w:t xml:space="preserve">a diferença entre classes </w:t>
      </w:r>
      <w:r w:rsidR="00DF4B40">
        <w:t xml:space="preserve">para a </w:t>
      </w:r>
      <w:r w:rsidR="00DF4B40" w:rsidRPr="003E305A">
        <w:t xml:space="preserve">diferença entre conquistadores e conquistados, e </w:t>
      </w:r>
      <w:r w:rsidR="005610AB">
        <w:t>est</w:t>
      </w:r>
      <w:r w:rsidR="00DF4B40" w:rsidRPr="003E305A">
        <w:t>a assimilação conceptual era também aceite na área da cultura germânica. Numa carta de 18 de Janeiro de 1856, relatando ao seu eterno amigo uma visita que acabara de fazer a Bruno Bauer, cont</w:t>
      </w:r>
      <w:r w:rsidR="00DF4B40">
        <w:t>ou</w:t>
      </w:r>
      <w:r w:rsidR="00DF4B40" w:rsidRPr="003E305A">
        <w:t xml:space="preserve"> Marx que </w:t>
      </w:r>
      <w:r w:rsidRPr="003E305A">
        <w:t xml:space="preserve">Bauer </w:t>
      </w:r>
      <w:r w:rsidR="00DF4B40" w:rsidRPr="003E305A">
        <w:t>se recusa</w:t>
      </w:r>
      <w:r w:rsidR="00DF4B40">
        <w:t>r</w:t>
      </w:r>
      <w:r w:rsidR="00DF4B40" w:rsidRPr="003E305A">
        <w:t>a a admitir a intervenção histórica da classe trabalhadora e afirma</w:t>
      </w:r>
      <w:r w:rsidR="00DF4B40">
        <w:t>r</w:t>
      </w:r>
      <w:r w:rsidR="00DF4B40" w:rsidRPr="003E305A">
        <w:t xml:space="preserve">a que «ninguém que não pertença aos “descendentes dos conquistadores” pode desempenhar qualquer papel na </w:t>
      </w:r>
      <w:r w:rsidR="00DF4B40" w:rsidRPr="003E305A">
        <w:lastRenderedPageBreak/>
        <w:t>história mundial»</w:t>
      </w:r>
      <w:r w:rsidR="00DF4B40" w:rsidRPr="003E305A">
        <w:rPr>
          <w:rStyle w:val="Refdenotaderodap"/>
        </w:rPr>
        <w:footnoteReference w:id="107"/>
      </w:r>
      <w:r w:rsidR="00DF4B40" w:rsidRPr="003E305A">
        <w:t>. Trinta anos depois Nietzsche escreve</w:t>
      </w:r>
      <w:r w:rsidR="00DF4B40">
        <w:t>u</w:t>
      </w:r>
      <w:r w:rsidR="00DF4B40" w:rsidRPr="003E305A">
        <w:t xml:space="preserve">, como se fosse uma evidência, «as classes, </w:t>
      </w:r>
      <w:r w:rsidR="00DF4B40" w:rsidRPr="003E305A">
        <w:rPr>
          <w:i/>
        </w:rPr>
        <w:t>portanto</w:t>
      </w:r>
      <w:r w:rsidR="00DF4B40" w:rsidRPr="003E305A">
        <w:t xml:space="preserve"> as raças»</w:t>
      </w:r>
      <w:r w:rsidR="00DF4B40" w:rsidRPr="003E305A">
        <w:rPr>
          <w:rStyle w:val="Refdenotaderodap"/>
        </w:rPr>
        <w:footnoteReference w:id="108"/>
      </w:r>
      <w:r w:rsidR="00DF4B40" w:rsidRPr="003E305A">
        <w:t xml:space="preserve">. </w:t>
      </w:r>
    </w:p>
    <w:p w:rsidR="00055C1E" w:rsidRDefault="00055C1E" w:rsidP="00055C1E">
      <w:pPr>
        <w:keepNext/>
        <w:spacing w:before="240" w:after="120"/>
        <w:ind w:firstLine="0"/>
        <w:jc w:val="center"/>
      </w:pPr>
      <w:r>
        <w:rPr>
          <w:b/>
          <w:sz w:val="28"/>
          <w:szCs w:val="28"/>
        </w:rPr>
        <w:t>2</w:t>
      </w:r>
    </w:p>
    <w:p w:rsidR="00DF4B40" w:rsidRPr="003E305A" w:rsidRDefault="00DF4B40" w:rsidP="00DF4B40">
      <w:r w:rsidRPr="003E305A">
        <w:t xml:space="preserve">Além de ter transposto para o quadro científico fundado por Darwin as concepções </w:t>
      </w:r>
      <w:r w:rsidR="007B48E9">
        <w:t>raciais</w:t>
      </w:r>
      <w:r w:rsidRPr="003E305A">
        <w:t xml:space="preserve"> de elite que outros autores haviam sustentado em termos míticos e nebulosos, Galton procedeu a uma segunda inovação, </w:t>
      </w:r>
      <w:r>
        <w:t xml:space="preserve">de enormes consequências, </w:t>
      </w:r>
      <w:r w:rsidRPr="003E305A">
        <w:t xml:space="preserve">defendendo uma estratégia de progresso biológico e apelando para a intervenção directa e sistemática dos governos na evolução biológica da humanidade. Com o objectivo de aperfeiçoar a raça, seria necessário orientar os matrimónios da elite e promover-lhes a fertilidade, e ao mesmo tempo tomar medidas para condenar à extinção as famílias </w:t>
      </w:r>
      <w:r>
        <w:t xml:space="preserve">consideradas </w:t>
      </w:r>
      <w:r w:rsidRPr="003E305A">
        <w:t xml:space="preserve">social, moral e biologicamente indesejáveis. Parece que nos últimos anos de vida Galton </w:t>
      </w:r>
      <w:r>
        <w:t>admitiu</w:t>
      </w:r>
      <w:r w:rsidRPr="003E305A">
        <w:t xml:space="preserve"> que as suas teses não estavam suficientemente comprovadas e exprimiu dúvidas </w:t>
      </w:r>
      <w:r w:rsidR="003019A5">
        <w:t xml:space="preserve">quanto à </w:t>
      </w:r>
      <w:r w:rsidRPr="003E305A">
        <w:t xml:space="preserve">possibilidade de regular os </w:t>
      </w:r>
      <w:r>
        <w:t>casamentos</w:t>
      </w:r>
      <w:r w:rsidRPr="003E305A">
        <w:rPr>
          <w:rStyle w:val="Refdenotaderodap"/>
        </w:rPr>
        <w:footnoteReference w:id="109"/>
      </w:r>
      <w:r w:rsidRPr="003E305A">
        <w:t xml:space="preserve">, mas a esmagadora maioria dos discípulos, </w:t>
      </w:r>
      <w:r w:rsidR="003019A5">
        <w:t xml:space="preserve">sem </w:t>
      </w:r>
      <w:r w:rsidRPr="003E305A">
        <w:t>partilhar tais hesitações, deu ainda maior dimensão à estratégia que havia sido delineada pelo mestre. A difusão destas concepções nos meios científicos foi tanto mais fácil quanto o ambiente já estava preparado</w:t>
      </w:r>
      <w:r>
        <w:t xml:space="preserve"> </w:t>
      </w:r>
      <w:r w:rsidRPr="003E305A">
        <w:t>no ponto nevrálgico onde os estudos médicos confluíam com os jurídicos, devido às investigações d</w:t>
      </w:r>
      <w:r w:rsidR="007B48E9">
        <w:t>o</w:t>
      </w:r>
      <w:r w:rsidRPr="003E305A">
        <w:t xml:space="preserve"> </w:t>
      </w:r>
      <w:r w:rsidR="007B48E9" w:rsidRPr="003E305A">
        <w:t xml:space="preserve">médico </w:t>
      </w:r>
      <w:r w:rsidRPr="003E305A">
        <w:t xml:space="preserve">Cesare Lombroso e dos seus numerosos continuadores. Admitindo que os criminosos eram biologicamente degenerados, Lombroso </w:t>
      </w:r>
      <w:r>
        <w:t>propôs</w:t>
      </w:r>
      <w:r w:rsidRPr="003E305A">
        <w:t xml:space="preserve"> a condenação à morte de todos aqueles que, no seu entender, sofressem desde a nascença </w:t>
      </w:r>
      <w:r w:rsidR="003019A5">
        <w:t xml:space="preserve">de </w:t>
      </w:r>
      <w:r w:rsidRPr="003E305A">
        <w:t xml:space="preserve">características regressivas </w:t>
      </w:r>
      <w:r>
        <w:t xml:space="preserve">e </w:t>
      </w:r>
      <w:r w:rsidRPr="003E305A">
        <w:t xml:space="preserve">que </w:t>
      </w:r>
      <w:r>
        <w:t xml:space="preserve">ele avaliou em </w:t>
      </w:r>
      <w:r w:rsidRPr="003E305A">
        <w:t>cerca de um terço da população carcerária total</w:t>
      </w:r>
      <w:r w:rsidRPr="003E305A">
        <w:rPr>
          <w:rStyle w:val="Refdenotaderodap"/>
        </w:rPr>
        <w:footnoteReference w:id="110"/>
      </w:r>
      <w:r w:rsidRPr="003E305A">
        <w:t>. Os eugenistas ampliaram este tipo de propostas e promoveram a adopção de medidas legais e a introdução de modificações nos serviços médicos e sanitários com o objectivo de condicionar os casamentos, estimular a reprodução dos indivíduos pertencentes ao escol, desencorajar a reprodução dos indivíduos julgados inferiores ou mesmo impedi-la através do aprisionamento ou da esterilização sexual e regular o fluxo de imigrantes. Com esta engenharia biológica os eugenistas pretendiam não só reforçar globalmente a raça tida como superior, mas ainda consolidar a supremacia da elite no interior dessa raça. A futura política hitleriana fica</w:t>
      </w:r>
      <w:r w:rsidR="00E125E5">
        <w:t>v</w:t>
      </w:r>
      <w:r w:rsidRPr="003E305A">
        <w:t xml:space="preserve">a assim traçada nas suas linhas fundamentais. </w:t>
      </w:r>
    </w:p>
    <w:p w:rsidR="00DF4B40" w:rsidRPr="003E305A" w:rsidRDefault="00DF4B40" w:rsidP="00DF4B40">
      <w:r w:rsidRPr="003E305A">
        <w:t xml:space="preserve">Também Darwin, que concordava com a tese de Galton acerca do carácter hereditariamente transmissível da genialidade, formulou um programa de genocídio social e rácico. Em primeiro lugar, interessou-se por assegurar, no interior de um mesmo povo ou de uma </w:t>
      </w:r>
      <w:r w:rsidRPr="003E305A">
        <w:lastRenderedPageBreak/>
        <w:t xml:space="preserve">mesma sociedade, a supremacia dos que a si próprios se julgavam superiores relativamente aos considerados inferiores. «Entre os selvagens», escreveu Darwin na sua grande obra sobre a evolução humana, «são rapidamente eliminados os indivíduos física ou mentalmente fracos; e os sobreviventes demonstram geralmente uma saúde vigorosa. Nós, os civilizados, pelo contrário, fazemos todo o possível por travar o processo de eliminação. Construímos hospícios para os atrasados mentais, os aleijados e os doentes, promulgamos leis de auxílio aos pobres e os nossos médicos empenham-se com toda a habilidade em salvar a vida de cada um até ao último momento. [...] Assim se propagam os membros fracos das sociedades civilizadas. Ninguém que tenha participado na criação de animais domésticos pode duvidar de que isto é forçosamente muito prejudicial à raça humana». Mas ao chegar a este ponto Darwin intimidou-se nas conclusões, por considerar que a simpatia manifestada para com os débeis se integrava em formas de comportamento necessárias ao tecido social. E consolou-se com a reflexão de que, pelo menos, «os membros inferiores e mais fracos da sociedade não se casam com tanta liberdade como os vigorosos», além de que existem factores institucionais que, mediante os mecanismos da selecção, beneficiam os mais aptos física e mentalmente. Pôde assim concluir: «Embora a civilização trave de muitas formas a acção da selecção natural, parece favorecer um melhor desenvolvimento do corpo [...] Isto pode deduzir-se do facto de os homens civilizados, quando comparados com os selvagens, se terem revelado mais fortes fisicamente». Quanto às qualidades intelectuais, </w:t>
      </w:r>
      <w:r w:rsidR="008C7C48">
        <w:t>ele</w:t>
      </w:r>
      <w:r w:rsidRPr="003E305A">
        <w:t xml:space="preserve"> afirmou em seguida: «Se os membros de cada escalão da sociedade fossem divididos em dois grupos iguais, incluindo um os intelectualmente superiores e o outro os inferiores, não pode haver praticamente dúvidas que os primeiros teriam mais êxito em todas as profissões e criariam um maior número de filhos. [...] Deve por isso haver nas nações civilizadas uma certa tendência para o aumento, tanto em número como em nível, dos intelectualmente aptos». Apesar de tão </w:t>
      </w:r>
      <w:r w:rsidR="00E125E5">
        <w:t>satisfatória</w:t>
      </w:r>
      <w:r w:rsidRPr="003E305A">
        <w:t xml:space="preserve"> constatação, Darwin não era inteiramente optimista. «Nos países civilizados um dos mais importantes obstáculos ao aumento numérico dos homens de uma categoria superior [...] [é] o facto de os mais pobres e imprevidentes, tantas vezes degradados pelo vício, [...] tenderem a multiplicar-se a uma taxa mais rápida do que a dos indivíduos previdentes e em geral virtuosos». Porém, actuariam em sentido contrário outros mecanismos de selecção natural, além de instituições sociais, expondo os pobres, os imorais e os criminosos a sofrer uma maior taxa de mortalidade. Esta complexa articulação de forças opostas em caso nenhum levaria a resultados garantidos. «Se os vários obstáculos mencionados [...], e talvez outros ainda desconhecidos, não impedirem os imprevidentes, os depravados e os restantes membros inferiores da sociedade de aumentar a uma taxa mais rápida do que a dos homens de melhor categoria, a nação retrocederá, como sucedeu já tão </w:t>
      </w:r>
      <w:r w:rsidRPr="003E305A">
        <w:lastRenderedPageBreak/>
        <w:t>frequentemente na história do mundo. Devemos lembrar-nos de que o progresso não é uma regra invariável»</w:t>
      </w:r>
      <w:r w:rsidRPr="003E305A">
        <w:rPr>
          <w:rStyle w:val="Refdenotaderodap"/>
        </w:rPr>
        <w:footnoteReference w:id="111"/>
      </w:r>
      <w:r w:rsidRPr="003E305A">
        <w:t xml:space="preserve">. </w:t>
      </w:r>
    </w:p>
    <w:p w:rsidR="00DF4B40" w:rsidRPr="003E305A" w:rsidRDefault="00DF4B40" w:rsidP="00DF4B40">
      <w:r w:rsidRPr="003E305A">
        <w:t xml:space="preserve">Foi precisamente neste ponto que Galton levou avante as teses de Darwin, suprindo as incertezas da selecção natural com a intervenção segura dos «homens de melhor categoria». «A eugenia», definiu Galton, «consiste no estudo de todas as instituições submetidas ao controlo social que podem melhorar ou </w:t>
      </w:r>
      <w:r w:rsidR="001A34F2">
        <w:t>comprometer</w:t>
      </w:r>
      <w:r w:rsidRPr="003E305A">
        <w:t xml:space="preserve"> a qualidade rácica das gerações futuras»</w:t>
      </w:r>
      <w:r w:rsidRPr="003E305A">
        <w:rPr>
          <w:rStyle w:val="Refdenotaderodap"/>
        </w:rPr>
        <w:footnoteReference w:id="112"/>
      </w:r>
      <w:r w:rsidRPr="003E305A">
        <w:t>. Aliás, já noutra passagem daquela sua obra Darwin estivera à beira de conceber este tipo de actuação, ao escrever que «o homem distingue-se muito de qualquer animal estritamente domesticado, porque a sua criação nunca foi controlada durante muito tempo por uma selecção quer sistemática quer inconsciente. Nenhuma raça ou corpo de homens foi subjugado tão completamente por outros homens que alguns indivíduos fossem conservados, e assim seleccionados inconscientemente, por de algum modo serem da maior utilidade para os seus senhores»</w:t>
      </w:r>
      <w:r w:rsidRPr="003E305A">
        <w:rPr>
          <w:rStyle w:val="Refdenotaderodap"/>
        </w:rPr>
        <w:footnoteReference w:id="113"/>
      </w:r>
      <w:r w:rsidRPr="003E305A">
        <w:t xml:space="preserve">. Apesar da formulação dubitativa, estava </w:t>
      </w:r>
      <w:r w:rsidR="003C5314">
        <w:t xml:space="preserve">aqui </w:t>
      </w:r>
      <w:r w:rsidRPr="003E305A">
        <w:t xml:space="preserve">em suspenso o programa rácico dos SS. Só pode chegar-se a um tal grau de antecipação histórica quando o lugar das doutrinas e práticas futuras se encontra já marcado. </w:t>
      </w:r>
    </w:p>
    <w:p w:rsidR="00DF4B40" w:rsidRPr="003E305A" w:rsidRDefault="00DF4B40" w:rsidP="00DF4B40">
      <w:r w:rsidRPr="003E305A">
        <w:t xml:space="preserve">E estava marcado desde há muitos séculos, numa das obras cimeiras de um dos principais pensadores da cultura ocidental. No quinto livro da </w:t>
      </w:r>
      <w:r w:rsidRPr="003E305A">
        <w:rPr>
          <w:i/>
        </w:rPr>
        <w:t>República</w:t>
      </w:r>
      <w:r w:rsidRPr="003E305A">
        <w:t xml:space="preserve"> de Platão, Sócrates invocou a experiência dos criadores de cães de caça, que entre todos os animais de que dispunham, já de si muito superiores aos cães vulgares, seleccionavam os mais perfeitos para os fazer procriar e melhorar a espécie. Do mesmo modo, prosseguiu Sócrates </w:t>
      </w:r>
      <w:r w:rsidR="00AD297B">
        <w:t>—</w:t>
      </w:r>
      <w:r w:rsidRPr="003E305A">
        <w:t xml:space="preserve"> o Sócrates platónico </w:t>
      </w:r>
      <w:r w:rsidR="00AD297B">
        <w:t>—</w:t>
      </w:r>
      <w:r w:rsidRPr="003E305A">
        <w:t xml:space="preserve"> referindo-se à casta dos </w:t>
      </w:r>
      <w:r>
        <w:t>guardas</w:t>
      </w:r>
      <w:r w:rsidRPr="003E305A">
        <w:t xml:space="preserve">, que na hierarquia da </w:t>
      </w:r>
      <w:r w:rsidRPr="003E305A">
        <w:rPr>
          <w:i/>
        </w:rPr>
        <w:t>República</w:t>
      </w:r>
      <w:r w:rsidRPr="003E305A">
        <w:t xml:space="preserve"> se situa muito acima da gente comum, superada apenas pela casta dos governantes e magistrados,</w:t>
      </w:r>
      <w:r>
        <w:t xml:space="preserve"> «é necessário, [...] segundo os princípios que estabelecemos, que as relações sexuais sejam o mais possível frequentes entre as pessoas de elite de ambos os sexos e o mais possível raras entre as pessoas inferiores; além disso, é necessário cuidar dos filhos dos primeiros e educá-los, mas não dos segundos, se quisermos garantir a excelência do rebanho». </w:t>
      </w:r>
      <w:r w:rsidRPr="003E305A">
        <w:t xml:space="preserve">Quando se recorda a importância que os estudos clássicos tiveram nas escolas médias e superiores ocidentais durante o século XIX e as décadas iniciais do século XX, é indubitável que as medidas introduzidas pela eugenia no plano prático faziam já parte do horizonte ideológico da classe </w:t>
      </w:r>
      <w:r w:rsidRPr="003E305A">
        <w:lastRenderedPageBreak/>
        <w:t>dominante e estavam justificadas por aquele que a cultura burguesa considerava o pai de toda a filosofia</w:t>
      </w:r>
      <w:r>
        <w:t>,</w:t>
      </w:r>
      <w:r w:rsidRPr="003E305A">
        <w:t xml:space="preserve"> </w:t>
      </w:r>
      <w:r>
        <w:t xml:space="preserve">tanto mais que Sócrates não se coibiu de usar </w:t>
      </w:r>
      <w:r w:rsidRPr="006B389B">
        <w:t xml:space="preserve">aqui </w:t>
      </w:r>
      <w:r>
        <w:t xml:space="preserve">para a humanidade o vocabulário normalmente empregue para o gado. </w:t>
      </w:r>
      <w:r w:rsidRPr="003E305A">
        <w:t xml:space="preserve">E </w:t>
      </w:r>
      <w:r>
        <w:t xml:space="preserve">além de </w:t>
      </w:r>
      <w:r w:rsidRPr="003E305A">
        <w:t xml:space="preserve">enunciar </w:t>
      </w:r>
      <w:r w:rsidR="00AD297B">
        <w:t>o</w:t>
      </w:r>
      <w:r w:rsidRPr="003E305A">
        <w:t xml:space="preserve"> objectivo</w:t>
      </w:r>
      <w:r>
        <w:t xml:space="preserve"> ele</w:t>
      </w:r>
      <w:r w:rsidRPr="003E305A">
        <w:t xml:space="preserve"> de</w:t>
      </w:r>
      <w:r>
        <w:t>u</w:t>
      </w:r>
      <w:r w:rsidRPr="003E305A">
        <w:t xml:space="preserve">-se conta dos problemas que haveriam de dificultar a sua realização. </w:t>
      </w:r>
      <w:r>
        <w:t xml:space="preserve">«Por outro lado», disse ele, «é necessário que estas medidas sejam conhecidas apenas pelos magistrados, para evitar tanto quanto possível a discórdia no rebanho de guardas». </w:t>
      </w:r>
      <w:r w:rsidRPr="003E305A">
        <w:t xml:space="preserve">Depois de lembrar que, da parte dos governantes, a mentira tendo em vista o bem público é uma virtude e um factor de justiça, Sócrates imaginou rituais astuciosos que serviriam para dissimular as operações do controlo biológico. Em seguida, os filhos dos melhores guerreiros e das melhores guerreiras seriam educados em comum, para se tornarem aptos a integrar o futuro escol. </w:t>
      </w:r>
      <w:r>
        <w:t xml:space="preserve">«[...] quanto aos filhos dos homens inferiores e aos filhos dos outros que tiverem nascido com alguma disformidade, </w:t>
      </w:r>
      <w:r w:rsidRPr="00FC1E8E">
        <w:t xml:space="preserve">será conveniente </w:t>
      </w:r>
      <w:r>
        <w:t xml:space="preserve">escondê-los em qualquer lugar secreto e afastado». «Sim», </w:t>
      </w:r>
      <w:r w:rsidRPr="003E305A">
        <w:t>aplaudiu</w:t>
      </w:r>
      <w:r w:rsidRPr="00DD757B">
        <w:t xml:space="preserve"> </w:t>
      </w:r>
      <w:r w:rsidRPr="003E305A">
        <w:t>Glaucon</w:t>
      </w:r>
      <w:r>
        <w:t>,</w:t>
      </w:r>
      <w:r w:rsidRPr="003E305A">
        <w:t xml:space="preserve"> </w:t>
      </w:r>
      <w:r>
        <w:t>«para conservar a pureza da raça dos guardas»</w:t>
      </w:r>
      <w:r w:rsidRPr="003E305A">
        <w:rPr>
          <w:rStyle w:val="Refdenotaderodap"/>
        </w:rPr>
        <w:footnoteReference w:id="114"/>
      </w:r>
      <w:r w:rsidRPr="003E305A">
        <w:t xml:space="preserve">. </w:t>
      </w:r>
    </w:p>
    <w:p w:rsidR="00DF4B40" w:rsidRPr="003E305A" w:rsidRDefault="00DF4B40" w:rsidP="00DF4B40">
      <w:r w:rsidRPr="003E305A">
        <w:t>Como qualquer europeu instruído, Darwin não ignora</w:t>
      </w:r>
      <w:r w:rsidR="00DA3AC7">
        <w:t>ri</w:t>
      </w:r>
      <w:r w:rsidRPr="003E305A">
        <w:t xml:space="preserve">a decerto estas páginas de Platão, e as dificuldades com que deparava provinham do facto de nenhuma sociedade ocidental da sua época ser governada por um regime de tal modo despótico que conseguisse aplicar sistematicamente a selecção biológica aos próprios membros. Um matemático e astrónomo ilustre da primeira metade do século XVIII, Maupertuis, propusera que se reunissem pessoas notáveis pela inteligência, pela energia e pela honestidade, e através de uma selecção rigorosa e </w:t>
      </w:r>
      <w:r w:rsidR="00DA68EE">
        <w:t>b</w:t>
      </w:r>
      <w:r w:rsidRPr="003E305A">
        <w:t>da eliminação dos descendentes que tivessem degenerado esta variedade humana adquiriria características permanentes e hereditárias e converter-se-ia numa verdadeira raça</w:t>
      </w:r>
      <w:r w:rsidRPr="003E305A">
        <w:rPr>
          <w:rStyle w:val="Refdenotaderodap"/>
        </w:rPr>
        <w:footnoteReference w:id="115"/>
      </w:r>
      <w:r w:rsidRPr="003E305A">
        <w:t>. Maupertuis interessara-se também pelas «uniões artificiais» entre espécies animais distintas e propusera a criação de estábulos especiais destinados a multiplicá-las</w:t>
      </w:r>
      <w:r w:rsidRPr="003E305A">
        <w:rPr>
          <w:rStyle w:val="Refdenotaderodap"/>
        </w:rPr>
        <w:footnoteReference w:id="116"/>
      </w:r>
      <w:r w:rsidRPr="003E305A">
        <w:t xml:space="preserve">, mas como encontrar a ilha, geográfica ou social, onde a experiência pudesse ser realizada entre seres humanos? </w:t>
      </w:r>
    </w:p>
    <w:p w:rsidR="00DF4B40" w:rsidRPr="003E305A" w:rsidRDefault="00DF4B40" w:rsidP="00DF4B40">
      <w:r w:rsidRPr="003E305A">
        <w:t xml:space="preserve">Se no interior de cada povo a supremacia biológica da elite parecia longe de estar assegurada, tudo ficava simples, porém, no confronto entre povos. A democracia vigorava exclusivamente nas metrópoles, e a relação de cada metrópole com as suas colónias era regida </w:t>
      </w:r>
      <w:r w:rsidR="00232264">
        <w:t xml:space="preserve">por um </w:t>
      </w:r>
      <w:r w:rsidR="00232264" w:rsidRPr="003E305A">
        <w:t>despotismo</w:t>
      </w:r>
      <w:r w:rsidR="00232264">
        <w:t xml:space="preserve"> </w:t>
      </w:r>
      <w:r w:rsidRPr="003E305A">
        <w:t xml:space="preserve">arbitrário que não estorvava os adeptos da engenharia racial. A superioridade branca, nomeadamente anglo-saxónica, encontrou confirmação na expansão imperialista, que Darwin entendeu como uma verdadeira estratégia de genocídio. «A extinção </w:t>
      </w:r>
      <w:r w:rsidRPr="003E305A">
        <w:lastRenderedPageBreak/>
        <w:t>resulta sobretudo da rivalidade entre tribos e entre raças. [...] Quando nações civilizadas entram em contacto com selvagens a luta é breve [...] o cultivo da terra será, de maneiras diversas, fatal para os selvagens, que não podem, ou não querem, mudar de hábitos. Nalguns casos novas doenças e vícios revelaram-se muitíssimo destrutivos»</w:t>
      </w:r>
      <w:r>
        <w:t>.</w:t>
      </w:r>
      <w:r w:rsidRPr="003E305A">
        <w:t xml:space="preserve"> E Darwin enunci</w:t>
      </w:r>
      <w:r>
        <w:t>ou</w:t>
      </w:r>
      <w:r w:rsidRPr="003E305A">
        <w:t xml:space="preserve"> um catálogo de </w:t>
      </w:r>
      <w:r w:rsidR="00232264">
        <w:t>modos</w:t>
      </w:r>
      <w:r w:rsidRPr="003E305A">
        <w:t xml:space="preserve"> de liquidação das populações autóctones </w:t>
      </w:r>
      <w:r w:rsidR="00232264">
        <w:t xml:space="preserve">devidos à </w:t>
      </w:r>
      <w:r w:rsidRPr="003E305A">
        <w:t>introdução de novas instituições económicas e administrativas e de novos tipos de vida, sem esquecer o extermínio provocado pelas campanhas militares</w:t>
      </w:r>
      <w:r w:rsidRPr="003E305A">
        <w:rPr>
          <w:rStyle w:val="Refdenotaderodap"/>
        </w:rPr>
        <w:footnoteReference w:id="117"/>
      </w:r>
      <w:r w:rsidRPr="003E305A">
        <w:t>. A este respeito ele já não tinha dúvidas quanto ao sentido prevalecente nos mecanismos de seleccção. «O nível de civilização parece ser um elemento da maior importância no êxito de nações rivais». E poucas linhas depois, com igual convicção, escrev</w:t>
      </w:r>
      <w:r>
        <w:t>eu</w:t>
      </w:r>
      <w:r w:rsidRPr="003E305A">
        <w:t>, a propósito de um dado caso, que «a morte seguiu-se às tentativas de civilizar os nativos»</w:t>
      </w:r>
      <w:r w:rsidRPr="003E305A">
        <w:rPr>
          <w:rStyle w:val="Refdenotaderodap"/>
        </w:rPr>
        <w:footnoteReference w:id="118"/>
      </w:r>
      <w:r w:rsidRPr="003E305A">
        <w:t>. Se aquela mesma «civilização» que assegurava o triunfo de uns garantia a extinção dos outros, então tudo corria bem no melhor dos mundos. «Numa época futura, que não há-de distar muitos séculos, as raças civilizadas do homem decerto exterminarão em todo o mundo, e substituirão, as raças selvagens»</w:t>
      </w:r>
      <w:r w:rsidRPr="003E305A">
        <w:rPr>
          <w:rStyle w:val="Refdenotaderodap"/>
        </w:rPr>
        <w:footnoteReference w:id="119"/>
      </w:r>
      <w:r w:rsidRPr="003E305A">
        <w:t xml:space="preserve">. </w:t>
      </w:r>
      <w:r w:rsidR="00213D8D">
        <w:t xml:space="preserve">O </w:t>
      </w:r>
      <w:r>
        <w:t>facto de</w:t>
      </w:r>
      <w:r w:rsidRPr="003E305A">
        <w:t xml:space="preserve"> um esteta requintado como Téophile Gautier, que pessoalmente era incapaz de fazer mal a uma mosca, glorific</w:t>
      </w:r>
      <w:r>
        <w:t>ar</w:t>
      </w:r>
      <w:r w:rsidRPr="003E305A">
        <w:t xml:space="preserve"> Calígula por </w:t>
      </w:r>
      <w:r w:rsidR="00213D8D">
        <w:t>ter decretado a morte dos feios</w:t>
      </w:r>
      <w:r w:rsidRPr="003E305A">
        <w:t xml:space="preserve"> </w:t>
      </w:r>
      <w:r>
        <w:t>mostra</w:t>
      </w:r>
      <w:r w:rsidRPr="003E305A">
        <w:t xml:space="preserve"> que as preocupações que haviam de levar à criação da eugenia permeavam os mais variados campos da cultura burguesa oitocentista. </w:t>
      </w:r>
    </w:p>
    <w:p w:rsidR="00DF4B40" w:rsidRPr="003E305A" w:rsidRDefault="00DF4B40" w:rsidP="00DF4B40">
      <w:r w:rsidRPr="003E305A">
        <w:t>O racismo recebeu a consagração no direito internacional em 1919, na conferência de Paris, quando as democracias vencedoras na primeira guerra mundial se recusaram a introduzir nos estatutos da Sociedade das Nações uma cláusula de igualdade racial proposta pelo Japão</w:t>
      </w:r>
      <w:r w:rsidRPr="003E305A">
        <w:rPr>
          <w:rStyle w:val="Refdenotaderodap"/>
        </w:rPr>
        <w:footnoteReference w:id="120"/>
      </w:r>
      <w:r w:rsidRPr="003E305A">
        <w:t xml:space="preserve">. </w:t>
      </w:r>
      <w:r>
        <w:t>Não</w:t>
      </w:r>
      <w:r w:rsidRPr="003E305A">
        <w:t xml:space="preserve"> há </w:t>
      </w:r>
      <w:r w:rsidR="001D6D7D">
        <w:t>nenhum</w:t>
      </w:r>
      <w:r w:rsidRPr="003E305A">
        <w:t xml:space="preserve"> </w:t>
      </w:r>
      <w:r>
        <w:t>motivo</w:t>
      </w:r>
      <w:r w:rsidRPr="003E305A">
        <w:t xml:space="preserve"> </w:t>
      </w:r>
      <w:r>
        <w:t>de</w:t>
      </w:r>
      <w:r w:rsidRPr="003E305A">
        <w:t xml:space="preserve"> espanto, pois vinte anos antes, ao ser aprovada em Haia uma convenção sobre métodos de guerra que pretendeu abolir as formas de combate mais cruéis e bárbaras, o Reino Unido, embora sem assinar o acordo, reconheceu que ele tinha uma certa autoridade moral nas lutas entre brancos, mas não nas expedições coloniais contra os povos nativos</w:t>
      </w:r>
      <w:r w:rsidRPr="003E305A">
        <w:rPr>
          <w:rStyle w:val="Refdenotaderodap"/>
        </w:rPr>
        <w:footnoteReference w:id="121"/>
      </w:r>
      <w:r w:rsidRPr="003E305A">
        <w:t xml:space="preserve">. Este ambiente não podia deixar de ser propício à acção de Galton e as sociedades de eugenia proliferaram nos meios universitários e científicos, dedicando-se ainda mais zelosamente do que o fundador ao programa racista. </w:t>
      </w:r>
    </w:p>
    <w:p w:rsidR="00DF4B40" w:rsidRPr="003E305A" w:rsidRDefault="00592575" w:rsidP="00DF4B40">
      <w:r w:rsidRPr="003E305A">
        <w:t xml:space="preserve">Os </w:t>
      </w:r>
      <w:r w:rsidR="00DF4B40" w:rsidRPr="003E305A">
        <w:t>Estados Unidos destacaram-se pela difusão conseguida pela eugenia, a ponto de haver quem consider</w:t>
      </w:r>
      <w:r w:rsidR="00DF4B40">
        <w:t>asse</w:t>
      </w:r>
      <w:r w:rsidR="00DF4B40" w:rsidRPr="003E305A">
        <w:t xml:space="preserve"> como seu verdadeiro fundador Charles Davenport, chefe incontestado </w:t>
      </w:r>
      <w:r w:rsidR="00DF4B40" w:rsidRPr="003E305A">
        <w:lastRenderedPageBreak/>
        <w:t xml:space="preserve">dos eugenistas </w:t>
      </w:r>
      <w:r>
        <w:t xml:space="preserve">desse país </w:t>
      </w:r>
      <w:r w:rsidR="00DF4B40" w:rsidRPr="003E305A">
        <w:t>durante quatro décadas</w:t>
      </w:r>
      <w:r w:rsidR="00DF4B40" w:rsidRPr="003E305A">
        <w:rPr>
          <w:rStyle w:val="Refdenotaderodap"/>
        </w:rPr>
        <w:footnoteReference w:id="122"/>
      </w:r>
      <w:r w:rsidR="00DF4B40" w:rsidRPr="003E305A">
        <w:t xml:space="preserve">. Muitos dos principais especialistas de genética </w:t>
      </w:r>
      <w:r w:rsidRPr="003E305A">
        <w:t xml:space="preserve">norte-americanos </w:t>
      </w:r>
      <w:r w:rsidR="00DF4B40" w:rsidRPr="003E305A">
        <w:t>foram membros de longa data das associações eugenistas e o mesmo sucedeu com oftalmologistas notáveis e numerosíssimas outras figuras prestigiadas do meio académico, tanto nos departamentos de biologia e zoologia como nos de psicologia, ciências sociais e antropologia</w:t>
      </w:r>
      <w:r w:rsidR="00DF4B40" w:rsidRPr="003E305A">
        <w:rPr>
          <w:rStyle w:val="Refdenotaderodap"/>
        </w:rPr>
        <w:footnoteReference w:id="123"/>
      </w:r>
      <w:r w:rsidR="00DF4B40" w:rsidRPr="003E305A">
        <w:t>. Mas a influência alcançada pel</w:t>
      </w:r>
      <w:r>
        <w:t>a</w:t>
      </w:r>
      <w:r w:rsidR="00DF4B40" w:rsidRPr="003E305A">
        <w:t xml:space="preserve"> eugeni</w:t>
      </w:r>
      <w:r>
        <w:t>a</w:t>
      </w:r>
      <w:r w:rsidR="00DF4B40" w:rsidRPr="003E305A">
        <w:t xml:space="preserve"> </w:t>
      </w:r>
      <w:r>
        <w:t xml:space="preserve">nos Estados Unidos </w:t>
      </w:r>
      <w:r w:rsidR="00DF4B40" w:rsidRPr="003E305A">
        <w:t xml:space="preserve">resultou </w:t>
      </w:r>
      <w:r w:rsidR="00160C71">
        <w:t>ainda</w:t>
      </w:r>
      <w:r w:rsidR="00DF4B40" w:rsidRPr="003E305A">
        <w:t xml:space="preserve"> do facto de beneficiar do apoio regular e sonante de algumas grandes fortunas</w:t>
      </w:r>
      <w:r w:rsidR="00DF4B40" w:rsidRPr="003E305A">
        <w:rPr>
          <w:rStyle w:val="Refdenotaderodap"/>
        </w:rPr>
        <w:footnoteReference w:id="124"/>
      </w:r>
      <w:r w:rsidR="00DF4B40" w:rsidRPr="003E305A">
        <w:t xml:space="preserve"> e contar com o beneplácito, </w:t>
      </w:r>
      <w:r w:rsidR="00160C71">
        <w:t xml:space="preserve">ou </w:t>
      </w:r>
      <w:r w:rsidR="00DF4B40" w:rsidRPr="003E305A">
        <w:t xml:space="preserve">mesmo com o entusiasmo, de instituições governamentais, nomeadamente </w:t>
      </w:r>
      <w:r w:rsidR="00213D8D" w:rsidRPr="003E305A">
        <w:t xml:space="preserve">as forças armadas, </w:t>
      </w:r>
      <w:r w:rsidR="00DF4B40" w:rsidRPr="003E305A">
        <w:t>o Departamento da Agricultura com a sua rede de estações agronómicas, o Departamento do Trabalho, algumas agências do Departamento de Estado e o comité da Câmara dos Representantes encarregado das questões de imigração</w:t>
      </w:r>
      <w:r w:rsidR="00DF4B40" w:rsidRPr="003E305A">
        <w:rPr>
          <w:rStyle w:val="Refdenotaderodap"/>
        </w:rPr>
        <w:footnoteReference w:id="125"/>
      </w:r>
      <w:r w:rsidR="00DF4B40" w:rsidRPr="003E305A">
        <w:t xml:space="preserve">. </w:t>
      </w:r>
    </w:p>
    <w:p w:rsidR="00DF4B40" w:rsidRPr="003E305A" w:rsidRDefault="00DF4B40" w:rsidP="00DF4B40">
      <w:r w:rsidRPr="003E305A">
        <w:t>Para fazer com que prosperassem e proliferassem os elementos biologicamente superiores e se extinguissem os elementos inadequados o movimento eugenista norte-americano propunha um conjunto de medidas financeiras destinad</w:t>
      </w:r>
      <w:r>
        <w:t>o</w:t>
      </w:r>
      <w:r w:rsidRPr="003E305A">
        <w:t xml:space="preserve"> a estimular a reprodução da elite e a tornar economicamente insustentável a sobrevivência das famílias tidas como biologicamente inferiores</w:t>
      </w:r>
      <w:r w:rsidRPr="003E305A">
        <w:rPr>
          <w:rStyle w:val="Refdenotaderodap"/>
        </w:rPr>
        <w:footnoteReference w:id="126"/>
      </w:r>
      <w:r w:rsidRPr="003E305A">
        <w:t xml:space="preserve">. Mas como </w:t>
      </w:r>
      <w:r w:rsidRPr="00B023CC">
        <w:t xml:space="preserve">os eugenistas </w:t>
      </w:r>
      <w:r w:rsidRPr="003E305A">
        <w:t xml:space="preserve">sabiam que </w:t>
      </w:r>
      <w:r w:rsidR="00086D68">
        <w:t>est</w:t>
      </w:r>
      <w:r w:rsidRPr="003E305A">
        <w:t>a arma seria insuficiente, defendiam também a segregação compulsiva dos elementos nocivos durante o período da fertilidade, para os impedir de procriarem</w:t>
      </w:r>
      <w:r w:rsidRPr="003E305A">
        <w:rPr>
          <w:rStyle w:val="Refdenotaderodap"/>
        </w:rPr>
        <w:footnoteReference w:id="127"/>
      </w:r>
      <w:r w:rsidRPr="003E305A">
        <w:t xml:space="preserve">. Uma medida deste tipo implicaria necessariamente a formação de enormes campos de concentração, e aliás as reservas índias ofereciam nos Estados Unidos um modelo evidente. A segregação em massa, porém, suscitava problemas, por isso os eugenistas propunham ainda outros métodos para exterminar as pessoas atingidas pela inferioridade biológica. </w:t>
      </w:r>
      <w:r>
        <w:t xml:space="preserve">Era um programa de dimensões colossais, </w:t>
      </w:r>
      <w:r w:rsidR="00086D68">
        <w:t xml:space="preserve">visando </w:t>
      </w:r>
      <w:r w:rsidRPr="003E305A">
        <w:t xml:space="preserve">segregar ou eliminar, além </w:t>
      </w:r>
      <w:r w:rsidR="00893D6A">
        <w:t xml:space="preserve">dos indivíduos </w:t>
      </w:r>
      <w:r w:rsidRPr="003E305A">
        <w:t>considerad</w:t>
      </w:r>
      <w:r w:rsidR="00893D6A">
        <w:t>o</w:t>
      </w:r>
      <w:r w:rsidRPr="003E305A">
        <w:t xml:space="preserve">s moral, cultural ou fisicamente deficientes, também os demais membros das suas famílias. Com efeito, a redescoberta dos trabalhos de Mendel levara os eugenistas a considerar que mesmo indivíduos sãos podiam ser portadores de condições </w:t>
      </w:r>
      <w:r w:rsidRPr="003E305A">
        <w:lastRenderedPageBreak/>
        <w:t>ancestrais de degenerescência transmissíveis aos descendentes, tornando-se necessário impedir a reprodução não só dos elementos afectados mas igualmente de todos os familiares</w:t>
      </w:r>
      <w:r w:rsidRPr="003E305A">
        <w:rPr>
          <w:rStyle w:val="Refdenotaderodap"/>
        </w:rPr>
        <w:footnoteReference w:id="128"/>
      </w:r>
      <w:r w:rsidRPr="003E305A">
        <w:t xml:space="preserve">. </w:t>
      </w:r>
    </w:p>
    <w:p w:rsidR="00DF4B40" w:rsidRPr="003E305A" w:rsidRDefault="00DF4B40" w:rsidP="00DF4B40">
      <w:r w:rsidRPr="003E305A">
        <w:t>Para começar</w:t>
      </w:r>
      <w:r>
        <w:t>,</w:t>
      </w:r>
      <w:r w:rsidRPr="003E305A">
        <w:t xml:space="preserve"> os eugenistas norte-americanos defendiam que seria urgente eliminar dez por cento </w:t>
      </w:r>
      <w:r>
        <w:t>d</w:t>
      </w:r>
      <w:r w:rsidRPr="003E305A">
        <w:t xml:space="preserve">a população do país, </w:t>
      </w:r>
      <w:r>
        <w:t xml:space="preserve">bem como </w:t>
      </w:r>
      <w:r w:rsidRPr="003E305A">
        <w:t>dos outros países</w:t>
      </w:r>
      <w:r w:rsidRPr="003E305A">
        <w:rPr>
          <w:rStyle w:val="Refdenotaderodap"/>
        </w:rPr>
        <w:footnoteReference w:id="129"/>
      </w:r>
      <w:r w:rsidRPr="003E305A">
        <w:t>. O processo não pararia ali, ou talvez nem parasse nunca, porque a saúde biológica da raça exigiria o extermínio progressivo de novos escalões inferiores, sempre calculados, quem sabe se para facilitar, na proporção de dez por cento</w:t>
      </w:r>
      <w:r w:rsidRPr="003E305A">
        <w:rPr>
          <w:rStyle w:val="Refdenotaderodap"/>
        </w:rPr>
        <w:footnoteReference w:id="130"/>
      </w:r>
      <w:r w:rsidRPr="003E305A">
        <w:t xml:space="preserve">. Um comité especial da American Breeders Association criado em 1911, e que tinha como secretário Harry Laughlin, a segunda figura do movimento eugenista a seguir a Davenport, definiu como objectivo a eliminação de dez grupos: os atrasados mentais, os </w:t>
      </w:r>
      <w:r w:rsidR="00114833">
        <w:t>indigentes</w:t>
      </w:r>
      <w:r w:rsidRPr="003E305A">
        <w:t>, os alcoólicos, os criminosos, incluindo pequenos criminosos, os epilépticos, os loucos, os fisicamente débeis, os predispostos a doenças específicas, os aleijados e, finalmente, os portadores de deficiências nos órgãos dos sentidos</w:t>
      </w:r>
      <w:r w:rsidRPr="003E305A">
        <w:rPr>
          <w:rStyle w:val="Refdenotaderodap"/>
        </w:rPr>
        <w:footnoteReference w:id="131"/>
      </w:r>
      <w:r w:rsidRPr="003E305A">
        <w:t>. Aliás, não existiam barreiras entre estas categorias, porque várias figuras prestigiadas no meio científico e universitário norte-americano consideravam que o pauperismo tinha raiz genética e era transmitido hereditariamente, ao mesmo tempo que se acreditava na existência de uma relação de ordem genética entre a epilepsia e a pobreza, bem como entre a epilepsia e a deficiência mental</w:t>
      </w:r>
      <w:r w:rsidRPr="003E305A">
        <w:rPr>
          <w:rStyle w:val="Refdenotaderodap"/>
        </w:rPr>
        <w:footnoteReference w:id="132"/>
      </w:r>
      <w:r w:rsidRPr="003E305A">
        <w:t>. E o mais notável dos oftalmologistas norte-americanos, Lucien Howe, com a ajuda de muitos dos seus eméritos colegas, prosseguiu uma incansável campanha visando a eliminação de todos aqueles que tivessem problemas de visão e dos seus familiares</w:t>
      </w:r>
      <w:r w:rsidRPr="003E305A">
        <w:rPr>
          <w:rStyle w:val="Refdenotaderodap"/>
        </w:rPr>
        <w:footnoteReference w:id="133"/>
      </w:r>
      <w:r w:rsidRPr="003E305A">
        <w:t>. Segundo os cálculos do comité animado por Laughlin, a primeira vaga de extermínio atingiria cerca de onze milhões de pessoas, o que equivalia então a mais de dez por cento da população do país, e a liquidação dos familiares representaria muitos milhões mais</w:t>
      </w:r>
      <w:r w:rsidRPr="003E305A">
        <w:rPr>
          <w:rStyle w:val="Refdenotaderodap"/>
        </w:rPr>
        <w:footnoteReference w:id="134"/>
      </w:r>
      <w:r w:rsidRPr="003E305A">
        <w:t xml:space="preserve">. Quando sabemos que os testes de inteligência concebidos por psicólogos eugenistas e aplicados oficialmente </w:t>
      </w:r>
      <w:r w:rsidR="00350CB1">
        <w:t>a um milhão e setecentos mil recrutas da</w:t>
      </w:r>
      <w:r w:rsidRPr="003E305A">
        <w:t xml:space="preserve">s forças armadas dos Estados Unidos </w:t>
      </w:r>
      <w:r>
        <w:t xml:space="preserve">durante a </w:t>
      </w:r>
      <w:r w:rsidRPr="003E305A">
        <w:t xml:space="preserve">primeira guerra mundial revelaram </w:t>
      </w:r>
      <w:r w:rsidR="00350CB1">
        <w:t>13,5% considerados de inteligência superior ou muito superior e 45% considerados abaixo da inteligência média</w:t>
      </w:r>
      <w:r w:rsidR="00EF10FE">
        <w:t>, ou 70% abaixo da média-superior</w:t>
      </w:r>
      <w:r w:rsidRPr="003E305A">
        <w:rPr>
          <w:rStyle w:val="Refdenotaderodap"/>
        </w:rPr>
        <w:footnoteReference w:id="135"/>
      </w:r>
      <w:r w:rsidRPr="003E305A">
        <w:t xml:space="preserve">, podemos imaginar até que extremos deveria ser levado o afã de purificação. </w:t>
      </w:r>
    </w:p>
    <w:p w:rsidR="00DF4B40" w:rsidRPr="003E305A" w:rsidRDefault="00DF4B40" w:rsidP="00DF4B40">
      <w:r w:rsidRPr="003E305A">
        <w:lastRenderedPageBreak/>
        <w:t>Não se tratava obrigatoriamente do assassinato em massa, embora tal solução não tivesse deixado de ser proposta. Já em 1900 um eugenista norte-americano defendera a câmara de gás como o meio menos doloroso para impedir a reprodução dos indivíduos nocivos</w:t>
      </w:r>
      <w:r w:rsidRPr="003E305A">
        <w:rPr>
          <w:rStyle w:val="Refdenotaderodap"/>
        </w:rPr>
        <w:footnoteReference w:id="136"/>
      </w:r>
      <w:r w:rsidRPr="003E305A">
        <w:t xml:space="preserve"> e a aplicação deste método foi frequentemente discutida nas publicações eugenistas em língua inglesa</w:t>
      </w:r>
      <w:r w:rsidRPr="003E305A">
        <w:rPr>
          <w:rStyle w:val="Refdenotaderodap"/>
        </w:rPr>
        <w:footnoteReference w:id="137"/>
      </w:r>
      <w:r w:rsidRPr="003E305A">
        <w:t xml:space="preserve">. </w:t>
      </w:r>
      <w:r w:rsidR="00983CE4" w:rsidRPr="003E305A">
        <w:t xml:space="preserve">Numa conferência proferida em Londres, em 1910, perante a Eugenics Education Society, </w:t>
      </w:r>
      <w:r w:rsidRPr="003E305A">
        <w:t>George Bernard Shaw, que acrescentava a eugenia às suas outras competências, sugeri</w:t>
      </w:r>
      <w:r w:rsidR="00983CE4">
        <w:t>u</w:t>
      </w:r>
      <w:r w:rsidRPr="003E305A">
        <w:t xml:space="preserve"> «um uso extensivo da câmara letal» </w:t>
      </w:r>
      <w:r w:rsidR="001E7E1D" w:rsidRPr="003E305A">
        <w:t xml:space="preserve">e </w:t>
      </w:r>
      <w:r w:rsidRPr="003E305A">
        <w:t>acrescentou: «Teria de se pôr termo à vida de muitas e muitas pessoas, pela simples razão de que cuidar delas é um desperdício do tempo alheio»</w:t>
      </w:r>
      <w:r w:rsidRPr="003E305A">
        <w:rPr>
          <w:rStyle w:val="Refdenotaderodap"/>
        </w:rPr>
        <w:footnoteReference w:id="138"/>
      </w:r>
      <w:r w:rsidRPr="003E305A">
        <w:t xml:space="preserve">. Afinado pelo mesmo diapasão, Madison Grant, presidente da Eugenics Research Association e da American Eugenics Society e um dos </w:t>
      </w:r>
      <w:r w:rsidRPr="003E305A">
        <w:rPr>
          <w:i/>
        </w:rPr>
        <w:t>trustees</w:t>
      </w:r>
      <w:r w:rsidRPr="003E305A">
        <w:t xml:space="preserve"> do Museu Americano de História Natural, escreveu num livro publicado em 1916: «As leis da natureza requerem a obliteração dos inaptos, e a vida humana só é valiosa na medida em que for útil à comunidade ou à raça»</w:t>
      </w:r>
      <w:r w:rsidRPr="003E305A">
        <w:rPr>
          <w:rStyle w:val="Refdenotaderodap"/>
        </w:rPr>
        <w:footnoteReference w:id="139"/>
      </w:r>
      <w:r w:rsidRPr="003E305A">
        <w:t xml:space="preserve">. Mesmo sem recorrerem às câmaras de gás, que só foram adoptadas nos Estados Unidos em 1921 para a execução de criminosos, algumas instituições públicas norte-americanas destinadas a acolher deficientes mentais, epilépticos e tuberculosos funcionavam de </w:t>
      </w:r>
      <w:r w:rsidR="00983CE4">
        <w:t>modo</w:t>
      </w:r>
      <w:r w:rsidRPr="003E305A">
        <w:t xml:space="preserve"> deliberadamente mortífer</w:t>
      </w:r>
      <w:r w:rsidR="00983CE4">
        <w:t>o</w:t>
      </w:r>
      <w:r w:rsidRPr="003E305A">
        <w:t>, deixando os internados serem infectados com alimentos em mau estado ou com excrementos ou picadas de insectos</w:t>
      </w:r>
      <w:r w:rsidRPr="003E305A">
        <w:rPr>
          <w:rStyle w:val="Refdenotaderodap"/>
        </w:rPr>
        <w:footnoteReference w:id="140"/>
      </w:r>
      <w:r w:rsidRPr="003E305A">
        <w:t>, e no Terceiro Congresso Internacional de Eugenia, reunido em 1932 em Nova Iorque, Davenport resumiu a moral da história</w:t>
      </w:r>
      <w:r>
        <w:t>.</w:t>
      </w:r>
      <w:r w:rsidRPr="003E305A">
        <w:t xml:space="preserve"> «Podemos até encarar com satisfação a elevada taxa de mortalidade numa instituição destinada a atrasados mentais profundos</w:t>
      </w:r>
      <w:r>
        <w:t>»</w:t>
      </w:r>
      <w:r w:rsidRPr="003E305A">
        <w:t xml:space="preserve">, </w:t>
      </w:r>
      <w:r>
        <w:t>disse ele, «</w:t>
      </w:r>
      <w:r w:rsidRPr="003E305A">
        <w:t>enquanto consideramos como um desastre nacional a perda de [...] uma criança gerada por pais de excepção»</w:t>
      </w:r>
      <w:r w:rsidRPr="003E305A">
        <w:rPr>
          <w:rStyle w:val="Refdenotaderodap"/>
        </w:rPr>
        <w:footnoteReference w:id="141"/>
      </w:r>
      <w:r w:rsidRPr="003E305A">
        <w:t xml:space="preserve">. Mas </w:t>
      </w:r>
      <w:r w:rsidR="00983CE4">
        <w:t xml:space="preserve">foi </w:t>
      </w:r>
      <w:r w:rsidR="00983CE4" w:rsidRPr="003E305A">
        <w:t xml:space="preserve">sobretudo à esterilização sexual </w:t>
      </w:r>
      <w:r w:rsidR="00983CE4">
        <w:t xml:space="preserve">que </w:t>
      </w:r>
      <w:r w:rsidRPr="003E305A">
        <w:t xml:space="preserve">os eugenistas recorreram </w:t>
      </w:r>
      <w:r w:rsidR="00983CE4">
        <w:t xml:space="preserve">para </w:t>
      </w:r>
      <w:r w:rsidRPr="003E305A">
        <w:t xml:space="preserve">exterminar grupos biológicos e sociais. E se os resultados </w:t>
      </w:r>
      <w:r w:rsidR="00983CE4">
        <w:t xml:space="preserve">podem </w:t>
      </w:r>
      <w:r w:rsidR="00983CE4" w:rsidRPr="003E305A">
        <w:t xml:space="preserve">hoje </w:t>
      </w:r>
      <w:r w:rsidRPr="003E305A">
        <w:t>parece</w:t>
      </w:r>
      <w:r w:rsidR="00983CE4">
        <w:t>r</w:t>
      </w:r>
      <w:r w:rsidRPr="003E305A">
        <w:t xml:space="preserve"> assustadores, não devemos esquecer que para os dirigentes do movimento eugenista eles </w:t>
      </w:r>
      <w:r>
        <w:t xml:space="preserve">haviam </w:t>
      </w:r>
      <w:r w:rsidRPr="003E305A">
        <w:t>fica</w:t>
      </w:r>
      <w:r>
        <w:t>do</w:t>
      </w:r>
      <w:r w:rsidRPr="003E305A">
        <w:t xml:space="preserve"> muitíssimo aquém do desejado</w:t>
      </w:r>
      <w:r w:rsidRPr="003E305A">
        <w:rPr>
          <w:rStyle w:val="Refdenotaderodap"/>
        </w:rPr>
        <w:footnoteReference w:id="142"/>
      </w:r>
      <w:r w:rsidRPr="003E305A">
        <w:t xml:space="preserve">. </w:t>
      </w:r>
    </w:p>
    <w:p w:rsidR="00DF4B40" w:rsidRPr="003E305A" w:rsidRDefault="00DF4B40" w:rsidP="00DF4B40">
      <w:r w:rsidRPr="003E305A">
        <w:t>Decerto contribuiu para a precocidade com que a esterilização sexual foi adoptada nos Estados Unidos o facto de existir aí uma tradição de castração dos implicados em crimes sexuais, iniciada no Kansas por uma lei de 1855, que previa a aplicação desta pena aos negros e mestiços culpados da violação de mulheres brancas</w:t>
      </w:r>
      <w:r w:rsidRPr="003E305A">
        <w:rPr>
          <w:rStyle w:val="Refdenotaderodap"/>
        </w:rPr>
        <w:footnoteReference w:id="143"/>
      </w:r>
      <w:r w:rsidRPr="003E305A">
        <w:t xml:space="preserve">. Nos meados da década de 1890, </w:t>
      </w:r>
      <w:r w:rsidRPr="003E305A">
        <w:lastRenderedPageBreak/>
        <w:t xml:space="preserve">também no Kansas, o médico superintendente de uma instituição para deficientes mentais castrou </w:t>
      </w:r>
      <w:r w:rsidR="00687499">
        <w:t xml:space="preserve">cinquenta e oito </w:t>
      </w:r>
      <w:r w:rsidRPr="003E305A">
        <w:t>crianças, sem qualquer autorização legal, e em 1899 um médico da prisão principal de Indiana começou, também sem autorização legal, a castrar presos que se masturbavam</w:t>
      </w:r>
      <w:r w:rsidRPr="003E305A">
        <w:rPr>
          <w:rStyle w:val="Refdenotaderodap"/>
        </w:rPr>
        <w:footnoteReference w:id="144"/>
      </w:r>
      <w:r w:rsidRPr="003E305A">
        <w:t xml:space="preserve">. Entretanto, fora já promulgada em 1896 no Connecticut uma lei proibindo o casamento dos deficientes mentais, dos alcoólicos, das pessoas atingidas por doenças venéreas e em geral dos considerados anormais, se a noiva estivesse em idade de procriar. Com um passo em frente neste caminho, o parlamento estadual de Indiana deu o exemplo ao resto do mundo e em 1907 aprovou uma lei permitindo a esterilização sexual forçada dos deficientes mentais, presos e residentes </w:t>
      </w:r>
      <w:r>
        <w:t>em</w:t>
      </w:r>
      <w:r w:rsidRPr="003E305A">
        <w:t xml:space="preserve"> albergues para </w:t>
      </w:r>
      <w:r w:rsidR="00114833">
        <w:t>indigentes</w:t>
      </w:r>
      <w:r w:rsidRPr="003E305A">
        <w:rPr>
          <w:rStyle w:val="Refdenotaderodap"/>
        </w:rPr>
        <w:footnoteReference w:id="145"/>
      </w:r>
      <w:r w:rsidRPr="003E305A">
        <w:t>. Dois anos depois o estado de Washington adoptou medidas de esterilização compulsiva para criminosos habituais e violadores, Connecticut para deficientes mentais e loucos, e Califórnia para criminosos e crianças com deficiências mentais. Nevada seguiu a moda e autorizou a esterilização de criminosos habituais, e Iowa de criminosos, deficientes mentais, bêbados, drogados, epilépticos e dos pervertidos moral ou sexualmente. Nova Jersey promulgou legislação idêntica em 1911, muito abrangente no escopo das vítimas, e o estado de Nova Iorque fez o mesmo no ano seguinte</w:t>
      </w:r>
      <w:r w:rsidRPr="003E305A">
        <w:rPr>
          <w:rStyle w:val="Refdenotaderodap"/>
        </w:rPr>
        <w:footnoteReference w:id="146"/>
      </w:r>
      <w:r w:rsidRPr="003E305A">
        <w:t>. Finalmente, depois de uma vigorosa campanha conduzida pelas associações eugenistas, o Supremo Tribunal Federal admitiu em 1927 a esterilização sexual dos criminosos e dos deficientes mentais</w:t>
      </w:r>
      <w:r w:rsidR="003C5EF9">
        <w:t>, assimilando-a à vacinação obrigatória das crianças</w:t>
      </w:r>
      <w:r w:rsidRPr="003E305A">
        <w:t>. A partir de então a esterilização passou a constituir uma lei do país</w:t>
      </w:r>
      <w:r w:rsidRPr="003E305A">
        <w:rPr>
          <w:rStyle w:val="Refdenotaderodap"/>
        </w:rPr>
        <w:footnoteReference w:id="147"/>
      </w:r>
      <w:r w:rsidR="00392C5F">
        <w:t>, adoptada em vinte e três estados em 1929</w:t>
      </w:r>
      <w:r w:rsidR="00392C5F">
        <w:rPr>
          <w:rStyle w:val="Refdenotaderodap"/>
        </w:rPr>
        <w:footnoteReference w:id="148"/>
      </w:r>
      <w:r w:rsidRPr="003E305A">
        <w:t xml:space="preserve">. Desde 1907 até ao final de 1928, calcula-se que tivessem ocorrido nos Estados Unidos 8.515 casos de esterilização forçada, sendo campeão o estado da Califórnia, com mais de </w:t>
      </w:r>
      <w:r w:rsidR="0079299E">
        <w:t xml:space="preserve">setenta por cento </w:t>
      </w:r>
      <w:r w:rsidRPr="003E305A">
        <w:t>dos casos</w:t>
      </w:r>
      <w:r w:rsidRPr="003E305A">
        <w:rPr>
          <w:rStyle w:val="Refdenotaderodap"/>
        </w:rPr>
        <w:footnoteReference w:id="149"/>
      </w:r>
      <w:r w:rsidRPr="003E305A">
        <w:t>. Sem dúvida parecia pouco, porque uma sondagem de opinião efectuada em 1937 por uma revista prestigiada revelou que a maioria da população norte-americana defendia a ampliação das medidas de esterilização obrigatória</w:t>
      </w:r>
      <w:r w:rsidRPr="003E305A">
        <w:rPr>
          <w:rStyle w:val="Refdenotaderodap"/>
        </w:rPr>
        <w:footnoteReference w:id="150"/>
      </w:r>
      <w:r w:rsidRPr="003E305A">
        <w:t xml:space="preserve">. Durante a década de 1940 cerca de </w:t>
      </w:r>
      <w:r w:rsidR="0079299E">
        <w:t xml:space="preserve">quinze mil </w:t>
      </w:r>
      <w:r w:rsidRPr="003E305A">
        <w:t xml:space="preserve">pessoas foram esterilizadas compulsivamente nos Estados Unidos, cerca de </w:t>
      </w:r>
      <w:r w:rsidR="0079299E">
        <w:t xml:space="preserve">dez mil </w:t>
      </w:r>
      <w:r w:rsidRPr="003E305A">
        <w:t xml:space="preserve">durante a década de 1950 e vários milhares ao longo da década seguinte. Tudo </w:t>
      </w:r>
      <w:r w:rsidRPr="003E305A">
        <w:lastRenderedPageBreak/>
        <w:t xml:space="preserve">somado, calcula-se que cerca de </w:t>
      </w:r>
      <w:r w:rsidR="0079299E">
        <w:t xml:space="preserve">setenta mil </w:t>
      </w:r>
      <w:r w:rsidRPr="003E305A">
        <w:t>pessoas, na maioria mulheres, tivessem sido esterilizadas sexualmente</w:t>
      </w:r>
      <w:r w:rsidRPr="003E305A">
        <w:rPr>
          <w:rStyle w:val="Refdenotaderodap"/>
        </w:rPr>
        <w:footnoteReference w:id="151"/>
      </w:r>
      <w:r w:rsidRPr="003E305A">
        <w:t xml:space="preserve">. </w:t>
      </w:r>
    </w:p>
    <w:p w:rsidR="00DF4B40" w:rsidRPr="003E305A" w:rsidRDefault="00DF4B40" w:rsidP="00DF4B40">
      <w:r w:rsidRPr="003E305A">
        <w:t>Os Estados Unidos surgi</w:t>
      </w:r>
      <w:r>
        <w:t>r</w:t>
      </w:r>
      <w:r w:rsidRPr="003E305A">
        <w:t xml:space="preserve">am como o exemplo a imitar, e a esterilização sexual de deficientes mentais ou de pessoas que por outros motivos eram tidas como incapazes de educar filhos foi adoptada também por algumas democracias modelares. No Canadá, o parlamento da província de Alberta aprovou em 1928 uma lei permitindo a esterilização em certos casos, remodelada nove anos mais tarde de modo a admitir a esterilização forçada. Até à lei ser cancelada em 1972, </w:t>
      </w:r>
      <w:r>
        <w:t xml:space="preserve">num total de </w:t>
      </w:r>
      <w:r w:rsidRPr="003E305A">
        <w:t xml:space="preserve">4.700 propostas de esterilização, </w:t>
      </w:r>
      <w:r w:rsidR="003303C2">
        <w:t xml:space="preserve">sessenta por cento </w:t>
      </w:r>
      <w:r w:rsidRPr="003E305A">
        <w:t xml:space="preserve">haviam sido autorizadas. A província da Columbia Britânica promulgou legislação idêntica em 1933, mas como os arquivos foram destruídos ou se perderam, </w:t>
      </w:r>
      <w:r w:rsidR="007D387F">
        <w:t>desconhece</w:t>
      </w:r>
      <w:r w:rsidRPr="003E305A">
        <w:t xml:space="preserve">-se o número de vítimas. Noutra democracia exemplar, a Suíça, uma lei autorizando a esterilização sexual compulsiva de deficientes mentais manteve-se em vigor no cantão de Vaud desde 1928 até à década de 1970, enquanto no resto do país, e mesmo sem cobertura legal, havia médicos que executavam esterilizações sob pretextos terapêuticos ou eugenistas. O número total de vítimas permanece ignorado. Também na Dinamarca era corrente a esterilização sob pretextos terapêuticos, e a esterilização forçada passou a ser permitida por uma lei de 1929, sacrificando cerca de </w:t>
      </w:r>
      <w:r w:rsidR="003303C2">
        <w:t xml:space="preserve">onze mil </w:t>
      </w:r>
      <w:r w:rsidRPr="003E305A">
        <w:t xml:space="preserve">pessoas até 1967. Na Suécia foi o próprio governo social-democrata a promulgar em 1934 este tipo de medidas, primeiro visando apenas pessoas com deficiências mentais, mas </w:t>
      </w:r>
      <w:r>
        <w:t>incluindo</w:t>
      </w:r>
      <w:r w:rsidRPr="003E305A">
        <w:t xml:space="preserve"> depois quem revelasse «um modo de vida anti-social». Quando a legislação foi abolida, em 1976, haviam sido </w:t>
      </w:r>
      <w:r>
        <w:t>praticadas</w:t>
      </w:r>
      <w:r w:rsidRPr="003E305A">
        <w:t xml:space="preserve"> cerca de </w:t>
      </w:r>
      <w:r w:rsidR="003303C2">
        <w:t xml:space="preserve">sessenta e três mil </w:t>
      </w:r>
      <w:r w:rsidRPr="003E305A">
        <w:t xml:space="preserve">operações, na maioria </w:t>
      </w:r>
      <w:r w:rsidR="002160D1">
        <w:t>sobre</w:t>
      </w:r>
      <w:r w:rsidRPr="003E305A">
        <w:t xml:space="preserve"> mulheres. A Noruega adoptou em 1934 uma lei prevendo a esterilização sexual compulsiva, que a partir de 1977 se tornou na maior parte dos casos uma medida voluntária. Entretanto </w:t>
      </w:r>
      <w:r>
        <w:t>tinham-se</w:t>
      </w:r>
      <w:r w:rsidRPr="003E305A">
        <w:t xml:space="preserve"> </w:t>
      </w:r>
      <w:r>
        <w:t xml:space="preserve">realizado </w:t>
      </w:r>
      <w:r w:rsidRPr="003E305A">
        <w:t xml:space="preserve">cerca de </w:t>
      </w:r>
      <w:r w:rsidR="003303C2">
        <w:t xml:space="preserve">quarenta e uma mil </w:t>
      </w:r>
      <w:r w:rsidRPr="003E305A">
        <w:t>operações, em três quartos dos casos visando mulheres. A Finlândia autorizou igualmente a esterilização forçada</w:t>
      </w:r>
      <w:r w:rsidRPr="003E305A">
        <w:rPr>
          <w:rStyle w:val="Refdenotaderodap"/>
        </w:rPr>
        <w:footnoteReference w:id="152"/>
      </w:r>
      <w:r w:rsidRPr="003E305A">
        <w:t xml:space="preserve">. Só a Grã-Bretanha se </w:t>
      </w:r>
      <w:r>
        <w:t>singularizou</w:t>
      </w:r>
      <w:r w:rsidRPr="003E305A">
        <w:t xml:space="preserve"> porque, apesar dos esforços e da propaganda do movimento eugenista, em 1931 o parlamento recusou-se a aceitar a esterilização dos deficientes</w:t>
      </w:r>
      <w:r w:rsidRPr="003E305A">
        <w:rPr>
          <w:rStyle w:val="Refdenotaderodap"/>
        </w:rPr>
        <w:footnoteReference w:id="153"/>
      </w:r>
      <w:r w:rsidRPr="003E305A">
        <w:t xml:space="preserve">. Aliás, os eugenistas britânicos não </w:t>
      </w:r>
      <w:r w:rsidRPr="003E305A">
        <w:lastRenderedPageBreak/>
        <w:t>conseguiram aprovação parlamentar para nenhum dos seus projectos, a que se opunha uma grande parte da opinião pública e dos meios oficiais</w:t>
      </w:r>
      <w:r w:rsidRPr="003E305A">
        <w:rPr>
          <w:rStyle w:val="Refdenotaderodap"/>
        </w:rPr>
        <w:footnoteReference w:id="154"/>
      </w:r>
      <w:r w:rsidRPr="003E305A">
        <w:t xml:space="preserve">. </w:t>
      </w:r>
    </w:p>
    <w:p w:rsidR="00DF4B40" w:rsidRPr="003E305A" w:rsidRDefault="00DF4B40" w:rsidP="00DF4B40">
      <w:r w:rsidRPr="003E305A">
        <w:t xml:space="preserve">Não bastava, porém, limpar a raça </w:t>
      </w:r>
      <w:r w:rsidR="00202715">
        <w:t xml:space="preserve">dentro das fronteiras </w:t>
      </w:r>
      <w:r w:rsidRPr="003E305A">
        <w:t xml:space="preserve">se </w:t>
      </w:r>
      <w:r w:rsidR="00202715">
        <w:t xml:space="preserve">ela </w:t>
      </w:r>
      <w:r w:rsidRPr="003E305A">
        <w:t xml:space="preserve">estivesse exposta às contaminações provenientes do exterior. Assim, a promoção demográfica da elite e a esterilização sexual ou a liquidação dos elementos </w:t>
      </w:r>
      <w:r>
        <w:t>tidos como</w:t>
      </w:r>
      <w:r w:rsidRPr="003E305A">
        <w:t xml:space="preserve"> nocivos deviam ser acompanhadas por um severo controlo racial da imigração. A eugenia foi decerto considerada nos Estados Unidos como </w:t>
      </w:r>
      <w:r>
        <w:t>o</w:t>
      </w:r>
      <w:r w:rsidRPr="003E305A">
        <w:t xml:space="preserve"> </w:t>
      </w:r>
      <w:r>
        <w:t>instrumento</w:t>
      </w:r>
      <w:r w:rsidRPr="003E305A">
        <w:t xml:space="preserve"> biológic</w:t>
      </w:r>
      <w:r>
        <w:t>o</w:t>
      </w:r>
      <w:r w:rsidRPr="003E305A">
        <w:t xml:space="preserve"> necessári</w:t>
      </w:r>
      <w:r>
        <w:t>o</w:t>
      </w:r>
      <w:r w:rsidRPr="003E305A">
        <w:t xml:space="preserve"> à aplicação política do </w:t>
      </w:r>
      <w:r w:rsidRPr="003E305A">
        <w:rPr>
          <w:i/>
        </w:rPr>
        <w:t>manifest destiny</w:t>
      </w:r>
      <w:r w:rsidRPr="003E305A">
        <w:t xml:space="preserve">. Os mesmos desígnios da Providência que orientavam a expansão do país ditavam que na ordem interna prevalecessem os brancos de origem anglo-saxónica, e a questão da imigração assumiu uma importância ímpar entre os eugenistas norte-americanos, que </w:t>
      </w:r>
      <w:r>
        <w:t>reputavam</w:t>
      </w:r>
      <w:r w:rsidRPr="003E305A">
        <w:t xml:space="preserve"> geneticamente indesejável a maior parte das pessoas chegadas após 1890</w:t>
      </w:r>
      <w:r w:rsidRPr="003E305A">
        <w:rPr>
          <w:rStyle w:val="Refdenotaderodap"/>
        </w:rPr>
        <w:footnoteReference w:id="155"/>
      </w:r>
      <w:r w:rsidRPr="003E305A">
        <w:t>. A principal personalidade do movimento eugenista, Davenport, defendeu numa obra de 1911 que se continuassem a entrar imigrantes oriundos do sudeste europeu os Estados Unidos alterariam as suas características raciais e a população tornar-se-ia mais propensa ao crime e à imoralidade sexual. Na mesma obra Davenport opôs-se igualmente à imigração de judeus</w:t>
      </w:r>
      <w:r w:rsidRPr="003E305A">
        <w:rPr>
          <w:rStyle w:val="Refdenotaderodap"/>
        </w:rPr>
        <w:footnoteReference w:id="156"/>
      </w:r>
      <w:r w:rsidRPr="003E305A">
        <w:t>. Em 1917 o Congresso deu o tom do que estava para vir e proibiu a imigração de deficientes mentais, epilépticos e outras pessoas portadoras de inferioridades psicopáticas constitucionais</w:t>
      </w:r>
      <w:r w:rsidRPr="003E305A">
        <w:rPr>
          <w:rStyle w:val="Refdenotaderodap"/>
        </w:rPr>
        <w:footnoteReference w:id="157"/>
      </w:r>
      <w:r w:rsidRPr="003E305A">
        <w:t xml:space="preserve">. Dois anos mais tarde a presidência do Comité da Câmara de Representantes para a Imigração e a Naturalização foi entregue a um eugenista convicto, unido por relações particularmente estreitas a Madison Grant, que aos seus outros cargos </w:t>
      </w:r>
      <w:r w:rsidR="002148D7">
        <w:t>juntava</w:t>
      </w:r>
      <w:r w:rsidRPr="003E305A">
        <w:t xml:space="preserve"> o de vice-presidente da Immigration Restriction League. </w:t>
      </w:r>
      <w:r>
        <w:t xml:space="preserve">Também </w:t>
      </w:r>
      <w:r w:rsidRPr="00F963C1">
        <w:t xml:space="preserve">a segunda figura do movimento eugenista, </w:t>
      </w:r>
      <w:r w:rsidRPr="003E305A">
        <w:t>Laughlin, recebeu funções oficiais naquele Comité e a partir dali, com a ajuda do Secretário do Trabalho, teceu a rede que levaria o Congresso a aprovar em 1924 a National Origins Quota Law</w:t>
      </w:r>
      <w:r w:rsidRPr="003E305A">
        <w:rPr>
          <w:rStyle w:val="Refdenotaderodap"/>
        </w:rPr>
        <w:footnoteReference w:id="158"/>
      </w:r>
      <w:r w:rsidRPr="003E305A">
        <w:t>. Além de prever formas de selecção destinadas a afastar os portadores de deficiências hereditárias, esta lei estabelec</w:t>
      </w:r>
      <w:r>
        <w:t>eu</w:t>
      </w:r>
      <w:r w:rsidRPr="003E305A">
        <w:t xml:space="preserve"> um limite máximo para o número de imigrantes aceite anualmente e, usando os resultados do recenseamento de 1890 como base para a definição de quotas, reduzi</w:t>
      </w:r>
      <w:r>
        <w:t>u</w:t>
      </w:r>
      <w:r w:rsidRPr="003E305A">
        <w:t xml:space="preserve"> drasticamente a entrada de não nórdicos e procur</w:t>
      </w:r>
      <w:r>
        <w:t>ou</w:t>
      </w:r>
      <w:r w:rsidRPr="003E305A">
        <w:t xml:space="preserve"> assim orientar a composição étnica da </w:t>
      </w:r>
      <w:r w:rsidRPr="003E305A">
        <w:lastRenderedPageBreak/>
        <w:t>população</w:t>
      </w:r>
      <w:r w:rsidRPr="003E305A">
        <w:rPr>
          <w:rStyle w:val="Refdenotaderodap"/>
        </w:rPr>
        <w:footnoteReference w:id="159"/>
      </w:r>
      <w:r w:rsidRPr="003E305A">
        <w:t>. Na realidade as dificuldades práticas foram maiores do que os eugenistas havia</w:t>
      </w:r>
      <w:r w:rsidR="00202715">
        <w:t>m</w:t>
      </w:r>
      <w:r w:rsidRPr="003E305A">
        <w:t xml:space="preserve"> previsto e os grupos étnicos interessados contestaram a validade dos dados do recenseamento de 1890. Depois de adiar o problema por vários anos, o Congresso recorreu em 1931 ao recenseamento de 1920 para fixar as quotas de imigrantes, consoante um sistema que se manteve em vigor até 1952</w:t>
      </w:r>
      <w:r w:rsidRPr="003E305A">
        <w:rPr>
          <w:rStyle w:val="Refdenotaderodap"/>
        </w:rPr>
        <w:footnoteReference w:id="160"/>
      </w:r>
      <w:r w:rsidRPr="003E305A">
        <w:t xml:space="preserve">. </w:t>
      </w:r>
    </w:p>
    <w:p w:rsidR="002A3326" w:rsidRDefault="002A3326" w:rsidP="002A3326">
      <w:pPr>
        <w:keepNext/>
        <w:spacing w:before="240" w:after="120"/>
        <w:ind w:firstLine="0"/>
        <w:jc w:val="center"/>
      </w:pPr>
      <w:r>
        <w:rPr>
          <w:b/>
          <w:sz w:val="28"/>
          <w:szCs w:val="28"/>
        </w:rPr>
        <w:t>3</w:t>
      </w:r>
    </w:p>
    <w:p w:rsidR="00DF4B40" w:rsidRPr="003E305A" w:rsidRDefault="002148D7" w:rsidP="00AC55EF">
      <w:r>
        <w:t xml:space="preserve">Com </w:t>
      </w:r>
      <w:r w:rsidRPr="003E305A">
        <w:t xml:space="preserve">a National Origins Quota Law o </w:t>
      </w:r>
      <w:r w:rsidR="00DF4B40" w:rsidRPr="003E305A">
        <w:t xml:space="preserve">governo dos Estados Unidos consagrara </w:t>
      </w:r>
      <w:r w:rsidR="004B06ED">
        <w:t>juridicamente</w:t>
      </w:r>
      <w:r w:rsidR="00DF4B40" w:rsidRPr="003E305A">
        <w:t xml:space="preserve"> a resolução de um problema social consoante um critério racial e os eugenistas alemães aplaudiram</w:t>
      </w:r>
      <w:r w:rsidR="00DF4B40" w:rsidRPr="003E305A">
        <w:rPr>
          <w:rStyle w:val="Refdenotaderodap"/>
        </w:rPr>
        <w:footnoteReference w:id="161"/>
      </w:r>
      <w:r w:rsidR="00DF4B40" w:rsidRPr="003E305A">
        <w:t xml:space="preserve">. Hitler não escondeu a sua satisfação e indicou </w:t>
      </w:r>
      <w:r>
        <w:t>aquela</w:t>
      </w:r>
      <w:r w:rsidR="00DF4B40" w:rsidRPr="003E305A">
        <w:t xml:space="preserve"> lei como um modelo a seguir</w:t>
      </w:r>
      <w:r w:rsidR="00BB5124">
        <w:t>:</w:t>
      </w:r>
      <w:r w:rsidR="00DF4B40" w:rsidRPr="003E305A">
        <w:t xml:space="preserve"> «Recusando liminarmente a imigração às pessoas não saudáveis e excluindo simplesmente da naturalização certas raças, ela manifesta o começo progressivo de uma perspectiva que é específica da concepção racista de Estado»</w:t>
      </w:r>
      <w:r w:rsidR="00DF4B40" w:rsidRPr="003E305A">
        <w:rPr>
          <w:rStyle w:val="Refdenotaderodap"/>
        </w:rPr>
        <w:footnoteReference w:id="162"/>
      </w:r>
      <w:r w:rsidR="00DF4B40" w:rsidRPr="003E305A">
        <w:t xml:space="preserve">. Aliás, já Houston Stewart Chamberlain, depois de mencionar elogiosamente as propostas de Galton para melhorar a raça, </w:t>
      </w:r>
      <w:r w:rsidR="00202715">
        <w:t>e</w:t>
      </w:r>
      <w:r w:rsidR="00DF4B40" w:rsidRPr="003E305A">
        <w:t>vocara as medidas adoptadas pelos Estados Unidos</w:t>
      </w:r>
      <w:r w:rsidR="00DF4B40" w:rsidRPr="003E305A">
        <w:rPr>
          <w:rStyle w:val="Refdenotaderodap"/>
        </w:rPr>
        <w:footnoteReference w:id="163"/>
      </w:r>
      <w:r w:rsidR="00DF4B40" w:rsidRPr="003E305A">
        <w:t>. Durante as três décadas iniciais do século XX os norte-americanos encabeç</w:t>
      </w:r>
      <w:r w:rsidR="00DF4B40">
        <w:t>aram</w:t>
      </w:r>
      <w:r w:rsidR="00DF4B40" w:rsidRPr="003E305A">
        <w:t xml:space="preserve"> o movimento eugenista internacional e influenciaram de maneira durável o desenvolvimento do racismo germânico</w:t>
      </w:r>
      <w:r w:rsidR="00DF4B40" w:rsidRPr="003E305A">
        <w:rPr>
          <w:rStyle w:val="Refdenotaderodap"/>
        </w:rPr>
        <w:footnoteReference w:id="164"/>
      </w:r>
      <w:r w:rsidR="00DF4B40" w:rsidRPr="003E305A">
        <w:t xml:space="preserve">. As relações entre os eugenistas de ambos os países mantiveram-se estreitas, </w:t>
      </w:r>
      <w:r w:rsidR="00DF4B40">
        <w:t>malgrado</w:t>
      </w:r>
      <w:r w:rsidR="00DF4B40" w:rsidRPr="003E305A">
        <w:t xml:space="preserve"> a primeira guerra mundial e os percalços políticos subsequentes</w:t>
      </w:r>
      <w:r w:rsidR="00DF4B40" w:rsidRPr="003E305A">
        <w:rPr>
          <w:rStyle w:val="Refdenotaderodap"/>
        </w:rPr>
        <w:footnoteReference w:id="165"/>
      </w:r>
      <w:r w:rsidR="00156FBC">
        <w:t>;</w:t>
      </w:r>
      <w:r w:rsidR="00DF4B40" w:rsidRPr="003E305A">
        <w:t xml:space="preserve"> e assim como a Rockefeller Foundation contribuiu financeiramente para o movimento eugenista nos Estados Unidos, subsidiou também as pesquisas biológicas e raciais na Alemanha, continuando a fazê-lo entre 1933 e 1939</w:t>
      </w:r>
      <w:r w:rsidR="00156FBC">
        <w:t xml:space="preserve">, embora estivesse ao corrente do que </w:t>
      </w:r>
      <w:r w:rsidR="00BB5124">
        <w:t xml:space="preserve">então </w:t>
      </w:r>
      <w:r w:rsidR="00156FBC">
        <w:t>se passava</w:t>
      </w:r>
      <w:r w:rsidR="00DF4B40" w:rsidRPr="003E305A">
        <w:rPr>
          <w:rStyle w:val="Refdenotaderodap"/>
        </w:rPr>
        <w:footnoteReference w:id="166"/>
      </w:r>
      <w:r w:rsidR="00DF4B40" w:rsidRPr="003E305A">
        <w:t xml:space="preserve">. Outra das ligações do racismo democrático ao nacional-socialismo deveu-se a Henry Ford, </w:t>
      </w:r>
      <w:r w:rsidR="00DF4B40">
        <w:t>apesar de ele se ter mantido alheio ao movimento eugenista e não se encontrar entre os seus financiadores</w:t>
      </w:r>
      <w:r w:rsidR="00DF4B40">
        <w:rPr>
          <w:rStyle w:val="Refdenotaderodap"/>
        </w:rPr>
        <w:footnoteReference w:id="167"/>
      </w:r>
      <w:r w:rsidR="00DF4B40">
        <w:t xml:space="preserve">. </w:t>
      </w:r>
      <w:r w:rsidR="00DF4B40" w:rsidRPr="00AA6BBF">
        <w:t xml:space="preserve">Esta singularidade </w:t>
      </w:r>
      <w:r w:rsidR="00DF4B40" w:rsidRPr="00AA6BBF">
        <w:lastRenderedPageBreak/>
        <w:t>relaciona-se possivelmente com o facto de a companhia Ford nunca se ter recusado a empregar pessoas com deficiências físicas e até mentais</w:t>
      </w:r>
      <w:r w:rsidR="00DF4B40">
        <w:t xml:space="preserve"> e ter adoptado relativamente </w:t>
      </w:r>
      <w:r w:rsidR="00DF4B40" w:rsidRPr="00AA6BBF">
        <w:t>ao assalariamento de negros uma orientação muito mais liberal do que as outras grandes companhias daquela época, a ponto de as colossais instalações fabris do Rouge terem sido as únicas no ramo automóvel onde os negros participavam em todas as operações e em todos os tipos de trabalho</w:t>
      </w:r>
      <w:r w:rsidR="00DF4B40">
        <w:rPr>
          <w:rStyle w:val="Refdenotaderodap"/>
        </w:rPr>
        <w:footnoteReference w:id="168"/>
      </w:r>
      <w:r w:rsidR="00DF4B40">
        <w:t>.</w:t>
      </w:r>
      <w:r w:rsidR="00DF4B40" w:rsidRPr="00AA6BBF">
        <w:t xml:space="preserve"> </w:t>
      </w:r>
      <w:r w:rsidR="00AC55EF">
        <w:t xml:space="preserve">No que dizia respeito ao anti-semitismo, porém, é inegável a influência exercida por Ford sobre Hitler, que além disso, </w:t>
      </w:r>
      <w:r w:rsidR="00DF4B40" w:rsidRPr="00602020">
        <w:t xml:space="preserve">não só em </w:t>
      </w:r>
      <w:r w:rsidR="00DF4B40" w:rsidRPr="00602020">
        <w:rPr>
          <w:i/>
        </w:rPr>
        <w:t>Mein Kampf</w:t>
      </w:r>
      <w:r w:rsidR="00DF4B40" w:rsidRPr="00602020">
        <w:t xml:space="preserve"> como em conversas particulares</w:t>
      </w:r>
      <w:r w:rsidR="00DF4B40">
        <w:t>,</w:t>
      </w:r>
      <w:r w:rsidR="00DF4B40" w:rsidRPr="003E305A">
        <w:t xml:space="preserve"> deu provas de conhecer com certo detalhe as teorias e realizações práticas dos eugenistas norte-americanos</w:t>
      </w:r>
      <w:r w:rsidR="00AC55EF">
        <w:t>.</w:t>
      </w:r>
      <w:r w:rsidR="00DF4B40" w:rsidRPr="003E305A">
        <w:t xml:space="preserve"> </w:t>
      </w:r>
      <w:r w:rsidR="00AC55EF" w:rsidRPr="003E305A">
        <w:t xml:space="preserve">Para </w:t>
      </w:r>
      <w:r w:rsidR="00AC55EF">
        <w:t xml:space="preserve">tal </w:t>
      </w:r>
      <w:r w:rsidR="00DF4B40" w:rsidRPr="003E305A">
        <w:t>contribuiu possivelmente um membro do NSDAP, Julius Lehmann, proprietário da principal editora alemã de obras eugenistas e um dos protagonistas da abortada intentona de Munique em Novembro de 1923</w:t>
      </w:r>
      <w:r w:rsidR="00DF4B40" w:rsidRPr="003E305A">
        <w:rPr>
          <w:rStyle w:val="Refdenotaderodap"/>
        </w:rPr>
        <w:footnoteReference w:id="169"/>
      </w:r>
      <w:r w:rsidR="00DF4B40" w:rsidRPr="003E305A">
        <w:t>. Nos primeiros anos da década de 1930 Hitler enviou uma carta elogiosa ao presidente da American Eugenics Society, Leon Whitney</w:t>
      </w:r>
      <w:r w:rsidR="00DF4B40" w:rsidRPr="003E305A">
        <w:rPr>
          <w:rStyle w:val="Refdenotaderodap"/>
        </w:rPr>
        <w:footnoteReference w:id="170"/>
      </w:r>
      <w:r w:rsidR="00DF4B40" w:rsidRPr="003E305A">
        <w:t>, e ao mesmo tempo enviou outra carta a Madison Grant, classificando como «a minha Bíblia» uma obra sua</w:t>
      </w:r>
      <w:r w:rsidR="00D75BFD" w:rsidRPr="003E305A">
        <w:rPr>
          <w:rStyle w:val="Refdenotaderodap"/>
        </w:rPr>
        <w:footnoteReference w:id="171"/>
      </w:r>
      <w:r w:rsidR="00DF4B40" w:rsidRPr="003E305A">
        <w:t xml:space="preserve">, traduzida e publicada na Alemanha em 1925 precisamente pela editora de Lehmann, onde a primeira guerra mundial era interpretada como um conflito entre raças, em termos que influenciaram directamente a tipologia do racismo </w:t>
      </w:r>
      <w:r w:rsidR="0064336E">
        <w:t>nacional-socialista</w:t>
      </w:r>
      <w:r w:rsidR="00DF4B40" w:rsidRPr="003E305A">
        <w:rPr>
          <w:rStyle w:val="Refdenotaderodap"/>
        </w:rPr>
        <w:footnoteReference w:id="172"/>
      </w:r>
      <w:r w:rsidR="00DF4B40" w:rsidRPr="003E305A">
        <w:t xml:space="preserve">. </w:t>
      </w:r>
    </w:p>
    <w:p w:rsidR="00DF4B40" w:rsidRPr="003E305A" w:rsidRDefault="00DC5431" w:rsidP="00DF4B40">
      <w:r>
        <w:t xml:space="preserve">Aliás, </w:t>
      </w:r>
      <w:r w:rsidRPr="003E305A">
        <w:t xml:space="preserve">o </w:t>
      </w:r>
      <w:r w:rsidR="00DF4B40" w:rsidRPr="003E305A">
        <w:t>pessimismo biológico</w:t>
      </w:r>
      <w:r w:rsidR="00DF4B40">
        <w:t>,</w:t>
      </w:r>
      <w:r w:rsidR="00DF4B40" w:rsidRPr="003E305A">
        <w:t xml:space="preserve"> que constituía uma das bases da doutrina de Hitler</w:t>
      </w:r>
      <w:r w:rsidR="00DF4B40">
        <w:t>,</w:t>
      </w:r>
      <w:r w:rsidR="00DF4B40" w:rsidRPr="003E305A">
        <w:t xml:space="preserve"> </w:t>
      </w:r>
      <w:r>
        <w:t xml:space="preserve">poderia invocar </w:t>
      </w:r>
      <w:r w:rsidR="00DF4B40" w:rsidRPr="003E305A">
        <w:t>as próprias concepções de Galton, para quem um sangue de boa linhagem, se se misturasse com sangue de má qualidade, em vez de promover os elementos inferiores seria degenerado por eles</w:t>
      </w:r>
      <w:r w:rsidR="00DF4B40" w:rsidRPr="003E305A">
        <w:rPr>
          <w:rStyle w:val="Refdenotaderodap"/>
        </w:rPr>
        <w:footnoteReference w:id="173"/>
      </w:r>
      <w:r w:rsidR="00DF4B40" w:rsidRPr="003E305A">
        <w:t>. O facto de os eugenistas norte-americanos reafirma</w:t>
      </w:r>
      <w:r w:rsidR="001F2ADC">
        <w:t>rem</w:t>
      </w:r>
      <w:r w:rsidR="00DF4B40" w:rsidRPr="003E305A">
        <w:t xml:space="preserve"> esta tese </w:t>
      </w:r>
      <w:r w:rsidR="00344171">
        <w:t>talvez</w:t>
      </w:r>
      <w:r w:rsidR="001F2ADC">
        <w:t xml:space="preserve"> </w:t>
      </w:r>
      <w:r w:rsidR="00DF4B40">
        <w:t>revigora</w:t>
      </w:r>
      <w:r w:rsidR="00344171">
        <w:t>sse</w:t>
      </w:r>
      <w:r w:rsidR="00DF4B40">
        <w:t xml:space="preserve"> </w:t>
      </w:r>
      <w:r w:rsidR="00DF4B40" w:rsidRPr="003E305A">
        <w:t>as convicções dos racistas alemães. Davenport considerava que se um elemento originário de um grupo racial inferior fosse promovido graças a um meio favorável ele continuaria, através dos seus descendentes, a constituir uma ameaça biológica</w:t>
      </w:r>
      <w:r w:rsidR="00DF4B40" w:rsidRPr="003E305A">
        <w:rPr>
          <w:rStyle w:val="Refdenotaderodap"/>
        </w:rPr>
        <w:footnoteReference w:id="174"/>
      </w:r>
      <w:r w:rsidR="00DF4B40" w:rsidRPr="003E305A">
        <w:t xml:space="preserve">. E de acordo com Carl Brigham, psicólogo eugenista da reputada Universidade de Princeton, se era certo que a inteligência dos negros podia ser aumentada pela mistura com sangue branco, não era menos </w:t>
      </w:r>
      <w:r w:rsidR="00DF4B40" w:rsidRPr="003E305A">
        <w:lastRenderedPageBreak/>
        <w:t xml:space="preserve">verdade que isto faria diminuir a inteligência média da população </w:t>
      </w:r>
      <w:r w:rsidR="006350DA">
        <w:t>do país</w:t>
      </w:r>
      <w:r w:rsidR="00DF4B40" w:rsidRPr="003E305A">
        <w:t>, devido à inferioridade intelectual dos negros</w:t>
      </w:r>
      <w:r w:rsidR="00DF4B40" w:rsidRPr="003E305A">
        <w:rPr>
          <w:rStyle w:val="Refdenotaderodap"/>
        </w:rPr>
        <w:footnoteReference w:id="175"/>
      </w:r>
      <w:r w:rsidR="00DF4B40" w:rsidRPr="003E305A">
        <w:t>. A fatalidade que pesava sobre o bom sangue foi evocada por outros eugenistas norte-americanos</w:t>
      </w:r>
      <w:r w:rsidR="00DF4B40" w:rsidRPr="003E305A">
        <w:rPr>
          <w:rStyle w:val="Refdenotaderodap"/>
        </w:rPr>
        <w:footnoteReference w:id="176"/>
      </w:r>
      <w:r w:rsidR="00DF4B40" w:rsidRPr="003E305A">
        <w:t xml:space="preserve">, nomeadamente por </w:t>
      </w:r>
      <w:r w:rsidR="00DF4B40" w:rsidRPr="00D46EE5">
        <w:t>Lothrop Stoddard</w:t>
      </w:r>
      <w:r w:rsidR="00D46EE5">
        <w:t xml:space="preserve"> </w:t>
      </w:r>
      <w:r w:rsidR="00DF4B40" w:rsidRPr="003E305A">
        <w:t>ao proclamar que qualquer cruzamento entre um grupo biológico superior e outro inferior implicaria necessariamente um insanável prejuízo para o progresso humano</w:t>
      </w:r>
      <w:r w:rsidR="00DF4B40" w:rsidRPr="003E305A">
        <w:rPr>
          <w:rStyle w:val="Refdenotaderodap"/>
        </w:rPr>
        <w:footnoteReference w:id="177"/>
      </w:r>
      <w:r w:rsidR="00DF4B40" w:rsidRPr="003E305A">
        <w:t>. Mas talvez ninguém nos Estados Unidos tivesse defendido esta tese com tanto vigor como Madison Grant, naquele livro que serviria a Hitler de inspiração</w:t>
      </w:r>
      <w:r w:rsidR="004D2BA9">
        <w:t>:</w:t>
      </w:r>
      <w:r w:rsidR="00DF4B40" w:rsidRPr="003E305A">
        <w:t xml:space="preserve"> «O cruzamento entre um branco e um índio é um índio; o cruzamento entre um branco e um preto é um preto; o cruzamento entre um branco e um hindu é um hindu; e o cruzamento entre qualquer das três raças europeias e um judeu é um judeu»</w:t>
      </w:r>
      <w:r w:rsidR="00DF4B40" w:rsidRPr="003E305A">
        <w:rPr>
          <w:rStyle w:val="Refdenotaderodap"/>
        </w:rPr>
        <w:footnoteReference w:id="178"/>
      </w:r>
      <w:r w:rsidR="00DF4B40" w:rsidRPr="003E305A">
        <w:t xml:space="preserve">. Encontramos aqui, com vinte anos de antecipação, o resumo da legislação racial de Nuremberga. </w:t>
      </w:r>
    </w:p>
    <w:p w:rsidR="00DF4B40" w:rsidRDefault="00DF4B40" w:rsidP="00DF4B40">
      <w:r w:rsidRPr="003E305A">
        <w:t xml:space="preserve">Não menos significativo é o facto de depararmos </w:t>
      </w:r>
      <w:r w:rsidRPr="00C96D03">
        <w:t>numa obra de Stoddard</w:t>
      </w:r>
      <w:r>
        <w:t>,</w:t>
      </w:r>
      <w:r w:rsidRPr="00C96D03">
        <w:t xml:space="preserve"> </w:t>
      </w:r>
      <w:r>
        <w:t>datada de 192</w:t>
      </w:r>
      <w:r w:rsidR="00372521">
        <w:t>1</w:t>
      </w:r>
      <w:r>
        <w:t xml:space="preserve">, </w:t>
      </w:r>
      <w:r w:rsidRPr="003E305A">
        <w:t xml:space="preserve">com a </w:t>
      </w:r>
      <w:r w:rsidR="00720329">
        <w:t>definição</w:t>
      </w:r>
      <w:r w:rsidRPr="003E305A">
        <w:t xml:space="preserve"> exacta </w:t>
      </w:r>
      <w:r>
        <w:t>da</w:t>
      </w:r>
      <w:r w:rsidRPr="003E305A">
        <w:t xml:space="preserve"> </w:t>
      </w:r>
      <w:r>
        <w:t xml:space="preserve">noção de </w:t>
      </w:r>
      <w:r w:rsidRPr="003E305A">
        <w:t>anti-raça</w:t>
      </w:r>
      <w:r>
        <w:t>,</w:t>
      </w:r>
      <w:r w:rsidRPr="003E305A">
        <w:t xml:space="preserve"> </w:t>
      </w:r>
      <w:r>
        <w:t>que servi</w:t>
      </w:r>
      <w:r w:rsidR="00EB3AAB">
        <w:t>ria</w:t>
      </w:r>
      <w:r>
        <w:t xml:space="preserve"> aos nacionais-socialistas para caracterizar os judeus</w:t>
      </w:r>
      <w:r w:rsidRPr="003E305A">
        <w:t>. «</w:t>
      </w:r>
      <w:r w:rsidR="0083129B">
        <w:t>Onde</w:t>
      </w:r>
      <w:r w:rsidRPr="003E305A">
        <w:t xml:space="preserve"> as raças de origem são muito diferentes», escreveu ele, «como sucede </w:t>
      </w:r>
      <w:r w:rsidR="0083129B">
        <w:t xml:space="preserve">nos </w:t>
      </w:r>
      <w:r w:rsidRPr="003E305A">
        <w:t xml:space="preserve">acasalamentos entre brancos, pretos e ameríndios, a cria é um mestiço </w:t>
      </w:r>
      <w:r w:rsidR="003D36A4">
        <w:t>—</w:t>
      </w:r>
      <w:r w:rsidRPr="003E305A">
        <w:t xml:space="preserve"> um caos ambulante, </w:t>
      </w:r>
      <w:r w:rsidR="0083129B">
        <w:t>debilitado</w:t>
      </w:r>
      <w:r w:rsidRPr="003E305A">
        <w:t xml:space="preserve"> a tal ponto pelas suas hereditariedades dissonantes que é praticamente desprovido de valor»</w:t>
      </w:r>
      <w:r w:rsidRPr="003E305A">
        <w:rPr>
          <w:rStyle w:val="Refdenotaderodap"/>
        </w:rPr>
        <w:footnoteReference w:id="179"/>
      </w:r>
      <w:r w:rsidRPr="003E305A">
        <w:t xml:space="preserve">. E o termo </w:t>
      </w:r>
      <w:r w:rsidRPr="008B4D17">
        <w:rPr>
          <w:i/>
        </w:rPr>
        <w:t>sub-homens,</w:t>
      </w:r>
      <w:r w:rsidRPr="003E305A">
        <w:t xml:space="preserve"> que Hitler e os seus seguidores </w:t>
      </w:r>
      <w:r w:rsidR="00CC20DC">
        <w:t xml:space="preserve">haveriam de </w:t>
      </w:r>
      <w:r w:rsidRPr="003E305A">
        <w:t xml:space="preserve">aplicar aos eslavos, foi </w:t>
      </w:r>
      <w:r w:rsidR="00911288">
        <w:t>criado por Stoddard para designar todos os que se situa</w:t>
      </w:r>
      <w:r w:rsidR="00F94B61">
        <w:t>ria</w:t>
      </w:r>
      <w:r w:rsidR="00911288">
        <w:t>m social e biologicamente abaixo do padrão médio necessário para se adpatarem à sociedade em que viv</w:t>
      </w:r>
      <w:r w:rsidR="00CC20DC">
        <w:t>ia</w:t>
      </w:r>
      <w:r w:rsidR="00911288">
        <w:t>m</w:t>
      </w:r>
      <w:r w:rsidR="00911288">
        <w:rPr>
          <w:rStyle w:val="Refdenotaderodap"/>
        </w:rPr>
        <w:footnoteReference w:id="180"/>
      </w:r>
      <w:r w:rsidR="00911288">
        <w:t xml:space="preserve">, tornando-se depois corrente entre </w:t>
      </w:r>
      <w:r w:rsidRPr="003E305A">
        <w:t>os eugenistas norte-americanos</w:t>
      </w:r>
      <w:r w:rsidRPr="003E305A">
        <w:rPr>
          <w:rStyle w:val="Refdenotaderodap"/>
        </w:rPr>
        <w:footnoteReference w:id="181"/>
      </w:r>
      <w:r w:rsidRPr="003E305A">
        <w:t xml:space="preserve">. Num plano mais superficial, mas não menos esclarecedor, a proliferação de metáforas apresentadas como conceitos caracteriza tanto os textos dos racistas germânicos como os livros e artigos dos eugenistas norte-americanos, que também eles comparavam as raças inferiores a bactérias infecciosas ou ratos e as suas migrações a invasões de bactérias ou ratos, tal como </w:t>
      </w:r>
      <w:r w:rsidRPr="003E305A">
        <w:lastRenderedPageBreak/>
        <w:t>classificavam os elementos biologicamente degenerados como peste humana ou percevejos ou parasitas</w:t>
      </w:r>
      <w:r w:rsidRPr="003E305A">
        <w:rPr>
          <w:rStyle w:val="Refdenotaderodap"/>
        </w:rPr>
        <w:footnoteReference w:id="182"/>
      </w:r>
      <w:r w:rsidRPr="003E305A">
        <w:t xml:space="preserve">. No período entre as duas guerras mundiais circularam em ambos os países teses comuns e uma terminologia comum. </w:t>
      </w:r>
    </w:p>
    <w:p w:rsidR="00F3061F" w:rsidRDefault="00F3061F" w:rsidP="00DF4B40">
      <w:r>
        <w:t xml:space="preserve">O leitor atento </w:t>
      </w:r>
      <w:r w:rsidR="008A2ED0">
        <w:t xml:space="preserve">decerto </w:t>
      </w:r>
      <w:r>
        <w:t>observ</w:t>
      </w:r>
      <w:r w:rsidR="008A2ED0">
        <w:t>ou</w:t>
      </w:r>
      <w:r>
        <w:t xml:space="preserve"> que iniciei este capítulo mostrando a linhagem ger</w:t>
      </w:r>
      <w:r w:rsidR="000F3C46">
        <w:t>m</w:t>
      </w:r>
      <w:r>
        <w:t xml:space="preserve">ânica do racismo </w:t>
      </w:r>
      <w:r w:rsidR="008A2ED0">
        <w:t>hitleriano</w:t>
      </w:r>
      <w:r>
        <w:t xml:space="preserve"> e o encerro agora mostrando que </w:t>
      </w:r>
      <w:r w:rsidRPr="003E305A">
        <w:t xml:space="preserve">as </w:t>
      </w:r>
      <w:r w:rsidR="00DF4B40" w:rsidRPr="003E305A">
        <w:t xml:space="preserve">medidas eugenistas adoptadas pelo Terceiro Reich </w:t>
      </w:r>
      <w:r>
        <w:t xml:space="preserve">se </w:t>
      </w:r>
      <w:r w:rsidR="00DF4B40" w:rsidRPr="003E305A">
        <w:t>inseriram num movimento muito amplo iniciado pelas democracias</w:t>
      </w:r>
      <w:r w:rsidR="00413891">
        <w:rPr>
          <w:rStyle w:val="Refdenotaderodap"/>
        </w:rPr>
        <w:footnoteReference w:id="183"/>
      </w:r>
      <w:r w:rsidR="00605A81">
        <w:t>.</w:t>
      </w:r>
      <w:r w:rsidR="00DF4B40" w:rsidRPr="003E305A">
        <w:t xml:space="preserve"> </w:t>
      </w:r>
      <w:r w:rsidR="00605A81">
        <w:t xml:space="preserve">Aliás, </w:t>
      </w:r>
      <w:r w:rsidR="00DF4B40" w:rsidRPr="003E305A">
        <w:t xml:space="preserve">uma boa parte da literatura racista </w:t>
      </w:r>
      <w:r w:rsidR="00720329">
        <w:t>nacional-socialista</w:t>
      </w:r>
      <w:r w:rsidR="00DF4B40" w:rsidRPr="003E305A">
        <w:t xml:space="preserve"> só parecerá estranha a quem desconhecer os textos emanados das sociedades eugenistas dos outros países. </w:t>
      </w:r>
      <w:r w:rsidR="000F3C46">
        <w:t xml:space="preserve">Não existem na história das ideias tradições únicas, e se na área da cultura germânica se encontram </w:t>
      </w:r>
      <w:r w:rsidR="00B13B68">
        <w:t xml:space="preserve">algumas das </w:t>
      </w:r>
      <w:r w:rsidR="000F3C46">
        <w:t xml:space="preserve">raízes do hitlerismo encontram-se igualmente as </w:t>
      </w:r>
      <w:r w:rsidR="00826609">
        <w:t xml:space="preserve">principais </w:t>
      </w:r>
      <w:r w:rsidR="000F3C46">
        <w:t xml:space="preserve">raízes do socialismo. </w:t>
      </w:r>
      <w:r w:rsidR="001256CC">
        <w:t xml:space="preserve">Não </w:t>
      </w:r>
      <w:r w:rsidR="000F3C46">
        <w:t xml:space="preserve">existiam também tradições ideológicas exclusivamente nacionais numa época </w:t>
      </w:r>
      <w:r w:rsidR="00826609">
        <w:t xml:space="preserve">em </w:t>
      </w:r>
      <w:r w:rsidR="000F3C46">
        <w:t xml:space="preserve">que a economia já </w:t>
      </w:r>
      <w:r w:rsidR="00826609">
        <w:t xml:space="preserve">se </w:t>
      </w:r>
      <w:r w:rsidR="000F3C46">
        <w:t>internacionalizara</w:t>
      </w:r>
      <w:r w:rsidR="001256CC">
        <w:t xml:space="preserve">, e as Leis de Nuremberga </w:t>
      </w:r>
      <w:r w:rsidR="00804E40">
        <w:t>não podem ser plenamente compreendi</w:t>
      </w:r>
      <w:r w:rsidR="004120B4">
        <w:t>d</w:t>
      </w:r>
      <w:r w:rsidR="00804E40">
        <w:t>as por quem ignorar o que antes se escrevera e pusera em prática nos Estados Unidos</w:t>
      </w:r>
      <w:r w:rsidR="000F3C46">
        <w:t xml:space="preserve">. </w:t>
      </w:r>
      <w:r w:rsidR="008A2ED0">
        <w:t xml:space="preserve">A </w:t>
      </w:r>
      <w:r w:rsidR="001256CC">
        <w:t xml:space="preserve">história das ideias sustenta-se </w:t>
      </w:r>
      <w:r w:rsidR="001832C8">
        <w:t xml:space="preserve">tanto por clivagens como </w:t>
      </w:r>
      <w:r w:rsidR="001256CC">
        <w:t xml:space="preserve">por continuidades e analogias. </w:t>
      </w:r>
    </w:p>
    <w:p w:rsidR="00DF4B40" w:rsidRPr="003E305A" w:rsidRDefault="00DF4B40" w:rsidP="00DF4B40">
      <w:r w:rsidRPr="003E305A">
        <w:t xml:space="preserve">Os eugenistas norte-americanos consideravam que da sua acção resultaria a criação de uma nova raça superior e em 1934 o </w:t>
      </w:r>
      <w:r w:rsidR="00720329" w:rsidRPr="003E305A">
        <w:t xml:space="preserve">director </w:t>
      </w:r>
      <w:r w:rsidRPr="003E305A">
        <w:t>de Ciências da Natureza da Rockefeller Foundation, Warren Weaver, pergunt</w:t>
      </w:r>
      <w:r>
        <w:t>ou</w:t>
      </w:r>
      <w:r w:rsidRPr="003E305A">
        <w:t xml:space="preserve"> «se será possível desenvolver uma genética tão extensiva e bem fundamentada que se possa esperar a criação, no futuro, de homens superiores?»</w:t>
      </w:r>
      <w:r w:rsidRPr="003E305A">
        <w:rPr>
          <w:rStyle w:val="Refdenotaderodap"/>
        </w:rPr>
        <w:footnoteReference w:id="184"/>
      </w:r>
      <w:r w:rsidRPr="003E305A">
        <w:t xml:space="preserve">. Era </w:t>
      </w:r>
      <w:r w:rsidR="002F7056" w:rsidRPr="003E305A">
        <w:t xml:space="preserve">precisamente a </w:t>
      </w:r>
      <w:r w:rsidRPr="003E305A">
        <w:t xml:space="preserve">esta questão que Hitler iria responder. Um artigo publicado no </w:t>
      </w:r>
      <w:r w:rsidRPr="003E305A">
        <w:rPr>
          <w:i/>
        </w:rPr>
        <w:t>Eugenical News</w:t>
      </w:r>
      <w:r w:rsidRPr="003E305A">
        <w:t xml:space="preserve"> em 1943, quando já ninguém ignorava o teor da resposta, invoc</w:t>
      </w:r>
      <w:r>
        <w:t>ou</w:t>
      </w:r>
      <w:r w:rsidRPr="003E305A">
        <w:t xml:space="preserve"> as pesquisas de Charles Davenport, o patriarca da eugenia norte-americana, para anunciar uma nova humanidade constituída por castas biológicas, com raças de senhores e raças de servidores</w:t>
      </w:r>
      <w:r w:rsidRPr="003E305A">
        <w:rPr>
          <w:rStyle w:val="Refdenotaderodap"/>
        </w:rPr>
        <w:footnoteReference w:id="185"/>
      </w:r>
      <w:r w:rsidRPr="003E305A">
        <w:t>. Observ</w:t>
      </w:r>
      <w:r>
        <w:t>ou</w:t>
      </w:r>
      <w:r w:rsidRPr="003E305A">
        <w:t xml:space="preserve"> um especialista que se definirmos o nacional-socialismo como a aplicação à política de critérios procedentes da biologia, então as leis eugenistas promulgadas pelos governos democráticos não foram menos hitlerianas</w:t>
      </w:r>
      <w:r w:rsidRPr="003E305A">
        <w:rPr>
          <w:rStyle w:val="Refdenotaderodap"/>
        </w:rPr>
        <w:footnoteReference w:id="186"/>
      </w:r>
      <w:r w:rsidRPr="003E305A">
        <w:t xml:space="preserve">. A afirmação de que «o nacional-socialismo não é mais do que biologia aplicada» era corrente entre os </w:t>
      </w:r>
      <w:r w:rsidR="00720329">
        <w:t>nacionais-socialistas</w:t>
      </w:r>
      <w:r w:rsidRPr="003E305A">
        <w:rPr>
          <w:rStyle w:val="Refdenotaderodap"/>
        </w:rPr>
        <w:footnoteReference w:id="187"/>
      </w:r>
      <w:r w:rsidRPr="003E305A">
        <w:t xml:space="preserve"> e </w:t>
      </w:r>
      <w:r w:rsidRPr="003E305A">
        <w:lastRenderedPageBreak/>
        <w:t>esta definição da política correspondia exactamente aos anseios do eugenismo. «A história da nossa ciência está intimamente ligada à história alemã mais recente», escrev</w:t>
      </w:r>
      <w:r>
        <w:t>eu</w:t>
      </w:r>
      <w:r w:rsidRPr="003E305A">
        <w:t xml:space="preserve"> durante o Terceiro Reich Otmar von Verschuer, um dos principais representantes do movimento eugenista, que em 1935 pass</w:t>
      </w:r>
      <w:r>
        <w:t>ara</w:t>
      </w:r>
      <w:r w:rsidRPr="003E305A">
        <w:t xml:space="preserve"> a chefiar o Instituto de Biologia Hereditária e Higiene Racial da Universidade de Frankfurt e que assumiu em 1942 o comando científico da política racial. «O chefe do império étnico alemão é o primeiro homem de Estado a recorrer aos dados da biologia hereditária e da eugenia enquanto princípio orientador da direcção do Estado»</w:t>
      </w:r>
      <w:r w:rsidRPr="003E305A">
        <w:rPr>
          <w:rStyle w:val="Refdenotaderodap"/>
        </w:rPr>
        <w:footnoteReference w:id="188"/>
      </w:r>
      <w:r w:rsidRPr="003E305A">
        <w:t xml:space="preserve">. </w:t>
      </w:r>
      <w:r w:rsidR="006478A4">
        <w:t>O mesmo disse, e quase com palavras iguais, Eugen Fischer, director do Instituto Kaiser Guilherme de Antropologia, Hereditariedade Humana e Eugenia e reitor da Universidade de Berlim: «Pela primeira vez na história mundial o Führer Adolf Hitler põe em prática as descobertas respeitantes aos fundamentos biológicos dos povos — a raça, a hereditariedade, a selecção»</w:t>
      </w:r>
      <w:r w:rsidR="006478A4">
        <w:rPr>
          <w:rStyle w:val="Refdenotaderodap"/>
        </w:rPr>
        <w:footnoteReference w:id="189"/>
      </w:r>
      <w:r w:rsidR="006478A4">
        <w:t xml:space="preserve">. </w:t>
      </w:r>
      <w:r w:rsidR="00EF3FF0">
        <w:t>Outros académicos eugenistas, como o conhecido psiquiatra Ernst Rüdin, proferiram declarações idênticas, considerando que Hitler passara à prática teorias científicas</w:t>
      </w:r>
      <w:r w:rsidR="00EF3FF0">
        <w:rPr>
          <w:rStyle w:val="Refdenotaderodap"/>
        </w:rPr>
        <w:footnoteReference w:id="190"/>
      </w:r>
      <w:r w:rsidR="00EF3FF0">
        <w:t>. Não foi sem razão que no congresso do NSDAP em Setembro de 1938 o Führer definiu o nacional-socialismo como uma «fria doutrina da realidade baseada no conhecimento científico mais incisivo [...]» e Bormann escreveu numa carta de 29 de Maio de 1941 que «só a aplicação dos conhecimentos científicos mais recentes pode evitar a fossilização dogmática da visão nacional-socialista do mundo»</w:t>
      </w:r>
      <w:r w:rsidR="00AD6EE5">
        <w:rPr>
          <w:rStyle w:val="Refdenotaderodap"/>
        </w:rPr>
        <w:footnoteReference w:id="191"/>
      </w:r>
      <w:r w:rsidR="00AD6EE5">
        <w:t xml:space="preserve">. </w:t>
      </w:r>
      <w:r w:rsidR="00EF3FF0" w:rsidRPr="003E305A">
        <w:t xml:space="preserve">O </w:t>
      </w:r>
      <w:r w:rsidRPr="003E305A">
        <w:t xml:space="preserve">facto de </w:t>
      </w:r>
      <w:r w:rsidR="0051066C">
        <w:t xml:space="preserve">quase </w:t>
      </w:r>
      <w:r w:rsidRPr="003E305A">
        <w:t xml:space="preserve">metade dos médicos do Terceiro Reich serem </w:t>
      </w:r>
      <w:r w:rsidR="00175235">
        <w:t>filiados</w:t>
      </w:r>
      <w:r w:rsidRPr="003E305A">
        <w:t xml:space="preserve"> do NSDAP</w:t>
      </w:r>
      <w:r w:rsidR="00E51DF6">
        <w:t>,</w:t>
      </w:r>
      <w:r w:rsidR="0053273C">
        <w:t xml:space="preserve"> </w:t>
      </w:r>
      <w:r w:rsidR="00E51DF6">
        <w:t xml:space="preserve">um quarto pertencer às SA </w:t>
      </w:r>
      <w:r w:rsidR="0053273C">
        <w:t>e um décimo aos SS</w:t>
      </w:r>
      <w:r w:rsidRPr="003E305A">
        <w:rPr>
          <w:rStyle w:val="Refdenotaderodap"/>
        </w:rPr>
        <w:footnoteReference w:id="192"/>
      </w:r>
      <w:r w:rsidRPr="003E305A">
        <w:t xml:space="preserve"> revela não só que Hitler dispunha de uma infra-estrutura científica suficientemente vasta para prosseguir o seu programa biológico como indica também até que ponto as preocupações eugenistas estavam difundidas entre os cientistas alemães e austríacos. </w:t>
      </w:r>
    </w:p>
    <w:p w:rsidR="00DF4B40" w:rsidRPr="003E305A" w:rsidRDefault="00DF4B40" w:rsidP="00DF4B40">
      <w:r w:rsidRPr="003E305A">
        <w:t xml:space="preserve">Já antes </w:t>
      </w:r>
      <w:r w:rsidR="001071F8">
        <w:t xml:space="preserve">de 1933 </w:t>
      </w:r>
      <w:r w:rsidRPr="003E305A">
        <w:t xml:space="preserve">a esterilização sexual dos deficientes encontrara receptividade nos meios médicos e científicos germânicos, </w:t>
      </w:r>
      <w:r w:rsidR="001071F8">
        <w:t xml:space="preserve">interessados pelo </w:t>
      </w:r>
      <w:r w:rsidRPr="003E305A">
        <w:t>exemplo norte-americano</w:t>
      </w:r>
      <w:r w:rsidRPr="003E305A">
        <w:rPr>
          <w:rStyle w:val="Refdenotaderodap"/>
        </w:rPr>
        <w:footnoteReference w:id="193"/>
      </w:r>
      <w:r w:rsidRPr="003E305A">
        <w:t xml:space="preserve">. A lei eugenista de esterilização compulsória e </w:t>
      </w:r>
      <w:r w:rsidR="00F97749">
        <w:t>massiv</w:t>
      </w:r>
      <w:r w:rsidRPr="003E305A">
        <w:t xml:space="preserve">a aprovada pelo governo nacional-socialista em </w:t>
      </w:r>
      <w:r w:rsidRPr="003E305A">
        <w:lastRenderedPageBreak/>
        <w:t>Julho de 1933 e que entrou em vigor no início do ano seguinte reproduziu os modelos legais existentes nos Estados Unidos, embora o seu âmbito fosse mais restrito, porque não visava os criminosos mas apenas quem padec</w:t>
      </w:r>
      <w:r w:rsidR="003F182B">
        <w:t>esse</w:t>
      </w:r>
      <w:r w:rsidRPr="003E305A">
        <w:t xml:space="preserve"> de doenças consideradas hereditárias. Foi a castração, não a esterilização, que segundo uma lei de Novembro de 1933 passou a ameaçar os acusados de crimes sexuais, e também aqui a influência norte-americana </w:t>
      </w:r>
      <w:r w:rsidR="003F182B">
        <w:t>foi</w:t>
      </w:r>
      <w:r w:rsidRPr="003E305A">
        <w:t xml:space="preserve"> notória</w:t>
      </w:r>
      <w:r w:rsidRPr="003E305A">
        <w:rPr>
          <w:rStyle w:val="Refdenotaderodap"/>
        </w:rPr>
        <w:footnoteReference w:id="194"/>
      </w:r>
      <w:r w:rsidRPr="003E305A">
        <w:t xml:space="preserve">. A eugenia </w:t>
      </w:r>
      <w:r w:rsidR="00E809B5">
        <w:t>nacional-socialista</w:t>
      </w:r>
      <w:r w:rsidRPr="003E305A">
        <w:t xml:space="preserve"> só se destacou das congéneres democráticas </w:t>
      </w:r>
      <w:r w:rsidR="00E809B5">
        <w:t xml:space="preserve">pelo carácter </w:t>
      </w:r>
      <w:r w:rsidRPr="003E305A">
        <w:t>centralizad</w:t>
      </w:r>
      <w:r w:rsidR="00E809B5">
        <w:t>o e sistemático</w:t>
      </w:r>
      <w:r w:rsidRPr="003E305A">
        <w:t>, o que lhe permitiu alcançar resultados mais amplos</w:t>
      </w:r>
      <w:r w:rsidR="00C948E6">
        <w:t>,</w:t>
      </w:r>
      <w:r w:rsidRPr="003E305A">
        <w:t xml:space="preserve"> </w:t>
      </w:r>
      <w:r w:rsidR="00806279">
        <w:t xml:space="preserve">mas em </w:t>
      </w:r>
      <w:r w:rsidR="00C948E6">
        <w:t xml:space="preserve">ambos </w:t>
      </w:r>
      <w:r w:rsidR="00806279">
        <w:t>os casos estava pressuposta uma mesma estrutura política, devido ao que uma historiadora denominou «a lógica tecnocrática e gestorial inerente à eugenia»</w:t>
      </w:r>
      <w:r w:rsidR="00C948E6">
        <w:rPr>
          <w:rStyle w:val="Refdenotaderodap"/>
        </w:rPr>
        <w:footnoteReference w:id="195"/>
      </w:r>
      <w:r w:rsidR="00806279">
        <w:t xml:space="preserve">. </w:t>
      </w:r>
      <w:r w:rsidRPr="003E305A">
        <w:t xml:space="preserve">Aliás, as críticas que os eugenistas </w:t>
      </w:r>
      <w:r w:rsidR="00E809B5">
        <w:t>germânicos</w:t>
      </w:r>
      <w:r w:rsidRPr="003E305A">
        <w:t xml:space="preserve"> faziam aos colegas norte-americanos diziam </w:t>
      </w:r>
      <w:r>
        <w:t xml:space="preserve">apenas </w:t>
      </w:r>
      <w:r w:rsidRPr="003E305A">
        <w:t>respeito à maneira aleatória como as leis eram aplicadas nos Estados Unidos</w:t>
      </w:r>
      <w:r w:rsidRPr="003E305A">
        <w:rPr>
          <w:rStyle w:val="Refdenotaderodap"/>
        </w:rPr>
        <w:footnoteReference w:id="196"/>
      </w:r>
      <w:r w:rsidRPr="003E305A">
        <w:t>. Neste aspecto, como em vários outros, as autoridades naciona</w:t>
      </w:r>
      <w:r w:rsidR="008B0B36">
        <w:t>l</w:t>
      </w:r>
      <w:r w:rsidRPr="003E305A">
        <w:t>-socialistas prometiam uma prática rigorosa e calcula-se que desde 1934 até aos últimos estertores do regime tivessem ordenado entre trezentas e cinquenta mil e quatrocentas mil esterilizações sexuais de deficientes mentais e físicos</w:t>
      </w:r>
      <w:r w:rsidRPr="003E305A">
        <w:rPr>
          <w:rStyle w:val="Refdenotaderodap"/>
        </w:rPr>
        <w:footnoteReference w:id="197"/>
      </w:r>
      <w:r w:rsidRPr="003E305A">
        <w:t xml:space="preserve">. Mesmo o programa de extermínio dos doentes mentais e deficientes físicos graves, que </w:t>
      </w:r>
      <w:r w:rsidR="00F9780B">
        <w:t xml:space="preserve">na totalidade do </w:t>
      </w:r>
      <w:r w:rsidR="00F9780B" w:rsidRPr="003E305A">
        <w:t xml:space="preserve">território abrangido e controlado pelo Reich </w:t>
      </w:r>
      <w:r w:rsidR="00F9780B">
        <w:t xml:space="preserve">teria </w:t>
      </w:r>
      <w:r w:rsidRPr="003E305A">
        <w:t>provoc</w:t>
      </w:r>
      <w:r w:rsidR="00F9780B">
        <w:t>ado</w:t>
      </w:r>
      <w:r w:rsidRPr="003E305A">
        <w:t xml:space="preserve"> </w:t>
      </w:r>
      <w:r w:rsidR="00F9780B">
        <w:t xml:space="preserve">várias </w:t>
      </w:r>
      <w:r w:rsidRPr="003E305A">
        <w:t>centenas de milhares de vítimas</w:t>
      </w:r>
      <w:r w:rsidR="0036298D" w:rsidRPr="003E305A">
        <w:rPr>
          <w:rStyle w:val="Refdenotaderodap"/>
        </w:rPr>
        <w:footnoteReference w:id="198"/>
      </w:r>
      <w:r w:rsidRPr="003E305A">
        <w:t>, já havia sido proposto noutros países por organizações eugenistas e por pessoas ligadas à eugenia</w:t>
      </w:r>
      <w:r w:rsidRPr="003E305A">
        <w:rPr>
          <w:rStyle w:val="Refdenotaderodap"/>
        </w:rPr>
        <w:footnoteReference w:id="199"/>
      </w:r>
      <w:r w:rsidRPr="003E305A">
        <w:t xml:space="preserve">. </w:t>
      </w:r>
    </w:p>
    <w:p w:rsidR="00DF4B40" w:rsidRPr="003E305A" w:rsidRDefault="00DF4B40" w:rsidP="00DF4B40">
      <w:r w:rsidRPr="003E305A">
        <w:t xml:space="preserve">Em 1932 Charles Davenport abandonou a presidência da Federação Internacional das Organizações Eugenistas e para lhe suceder foi eleito Ernst Rüdin, que em 1936 assumiria a </w:t>
      </w:r>
      <w:r w:rsidRPr="003E305A">
        <w:lastRenderedPageBreak/>
        <w:t>chefia do Instituto de Higiene Racial de Munique, um dos centros científicos cruciais para o programa rácico nacional-socialista</w:t>
      </w:r>
      <w:r w:rsidRPr="003E305A">
        <w:rPr>
          <w:rStyle w:val="Refdenotaderodap"/>
        </w:rPr>
        <w:footnoteReference w:id="200"/>
      </w:r>
      <w:r w:rsidRPr="003E305A">
        <w:t>. Nestas condições não espanta que os congressos eugenistas internacionais efectuados em 1934, 1935 e 1936 tivessem aprovado a política seguida pelo Terceiro Reich</w:t>
      </w:r>
      <w:r w:rsidRPr="003E305A">
        <w:rPr>
          <w:rStyle w:val="Refdenotaderodap"/>
        </w:rPr>
        <w:footnoteReference w:id="201"/>
      </w:r>
      <w:r w:rsidRPr="003E305A">
        <w:t>. Mas de todos os países estrangeiros foi sobretudo nos Estados Unidos que as medidas raciais tomadas por Hitler beneficiaram da benevolência ou até do entusiasmo dos cientistas e dos vulgarizadores activos no movimento eugenista. Mesmo aqueles eugenistas norte-americanos que se opunham ao anti-semitismo de Hitler lhe elogia</w:t>
      </w:r>
      <w:r w:rsidR="0093000A">
        <w:t>r</w:t>
      </w:r>
      <w:r w:rsidRPr="003E305A">
        <w:t xml:space="preserve">am as disposições de esterilização compulsória. Já em 1932, quando </w:t>
      </w:r>
      <w:r w:rsidR="00C832CE">
        <w:t xml:space="preserve">era previsível </w:t>
      </w:r>
      <w:r w:rsidRPr="003E305A">
        <w:t xml:space="preserve">a tomada iminente do poder pelo partido </w:t>
      </w:r>
      <w:r w:rsidR="0093000A">
        <w:t>nacional-socialista</w:t>
      </w:r>
      <w:r w:rsidRPr="003E305A">
        <w:t xml:space="preserve">, o </w:t>
      </w:r>
      <w:r w:rsidRPr="003E305A">
        <w:rPr>
          <w:i/>
        </w:rPr>
        <w:t>Eugenical News,</w:t>
      </w:r>
      <w:r w:rsidRPr="003E305A">
        <w:t xml:space="preserve"> verdadeiro órgão oficial do movimento eugenista norte-americano, publicara dois artigos de louvor ao programa racial de Hitler. E a partir de 1933 Laughlin assegurou que o Eugenics Record Office, a Eugenics Research Association e o </w:t>
      </w:r>
      <w:r w:rsidRPr="003E305A">
        <w:rPr>
          <w:i/>
        </w:rPr>
        <w:t>Eugenical News</w:t>
      </w:r>
      <w:r w:rsidRPr="003E305A">
        <w:t xml:space="preserve"> mantivessem um apoio indefectível às medidas eugenistas e raciais implementadas no Terceiro Reich. De então em diante não houve ano nenhum em que as sociedades eugenistas dos Estados Unidos, o </w:t>
      </w:r>
      <w:r w:rsidRPr="003E305A">
        <w:rPr>
          <w:i/>
        </w:rPr>
        <w:t>Eugenical News</w:t>
      </w:r>
      <w:r w:rsidRPr="003E305A">
        <w:t xml:space="preserve"> e outras publicações científicas influenciadas pelos eugenistas deixassem de proceder à apologia do nacional-socialismo enquanto aplicação da doutrina eugenista. Só com a entrada dos Estados Unidos na guerra, em Dezembro de 1941, é que os aplausos públicos cessaram, embora com relutância, e em 1943 o </w:t>
      </w:r>
      <w:r w:rsidRPr="003E305A">
        <w:rPr>
          <w:i/>
        </w:rPr>
        <w:t>Eugenical News</w:t>
      </w:r>
      <w:r w:rsidRPr="003E305A">
        <w:t xml:space="preserve"> começou a publicar também artigos críticos do </w:t>
      </w:r>
      <w:r w:rsidR="0093000A">
        <w:t>nacional-socialismo</w:t>
      </w:r>
      <w:r w:rsidRPr="003E305A">
        <w:rPr>
          <w:rStyle w:val="Refdenotaderodap"/>
        </w:rPr>
        <w:footnoteReference w:id="202"/>
      </w:r>
      <w:r w:rsidRPr="003E305A">
        <w:t xml:space="preserve">. </w:t>
      </w:r>
    </w:p>
    <w:p w:rsidR="00DF4B40" w:rsidRPr="003E305A" w:rsidRDefault="00DF4B40" w:rsidP="00DF4B40">
      <w:r w:rsidRPr="003E305A">
        <w:t xml:space="preserve">Neste contexto apercebemo-nos de que não foi devido a qualquer crueldade gratuita, mas para prosseguirem certos debates teóricos e certas pesquisas práticas em curso entre os eugenistas, que </w:t>
      </w:r>
      <w:r w:rsidR="00FB7010">
        <w:t xml:space="preserve">cerca de trezentos e cinquenta médicos e professores universitários </w:t>
      </w:r>
      <w:r w:rsidR="007F256A">
        <w:t>nacional-socialistas</w:t>
      </w:r>
      <w:r w:rsidR="007A37F6">
        <w:t>,</w:t>
      </w:r>
      <w:r w:rsidRPr="003E305A">
        <w:t xml:space="preserve"> </w:t>
      </w:r>
      <w:r w:rsidR="007A37F6">
        <w:t>alguns ligados a</w:t>
      </w:r>
      <w:r w:rsidR="00307602">
        <w:t>os</w:t>
      </w:r>
      <w:r w:rsidR="007A37F6">
        <w:t xml:space="preserve"> </w:t>
      </w:r>
      <w:r w:rsidR="00307602">
        <w:t xml:space="preserve">mais </w:t>
      </w:r>
      <w:r w:rsidR="007A37F6">
        <w:t xml:space="preserve">prestigiados institutos científicos, </w:t>
      </w:r>
      <w:r w:rsidRPr="003E305A">
        <w:t xml:space="preserve">martirizaram </w:t>
      </w:r>
      <w:r w:rsidR="00FB7010">
        <w:t xml:space="preserve">em </w:t>
      </w:r>
      <w:r w:rsidRPr="003E305A">
        <w:t>laboratórios os internados nos campos de concentração</w:t>
      </w:r>
      <w:r w:rsidR="008E02DF">
        <w:t xml:space="preserve"> ou os doentes destinados a ser liquidados</w:t>
      </w:r>
      <w:r w:rsidRPr="003E305A">
        <w:rPr>
          <w:rStyle w:val="Refdenotaderodap"/>
        </w:rPr>
        <w:footnoteReference w:id="203"/>
      </w:r>
      <w:r w:rsidR="007A37F6">
        <w:t>.</w:t>
      </w:r>
      <w:r w:rsidRPr="003E305A">
        <w:t xml:space="preserve"> </w:t>
      </w:r>
      <w:r w:rsidR="007A37F6" w:rsidRPr="003E305A">
        <w:t xml:space="preserve">Se </w:t>
      </w:r>
      <w:r w:rsidRPr="003E305A">
        <w:t xml:space="preserve">esta abominação serve para alguma coisa é para caracterizar a própria eugenia. O facto que mais nos choca nas experiências </w:t>
      </w:r>
      <w:r w:rsidR="007F256A">
        <w:t>daquel</w:t>
      </w:r>
      <w:r w:rsidR="004305F8">
        <w:t>e</w:t>
      </w:r>
      <w:r w:rsidR="007F256A">
        <w:t>s</w:t>
      </w:r>
      <w:r w:rsidRPr="003E305A">
        <w:t xml:space="preserve"> médicos</w:t>
      </w:r>
      <w:r w:rsidR="007F256A">
        <w:t xml:space="preserve"> </w:t>
      </w:r>
      <w:r w:rsidR="003D36A4">
        <w:t>—</w:t>
      </w:r>
      <w:r w:rsidRPr="003E305A">
        <w:t xml:space="preserve"> que uma profissão </w:t>
      </w:r>
      <w:r w:rsidRPr="003E305A">
        <w:lastRenderedPageBreak/>
        <w:t xml:space="preserve">cujo objectivo é curar em vez disso torture e mate, e que se usem as informações adquiridas profissionalmente para vitimar os pacientes </w:t>
      </w:r>
      <w:r w:rsidR="003D36A4">
        <w:t>—</w:t>
      </w:r>
      <w:r w:rsidRPr="003E305A">
        <w:t xml:space="preserve"> assinalara já a campanha promovida pelo emérito oftalmologista norte-americano Lucien Howe e pelos seus colegas para segregar ou esterilizar sexualmente as pessoas com problemas de visão e todos os membros das suas famílias</w:t>
      </w:r>
      <w:r w:rsidRPr="003E305A">
        <w:rPr>
          <w:rStyle w:val="Refdenotaderodap"/>
        </w:rPr>
        <w:footnoteReference w:id="204"/>
      </w:r>
      <w:r w:rsidRPr="003E305A">
        <w:t xml:space="preserve">, e em diversos países democráticos, mesmo antes de as leis o permitirem, era uma prática bastante frequente entre médicos de </w:t>
      </w:r>
      <w:r w:rsidR="007F256A">
        <w:t>prisões</w:t>
      </w:r>
      <w:r w:rsidRPr="003E305A">
        <w:t xml:space="preserve"> e de estabelecimentos para doentes mentais esterilizar ou castrar pessoas cuja saúde lhes fora confiada</w:t>
      </w:r>
      <w:r w:rsidRPr="003E305A">
        <w:rPr>
          <w:rStyle w:val="Refdenotaderodap"/>
        </w:rPr>
        <w:footnoteReference w:id="205"/>
      </w:r>
      <w:r w:rsidRPr="003E305A">
        <w:t xml:space="preserve">. Os médicos eugenistas tinham um duplo ponto de vista, consoante consideravam o paciente como um elemento da elite biológica ou um elemento inferior, e foi esta dualidade que justificou as experiências médicas nos campos de concentração. Tal como escreveu von Verschuer em 1934, os médicos deviam considerar os pacientes não como indivíduos mas como </w:t>
      </w:r>
      <w:r w:rsidR="00775D12">
        <w:t>componentes</w:t>
      </w:r>
      <w:r w:rsidRPr="003E305A">
        <w:t xml:space="preserve"> de um conjunto racial</w:t>
      </w:r>
      <w:r w:rsidRPr="003E305A">
        <w:rPr>
          <w:rStyle w:val="Refdenotaderodap"/>
        </w:rPr>
        <w:footnoteReference w:id="206"/>
      </w:r>
      <w:r w:rsidR="00856CE1">
        <w:t>,</w:t>
      </w:r>
      <w:r w:rsidRPr="003E305A">
        <w:t xml:space="preserve"> </w:t>
      </w:r>
      <w:r w:rsidR="00856CE1">
        <w:t xml:space="preserve">o que explica que em </w:t>
      </w:r>
      <w:r w:rsidR="00856CE1" w:rsidRPr="001E4E54">
        <w:rPr>
          <w:iCs/>
        </w:rPr>
        <w:t xml:space="preserve">Maio de 1942 </w:t>
      </w:r>
      <w:r w:rsidR="00856CE1">
        <w:rPr>
          <w:iCs/>
        </w:rPr>
        <w:t xml:space="preserve">Hitler se </w:t>
      </w:r>
      <w:r w:rsidR="00856CE1" w:rsidRPr="001E4E54">
        <w:rPr>
          <w:iCs/>
        </w:rPr>
        <w:t>mostr</w:t>
      </w:r>
      <w:r w:rsidR="00856CE1">
        <w:rPr>
          <w:iCs/>
        </w:rPr>
        <w:t>as</w:t>
      </w:r>
      <w:r w:rsidR="00856CE1" w:rsidRPr="001E4E54">
        <w:rPr>
          <w:iCs/>
        </w:rPr>
        <w:t>se inclinado a conceder a Himmler a supervisão da pesquisa médica</w:t>
      </w:r>
      <w:r w:rsidR="00856CE1">
        <w:rPr>
          <w:rStyle w:val="Refdenotaderodap"/>
          <w:iCs/>
        </w:rPr>
        <w:footnoteReference w:id="207"/>
      </w:r>
      <w:r w:rsidR="00856CE1">
        <w:rPr>
          <w:iCs/>
        </w:rPr>
        <w:t>.</w:t>
      </w:r>
      <w:r w:rsidR="00856CE1">
        <w:t xml:space="preserve"> Se os SS eram a instituição por excelência da política racial, então deveria caber-lhes </w:t>
      </w:r>
      <w:r w:rsidR="00764D66">
        <w:t>a última palavra n</w:t>
      </w:r>
      <w:r w:rsidR="00856CE1">
        <w:t xml:space="preserve">a ciência biológica. </w:t>
      </w:r>
      <w:r w:rsidRPr="003E305A">
        <w:t xml:space="preserve">Hitler e os seus adeptos realizaram de maneira consequente aquilo que os eugenistas entendiam como a ciência da purificação racial. </w:t>
      </w:r>
    </w:p>
    <w:p w:rsidR="00F21840" w:rsidRPr="00DF4B40" w:rsidRDefault="00DF4B40" w:rsidP="00DF4B40">
      <w:r w:rsidRPr="003E305A">
        <w:t xml:space="preserve">Perante a enormidade </w:t>
      </w:r>
      <w:r w:rsidR="003B072E">
        <w:t>destes</w:t>
      </w:r>
      <w:r w:rsidRPr="003E305A">
        <w:t xml:space="preserve"> factos, que a ciência contemporânea expurga pudicamente do seu passado, devemos </w:t>
      </w:r>
      <w:r>
        <w:t xml:space="preserve">lembrar </w:t>
      </w:r>
      <w:r w:rsidRPr="003E305A">
        <w:t xml:space="preserve">que a eugenia </w:t>
      </w:r>
      <w:r w:rsidR="003B072E">
        <w:t xml:space="preserve">nunca </w:t>
      </w:r>
      <w:r w:rsidRPr="003E305A">
        <w:t>pretende</w:t>
      </w:r>
      <w:r w:rsidR="003B072E">
        <w:t>u</w:t>
      </w:r>
      <w:r w:rsidRPr="003E305A">
        <w:t xml:space="preserve"> ultrapassar o estrito quadro do racionalismo. Não é uma das menores lições desta história de horrores que a razão científica não tivesse erguido um obstáculo intransponível ao mais completo irracionalismo. </w:t>
      </w:r>
    </w:p>
    <w:sectPr w:rsidR="00F21840" w:rsidRPr="00DF4B40" w:rsidSect="001C4B9F">
      <w:footerReference w:type="even" r:id="rId7"/>
      <w:footerReference w:type="default" r:id="rId8"/>
      <w:pgSz w:w="11906" w:h="16838"/>
      <w:pgMar w:top="1417" w:right="1701" w:bottom="1417" w:left="1701" w:header="709" w:footer="709" w:gutter="0"/>
      <w:pgNumType w:start="82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963" w:rsidRDefault="00CF3963" w:rsidP="00DF4B40">
      <w:pPr>
        <w:spacing w:line="240" w:lineRule="auto"/>
      </w:pPr>
      <w:r>
        <w:separator/>
      </w:r>
    </w:p>
  </w:endnote>
  <w:endnote w:type="continuationSeparator" w:id="0">
    <w:p w:rsidR="00CF3963" w:rsidRDefault="00CF3963" w:rsidP="00DF4B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D8D" w:rsidRDefault="006A1DB2" w:rsidP="00213D8D">
    <w:pPr>
      <w:pStyle w:val="Rodap"/>
      <w:framePr w:wrap="around" w:vAnchor="text" w:hAnchor="margin" w:xAlign="center" w:y="1"/>
      <w:rPr>
        <w:rStyle w:val="Nmerodepgina"/>
      </w:rPr>
    </w:pPr>
    <w:r>
      <w:rPr>
        <w:rStyle w:val="Nmerodepgina"/>
      </w:rPr>
      <w:fldChar w:fldCharType="begin"/>
    </w:r>
    <w:r w:rsidR="00213D8D">
      <w:rPr>
        <w:rStyle w:val="Nmerodepgina"/>
      </w:rPr>
      <w:instrText xml:space="preserve">PAGE  </w:instrText>
    </w:r>
    <w:r>
      <w:rPr>
        <w:rStyle w:val="Nmerodepgina"/>
      </w:rPr>
      <w:fldChar w:fldCharType="end"/>
    </w:r>
  </w:p>
  <w:p w:rsidR="00213D8D" w:rsidRDefault="00213D8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D8D" w:rsidRPr="00127173" w:rsidRDefault="006A1DB2" w:rsidP="00213D8D">
    <w:pPr>
      <w:pStyle w:val="Rodap"/>
      <w:framePr w:wrap="around" w:vAnchor="text" w:hAnchor="margin" w:xAlign="center" w:y="1"/>
      <w:ind w:firstLine="0"/>
      <w:rPr>
        <w:rStyle w:val="Nmerodepgina"/>
        <w:rFonts w:ascii="Arial Narrow" w:hAnsi="Arial Narrow"/>
        <w:i/>
      </w:rPr>
    </w:pPr>
    <w:r w:rsidRPr="00127173">
      <w:rPr>
        <w:rStyle w:val="Nmerodepgina"/>
        <w:rFonts w:ascii="Arial Narrow" w:hAnsi="Arial Narrow"/>
        <w:i/>
      </w:rPr>
      <w:fldChar w:fldCharType="begin"/>
    </w:r>
    <w:r w:rsidR="00213D8D" w:rsidRPr="00127173">
      <w:rPr>
        <w:rStyle w:val="Nmerodepgina"/>
        <w:rFonts w:ascii="Arial Narrow" w:hAnsi="Arial Narrow"/>
        <w:i/>
      </w:rPr>
      <w:instrText xml:space="preserve">PAGE  </w:instrText>
    </w:r>
    <w:r w:rsidRPr="00127173">
      <w:rPr>
        <w:rStyle w:val="Nmerodepgina"/>
        <w:rFonts w:ascii="Arial Narrow" w:hAnsi="Arial Narrow"/>
        <w:i/>
      </w:rPr>
      <w:fldChar w:fldCharType="separate"/>
    </w:r>
    <w:r w:rsidR="00154EC3">
      <w:rPr>
        <w:rStyle w:val="Nmerodepgina"/>
        <w:rFonts w:ascii="Arial Narrow" w:hAnsi="Arial Narrow"/>
        <w:i/>
        <w:noProof/>
      </w:rPr>
      <w:t>852</w:t>
    </w:r>
    <w:r w:rsidRPr="00127173">
      <w:rPr>
        <w:rStyle w:val="Nmerodepgina"/>
        <w:rFonts w:ascii="Arial Narrow" w:hAnsi="Arial Narrow"/>
        <w:i/>
      </w:rPr>
      <w:fldChar w:fldCharType="end"/>
    </w:r>
  </w:p>
  <w:p w:rsidR="00213D8D" w:rsidRDefault="00213D8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963" w:rsidRDefault="00CF3963" w:rsidP="00DF4B40">
      <w:pPr>
        <w:spacing w:line="240" w:lineRule="auto"/>
        <w:ind w:firstLine="0"/>
      </w:pPr>
      <w:r>
        <w:separator/>
      </w:r>
    </w:p>
  </w:footnote>
  <w:footnote w:type="continuationSeparator" w:id="0">
    <w:p w:rsidR="00CF3963" w:rsidRDefault="00CF3963" w:rsidP="00DF4B40">
      <w:pPr>
        <w:spacing w:line="240" w:lineRule="auto"/>
        <w:ind w:firstLine="0"/>
      </w:pPr>
      <w:r>
        <w:continuationSeparator/>
      </w:r>
    </w:p>
  </w:footnote>
  <w:footnote w:id="1">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Para a noção de totalidade orgânica em Herder ver F. M. Barnard (1965) 31, 35-40, 44-50 e 144. Acessoriamente consultar R. Aris (1965) 239</w:t>
      </w:r>
      <w:r w:rsidR="00B3721C">
        <w:rPr>
          <w:rFonts w:ascii="Arial Narrow" w:hAnsi="Arial Narrow"/>
        </w:rPr>
        <w:t>,</w:t>
      </w:r>
      <w:r w:rsidR="00532EC7">
        <w:rPr>
          <w:rFonts w:ascii="Arial Narrow" w:hAnsi="Arial Narrow"/>
        </w:rPr>
        <w:t xml:space="preserve"> </w:t>
      </w:r>
      <w:r>
        <w:rPr>
          <w:rFonts w:ascii="Arial Narrow" w:hAnsi="Arial Narrow"/>
        </w:rPr>
        <w:t>R. D’O. Butler (1943) 29</w:t>
      </w:r>
      <w:r w:rsidR="008F302A">
        <w:rPr>
          <w:rFonts w:ascii="Arial Narrow" w:hAnsi="Arial Narrow"/>
        </w:rPr>
        <w:t xml:space="preserve">, </w:t>
      </w:r>
      <w:r w:rsidR="008F302A" w:rsidRPr="00B37A99">
        <w:rPr>
          <w:rFonts w:ascii="Arial Narrow" w:hAnsi="Arial Narrow"/>
        </w:rPr>
        <w:t>A. Quinchon-Caudal (2013) 14</w:t>
      </w:r>
      <w:r w:rsidR="00B3721C">
        <w:rPr>
          <w:rFonts w:ascii="Arial Narrow" w:hAnsi="Arial Narrow"/>
        </w:rPr>
        <w:t xml:space="preserve"> e </w:t>
      </w:r>
      <w:r w:rsidR="00B3721C" w:rsidRPr="00B3721C">
        <w:rPr>
          <w:rFonts w:ascii="Arial Narrow" w:hAnsi="Arial Narrow"/>
        </w:rPr>
        <w:t>K</w:t>
      </w:r>
      <w:r w:rsidR="000E32A3">
        <w:rPr>
          <w:rFonts w:ascii="Arial Narrow" w:hAnsi="Arial Narrow"/>
        </w:rPr>
        <w:t>.</w:t>
      </w:r>
      <w:r w:rsidR="00B3721C" w:rsidRPr="00B3721C">
        <w:rPr>
          <w:rFonts w:ascii="Arial Narrow" w:hAnsi="Arial Narrow"/>
        </w:rPr>
        <w:t xml:space="preserve"> A. Schleunes (1990)</w:t>
      </w:r>
      <w:r w:rsidR="00B3721C">
        <w:rPr>
          <w:rFonts w:ascii="Arial Narrow" w:hAnsi="Arial Narrow"/>
        </w:rPr>
        <w:t xml:space="preserve"> 15-16</w:t>
      </w:r>
      <w:r w:rsidRPr="003E305A">
        <w:rPr>
          <w:rFonts w:ascii="Arial Narrow" w:hAnsi="Arial Narrow"/>
        </w:rPr>
        <w:t>.</w:t>
      </w:r>
    </w:p>
  </w:footnote>
  <w:footnote w:id="2">
    <w:p w:rsidR="00213D8D" w:rsidRPr="00F313BB" w:rsidRDefault="00213D8D" w:rsidP="00DF4B40">
      <w:pPr>
        <w:pStyle w:val="Textodenotaderodap"/>
        <w:ind w:firstLine="708"/>
        <w:rPr>
          <w:rFonts w:ascii="Arial Narrow" w:hAnsi="Arial Narrow"/>
          <w:lang w:val="en-US"/>
        </w:rPr>
      </w:pPr>
      <w:r w:rsidRPr="003E305A">
        <w:rPr>
          <w:rStyle w:val="Refdenotaderodap"/>
          <w:rFonts w:ascii="Arial Narrow" w:hAnsi="Arial Narrow"/>
        </w:rPr>
        <w:footnoteRef/>
      </w:r>
      <w:r w:rsidRPr="00F313BB">
        <w:rPr>
          <w:rFonts w:ascii="Arial Narrow" w:hAnsi="Arial Narrow"/>
          <w:lang w:val="en-US"/>
        </w:rPr>
        <w:t xml:space="preserve"> R. Aris (1965) 242; F. M. Barnard (1965) 30, 55-59, 62, 117; R. D’O. Butler (1943) 28; </w:t>
      </w:r>
      <w:r w:rsidR="00F313BB" w:rsidRPr="00F313BB">
        <w:rPr>
          <w:rFonts w:ascii="Arial Narrow" w:hAnsi="Arial Narrow"/>
          <w:lang w:val="en-US"/>
        </w:rPr>
        <w:t>K</w:t>
      </w:r>
      <w:r w:rsidR="000E32A3">
        <w:rPr>
          <w:rFonts w:ascii="Arial Narrow" w:hAnsi="Arial Narrow"/>
          <w:lang w:val="en-US"/>
        </w:rPr>
        <w:t>.</w:t>
      </w:r>
      <w:r w:rsidR="00F313BB" w:rsidRPr="00F313BB">
        <w:rPr>
          <w:rFonts w:ascii="Arial Narrow" w:hAnsi="Arial Narrow"/>
          <w:lang w:val="en-US"/>
        </w:rPr>
        <w:t xml:space="preserve"> A. Schleunes (1990) </w:t>
      </w:r>
      <w:r w:rsidR="00F313BB">
        <w:rPr>
          <w:rFonts w:ascii="Arial Narrow" w:hAnsi="Arial Narrow"/>
          <w:lang w:val="en-US"/>
        </w:rPr>
        <w:t xml:space="preserve">16; </w:t>
      </w:r>
      <w:r w:rsidRPr="00F313BB">
        <w:rPr>
          <w:rFonts w:ascii="Arial Narrow" w:hAnsi="Arial Narrow"/>
          <w:lang w:val="en-US"/>
        </w:rPr>
        <w:t>P. Watson (2011) 124-125.</w:t>
      </w:r>
    </w:p>
  </w:footnote>
  <w:footnote w:id="3">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F. M. Barnard (1965) 56 e 57.</w:t>
      </w:r>
    </w:p>
  </w:footnote>
  <w:footnote w:id="4">
    <w:p w:rsidR="00213D8D" w:rsidRPr="00DF4B40" w:rsidRDefault="00213D8D" w:rsidP="00DF4B40">
      <w:pPr>
        <w:pStyle w:val="Textodenotaderodap"/>
        <w:ind w:firstLine="708"/>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Id., ibid., 70, 117.</w:t>
      </w:r>
    </w:p>
  </w:footnote>
  <w:footnote w:id="5">
    <w:p w:rsidR="00213D8D" w:rsidRPr="00DF4B40" w:rsidRDefault="00213D8D" w:rsidP="00DF4B40">
      <w:pPr>
        <w:pStyle w:val="Textodenotaderodap"/>
        <w:ind w:firstLine="708"/>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Id., ibid., xviii.</w:t>
      </w:r>
    </w:p>
  </w:footnote>
  <w:footnote w:id="6">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38-39.</w:t>
      </w:r>
    </w:p>
  </w:footnote>
  <w:footnote w:id="7">
    <w:p w:rsidR="00213D8D" w:rsidRPr="00A42F1A" w:rsidRDefault="00213D8D" w:rsidP="00DF4B40">
      <w:pPr>
        <w:pStyle w:val="Textodenotaderodap"/>
        <w:rPr>
          <w:rFonts w:ascii="Arial Narrow" w:hAnsi="Arial Narrow"/>
        </w:rPr>
      </w:pPr>
      <w:r w:rsidRPr="00A42F1A">
        <w:rPr>
          <w:rStyle w:val="Refdenotaderodap"/>
          <w:rFonts w:ascii="Arial Narrow" w:hAnsi="Arial Narrow"/>
        </w:rPr>
        <w:footnoteRef/>
      </w:r>
      <w:r w:rsidRPr="00A42F1A">
        <w:rPr>
          <w:rFonts w:ascii="Arial Narrow" w:hAnsi="Arial Narrow"/>
        </w:rPr>
        <w:t xml:space="preserve"> </w:t>
      </w:r>
      <w:r w:rsidRPr="008E2B91">
        <w:rPr>
          <w:rFonts w:ascii="Arial Narrow" w:hAnsi="Arial Narrow"/>
          <w:lang w:val="es-ES"/>
        </w:rPr>
        <w:t>A</w:t>
      </w:r>
      <w:r>
        <w:rPr>
          <w:rFonts w:ascii="Arial Narrow" w:hAnsi="Arial Narrow"/>
          <w:lang w:val="es-ES"/>
        </w:rPr>
        <w:t xml:space="preserve">. </w:t>
      </w:r>
      <w:r w:rsidRPr="008E2B91">
        <w:rPr>
          <w:rFonts w:ascii="Arial Narrow" w:hAnsi="Arial Narrow"/>
          <w:lang w:val="es-ES"/>
        </w:rPr>
        <w:t>Faivre (2002)</w:t>
      </w:r>
      <w:r>
        <w:rPr>
          <w:rFonts w:ascii="Arial Narrow" w:hAnsi="Arial Narrow"/>
          <w:lang w:val="es-ES"/>
        </w:rPr>
        <w:t xml:space="preserve"> </w:t>
      </w:r>
      <w:r w:rsidRPr="008E2B91">
        <w:rPr>
          <w:rFonts w:ascii="Arial Narrow" w:hAnsi="Arial Narrow"/>
          <w:lang w:val="fr-FR"/>
        </w:rPr>
        <w:t>29</w:t>
      </w:r>
      <w:r>
        <w:rPr>
          <w:rFonts w:ascii="Arial Narrow" w:hAnsi="Arial Narrow"/>
          <w:lang w:val="fr-FR"/>
        </w:rPr>
        <w:t>.</w:t>
      </w:r>
    </w:p>
  </w:footnote>
  <w:footnote w:id="8">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A42F1A">
        <w:rPr>
          <w:rFonts w:ascii="Arial Narrow" w:hAnsi="Arial Narrow"/>
        </w:rPr>
        <w:t xml:space="preserve">F. M. Barnard (1965) </w:t>
      </w:r>
      <w:r w:rsidRPr="003E305A">
        <w:rPr>
          <w:rFonts w:ascii="Arial Narrow" w:hAnsi="Arial Narrow"/>
        </w:rPr>
        <w:t>43-44, 46.</w:t>
      </w:r>
    </w:p>
  </w:footnote>
  <w:footnote w:id="9">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Ver por exemplo L. Poliakov (1971) 113 acerca do carácter racial das teses de Herder. F. M. Barnard (1965) 57 pretende</w:t>
      </w:r>
      <w:r>
        <w:rPr>
          <w:rFonts w:ascii="Arial Narrow" w:hAnsi="Arial Narrow"/>
        </w:rPr>
        <w:t>u</w:t>
      </w:r>
      <w:r w:rsidRPr="003E305A">
        <w:rPr>
          <w:rFonts w:ascii="Arial Narrow" w:hAnsi="Arial Narrow"/>
        </w:rPr>
        <w:t xml:space="preserve"> que a comunidade linguística constituía uma «qualidade essencialmente espiritual» do </w:t>
      </w:r>
      <w:r w:rsidRPr="003E305A">
        <w:rPr>
          <w:rFonts w:ascii="Arial Narrow" w:hAnsi="Arial Narrow"/>
          <w:i/>
        </w:rPr>
        <w:t>Volk</w:t>
      </w:r>
      <w:r w:rsidRPr="003E305A">
        <w:rPr>
          <w:rFonts w:ascii="Arial Narrow" w:hAnsi="Arial Narrow"/>
        </w:rPr>
        <w:t xml:space="preserve"> e na pág. 70 insist</w:t>
      </w:r>
      <w:r>
        <w:rPr>
          <w:rFonts w:ascii="Arial Narrow" w:hAnsi="Arial Narrow"/>
        </w:rPr>
        <w:t>iu</w:t>
      </w:r>
      <w:r w:rsidRPr="003E305A">
        <w:rPr>
          <w:rFonts w:ascii="Arial Narrow" w:hAnsi="Arial Narrow"/>
        </w:rPr>
        <w:t xml:space="preserve"> que «o </w:t>
      </w:r>
      <w:r w:rsidRPr="003E305A">
        <w:rPr>
          <w:rFonts w:ascii="Arial Narrow" w:hAnsi="Arial Narrow"/>
          <w:i/>
        </w:rPr>
        <w:t>Volk</w:t>
      </w:r>
      <w:r w:rsidRPr="003E305A">
        <w:rPr>
          <w:rFonts w:ascii="Arial Narrow" w:hAnsi="Arial Narrow"/>
        </w:rPr>
        <w:t xml:space="preserve"> era concebido como uma comunidade étnica e não como uma comunidade racial». No mesmo sentido ver as págs. 117 e 144. Mas se este autor afirm</w:t>
      </w:r>
      <w:r>
        <w:rPr>
          <w:rFonts w:ascii="Arial Narrow" w:hAnsi="Arial Narrow"/>
        </w:rPr>
        <w:t>ou</w:t>
      </w:r>
      <w:r w:rsidRPr="003E305A">
        <w:rPr>
          <w:rFonts w:ascii="Arial Narrow" w:hAnsi="Arial Narrow"/>
        </w:rPr>
        <w:t xml:space="preserve"> (pág. 40) que Herder «se recusa a considerar as características fisiológicas e as psicológicas como entidades distintas», como p</w:t>
      </w:r>
      <w:r>
        <w:rPr>
          <w:rFonts w:ascii="Arial Narrow" w:hAnsi="Arial Narrow"/>
        </w:rPr>
        <w:t>ô</w:t>
      </w:r>
      <w:r w:rsidRPr="003E305A">
        <w:rPr>
          <w:rFonts w:ascii="Arial Narrow" w:hAnsi="Arial Narrow"/>
        </w:rPr>
        <w:t>de atribuir um carácter «essencialmente espiritual» à língua comum de um povo? Herder não precisava de sublinhar o aspecto físico da comunidade de pensamento implícito na comunidade de linguagem porque es</w:t>
      </w:r>
      <w:r>
        <w:rPr>
          <w:rFonts w:ascii="Arial Narrow" w:hAnsi="Arial Narrow"/>
        </w:rPr>
        <w:t>t</w:t>
      </w:r>
      <w:r w:rsidRPr="003E305A">
        <w:rPr>
          <w:rFonts w:ascii="Arial Narrow" w:hAnsi="Arial Narrow"/>
        </w:rPr>
        <w:t>e era para ele um pressuposto, definido no modelo geral da totalidade orgânica.</w:t>
      </w:r>
    </w:p>
  </w:footnote>
  <w:footnote w:id="10">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Referindo-se de maneira lata à filosofia romântica alemã, L. Poliakov (1971) 245 observ</w:t>
      </w:r>
      <w:r>
        <w:rPr>
          <w:rFonts w:ascii="Arial Narrow" w:hAnsi="Arial Narrow"/>
        </w:rPr>
        <w:t>ou</w:t>
      </w:r>
      <w:r w:rsidRPr="003E305A">
        <w:rPr>
          <w:rFonts w:ascii="Arial Narrow" w:hAnsi="Arial Narrow"/>
        </w:rPr>
        <w:t xml:space="preserve"> que ela abordava pelo lado do espírito as relações entre o físico e o espiritual, de maneira que os fenómenos naturais eram vistos como símbolo ou expressão da ideia.</w:t>
      </w:r>
    </w:p>
  </w:footnote>
  <w:footnote w:id="11">
    <w:p w:rsidR="00213D8D" w:rsidRPr="00584DFC" w:rsidRDefault="00213D8D" w:rsidP="00DF4B40">
      <w:pPr>
        <w:pStyle w:val="Textodenotaderodap"/>
        <w:rPr>
          <w:rFonts w:ascii="Arial Narrow" w:hAnsi="Arial Narrow"/>
        </w:rPr>
      </w:pPr>
      <w:r w:rsidRPr="003E305A">
        <w:rPr>
          <w:rStyle w:val="Refdenotaderodap"/>
          <w:rFonts w:ascii="Arial Narrow" w:hAnsi="Arial Narrow"/>
        </w:rPr>
        <w:footnoteRef/>
      </w:r>
      <w:r w:rsidRPr="00584DFC">
        <w:rPr>
          <w:rFonts w:ascii="Arial Narrow" w:hAnsi="Arial Narrow"/>
        </w:rPr>
        <w:t xml:space="preserve"> J. Droz (1966) 37. Por seu lado, R. </w:t>
      </w:r>
      <w:r>
        <w:rPr>
          <w:rFonts w:ascii="Arial Narrow" w:hAnsi="Arial Narrow"/>
        </w:rPr>
        <w:t>D’O. Butler (1943) 29 escreveu que «Herder insistia com especial ênfase neste aspecto biológico» da nação.</w:t>
      </w:r>
    </w:p>
  </w:footnote>
  <w:footnote w:id="12">
    <w:p w:rsidR="00213D8D" w:rsidRPr="00584DFC"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584DFC">
        <w:rPr>
          <w:rFonts w:ascii="Arial Narrow" w:hAnsi="Arial Narrow"/>
          <w:lang w:val="en-US"/>
        </w:rPr>
        <w:t xml:space="preserve"> R. D’O. Butler (1943) 29</w:t>
      </w:r>
      <w:r>
        <w:rPr>
          <w:rFonts w:ascii="Arial Narrow" w:hAnsi="Arial Narrow"/>
          <w:lang w:val="en-US"/>
        </w:rPr>
        <w:t>;</w:t>
      </w:r>
      <w:r w:rsidRPr="00584DFC">
        <w:rPr>
          <w:rFonts w:ascii="Arial Narrow" w:hAnsi="Arial Narrow"/>
          <w:lang w:val="en-US"/>
        </w:rPr>
        <w:t xml:space="preserve"> J. Droz (1966) 193</w:t>
      </w:r>
      <w:r>
        <w:rPr>
          <w:rFonts w:ascii="Arial Narrow" w:hAnsi="Arial Narrow"/>
          <w:lang w:val="en-US"/>
        </w:rPr>
        <w:t>; P. Watson (2011) 126</w:t>
      </w:r>
      <w:r w:rsidRPr="00584DFC">
        <w:rPr>
          <w:rFonts w:ascii="Arial Narrow" w:hAnsi="Arial Narrow"/>
          <w:lang w:val="en-US"/>
        </w:rPr>
        <w:t>.</w:t>
      </w:r>
    </w:p>
  </w:footnote>
  <w:footnote w:id="13">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A7461F">
        <w:rPr>
          <w:rFonts w:ascii="Arial Narrow" w:hAnsi="Arial Narrow"/>
          <w:lang w:val="en-US"/>
        </w:rPr>
        <w:t xml:space="preserve"> R. Aris (1965) 241; R. D’O. Butler (1943) </w:t>
      </w:r>
      <w:r>
        <w:rPr>
          <w:rFonts w:ascii="Arial Narrow" w:hAnsi="Arial Narrow"/>
          <w:lang w:val="en-US"/>
        </w:rPr>
        <w:t>32-33;</w:t>
      </w:r>
      <w:r w:rsidRPr="00A7461F">
        <w:rPr>
          <w:rFonts w:ascii="Arial Narrow" w:hAnsi="Arial Narrow"/>
          <w:lang w:val="en-US"/>
        </w:rPr>
        <w:t xml:space="preserve"> </w:t>
      </w:r>
      <w:r>
        <w:rPr>
          <w:rFonts w:ascii="Arial Narrow" w:hAnsi="Arial Narrow"/>
          <w:lang w:val="en-US"/>
        </w:rPr>
        <w:t xml:space="preserve">J. Mayall (2003) 108; </w:t>
      </w:r>
      <w:r w:rsidR="008F302A" w:rsidRPr="008F302A">
        <w:rPr>
          <w:rFonts w:ascii="Arial Narrow" w:hAnsi="Arial Narrow"/>
          <w:lang w:val="en-US"/>
        </w:rPr>
        <w:t xml:space="preserve">A. Quinchon-Caudal (2013) </w:t>
      </w:r>
      <w:r w:rsidR="008F302A">
        <w:rPr>
          <w:rFonts w:ascii="Arial Narrow" w:hAnsi="Arial Narrow"/>
          <w:lang w:val="en-US"/>
        </w:rPr>
        <w:t xml:space="preserve">14; </w:t>
      </w:r>
      <w:r w:rsidRPr="00A7461F">
        <w:rPr>
          <w:rFonts w:ascii="Arial Narrow" w:hAnsi="Arial Narrow"/>
          <w:lang w:val="en-US"/>
        </w:rPr>
        <w:t>H. S. Reiss (org. 1955) 3</w:t>
      </w:r>
      <w:r w:rsidR="00C37BB7">
        <w:rPr>
          <w:rFonts w:ascii="Arial Narrow" w:hAnsi="Arial Narrow"/>
          <w:lang w:val="en-US"/>
        </w:rPr>
        <w:t xml:space="preserve">; </w:t>
      </w:r>
      <w:r w:rsidR="003B3D5B" w:rsidRPr="003B3D5B">
        <w:rPr>
          <w:rFonts w:ascii="Arial Narrow" w:hAnsi="Arial Narrow"/>
          <w:lang w:val="en-US"/>
        </w:rPr>
        <w:t>K</w:t>
      </w:r>
      <w:r w:rsidR="000E32A3">
        <w:rPr>
          <w:rFonts w:ascii="Arial Narrow" w:hAnsi="Arial Narrow"/>
          <w:lang w:val="en-US"/>
        </w:rPr>
        <w:t>.</w:t>
      </w:r>
      <w:r w:rsidR="003B3D5B" w:rsidRPr="003B3D5B">
        <w:rPr>
          <w:rFonts w:ascii="Arial Narrow" w:hAnsi="Arial Narrow"/>
          <w:lang w:val="en-US"/>
        </w:rPr>
        <w:t xml:space="preserve"> A. Schleunes (1990) </w:t>
      </w:r>
      <w:r w:rsidR="003B3D5B">
        <w:rPr>
          <w:rFonts w:ascii="Arial Narrow" w:hAnsi="Arial Narrow"/>
          <w:lang w:val="en-US"/>
        </w:rPr>
        <w:t xml:space="preserve">15-16; </w:t>
      </w:r>
      <w:r w:rsidR="00C37BB7" w:rsidRPr="00C37BB7">
        <w:rPr>
          <w:rFonts w:ascii="Arial Narrow" w:hAnsi="Arial Narrow"/>
          <w:bCs/>
          <w:lang w:val="en-US"/>
        </w:rPr>
        <w:t>R. Wolin (2004)</w:t>
      </w:r>
      <w:r w:rsidR="00C37BB7">
        <w:rPr>
          <w:rFonts w:ascii="Arial Narrow" w:hAnsi="Arial Narrow"/>
          <w:bCs/>
          <w:lang w:val="en-US"/>
        </w:rPr>
        <w:t xml:space="preserve"> 170</w:t>
      </w:r>
      <w:r w:rsidR="00640C4E">
        <w:rPr>
          <w:rFonts w:ascii="Arial Narrow" w:hAnsi="Arial Narrow"/>
          <w:bCs/>
          <w:lang w:val="en-US"/>
        </w:rPr>
        <w:t>, 175</w:t>
      </w:r>
      <w:r w:rsidRPr="00A7461F">
        <w:rPr>
          <w:rFonts w:ascii="Arial Narrow" w:hAnsi="Arial Narrow"/>
          <w:lang w:val="en-US"/>
        </w:rPr>
        <w:t xml:space="preserve">. </w:t>
      </w:r>
      <w:r w:rsidRPr="003E305A">
        <w:rPr>
          <w:rFonts w:ascii="Arial Narrow" w:hAnsi="Arial Narrow"/>
        </w:rPr>
        <w:t>Ver igualmente F. Boas (1938) 32.</w:t>
      </w:r>
      <w:r w:rsidR="00861F7F">
        <w:rPr>
          <w:rFonts w:ascii="Arial Narrow" w:hAnsi="Arial Narrow"/>
        </w:rPr>
        <w:t xml:space="preserve"> Também Himmler, citado em </w:t>
      </w:r>
      <w:r w:rsidR="00861F7F" w:rsidRPr="00E51DF6">
        <w:rPr>
          <w:rFonts w:ascii="Arial Narrow" w:hAnsi="Arial Narrow"/>
        </w:rPr>
        <w:t>Anne Quinchon-Caudal, op. cit., 98,</w:t>
      </w:r>
      <w:r w:rsidR="00861F7F">
        <w:rPr>
          <w:rFonts w:ascii="Arial Narrow" w:hAnsi="Arial Narrow"/>
        </w:rPr>
        <w:t xml:space="preserve"> acusou Herder de «generosidade» e «idealismo» para com os «povos estrangeiros».</w:t>
      </w:r>
    </w:p>
  </w:footnote>
  <w:footnote w:id="14">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L. Poliakov (1971) 114-115.</w:t>
      </w:r>
      <w:r w:rsidR="00B25A37">
        <w:rPr>
          <w:rFonts w:ascii="Arial Narrow" w:hAnsi="Arial Narrow"/>
        </w:rPr>
        <w:t xml:space="preserve"> </w:t>
      </w:r>
      <w:r w:rsidR="00B25A37" w:rsidRPr="0083129B">
        <w:rPr>
          <w:rFonts w:ascii="Arial Narrow" w:hAnsi="Arial Narrow"/>
          <w:bCs/>
        </w:rPr>
        <w:t xml:space="preserve">R. Wolin </w:t>
      </w:r>
      <w:r w:rsidR="00B25A37" w:rsidRPr="0083129B">
        <w:rPr>
          <w:rFonts w:ascii="Arial Narrow" w:hAnsi="Arial Narrow"/>
        </w:rPr>
        <w:t xml:space="preserve">(2004) </w:t>
      </w:r>
      <w:r w:rsidR="003446F3" w:rsidRPr="0083129B">
        <w:rPr>
          <w:rFonts w:ascii="Arial Narrow" w:hAnsi="Arial Narrow"/>
        </w:rPr>
        <w:t>405</w:t>
      </w:r>
      <w:r w:rsidR="00F86407" w:rsidRPr="0083129B">
        <w:rPr>
          <w:rFonts w:ascii="Arial Narrow" w:hAnsi="Arial Narrow"/>
        </w:rPr>
        <w:t xml:space="preserve"> e 439</w:t>
      </w:r>
      <w:r w:rsidR="003446F3" w:rsidRPr="0083129B">
        <w:rPr>
          <w:rFonts w:ascii="Arial Narrow" w:hAnsi="Arial Narrow"/>
        </w:rPr>
        <w:t xml:space="preserve"> </w:t>
      </w:r>
      <w:r w:rsidR="00B25A37" w:rsidRPr="0083129B">
        <w:rPr>
          <w:rFonts w:ascii="Arial Narrow" w:hAnsi="Arial Narrow"/>
        </w:rPr>
        <w:t>colocou Herder junto com de Maistre na defesa das especificidades</w:t>
      </w:r>
      <w:r w:rsidR="00607A61" w:rsidRPr="0083129B">
        <w:rPr>
          <w:rFonts w:ascii="Arial Narrow" w:hAnsi="Arial Narrow"/>
        </w:rPr>
        <w:t>,</w:t>
      </w:r>
      <w:r w:rsidR="00B25A37" w:rsidRPr="0083129B">
        <w:rPr>
          <w:rFonts w:ascii="Arial Narrow" w:hAnsi="Arial Narrow"/>
        </w:rPr>
        <w:t xml:space="preserve"> contra a noção racionalista </w:t>
      </w:r>
      <w:r w:rsidR="003446F3" w:rsidRPr="0083129B">
        <w:rPr>
          <w:rFonts w:ascii="Arial Narrow" w:hAnsi="Arial Narrow"/>
        </w:rPr>
        <w:t>e abstracta dos Direitos do Homem.</w:t>
      </w:r>
    </w:p>
  </w:footnote>
  <w:footnote w:id="15">
    <w:p w:rsidR="00213D8D" w:rsidRPr="0083129B" w:rsidRDefault="00213D8D" w:rsidP="00DF4B40">
      <w:pPr>
        <w:pStyle w:val="Textodenotaderodap"/>
        <w:ind w:firstLine="708"/>
        <w:rPr>
          <w:rFonts w:ascii="Arial Narrow" w:hAnsi="Arial Narrow"/>
          <w:lang w:val="en-US"/>
        </w:rPr>
      </w:pPr>
      <w:r w:rsidRPr="003E305A">
        <w:rPr>
          <w:rStyle w:val="Refdenotaderodap"/>
          <w:rFonts w:ascii="Arial Narrow" w:hAnsi="Arial Narrow"/>
        </w:rPr>
        <w:footnoteRef/>
      </w:r>
      <w:r w:rsidRPr="0083129B">
        <w:rPr>
          <w:rFonts w:ascii="Arial Narrow" w:hAnsi="Arial Narrow"/>
          <w:lang w:val="en-US"/>
        </w:rPr>
        <w:t xml:space="preserve"> F. M. Barnard (1965) 100-102; L. Poliakov (1971) 154.</w:t>
      </w:r>
    </w:p>
  </w:footnote>
  <w:footnote w:id="16">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L. Poliakov (1971) 171-172.</w:t>
      </w:r>
    </w:p>
  </w:footnote>
  <w:footnote w:id="17">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R. Aris (1965) 151</w:t>
      </w:r>
      <w:r>
        <w:rPr>
          <w:rFonts w:ascii="Arial Narrow" w:hAnsi="Arial Narrow"/>
          <w:lang w:val="en-GB"/>
        </w:rPr>
        <w:t xml:space="preserve">; </w:t>
      </w:r>
      <w:r w:rsidRPr="00DF4B40">
        <w:rPr>
          <w:rFonts w:ascii="Arial Narrow" w:hAnsi="Arial Narrow"/>
          <w:lang w:val="en-US"/>
        </w:rPr>
        <w:t>R. D’O. Butler (1943) 97-98</w:t>
      </w:r>
      <w:r w:rsidRPr="003E305A">
        <w:rPr>
          <w:rFonts w:ascii="Arial Narrow" w:hAnsi="Arial Narrow"/>
          <w:lang w:val="en-GB"/>
        </w:rPr>
        <w:t>.</w:t>
      </w:r>
    </w:p>
  </w:footnote>
  <w:footnote w:id="18">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L. Poliakov (1971) 172-173.</w:t>
      </w:r>
    </w:p>
  </w:footnote>
  <w:footnote w:id="19">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R. Aris (1965) 293; F. M. Barnard (1965) 154, 156-157, 164-167.</w:t>
      </w:r>
    </w:p>
  </w:footnote>
  <w:footnote w:id="20">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place">
        <w:r w:rsidRPr="003E305A">
          <w:rPr>
            <w:rFonts w:ascii="Arial Narrow" w:hAnsi="Arial Narrow"/>
            <w:lang w:val="en-GB"/>
          </w:rPr>
          <w:t>E. Balibar</w:t>
        </w:r>
      </w:smartTag>
      <w:r w:rsidRPr="003E305A">
        <w:rPr>
          <w:rFonts w:ascii="Arial Narrow" w:hAnsi="Arial Narrow"/>
          <w:lang w:val="en-GB"/>
        </w:rPr>
        <w:t xml:space="preserve"> (1994) 68.</w:t>
      </w:r>
    </w:p>
  </w:footnote>
  <w:footnote w:id="21">
    <w:p w:rsidR="00213D8D" w:rsidRPr="00E12AFE" w:rsidRDefault="00213D8D" w:rsidP="00DF4B40">
      <w:pPr>
        <w:pStyle w:val="Textodenotaderodap"/>
        <w:rPr>
          <w:rFonts w:ascii="Arial Narrow" w:hAnsi="Arial Narrow"/>
          <w:lang w:val="en-US"/>
        </w:rPr>
      </w:pPr>
      <w:r w:rsidRPr="00E12AFE">
        <w:rPr>
          <w:rStyle w:val="Refdenotaderodap"/>
          <w:rFonts w:ascii="Arial Narrow" w:hAnsi="Arial Narrow"/>
        </w:rPr>
        <w:footnoteRef/>
      </w:r>
      <w:r w:rsidRPr="00E12AFE">
        <w:rPr>
          <w:rFonts w:ascii="Arial Narrow" w:hAnsi="Arial Narrow"/>
          <w:lang w:val="en-US"/>
        </w:rPr>
        <w:t xml:space="preserve"> </w:t>
      </w:r>
      <w:r w:rsidRPr="00DF4B40">
        <w:rPr>
          <w:rFonts w:ascii="Arial Narrow" w:hAnsi="Arial Narrow"/>
          <w:lang w:val="en-US"/>
        </w:rPr>
        <w:t>R. D’O. Butler (1943) 64-65.</w:t>
      </w:r>
    </w:p>
  </w:footnote>
  <w:footnote w:id="22">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R. Aris (1965) 302; F. M. Barnard (1965) 161; H. S. Reiss (org. 1955) 36.</w:t>
      </w:r>
    </w:p>
  </w:footnote>
  <w:footnote w:id="2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J. Droz (1966) 59.</w:t>
      </w:r>
    </w:p>
  </w:footnote>
  <w:footnote w:id="24">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rPr>
        <w:t xml:space="preserve"> Acerca das teorias jurídicas defendidas por Savigny no contexto do nacionalismo romântico consultei: F. M. Barnard (1965) 161; </w:t>
      </w:r>
      <w:r w:rsidRPr="00584DFC">
        <w:rPr>
          <w:rFonts w:ascii="Arial Narrow" w:hAnsi="Arial Narrow"/>
        </w:rPr>
        <w:t xml:space="preserve">R. </w:t>
      </w:r>
      <w:r>
        <w:rPr>
          <w:rFonts w:ascii="Arial Narrow" w:hAnsi="Arial Narrow"/>
        </w:rPr>
        <w:t xml:space="preserve">D’O. Butler (1943) 94-96; </w:t>
      </w:r>
      <w:r w:rsidRPr="003E305A">
        <w:rPr>
          <w:rFonts w:ascii="Arial Narrow" w:hAnsi="Arial Narrow"/>
        </w:rPr>
        <w:t xml:space="preserve">J. Droz (1966) 216-219; id. </w:t>
      </w:r>
      <w:r w:rsidRPr="003E305A">
        <w:rPr>
          <w:rFonts w:ascii="Arial Narrow" w:hAnsi="Arial Narrow"/>
          <w:lang w:val="en-GB"/>
        </w:rPr>
        <w:t>[s. d.] 90; H. S. Reiss (org. 1955) 38-39, 205.</w:t>
      </w:r>
    </w:p>
  </w:footnote>
  <w:footnote w:id="25">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G. Sorel (1947) 249-250.</w:t>
      </w:r>
    </w:p>
  </w:footnote>
  <w:footnote w:id="26">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J. Droz (1966) 79, 194, 198-199.</w:t>
      </w:r>
    </w:p>
  </w:footnote>
  <w:footnote w:id="27">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195.</w:t>
      </w:r>
      <w:r>
        <w:rPr>
          <w:rFonts w:ascii="Arial Narrow" w:hAnsi="Arial Narrow"/>
        </w:rPr>
        <w:t xml:space="preserve"> Ainda acerca da noção da poesia como língua originária, corrente no romantismo germânico, ver P. Watson (2011) 192.</w:t>
      </w:r>
    </w:p>
  </w:footnote>
  <w:footnote w:id="28">
    <w:p w:rsidR="00213D8D" w:rsidRPr="0051066C" w:rsidRDefault="00213D8D" w:rsidP="00DF4B40">
      <w:pPr>
        <w:pStyle w:val="Textodenotaderodap"/>
        <w:ind w:firstLine="708"/>
        <w:rPr>
          <w:rFonts w:ascii="Arial Narrow" w:hAnsi="Arial Narrow"/>
          <w:lang w:val="en-US"/>
        </w:rPr>
      </w:pPr>
      <w:r w:rsidRPr="003E305A">
        <w:rPr>
          <w:rStyle w:val="Refdenotaderodap"/>
          <w:rFonts w:ascii="Arial Narrow" w:hAnsi="Arial Narrow"/>
        </w:rPr>
        <w:footnoteRef/>
      </w:r>
      <w:r w:rsidRPr="0051066C">
        <w:rPr>
          <w:rFonts w:ascii="Arial Narrow" w:hAnsi="Arial Narrow"/>
          <w:lang w:val="en-US"/>
        </w:rPr>
        <w:t xml:space="preserve"> R. Aris (1965) 333; R. D’O. Butler (1943) 59-60.</w:t>
      </w:r>
    </w:p>
  </w:footnote>
  <w:footnote w:id="29">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L. Poliakov (1971) 199.</w:t>
      </w:r>
      <w:r>
        <w:rPr>
          <w:rFonts w:ascii="Arial Narrow" w:hAnsi="Arial Narrow"/>
        </w:rPr>
        <w:t xml:space="preserve"> </w:t>
      </w:r>
      <w:r w:rsidRPr="00DF4B40">
        <w:rPr>
          <w:rFonts w:ascii="Arial Narrow" w:hAnsi="Arial Narrow"/>
        </w:rPr>
        <w:t>R. D’O. Butler (1943) 98 traduziu: «política do princípio até ao fim».</w:t>
      </w:r>
      <w:r>
        <w:rPr>
          <w:rFonts w:ascii="Arial Narrow" w:hAnsi="Arial Narrow"/>
        </w:rPr>
        <w:t xml:space="preserve"> Acerca do carácter político nacionalista que os irmãos Grimm atribuíram à sua recolha de contos ver P. Watson (2011) 265-266.</w:t>
      </w:r>
    </w:p>
  </w:footnote>
  <w:footnote w:id="30">
    <w:p w:rsidR="00213D8D" w:rsidRPr="00683B0B" w:rsidRDefault="00213D8D" w:rsidP="00DF4B40">
      <w:pPr>
        <w:pStyle w:val="Textodenotaderodap"/>
        <w:rPr>
          <w:rFonts w:ascii="Arial Narrow" w:hAnsi="Arial Narrow"/>
        </w:rPr>
      </w:pPr>
      <w:r w:rsidRPr="00683B0B">
        <w:rPr>
          <w:rStyle w:val="Refdenotaderodap"/>
          <w:rFonts w:ascii="Arial Narrow" w:hAnsi="Arial Narrow"/>
        </w:rPr>
        <w:footnoteRef/>
      </w:r>
      <w:r w:rsidRPr="00683B0B">
        <w:rPr>
          <w:rFonts w:ascii="Arial Narrow" w:hAnsi="Arial Narrow"/>
        </w:rPr>
        <w:t xml:space="preserve"> </w:t>
      </w:r>
      <w:r w:rsidRPr="00584DFC">
        <w:rPr>
          <w:rFonts w:ascii="Arial Narrow" w:hAnsi="Arial Narrow"/>
        </w:rPr>
        <w:t xml:space="preserve">R. </w:t>
      </w:r>
      <w:r>
        <w:rPr>
          <w:rFonts w:ascii="Arial Narrow" w:hAnsi="Arial Narrow"/>
        </w:rPr>
        <w:t>D’O. Butler (1943) 28.</w:t>
      </w:r>
    </w:p>
  </w:footnote>
  <w:footnote w:id="31">
    <w:p w:rsidR="00213D8D" w:rsidRPr="00794FD0" w:rsidRDefault="00213D8D">
      <w:pPr>
        <w:pStyle w:val="Textodenotaderodap"/>
        <w:rPr>
          <w:rFonts w:ascii="Arial Narrow" w:hAnsi="Arial Narrow"/>
        </w:rPr>
      </w:pPr>
      <w:r w:rsidRPr="00794FD0">
        <w:rPr>
          <w:rStyle w:val="Refdenotaderodap"/>
          <w:rFonts w:ascii="Arial Narrow" w:hAnsi="Arial Narrow"/>
        </w:rPr>
        <w:footnoteRef/>
      </w:r>
      <w:r w:rsidRPr="00794FD0">
        <w:rPr>
          <w:rFonts w:ascii="Arial Narrow" w:hAnsi="Arial Narrow"/>
        </w:rPr>
        <w:t xml:space="preserve"> </w:t>
      </w:r>
      <w:r>
        <w:rPr>
          <w:rFonts w:ascii="Arial Narrow" w:hAnsi="Arial Narrow"/>
        </w:rPr>
        <w:t xml:space="preserve">Ver a este respeito </w:t>
      </w:r>
      <w:r w:rsidR="00AA5CB2" w:rsidRPr="00826609">
        <w:rPr>
          <w:rFonts w:ascii="Arial Narrow" w:hAnsi="Arial Narrow"/>
        </w:rPr>
        <w:t xml:space="preserve">W. Lepenies (2006) 45-46 e </w:t>
      </w:r>
      <w:r>
        <w:rPr>
          <w:rFonts w:ascii="Arial Narrow" w:hAnsi="Arial Narrow"/>
        </w:rPr>
        <w:t>P. Watson (2011) 195, 290</w:t>
      </w:r>
      <w:r w:rsidR="00AA5CB2">
        <w:rPr>
          <w:rFonts w:ascii="Arial Narrow" w:hAnsi="Arial Narrow"/>
        </w:rPr>
        <w:t>,</w:t>
      </w:r>
      <w:r>
        <w:rPr>
          <w:rFonts w:ascii="Arial Narrow" w:hAnsi="Arial Narrow"/>
        </w:rPr>
        <w:t xml:space="preserve"> 310. Referindo-se às duas primeiras décadas do século XIX, Sh. Sand (2010) 67 observou que «naquele tempo a jovem Alemanha não era tanto uma entidade política como um conceito cultural-linguístico».</w:t>
      </w:r>
    </w:p>
  </w:footnote>
  <w:footnote w:id="32">
    <w:p w:rsidR="006D2C63" w:rsidRPr="006D2C63" w:rsidRDefault="006D2C63">
      <w:pPr>
        <w:pStyle w:val="Textodenotaderodap"/>
        <w:rPr>
          <w:rFonts w:ascii="Arial Narrow" w:hAnsi="Arial Narrow"/>
        </w:rPr>
      </w:pPr>
      <w:r w:rsidRPr="006D2C63">
        <w:rPr>
          <w:rStyle w:val="Refdenotaderodap"/>
          <w:rFonts w:ascii="Arial Narrow" w:hAnsi="Arial Narrow"/>
        </w:rPr>
        <w:footnoteRef/>
      </w:r>
      <w:r w:rsidRPr="006D2C63">
        <w:rPr>
          <w:rFonts w:ascii="Arial Narrow" w:hAnsi="Arial Narrow"/>
        </w:rPr>
        <w:t xml:space="preserve"> </w:t>
      </w:r>
      <w:r w:rsidRPr="00826609">
        <w:rPr>
          <w:rFonts w:ascii="Arial Narrow" w:hAnsi="Arial Narrow"/>
        </w:rPr>
        <w:t>W. Lepenies (2006) 32.</w:t>
      </w:r>
    </w:p>
  </w:footnote>
  <w:footnote w:id="3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J. G. Fichte (1975) 108-109, 119-120, 141-142, 150 e segs. Acerca das concepções de Schottel, gramático e filólogo ilustre, ver L. Poliakov (1971) 109. Segundo este autor</w:t>
      </w:r>
      <w:r>
        <w:rPr>
          <w:rFonts w:ascii="Arial Narrow" w:hAnsi="Arial Narrow"/>
        </w:rPr>
        <w:t xml:space="preserve"> (</w:t>
      </w:r>
      <w:r w:rsidRPr="003E305A">
        <w:rPr>
          <w:rFonts w:ascii="Arial Narrow" w:hAnsi="Arial Narrow"/>
        </w:rPr>
        <w:t>pág. 117</w:t>
      </w:r>
      <w:r>
        <w:rPr>
          <w:rFonts w:ascii="Arial Narrow" w:hAnsi="Arial Narrow"/>
        </w:rPr>
        <w:t>)</w:t>
      </w:r>
      <w:r w:rsidRPr="003E305A">
        <w:rPr>
          <w:rFonts w:ascii="Arial Narrow" w:hAnsi="Arial Narrow"/>
        </w:rPr>
        <w:t>, também Friedrich von Schlegel pretendia que os povos que haviam adoptado línguas mortas ficavam desprovidos de faculdades criativas.</w:t>
      </w:r>
    </w:p>
  </w:footnote>
  <w:footnote w:id="34">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J. G. Fichte (1975) 110.</w:t>
      </w:r>
    </w:p>
  </w:footnote>
  <w:footnote w:id="35">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Ver os quarto, quinto e sexto Discursos em id., ibid.</w:t>
      </w:r>
      <w:r w:rsidR="00383FF4" w:rsidRPr="00383FF4">
        <w:rPr>
          <w:rFonts w:ascii="Arial Narrow" w:hAnsi="Arial Narrow"/>
        </w:rPr>
        <w:t xml:space="preserve"> </w:t>
      </w:r>
      <w:r w:rsidR="00383FF4">
        <w:rPr>
          <w:rFonts w:ascii="Arial Narrow" w:hAnsi="Arial Narrow"/>
        </w:rPr>
        <w:t xml:space="preserve">É necessário não esquecer que o francês havia sido desde os meados do século XVII a língua das cortes alemãs, pelo que se tratava aqui de uma redobrada afirmação de nacionalismo. Ver </w:t>
      </w:r>
      <w:r w:rsidR="00383FF4" w:rsidRPr="001C409B">
        <w:rPr>
          <w:rFonts w:ascii="Arial Narrow" w:hAnsi="Arial Narrow"/>
        </w:rPr>
        <w:t>W. Lepenies (2006) 148.</w:t>
      </w:r>
    </w:p>
  </w:footnote>
  <w:footnote w:id="36">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00383FF4" w:rsidRPr="003E305A">
        <w:rPr>
          <w:rFonts w:ascii="Arial Narrow" w:hAnsi="Arial Narrow"/>
        </w:rPr>
        <w:t xml:space="preserve">J. G. Fichte (1975) </w:t>
      </w:r>
      <w:r w:rsidRPr="003E305A">
        <w:rPr>
          <w:rFonts w:ascii="Arial Narrow" w:hAnsi="Arial Narrow"/>
        </w:rPr>
        <w:t>109-110 (sub. orig.). Ver igualmente as págs. 114-115.</w:t>
      </w:r>
      <w:r w:rsidR="00275796">
        <w:rPr>
          <w:rFonts w:ascii="Arial Narrow" w:hAnsi="Arial Narrow"/>
        </w:rPr>
        <w:t xml:space="preserve"> </w:t>
      </w:r>
    </w:p>
  </w:footnote>
  <w:footnote w:id="37">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00383FF4" w:rsidRPr="003E305A">
        <w:rPr>
          <w:rFonts w:ascii="Arial Narrow" w:hAnsi="Arial Narrow"/>
        </w:rPr>
        <w:t xml:space="preserve">Id., ibid., </w:t>
      </w:r>
      <w:r w:rsidRPr="003E305A">
        <w:rPr>
          <w:rFonts w:ascii="Arial Narrow" w:hAnsi="Arial Narrow"/>
        </w:rPr>
        <w:t>113-114.</w:t>
      </w:r>
    </w:p>
  </w:footnote>
  <w:footnote w:id="38">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Balibar (1994) 77 pretende</w:t>
      </w:r>
      <w:r>
        <w:rPr>
          <w:rFonts w:ascii="Arial Narrow" w:hAnsi="Arial Narrow"/>
        </w:rPr>
        <w:t>u</w:t>
      </w:r>
      <w:r w:rsidRPr="003E305A">
        <w:rPr>
          <w:rFonts w:ascii="Arial Narrow" w:hAnsi="Arial Narrow"/>
        </w:rPr>
        <w:t xml:space="preserve"> que Fichte se teria oposto «à ideia de que haveria um elo histórico entre a continuidade linguística e a continuidade biológica». Ver igualmente a pág. 194. Mas, ao analisar os </w:t>
      </w:r>
      <w:r w:rsidRPr="003E305A">
        <w:rPr>
          <w:rFonts w:ascii="Arial Narrow" w:hAnsi="Arial Narrow"/>
          <w:i/>
        </w:rPr>
        <w:t>Discursos à Nação Alemã,</w:t>
      </w:r>
      <w:r w:rsidRPr="003E305A">
        <w:rPr>
          <w:rFonts w:ascii="Arial Narrow" w:hAnsi="Arial Narrow"/>
        </w:rPr>
        <w:t xml:space="preserve"> Étienne Balibar deix</w:t>
      </w:r>
      <w:r>
        <w:rPr>
          <w:rFonts w:ascii="Arial Narrow" w:hAnsi="Arial Narrow"/>
        </w:rPr>
        <w:t>ou</w:t>
      </w:r>
      <w:r w:rsidRPr="003E305A">
        <w:rPr>
          <w:rFonts w:ascii="Arial Narrow" w:hAnsi="Arial Narrow"/>
        </w:rPr>
        <w:t xml:space="preserve"> escapar o sentido primacial das concepções linguísticas de Fichte, pois só abord</w:t>
      </w:r>
      <w:r>
        <w:rPr>
          <w:rFonts w:ascii="Arial Narrow" w:hAnsi="Arial Narrow"/>
        </w:rPr>
        <w:t>ou</w:t>
      </w:r>
      <w:r w:rsidRPr="003E305A">
        <w:rPr>
          <w:rFonts w:ascii="Arial Narrow" w:hAnsi="Arial Narrow"/>
        </w:rPr>
        <w:t xml:space="preserve"> as suas implicações depois de ter já definido em linhas gerais o que lhe parece</w:t>
      </w:r>
      <w:r>
        <w:rPr>
          <w:rFonts w:ascii="Arial Narrow" w:hAnsi="Arial Narrow"/>
        </w:rPr>
        <w:t>u</w:t>
      </w:r>
      <w:r w:rsidRPr="003E305A">
        <w:rPr>
          <w:rFonts w:ascii="Arial Narrow" w:hAnsi="Arial Narrow"/>
        </w:rPr>
        <w:t xml:space="preserve"> ser a perspectiva política da obra. Por isso p</w:t>
      </w:r>
      <w:r>
        <w:rPr>
          <w:rFonts w:ascii="Arial Narrow" w:hAnsi="Arial Narrow"/>
        </w:rPr>
        <w:t>ô</w:t>
      </w:r>
      <w:r w:rsidRPr="003E305A">
        <w:rPr>
          <w:rFonts w:ascii="Arial Narrow" w:hAnsi="Arial Narrow"/>
        </w:rPr>
        <w:t>de atribuir a Fichte uma circularidade de definições, escrevendo</w:t>
      </w:r>
      <w:r>
        <w:rPr>
          <w:rFonts w:ascii="Arial Narrow" w:hAnsi="Arial Narrow"/>
        </w:rPr>
        <w:t xml:space="preserve"> (</w:t>
      </w:r>
      <w:r w:rsidRPr="003E305A">
        <w:rPr>
          <w:rFonts w:ascii="Arial Narrow" w:hAnsi="Arial Narrow"/>
        </w:rPr>
        <w:t>pág. 79</w:t>
      </w:r>
      <w:r>
        <w:rPr>
          <w:rFonts w:ascii="Arial Narrow" w:hAnsi="Arial Narrow"/>
        </w:rPr>
        <w:t>)</w:t>
      </w:r>
      <w:r w:rsidRPr="003E305A">
        <w:rPr>
          <w:rFonts w:ascii="Arial Narrow" w:hAnsi="Arial Narrow"/>
        </w:rPr>
        <w:t xml:space="preserve"> que para ele um povo vivo produzia uma língua viva, tal como uma língua viva dava vida a um povo. Ora, isto é errado</w:t>
      </w:r>
      <w:r w:rsidR="00E14C48">
        <w:rPr>
          <w:rFonts w:ascii="Arial Narrow" w:hAnsi="Arial Narrow"/>
        </w:rPr>
        <w:t>,</w:t>
      </w:r>
      <w:r w:rsidRPr="003E305A">
        <w:rPr>
          <w:rFonts w:ascii="Arial Narrow" w:hAnsi="Arial Narrow"/>
        </w:rPr>
        <w:t xml:space="preserve"> porque</w:t>
      </w:r>
      <w:r w:rsidR="00E14C48">
        <w:rPr>
          <w:rFonts w:ascii="Arial Narrow" w:hAnsi="Arial Narrow"/>
        </w:rPr>
        <w:t xml:space="preserve"> </w:t>
      </w:r>
      <w:r w:rsidRPr="003E305A">
        <w:rPr>
          <w:rFonts w:ascii="Arial Narrow" w:hAnsi="Arial Narrow"/>
        </w:rPr>
        <w:t xml:space="preserve">Fichte deixou bem claro que o processo tinha um sentido único. Para ele, em vez de a língua resultar de uma criação social, eram os seres humanos a serem criados pela língua e era a língua a exprimir-se através do povo. O </w:t>
      </w:r>
      <w:r w:rsidRPr="003E305A">
        <w:rPr>
          <w:rFonts w:ascii="Arial Narrow" w:hAnsi="Arial Narrow"/>
          <w:i/>
        </w:rPr>
        <w:t>eu</w:t>
      </w:r>
      <w:r w:rsidRPr="003E305A">
        <w:rPr>
          <w:rFonts w:ascii="Arial Narrow" w:hAnsi="Arial Narrow"/>
        </w:rPr>
        <w:t xml:space="preserve"> criativo era um </w:t>
      </w:r>
      <w:r w:rsidRPr="003E305A">
        <w:rPr>
          <w:rFonts w:ascii="Arial Narrow" w:hAnsi="Arial Narrow"/>
          <w:i/>
        </w:rPr>
        <w:t>eu</w:t>
      </w:r>
      <w:r w:rsidRPr="003E305A">
        <w:rPr>
          <w:rFonts w:ascii="Arial Narrow" w:hAnsi="Arial Narrow"/>
        </w:rPr>
        <w:t xml:space="preserve"> no </w:t>
      </w:r>
      <w:r w:rsidRPr="003E305A">
        <w:rPr>
          <w:rFonts w:ascii="Arial Narrow" w:hAnsi="Arial Narrow"/>
          <w:i/>
        </w:rPr>
        <w:t>nós,</w:t>
      </w:r>
      <w:r w:rsidRPr="003E305A">
        <w:rPr>
          <w:rFonts w:ascii="Arial Narrow" w:hAnsi="Arial Narrow"/>
        </w:rPr>
        <w:t xml:space="preserve"> e o carácter criador do </w:t>
      </w:r>
      <w:r w:rsidRPr="003E305A">
        <w:rPr>
          <w:rFonts w:ascii="Arial Narrow" w:hAnsi="Arial Narrow"/>
          <w:i/>
        </w:rPr>
        <w:t>nós</w:t>
      </w:r>
      <w:r w:rsidRPr="003E305A">
        <w:rPr>
          <w:rFonts w:ascii="Arial Narrow" w:hAnsi="Arial Narrow"/>
        </w:rPr>
        <w:t xml:space="preserve"> vinha-lhe de constituir um processo. Assim, a língua evoluía </w:t>
      </w:r>
      <w:r>
        <w:rPr>
          <w:rFonts w:ascii="Arial Narrow" w:hAnsi="Arial Narrow"/>
        </w:rPr>
        <w:t>—</w:t>
      </w:r>
      <w:r w:rsidRPr="003E305A">
        <w:rPr>
          <w:rFonts w:ascii="Arial Narrow" w:hAnsi="Arial Narrow"/>
        </w:rPr>
        <w:t xml:space="preserve"> ou seja, vivia </w:t>
      </w:r>
      <w:r>
        <w:rPr>
          <w:rFonts w:ascii="Arial Narrow" w:hAnsi="Arial Narrow"/>
        </w:rPr>
        <w:t>—</w:t>
      </w:r>
      <w:r w:rsidRPr="003E305A">
        <w:rPr>
          <w:rFonts w:ascii="Arial Narrow" w:hAnsi="Arial Narrow"/>
        </w:rPr>
        <w:t xml:space="preserve"> porque ela mesma era um processo, sem que haja lugar para introduzir, como f</w:t>
      </w:r>
      <w:r>
        <w:rPr>
          <w:rFonts w:ascii="Arial Narrow" w:hAnsi="Arial Narrow"/>
        </w:rPr>
        <w:t>e</w:t>
      </w:r>
      <w:r w:rsidRPr="003E305A">
        <w:rPr>
          <w:rFonts w:ascii="Arial Narrow" w:hAnsi="Arial Narrow"/>
        </w:rPr>
        <w:t xml:space="preserve">z Balibar </w:t>
      </w:r>
      <w:r>
        <w:rPr>
          <w:rFonts w:ascii="Arial Narrow" w:hAnsi="Arial Narrow"/>
        </w:rPr>
        <w:t>(</w:t>
      </w:r>
      <w:r w:rsidRPr="003E305A">
        <w:rPr>
          <w:rFonts w:ascii="Arial Narrow" w:hAnsi="Arial Narrow"/>
        </w:rPr>
        <w:t>pág. 81</w:t>
      </w:r>
      <w:r>
        <w:rPr>
          <w:rFonts w:ascii="Arial Narrow" w:hAnsi="Arial Narrow"/>
        </w:rPr>
        <w:t>)</w:t>
      </w:r>
      <w:r w:rsidRPr="003E305A">
        <w:rPr>
          <w:rFonts w:ascii="Arial Narrow" w:hAnsi="Arial Narrow"/>
        </w:rPr>
        <w:t xml:space="preserve">, qualquer acção do homem sobre a língua. O homem não tinha, para Fichte, uma actividade criadora própria, sendo apenas o instrumento através do qual a língua exercia a sua função criativa. As correntes de pensamento irracionalistas e racistas que se reforçaram na Alemanha durante as primeiras décadas do século XX e contribuíram para a formação do nacional-socialismo não se enganavam quando recorriam às concepções de Fichte para superar o individualismo </w:t>
      </w:r>
      <w:r w:rsidR="00255057">
        <w:rPr>
          <w:rFonts w:ascii="Arial Narrow" w:hAnsi="Arial Narrow"/>
        </w:rPr>
        <w:t xml:space="preserve">de </w:t>
      </w:r>
      <w:r w:rsidR="00255057" w:rsidRPr="003E305A">
        <w:rPr>
          <w:rFonts w:ascii="Arial Narrow" w:hAnsi="Arial Narrow"/>
        </w:rPr>
        <w:t>Nietzsch</w:t>
      </w:r>
      <w:r w:rsidR="00255057">
        <w:rPr>
          <w:rFonts w:ascii="Arial Narrow" w:hAnsi="Arial Narrow"/>
        </w:rPr>
        <w:t>e</w:t>
      </w:r>
      <w:r w:rsidRPr="003E305A">
        <w:rPr>
          <w:rFonts w:ascii="Arial Narrow" w:hAnsi="Arial Narrow"/>
        </w:rPr>
        <w:t>, e A. Messer (1946) 743 cham</w:t>
      </w:r>
      <w:r>
        <w:rPr>
          <w:rFonts w:ascii="Arial Narrow" w:hAnsi="Arial Narrow"/>
        </w:rPr>
        <w:t>ou</w:t>
      </w:r>
      <w:r w:rsidRPr="003E305A">
        <w:rPr>
          <w:rFonts w:ascii="Arial Narrow" w:hAnsi="Arial Narrow"/>
        </w:rPr>
        <w:t xml:space="preserve"> a atenção para a existência de uma relação ideológica entre a Sociedade Fichte de 1914 e as lucubrações de Lagarde e de Houston Stewart Chamberlain.</w:t>
      </w:r>
    </w:p>
  </w:footnote>
  <w:footnote w:id="39">
    <w:p w:rsidR="00213D8D" w:rsidRPr="003E305A" w:rsidRDefault="00213D8D" w:rsidP="00DF4B40">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R. Aris (1965) 110, 116-117.</w:t>
      </w:r>
    </w:p>
  </w:footnote>
  <w:footnote w:id="40">
    <w:p w:rsidR="00213D8D" w:rsidRPr="003E305A" w:rsidRDefault="00213D8D" w:rsidP="00DF4B4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J. G. Fichte (1975) 190.</w:t>
      </w:r>
    </w:p>
  </w:footnote>
  <w:footnote w:id="41">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Id., ibid., 182.</w:t>
      </w:r>
    </w:p>
  </w:footnote>
  <w:footnote w:id="42">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275-276. J. Droz (1966) 155 indic</w:t>
      </w:r>
      <w:r>
        <w:rPr>
          <w:rFonts w:ascii="Arial Narrow" w:hAnsi="Arial Narrow"/>
        </w:rPr>
        <w:t>ou</w:t>
      </w:r>
      <w:r w:rsidRPr="003E305A">
        <w:rPr>
          <w:rFonts w:ascii="Arial Narrow" w:hAnsi="Arial Narrow"/>
        </w:rPr>
        <w:t xml:space="preserve"> que, em carta dirigida a Adam Müller, Gentz elogi</w:t>
      </w:r>
      <w:r>
        <w:rPr>
          <w:rFonts w:ascii="Arial Narrow" w:hAnsi="Arial Narrow"/>
        </w:rPr>
        <w:t>ara</w:t>
      </w:r>
      <w:r w:rsidRPr="003E305A">
        <w:rPr>
          <w:rFonts w:ascii="Arial Narrow" w:hAnsi="Arial Narrow"/>
        </w:rPr>
        <w:t xml:space="preserve"> os </w:t>
      </w:r>
      <w:r w:rsidRPr="003E305A">
        <w:rPr>
          <w:rFonts w:ascii="Arial Narrow" w:hAnsi="Arial Narrow"/>
          <w:i/>
        </w:rPr>
        <w:t>Discursos à Nação Alemã,</w:t>
      </w:r>
      <w:r w:rsidRPr="003E305A">
        <w:rPr>
          <w:rFonts w:ascii="Arial Narrow" w:hAnsi="Arial Narrow"/>
        </w:rPr>
        <w:t xml:space="preserve"> o que ajuda a situar politicamente os limites do liberalismo de Fichte. Mas</w:t>
      </w:r>
      <w:r>
        <w:rPr>
          <w:rFonts w:ascii="Arial Narrow" w:hAnsi="Arial Narrow"/>
        </w:rPr>
        <w:t>,</w:t>
      </w:r>
      <w:r w:rsidRPr="003E305A">
        <w:rPr>
          <w:rFonts w:ascii="Arial Narrow" w:hAnsi="Arial Narrow"/>
        </w:rPr>
        <w:t xml:space="preserve"> por outro lado</w:t>
      </w:r>
      <w:r>
        <w:rPr>
          <w:rFonts w:ascii="Arial Narrow" w:hAnsi="Arial Narrow"/>
        </w:rPr>
        <w:t>,</w:t>
      </w:r>
      <w:r w:rsidRPr="003E305A">
        <w:rPr>
          <w:rFonts w:ascii="Arial Narrow" w:hAnsi="Arial Narrow"/>
        </w:rPr>
        <w:t xml:space="preserve"> convém recordar que Gentz nunca abandon</w:t>
      </w:r>
      <w:r>
        <w:rPr>
          <w:rFonts w:ascii="Arial Narrow" w:hAnsi="Arial Narrow"/>
        </w:rPr>
        <w:t>ou</w:t>
      </w:r>
      <w:r w:rsidRPr="003E305A">
        <w:rPr>
          <w:rFonts w:ascii="Arial Narrow" w:hAnsi="Arial Narrow"/>
        </w:rPr>
        <w:t xml:space="preserve"> o racionalismo, como esclarece</w:t>
      </w:r>
      <w:r>
        <w:rPr>
          <w:rFonts w:ascii="Arial Narrow" w:hAnsi="Arial Narrow"/>
        </w:rPr>
        <w:t>ra</w:t>
      </w:r>
      <w:r w:rsidRPr="003E305A">
        <w:rPr>
          <w:rFonts w:ascii="Arial Narrow" w:hAnsi="Arial Narrow"/>
        </w:rPr>
        <w:t>m R. Aris (1965) 213 e Jacques Droz</w:t>
      </w:r>
      <w:r>
        <w:rPr>
          <w:rFonts w:ascii="Arial Narrow" w:hAnsi="Arial Narrow"/>
        </w:rPr>
        <w:t>,</w:t>
      </w:r>
      <w:r w:rsidRPr="003E305A">
        <w:rPr>
          <w:rFonts w:ascii="Arial Narrow" w:hAnsi="Arial Narrow"/>
        </w:rPr>
        <w:t xml:space="preserve"> </w:t>
      </w:r>
      <w:r w:rsidRPr="00B4130E">
        <w:rPr>
          <w:rFonts w:ascii="Arial Narrow" w:hAnsi="Arial Narrow"/>
        </w:rPr>
        <w:t>op. cit.,</w:t>
      </w:r>
      <w:r w:rsidRPr="003E305A">
        <w:rPr>
          <w:rFonts w:ascii="Arial Narrow" w:hAnsi="Arial Narrow"/>
        </w:rPr>
        <w:t xml:space="preserve"> 157-158.</w:t>
      </w:r>
    </w:p>
  </w:footnote>
  <w:footnote w:id="4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passagem dos </w:t>
      </w:r>
      <w:r w:rsidRPr="003E305A">
        <w:rPr>
          <w:rFonts w:ascii="Arial Narrow" w:hAnsi="Arial Narrow"/>
          <w:i/>
        </w:rPr>
        <w:t>Diálogos Patrióticos: O Patriotismo e o seu Contrário,</w:t>
      </w:r>
      <w:r w:rsidRPr="003E305A">
        <w:rPr>
          <w:rFonts w:ascii="Arial Narrow" w:hAnsi="Arial Narrow"/>
        </w:rPr>
        <w:t xml:space="preserve"> encontra-se citada em A. Philonenko (2004) 944.</w:t>
      </w:r>
      <w:r>
        <w:rPr>
          <w:rFonts w:ascii="Arial Narrow" w:hAnsi="Arial Narrow"/>
        </w:rPr>
        <w:t xml:space="preserve"> Talvez se encontrasse em Novalis uma noção semelhante, como parece indicar </w:t>
      </w:r>
      <w:r w:rsidRPr="00584DFC">
        <w:rPr>
          <w:rFonts w:ascii="Arial Narrow" w:hAnsi="Arial Narrow"/>
        </w:rPr>
        <w:t xml:space="preserve">R. </w:t>
      </w:r>
      <w:r>
        <w:rPr>
          <w:rFonts w:ascii="Arial Narrow" w:hAnsi="Arial Narrow"/>
        </w:rPr>
        <w:t>D’O. Butler (1943) 39.</w:t>
      </w:r>
    </w:p>
  </w:footnote>
  <w:footnote w:id="44">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«O facto de algumas expressões radicais do nacionalismo», observ</w:t>
      </w:r>
      <w:r>
        <w:rPr>
          <w:rFonts w:ascii="Arial Narrow" w:hAnsi="Arial Narrow"/>
        </w:rPr>
        <w:t>ou</w:t>
      </w:r>
      <w:r w:rsidRPr="003E305A">
        <w:rPr>
          <w:rFonts w:ascii="Arial Narrow" w:hAnsi="Arial Narrow"/>
        </w:rPr>
        <w:t xml:space="preserve"> E. Balibar (1994) xiv a propósito </w:t>
      </w:r>
      <w:r>
        <w:rPr>
          <w:rFonts w:ascii="Arial Narrow" w:hAnsi="Arial Narrow"/>
        </w:rPr>
        <w:t xml:space="preserve">dos </w:t>
      </w:r>
      <w:r w:rsidRPr="003E305A">
        <w:rPr>
          <w:rFonts w:ascii="Arial Narrow" w:hAnsi="Arial Narrow"/>
          <w:i/>
        </w:rPr>
        <w:t>Discursos à Nação Alemã,</w:t>
      </w:r>
      <w:r w:rsidRPr="003E305A">
        <w:rPr>
          <w:rFonts w:ascii="Arial Narrow" w:hAnsi="Arial Narrow"/>
        </w:rPr>
        <w:t xml:space="preserve"> «terem as suas raízes em categorias e princípios não particularistas mas universalistas será um mistério para quem acreditar no carácter absoluto de alternativas como “individualismo ou holismo” e “racionalismo ou irracionalismo”». Não creio que devam ser estes os termos do «mistério», que se esclarece ao verificarmos que nacionalismo e imperialismo não se excluem.</w:t>
      </w:r>
    </w:p>
  </w:footnote>
  <w:footnote w:id="45">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identificação entre nação e raça na obra de Schleiermacher e de Ernst Moritz Arndt </w:t>
      </w:r>
      <w:r>
        <w:rPr>
          <w:rFonts w:ascii="Arial Narrow" w:hAnsi="Arial Narrow"/>
        </w:rPr>
        <w:t>foi</w:t>
      </w:r>
      <w:r w:rsidRPr="003E305A">
        <w:rPr>
          <w:rFonts w:ascii="Arial Narrow" w:hAnsi="Arial Narrow"/>
        </w:rPr>
        <w:t xml:space="preserve"> analisada por R. Aris (1965) 302 e 385. </w:t>
      </w:r>
      <w:r w:rsidR="007B40E9" w:rsidRPr="00B37A99">
        <w:rPr>
          <w:rFonts w:ascii="Arial Narrow" w:hAnsi="Arial Narrow"/>
        </w:rPr>
        <w:t xml:space="preserve">A. Quinchon-Caudal (2013) 17 mencionou a evolução de Arndt «para um racismo mais especificamente biológico». </w:t>
      </w:r>
      <w:r w:rsidRPr="003E305A">
        <w:rPr>
          <w:rFonts w:ascii="Arial Narrow" w:hAnsi="Arial Narrow"/>
        </w:rPr>
        <w:t xml:space="preserve">A propósito de Arndt ver </w:t>
      </w:r>
      <w:r w:rsidR="007B40E9">
        <w:rPr>
          <w:rFonts w:ascii="Arial Narrow" w:hAnsi="Arial Narrow"/>
        </w:rPr>
        <w:t>igualmente</w:t>
      </w:r>
      <w:r w:rsidRPr="003E305A">
        <w:rPr>
          <w:rFonts w:ascii="Arial Narrow" w:hAnsi="Arial Narrow"/>
        </w:rPr>
        <w:t xml:space="preserve"> L. Poliakov (1971) 117, que </w:t>
      </w:r>
      <w:r w:rsidR="007B40E9">
        <w:rPr>
          <w:rFonts w:ascii="Arial Narrow" w:hAnsi="Arial Narrow"/>
        </w:rPr>
        <w:t>indicou</w:t>
      </w:r>
      <w:r w:rsidRPr="003E305A">
        <w:rPr>
          <w:rFonts w:ascii="Arial Narrow" w:hAnsi="Arial Narrow"/>
        </w:rPr>
        <w:t xml:space="preserve"> ainda Friedrich Ludwig Jahn entre os autores que exaltaram o sangue germânico. </w:t>
      </w:r>
      <w:r w:rsidR="007B40E9">
        <w:rPr>
          <w:rFonts w:ascii="Arial Narrow" w:hAnsi="Arial Narrow"/>
        </w:rPr>
        <w:t xml:space="preserve">Também </w:t>
      </w:r>
      <w:r w:rsidR="007B40E9" w:rsidRPr="00B37A99">
        <w:rPr>
          <w:rFonts w:ascii="Arial Narrow" w:hAnsi="Arial Narrow"/>
        </w:rPr>
        <w:t xml:space="preserve">Anne Quinchon-Caudal, op. cit., 17-18 considerou que as sociedades de ginástica criadas por Jahn tinham uma finalidade eugenista. </w:t>
      </w:r>
      <w:r w:rsidRPr="003E305A">
        <w:rPr>
          <w:rFonts w:ascii="Arial Narrow" w:hAnsi="Arial Narrow"/>
        </w:rPr>
        <w:t xml:space="preserve">Afigura-se-me muito estranho que K. Mannheim (1986) não se tivesse apercebido do carácter fundamentalmente racista do conservadorismo germânico. A incompreensão é flagrante quando Karl Mannheim atribuiu </w:t>
      </w:r>
      <w:r>
        <w:rPr>
          <w:rFonts w:ascii="Arial Narrow" w:hAnsi="Arial Narrow"/>
        </w:rPr>
        <w:t>(</w:t>
      </w:r>
      <w:r w:rsidRPr="003E305A">
        <w:rPr>
          <w:rFonts w:ascii="Arial Narrow" w:hAnsi="Arial Narrow"/>
        </w:rPr>
        <w:t>págs. 92-93</w:t>
      </w:r>
      <w:r>
        <w:rPr>
          <w:rFonts w:ascii="Arial Narrow" w:hAnsi="Arial Narrow"/>
        </w:rPr>
        <w:t xml:space="preserve">) </w:t>
      </w:r>
      <w:r w:rsidRPr="003E305A">
        <w:rPr>
          <w:rFonts w:ascii="Arial Narrow" w:hAnsi="Arial Narrow"/>
        </w:rPr>
        <w:t>aos conservadores de expressão alemã concepções que situavam o indivíduo nos corpos sociais ou na nação, quando era no povo entendido enquanto raça que eles encontravam o único lugar para o indivíduo. Mais curioso ainda é Mannheim não ter visto</w:t>
      </w:r>
      <w:r>
        <w:rPr>
          <w:rFonts w:ascii="Arial Narrow" w:hAnsi="Arial Narrow"/>
        </w:rPr>
        <w:t xml:space="preserve"> (</w:t>
      </w:r>
      <w:r w:rsidRPr="003E305A">
        <w:rPr>
          <w:rFonts w:ascii="Arial Narrow" w:hAnsi="Arial Narrow"/>
        </w:rPr>
        <w:t>págs. 153 e segs.</w:t>
      </w:r>
      <w:r>
        <w:rPr>
          <w:rFonts w:ascii="Arial Narrow" w:hAnsi="Arial Narrow"/>
        </w:rPr>
        <w:t>)</w:t>
      </w:r>
      <w:r w:rsidRPr="003E305A">
        <w:rPr>
          <w:rFonts w:ascii="Arial Narrow" w:hAnsi="Arial Narrow"/>
        </w:rPr>
        <w:t xml:space="preserve"> que a escola histórica implicava, no contexto da cultura germânica, uma perspectiva estritamente racista da vida dos povos. Para um texto escrito na década de 1920, quando a sombra de Hitler crescia sobre toda a Alemanha, esta lacuna é propriamente intrigante.</w:t>
      </w:r>
    </w:p>
  </w:footnote>
  <w:footnote w:id="46">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t>
      </w:r>
      <w:r>
        <w:rPr>
          <w:rFonts w:ascii="Arial Narrow" w:hAnsi="Arial Narrow"/>
        </w:rPr>
        <w:t xml:space="preserve">R. D’O. Butler (1943) 68 e </w:t>
      </w:r>
      <w:r w:rsidRPr="003E305A">
        <w:rPr>
          <w:rFonts w:ascii="Arial Narrow" w:hAnsi="Arial Narrow"/>
        </w:rPr>
        <w:t xml:space="preserve">J. Droz (1966) 198. Segundo </w:t>
      </w:r>
      <w:r>
        <w:rPr>
          <w:rFonts w:ascii="Arial Narrow" w:hAnsi="Arial Narrow"/>
        </w:rPr>
        <w:t xml:space="preserve">Jacques Droz, </w:t>
      </w:r>
      <w:r w:rsidRPr="00F57435">
        <w:rPr>
          <w:rFonts w:ascii="Arial Narrow" w:hAnsi="Arial Narrow"/>
        </w:rPr>
        <w:t>op. cit.,</w:t>
      </w:r>
      <w:r>
        <w:rPr>
          <w:rFonts w:ascii="Arial Narrow" w:hAnsi="Arial Narrow"/>
        </w:rPr>
        <w:t xml:space="preserve"> </w:t>
      </w:r>
      <w:r w:rsidRPr="003E305A">
        <w:rPr>
          <w:rFonts w:ascii="Arial Narrow" w:hAnsi="Arial Narrow"/>
        </w:rPr>
        <w:t>194, o antropomorfismo era muito claro na obra de Joseph Görres, já que ele considerava as dualidades do corpo humano como modelo do organismo contraditório do Estado. Quanto à estima que o fascismo alemão mostr</w:t>
      </w:r>
      <w:r>
        <w:rPr>
          <w:rFonts w:ascii="Arial Narrow" w:hAnsi="Arial Narrow"/>
        </w:rPr>
        <w:t>ou</w:t>
      </w:r>
      <w:r w:rsidRPr="003E305A">
        <w:rPr>
          <w:rFonts w:ascii="Arial Narrow" w:hAnsi="Arial Narrow"/>
        </w:rPr>
        <w:t xml:space="preserve"> por Görres, basta recordar, com G. Lukács (1980) 193, que ele era considerado, juntamente com Adam Müller, um precursor mais importante do que Schelling.</w:t>
      </w:r>
    </w:p>
  </w:footnote>
  <w:footnote w:id="47">
    <w:p w:rsidR="00213D8D" w:rsidRPr="0051066C" w:rsidRDefault="00213D8D" w:rsidP="00DF4B40">
      <w:pPr>
        <w:pStyle w:val="Textodenotaderodap"/>
        <w:rPr>
          <w:rFonts w:ascii="Arial Narrow" w:hAnsi="Arial Narrow"/>
        </w:rPr>
      </w:pPr>
      <w:r w:rsidRPr="003E305A">
        <w:rPr>
          <w:rStyle w:val="Refdenotaderodap"/>
          <w:rFonts w:ascii="Arial Narrow" w:hAnsi="Arial Narrow"/>
        </w:rPr>
        <w:footnoteRef/>
      </w:r>
      <w:r w:rsidRPr="0051066C">
        <w:rPr>
          <w:rFonts w:ascii="Arial Narrow" w:hAnsi="Arial Narrow"/>
        </w:rPr>
        <w:t xml:space="preserve"> A. Herman (1997) 57. Segundo P. Watson (2011) 430, «Friedrich Schlegel foi o principal construtor do mito ariano».</w:t>
      </w:r>
    </w:p>
  </w:footnote>
  <w:footnote w:id="48">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Pichot (2000) 395, 397.</w:t>
      </w:r>
    </w:p>
  </w:footnote>
  <w:footnote w:id="49">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M. Bernal (1987) 224, 231, 232, 238, 305, 345; L. Poliakov (1971) 14, 117, 191, 193, 195, 265. </w:t>
      </w:r>
      <w:r w:rsidRPr="003E305A">
        <w:rPr>
          <w:rFonts w:ascii="Arial Narrow" w:hAnsi="Arial Narrow"/>
        </w:rPr>
        <w:t>Léon Poliakov</w:t>
      </w:r>
      <w:r>
        <w:rPr>
          <w:rFonts w:ascii="Arial Narrow" w:hAnsi="Arial Narrow"/>
        </w:rPr>
        <w:t>,</w:t>
      </w:r>
      <w:r w:rsidRPr="003E305A">
        <w:rPr>
          <w:rFonts w:ascii="Arial Narrow" w:hAnsi="Arial Narrow"/>
        </w:rPr>
        <w:t xml:space="preserve"> </w:t>
      </w:r>
      <w:r w:rsidRPr="00C17B77">
        <w:rPr>
          <w:rFonts w:ascii="Arial Narrow" w:hAnsi="Arial Narrow"/>
        </w:rPr>
        <w:t>op. cit.,</w:t>
      </w:r>
      <w:r w:rsidRPr="003E305A">
        <w:rPr>
          <w:rFonts w:ascii="Arial Narrow" w:hAnsi="Arial Narrow"/>
        </w:rPr>
        <w:t xml:space="preserve"> 87-92 pretende</w:t>
      </w:r>
      <w:r>
        <w:rPr>
          <w:rFonts w:ascii="Arial Narrow" w:hAnsi="Arial Narrow"/>
        </w:rPr>
        <w:t>u</w:t>
      </w:r>
      <w:r w:rsidRPr="003E305A">
        <w:rPr>
          <w:rFonts w:ascii="Arial Narrow" w:hAnsi="Arial Narrow"/>
        </w:rPr>
        <w:t xml:space="preserve"> que o sentimento de uma identidade colectiva germânica nasce</w:t>
      </w:r>
      <w:r>
        <w:rPr>
          <w:rFonts w:ascii="Arial Narrow" w:hAnsi="Arial Narrow"/>
        </w:rPr>
        <w:t>ra</w:t>
      </w:r>
      <w:r w:rsidRPr="003E305A">
        <w:rPr>
          <w:rFonts w:ascii="Arial Narrow" w:hAnsi="Arial Narrow"/>
        </w:rPr>
        <w:t>, cerca do século X, a partir da consciência de uma comunidade linguística e só mais tarde, já no século XVI, se encet</w:t>
      </w:r>
      <w:r>
        <w:rPr>
          <w:rFonts w:ascii="Arial Narrow" w:hAnsi="Arial Narrow"/>
        </w:rPr>
        <w:t>ara</w:t>
      </w:r>
      <w:r w:rsidRPr="003E305A">
        <w:rPr>
          <w:rFonts w:ascii="Arial Narrow" w:hAnsi="Arial Narrow"/>
        </w:rPr>
        <w:t xml:space="preserve"> a busca de um mítico antepassado comum, até finalmente se passar das genealogias ao sangue e se formular aquela identidade em termos raciais. Segundo esta </w:t>
      </w:r>
      <w:r>
        <w:rPr>
          <w:rFonts w:ascii="Arial Narrow" w:hAnsi="Arial Narrow"/>
        </w:rPr>
        <w:t>tese</w:t>
      </w:r>
      <w:r w:rsidRPr="003E305A">
        <w:rPr>
          <w:rFonts w:ascii="Arial Narrow" w:hAnsi="Arial Narrow"/>
        </w:rPr>
        <w:t xml:space="preserve">, o </w:t>
      </w:r>
      <w:r>
        <w:rPr>
          <w:rFonts w:ascii="Arial Narrow" w:hAnsi="Arial Narrow"/>
        </w:rPr>
        <w:t xml:space="preserve">percurso </w:t>
      </w:r>
      <w:r w:rsidRPr="003E305A">
        <w:rPr>
          <w:rFonts w:ascii="Arial Narrow" w:hAnsi="Arial Narrow"/>
        </w:rPr>
        <w:t xml:space="preserve">da língua </w:t>
      </w:r>
      <w:r>
        <w:rPr>
          <w:rFonts w:ascii="Arial Narrow" w:hAnsi="Arial Narrow"/>
        </w:rPr>
        <w:t xml:space="preserve">até à </w:t>
      </w:r>
      <w:r w:rsidRPr="003E305A">
        <w:rPr>
          <w:rFonts w:ascii="Arial Narrow" w:hAnsi="Arial Narrow"/>
        </w:rPr>
        <w:t>raça teria ocupado milenarmente a cultura germânica.</w:t>
      </w:r>
    </w:p>
  </w:footnote>
  <w:footnote w:id="50">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H. S. Chamberlain (1913) 1398-1399.</w:t>
      </w:r>
    </w:p>
  </w:footnote>
  <w:footnote w:id="51">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 Aris (1965) 210-211 mostr</w:t>
      </w:r>
      <w:r>
        <w:rPr>
          <w:rFonts w:ascii="Arial Narrow" w:hAnsi="Arial Narrow"/>
        </w:rPr>
        <w:t>ou</w:t>
      </w:r>
      <w:r w:rsidRPr="003E305A">
        <w:rPr>
          <w:rFonts w:ascii="Arial Narrow" w:hAnsi="Arial Narrow"/>
        </w:rPr>
        <w:t xml:space="preserve"> o carácter irracionalista do pensamento político romântico. A propósito do irracionalismo na obra de Herder ver J. Droz (1966) 17-18 e 37. Quanto ao mesmo tema nas teses de Ernst Moritz Arndt ver id., ibid., 187. Consultar também id., ibid., 223.</w:t>
      </w:r>
    </w:p>
  </w:footnote>
  <w:footnote w:id="52">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M. Bernal (1987) 206, 226.</w:t>
      </w:r>
    </w:p>
  </w:footnote>
  <w:footnote w:id="53">
    <w:p w:rsidR="00213D8D" w:rsidRPr="00DF4B40"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DF4B40">
        <w:rPr>
          <w:rFonts w:ascii="Arial Narrow" w:hAnsi="Arial Narrow"/>
        </w:rPr>
        <w:t xml:space="preserve"> R. Aris (1965) 242; R. D’O. Butler (1943) 29.</w:t>
      </w:r>
    </w:p>
  </w:footnote>
  <w:footnote w:id="54">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F. M. Barnard (1965) 157.</w:t>
      </w:r>
    </w:p>
  </w:footnote>
  <w:footnote w:id="55">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R. Aris (1965) 289.</w:t>
      </w:r>
    </w:p>
  </w:footnote>
  <w:footnote w:id="56">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Nolte (1965) 263 cham</w:t>
      </w:r>
      <w:r>
        <w:rPr>
          <w:rFonts w:ascii="Arial Narrow" w:hAnsi="Arial Narrow"/>
        </w:rPr>
        <w:t>ou</w:t>
      </w:r>
      <w:r w:rsidRPr="003E305A">
        <w:rPr>
          <w:rFonts w:ascii="Arial Narrow" w:hAnsi="Arial Narrow"/>
        </w:rPr>
        <w:t xml:space="preserve"> a atenção para o carácter paradoxalmente antigovernamental da tradição conservadora germânica.</w:t>
      </w:r>
    </w:p>
  </w:footnote>
  <w:footnote w:id="57">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J. Droz (1966) 19, 35, 44, 46-47, 70, 128, 187-188, 194, 223.</w:t>
      </w:r>
    </w:p>
  </w:footnote>
  <w:footnote w:id="58">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19, 35-37.</w:t>
      </w:r>
    </w:p>
  </w:footnote>
  <w:footnote w:id="59">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xml:space="preserve">, ibid., 44-46, 72-73, 82. </w:t>
      </w:r>
      <w:r w:rsidRPr="003E305A">
        <w:rPr>
          <w:rFonts w:ascii="Arial Narrow" w:hAnsi="Arial Narrow"/>
        </w:rPr>
        <w:t>Acerca da singularidade e, portanto, da diversidade dos elementos individuais no modelo herderiano de organismo ver F. M. Barnard (1965) 36-37 e 164.</w:t>
      </w:r>
    </w:p>
  </w:footnote>
  <w:footnote w:id="60">
    <w:p w:rsidR="00213D8D" w:rsidRPr="00B2463D" w:rsidRDefault="00213D8D" w:rsidP="00DF4B4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Droz (1966) 46.</w:t>
      </w:r>
    </w:p>
  </w:footnote>
  <w:footnote w:id="61">
    <w:p w:rsidR="00213D8D" w:rsidRPr="00B2463D" w:rsidRDefault="00213D8D" w:rsidP="00DF4B4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F. Neumann (1943) 128.</w:t>
      </w:r>
    </w:p>
  </w:footnote>
  <w:footnote w:id="62">
    <w:p w:rsidR="00213D8D" w:rsidRPr="00B2463D" w:rsidRDefault="00213D8D" w:rsidP="00DF4B4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Droz (1966) 189.</w:t>
      </w:r>
    </w:p>
  </w:footnote>
  <w:footnote w:id="6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K. Mannheim (1986) 141. Quanto às concepções de Adam Müller a respeito do Estado consultei: F. M. Barnard (1965) 158, 160; </w:t>
      </w:r>
      <w:r>
        <w:rPr>
          <w:rFonts w:ascii="Arial Narrow" w:hAnsi="Arial Narrow"/>
        </w:rPr>
        <w:t xml:space="preserve">R. D’O. Butler (1943) 81-86; </w:t>
      </w:r>
      <w:r w:rsidRPr="003E305A">
        <w:rPr>
          <w:rFonts w:ascii="Arial Narrow" w:hAnsi="Arial Narrow"/>
        </w:rPr>
        <w:t>J. Droz (1966) 72; K. Mannheim (1986) 98; H. S. Reiss (org. 1955) 28, 143 e segs. Também Novalis pretende</w:t>
      </w:r>
      <w:r>
        <w:rPr>
          <w:rFonts w:ascii="Arial Narrow" w:hAnsi="Arial Narrow"/>
        </w:rPr>
        <w:t>ra</w:t>
      </w:r>
      <w:r w:rsidRPr="003E305A">
        <w:rPr>
          <w:rFonts w:ascii="Arial Narrow" w:hAnsi="Arial Narrow"/>
        </w:rPr>
        <w:t xml:space="preserve"> que «as definições são um veneno para a ciência», como indic</w:t>
      </w:r>
      <w:r>
        <w:rPr>
          <w:rFonts w:ascii="Arial Narrow" w:hAnsi="Arial Narrow"/>
        </w:rPr>
        <w:t>ou</w:t>
      </w:r>
      <w:r w:rsidRPr="003E305A">
        <w:rPr>
          <w:rFonts w:ascii="Arial Narrow" w:hAnsi="Arial Narrow"/>
        </w:rPr>
        <w:t xml:space="preserve"> R. Aris (1965) 211.</w:t>
      </w:r>
      <w:r w:rsidR="00351771">
        <w:rPr>
          <w:rFonts w:ascii="Arial Narrow" w:hAnsi="Arial Narrow"/>
        </w:rPr>
        <w:t xml:space="preserve"> Quando </w:t>
      </w:r>
      <w:r w:rsidR="00351771" w:rsidRPr="00351771">
        <w:rPr>
          <w:rFonts w:ascii="Arial Narrow" w:hAnsi="Arial Narrow"/>
        </w:rPr>
        <w:t>Ph. Burrin (2000)</w:t>
      </w:r>
      <w:r w:rsidR="00351771">
        <w:rPr>
          <w:rFonts w:ascii="Arial Narrow" w:hAnsi="Arial Narrow"/>
        </w:rPr>
        <w:t xml:space="preserve"> </w:t>
      </w:r>
      <w:r w:rsidR="00963A22">
        <w:rPr>
          <w:rFonts w:ascii="Arial Narrow" w:hAnsi="Arial Narrow"/>
        </w:rPr>
        <w:t>134</w:t>
      </w:r>
      <w:r w:rsidR="00351771">
        <w:rPr>
          <w:rFonts w:ascii="Arial Narrow" w:hAnsi="Arial Narrow"/>
        </w:rPr>
        <w:t xml:space="preserve"> escreveu, referindo-se a Hitler, que «essa recusa das instituições, acusadas de imobilizarem artificialmente o “movimento da vida”, e a preferência pela relação pessoal em vez da </w:t>
      </w:r>
      <w:r w:rsidR="00963A22">
        <w:rPr>
          <w:rFonts w:ascii="Arial Narrow" w:hAnsi="Arial Narrow"/>
        </w:rPr>
        <w:t>r</w:t>
      </w:r>
      <w:r w:rsidR="00351771">
        <w:rPr>
          <w:rFonts w:ascii="Arial Narrow" w:hAnsi="Arial Narrow"/>
        </w:rPr>
        <w:t>elação de tipo racional-jurídico», ele mostrou simplesmente a influência exercida pelo pensamento de Müller sobre o nacional-socialismo.</w:t>
      </w:r>
      <w:r w:rsidR="00E305FB">
        <w:rPr>
          <w:rFonts w:ascii="Arial Narrow" w:hAnsi="Arial Narrow"/>
        </w:rPr>
        <w:t xml:space="preserve"> O mesmo </w:t>
      </w:r>
      <w:r w:rsidR="005C6601">
        <w:rPr>
          <w:rFonts w:ascii="Arial Narrow" w:hAnsi="Arial Narrow"/>
        </w:rPr>
        <w:t xml:space="preserve">posso dizer </w:t>
      </w:r>
      <w:r w:rsidR="00E305FB">
        <w:rPr>
          <w:rFonts w:ascii="Arial Narrow" w:hAnsi="Arial Narrow"/>
        </w:rPr>
        <w:t xml:space="preserve">a respeito da caracterização do conservadorismo revolucionário durante a república de Weimar por </w:t>
      </w:r>
      <w:r w:rsidR="00E305FB" w:rsidRPr="00B37A99">
        <w:rPr>
          <w:rFonts w:ascii="Arial Narrow" w:hAnsi="Arial Narrow"/>
        </w:rPr>
        <w:t>J. Herf (1986) 27.</w:t>
      </w:r>
    </w:p>
  </w:footnote>
  <w:footnote w:id="64">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Um longo extracto da conferência proferida por Adam Müller a 22 de Novembro de 1808 encontra-se antologiado em H. S. Reiss (org. 1955) 143 e segs. As passagens citadas vêm nas págs. 144-145 e 157. Ver ainda R. Aris (1965) 310.</w:t>
      </w:r>
    </w:p>
  </w:footnote>
  <w:footnote w:id="65">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J. Droz (1966) 178-179, 296, 298-299.</w:t>
      </w:r>
    </w:p>
  </w:footnote>
  <w:footnote w:id="66">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Id., ibid., 296.</w:t>
      </w:r>
    </w:p>
  </w:footnote>
  <w:footnote w:id="67">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DF4B40">
        <w:rPr>
          <w:rFonts w:ascii="Arial Narrow" w:hAnsi="Arial Narrow"/>
          <w:lang w:val="en-US"/>
        </w:rPr>
        <w:t xml:space="preserve"> F. Neumann (1943) 135. </w:t>
      </w:r>
      <w:r w:rsidRPr="003E305A">
        <w:rPr>
          <w:rFonts w:ascii="Arial Narrow" w:hAnsi="Arial Narrow"/>
        </w:rPr>
        <w:t>Acerca da emancipação jurídica dos judeus promovida pelo imperialismo napoleónico ver igualmente J. Droz (1966) 135. Note-se que a hostilidade de Fichte aos judeus não o impediu de considerar Salomon Maimon como o grande renovador do pensamento de Kant e de ter sido profundamente influenciado pela maneira como Maimon formulara as questões filosóficas, segundo indic</w:t>
      </w:r>
      <w:r>
        <w:rPr>
          <w:rFonts w:ascii="Arial Narrow" w:hAnsi="Arial Narrow"/>
        </w:rPr>
        <w:t>ou</w:t>
      </w:r>
      <w:r w:rsidRPr="003E305A">
        <w:rPr>
          <w:rFonts w:ascii="Arial Narrow" w:hAnsi="Arial Narrow"/>
        </w:rPr>
        <w:t xml:space="preserve"> E. Cassirer (1993) III 159 e segs.</w:t>
      </w:r>
    </w:p>
  </w:footnote>
  <w:footnote w:id="68">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R. Aris (1965) 386; J. Droz (1966) 187.</w:t>
      </w:r>
    </w:p>
  </w:footnote>
  <w:footnote w:id="69">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DF4B40">
        <w:rPr>
          <w:rFonts w:ascii="Arial Narrow" w:hAnsi="Arial Narrow"/>
          <w:lang w:val="en-US"/>
        </w:rPr>
        <w:t xml:space="preserve"> R. Aris (1965) 401. </w:t>
      </w:r>
      <w:r w:rsidRPr="003E305A">
        <w:rPr>
          <w:rFonts w:ascii="Arial Narrow" w:hAnsi="Arial Narrow"/>
        </w:rPr>
        <w:t>Este autor pretende</w:t>
      </w:r>
      <w:r>
        <w:rPr>
          <w:rFonts w:ascii="Arial Narrow" w:hAnsi="Arial Narrow"/>
        </w:rPr>
        <w:t>u</w:t>
      </w:r>
      <w:r w:rsidRPr="003E305A">
        <w:rPr>
          <w:rFonts w:ascii="Arial Narrow" w:hAnsi="Arial Narrow"/>
        </w:rPr>
        <w:t xml:space="preserve"> (págs. 401-402) que o anti-semitismo dos românticos germânicos se devia a motivos políticos e não raciais. Mas como ele próprio cham</w:t>
      </w:r>
      <w:r>
        <w:rPr>
          <w:rFonts w:ascii="Arial Narrow" w:hAnsi="Arial Narrow"/>
        </w:rPr>
        <w:t>ou</w:t>
      </w:r>
      <w:r w:rsidRPr="003E305A">
        <w:rPr>
          <w:rFonts w:ascii="Arial Narrow" w:hAnsi="Arial Narrow"/>
        </w:rPr>
        <w:t xml:space="preserve"> a atenção (págs. 302, 385) para o carácter racial do nacionalismo de Arndt e de Schleiermacher, por exemplo, é difícil sustentar que o germanismo podia </w:t>
      </w:r>
      <w:r>
        <w:rPr>
          <w:rFonts w:ascii="Arial Narrow" w:hAnsi="Arial Narrow"/>
        </w:rPr>
        <w:t>afirmar-se no plano rácico</w:t>
      </w:r>
      <w:r w:rsidR="00143BB0">
        <w:rPr>
          <w:rFonts w:ascii="Arial Narrow" w:hAnsi="Arial Narrow"/>
        </w:rPr>
        <w:t>,</w:t>
      </w:r>
      <w:r>
        <w:rPr>
          <w:rFonts w:ascii="Arial Narrow" w:hAnsi="Arial Narrow"/>
        </w:rPr>
        <w:t xml:space="preserve"> </w:t>
      </w:r>
      <w:r w:rsidR="00143BB0">
        <w:rPr>
          <w:rFonts w:ascii="Arial Narrow" w:hAnsi="Arial Narrow"/>
        </w:rPr>
        <w:t xml:space="preserve">mas não </w:t>
      </w:r>
      <w:r w:rsidRPr="003E305A">
        <w:rPr>
          <w:rFonts w:ascii="Arial Narrow" w:hAnsi="Arial Narrow"/>
        </w:rPr>
        <w:t>o anti-semitismo. Por seu lado, J. Droz (1966) 236 n. 2 consider</w:t>
      </w:r>
      <w:r>
        <w:rPr>
          <w:rFonts w:ascii="Arial Narrow" w:hAnsi="Arial Narrow"/>
        </w:rPr>
        <w:t>ou</w:t>
      </w:r>
      <w:r w:rsidRPr="003E305A">
        <w:rPr>
          <w:rFonts w:ascii="Arial Narrow" w:hAnsi="Arial Narrow"/>
        </w:rPr>
        <w:t xml:space="preserve"> que «este anti-semitismo se revestiu de um carácter mais económico do que racial». Ambos os aspectos, porém, afiguram-se-me indissociáveis no romantismo germânico, em que os traços culturais eram considerados expressões de uma especificidade </w:t>
      </w:r>
      <w:r>
        <w:rPr>
          <w:rFonts w:ascii="Arial Narrow" w:hAnsi="Arial Narrow"/>
        </w:rPr>
        <w:t>racial</w:t>
      </w:r>
      <w:r w:rsidRPr="003E305A">
        <w:rPr>
          <w:rFonts w:ascii="Arial Narrow" w:hAnsi="Arial Narrow"/>
        </w:rPr>
        <w:t>.</w:t>
      </w:r>
      <w:r w:rsidRPr="003943FF">
        <w:rPr>
          <w:rFonts w:ascii="Arial Narrow" w:hAnsi="Arial Narrow"/>
        </w:rPr>
        <w:t xml:space="preserve"> </w:t>
      </w:r>
      <w:r>
        <w:rPr>
          <w:rFonts w:ascii="Arial Narrow" w:hAnsi="Arial Narrow"/>
        </w:rPr>
        <w:t xml:space="preserve">Note-se que, </w:t>
      </w:r>
      <w:r w:rsidRPr="003E305A">
        <w:rPr>
          <w:rFonts w:ascii="Arial Narrow" w:hAnsi="Arial Narrow"/>
        </w:rPr>
        <w:t>a crer em L. Poliakov (1971) 191, Friedrich von Schlegel não só ignorou o anti-semitismo como defendeu activamente a emancipação dos judeus.</w:t>
      </w:r>
    </w:p>
  </w:footnote>
  <w:footnote w:id="70">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F. Neumann (1943) 236.</w:t>
      </w:r>
      <w:r>
        <w:rPr>
          <w:rFonts w:ascii="Arial Narrow" w:hAnsi="Arial Narrow"/>
        </w:rPr>
        <w:t xml:space="preserve"> Ver igualmente R. D’O. Butler (1943) 110 e 126-127.</w:t>
      </w:r>
    </w:p>
  </w:footnote>
  <w:footnote w:id="71">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F. Neumann (1943) 236.</w:t>
      </w:r>
    </w:p>
  </w:footnote>
  <w:footnote w:id="72">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Quanto a este duplo aspecto do liberalismo alemão </w:t>
      </w:r>
      <w:r w:rsidR="00AB0B5C">
        <w:rPr>
          <w:rFonts w:ascii="Arial Narrow" w:hAnsi="Arial Narrow"/>
        </w:rPr>
        <w:t>durante</w:t>
      </w:r>
      <w:r w:rsidRPr="003E305A">
        <w:rPr>
          <w:rFonts w:ascii="Arial Narrow" w:hAnsi="Arial Narrow"/>
        </w:rPr>
        <w:t xml:space="preserve"> o Segundo Reich ver id., ibid., 234-242.</w:t>
      </w:r>
      <w:r w:rsidR="003C46A1">
        <w:rPr>
          <w:rFonts w:ascii="Arial Narrow" w:hAnsi="Arial Narrow"/>
        </w:rPr>
        <w:t xml:space="preserve"> Ver igualmente </w:t>
      </w:r>
      <w:r w:rsidR="003C46A1" w:rsidRPr="001C409B">
        <w:rPr>
          <w:rFonts w:ascii="Arial Narrow" w:hAnsi="Arial Narrow"/>
        </w:rPr>
        <w:t>W. Lepenies (2006) 109.</w:t>
      </w:r>
    </w:p>
  </w:footnote>
  <w:footnote w:id="7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passagem da entrada de 5 de Setembro de 1944 encontra-se em M. Chalmers (org. 2006 b) 409.</w:t>
      </w:r>
    </w:p>
  </w:footnote>
  <w:footnote w:id="74">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Ch. Darwin (1990 b) 78.</w:t>
      </w:r>
    </w:p>
  </w:footnote>
  <w:footnote w:id="75">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173.</w:t>
      </w:r>
    </w:p>
  </w:footnote>
  <w:footnote w:id="76">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xml:space="preserve"> (1990 a) 45.</w:t>
      </w:r>
    </w:p>
  </w:footnote>
  <w:footnote w:id="77">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Id., ibid., 471.</w:t>
      </w:r>
    </w:p>
  </w:footnote>
  <w:footnote w:id="78">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Id., ibid., 73.</w:t>
      </w:r>
    </w:p>
  </w:footnote>
  <w:footnote w:id="79">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B. Russell (2004) 692 observ</w:t>
      </w:r>
      <w:r>
        <w:rPr>
          <w:rFonts w:ascii="Arial Narrow" w:hAnsi="Arial Narrow"/>
        </w:rPr>
        <w:t>ou</w:t>
      </w:r>
      <w:r w:rsidRPr="003E305A">
        <w:rPr>
          <w:rFonts w:ascii="Arial Narrow" w:hAnsi="Arial Narrow"/>
        </w:rPr>
        <w:t xml:space="preserve"> que Darwin aplic</w:t>
      </w:r>
      <w:r>
        <w:rPr>
          <w:rFonts w:ascii="Arial Narrow" w:hAnsi="Arial Narrow"/>
        </w:rPr>
        <w:t>ara</w:t>
      </w:r>
      <w:r w:rsidRPr="003E305A">
        <w:rPr>
          <w:rFonts w:ascii="Arial Narrow" w:hAnsi="Arial Narrow"/>
        </w:rPr>
        <w:t xml:space="preserve"> ao mundo animal e vegetal o modelo da economia livre-concorrencial e acrescent</w:t>
      </w:r>
      <w:r>
        <w:rPr>
          <w:rFonts w:ascii="Arial Narrow" w:hAnsi="Arial Narrow"/>
        </w:rPr>
        <w:t>ou</w:t>
      </w:r>
      <w:r w:rsidRPr="003E305A">
        <w:rPr>
          <w:rFonts w:ascii="Arial Narrow" w:hAnsi="Arial Narrow"/>
        </w:rPr>
        <w:t xml:space="preserve"> </w:t>
      </w:r>
      <w:r>
        <w:rPr>
          <w:rFonts w:ascii="Arial Narrow" w:hAnsi="Arial Narrow"/>
        </w:rPr>
        <w:t>(</w:t>
      </w:r>
      <w:r w:rsidRPr="003E305A">
        <w:rPr>
          <w:rFonts w:ascii="Arial Narrow" w:hAnsi="Arial Narrow"/>
        </w:rPr>
        <w:t>pág. 743</w:t>
      </w:r>
      <w:r>
        <w:rPr>
          <w:rFonts w:ascii="Arial Narrow" w:hAnsi="Arial Narrow"/>
        </w:rPr>
        <w:t xml:space="preserve">) </w:t>
      </w:r>
      <w:r w:rsidRPr="003E305A">
        <w:rPr>
          <w:rFonts w:ascii="Arial Narrow" w:hAnsi="Arial Narrow"/>
        </w:rPr>
        <w:t>que se tratava de «uma livre concorrência global, na qual a vitória cabia aos animais que mais se parecessem com os capitalistas bem sucedidos». Na área ideológica do darwinismo, o filósofo britânico Herbert Spencer, a quem se deve a expressão «sobrevivência dos mais aptos», considerava que a selecção natural entre indivíduos e entre espécies ocorria de maneira análoga à concorrência entre particulares e entre empresas, e que assim como a concorrência económica suscitava o progresso social também a luta pela vida levava ao progresso na evolução biológica. Ver H. B. Acton (2002 a) 280. Do mesmo modo, o filósofo norte-americano Charles Sanders Peirce admiti</w:t>
      </w:r>
      <w:r>
        <w:rPr>
          <w:rFonts w:ascii="Arial Narrow" w:hAnsi="Arial Narrow"/>
        </w:rPr>
        <w:t>u</w:t>
      </w:r>
      <w:r w:rsidRPr="003E305A">
        <w:rPr>
          <w:rFonts w:ascii="Arial Narrow" w:hAnsi="Arial Narrow"/>
        </w:rPr>
        <w:t xml:space="preserve"> que o princípio da selecção natural prevalecente nas questões práticas da vida, </w:t>
      </w:r>
      <w:r>
        <w:rPr>
          <w:rFonts w:ascii="Arial Narrow" w:hAnsi="Arial Narrow"/>
        </w:rPr>
        <w:t xml:space="preserve">que nos </w:t>
      </w:r>
      <w:r w:rsidRPr="003E305A">
        <w:rPr>
          <w:rFonts w:ascii="Arial Narrow" w:hAnsi="Arial Narrow"/>
        </w:rPr>
        <w:t>leva a renunciar às ideias erradas, «corresponde noutro domínio à lei da oferta e da procura». Citado em id. (2002 b) 379.</w:t>
      </w:r>
    </w:p>
  </w:footnote>
  <w:footnote w:id="80">
    <w:p w:rsidR="00213D8D" w:rsidRPr="003E305A" w:rsidRDefault="00213D8D" w:rsidP="00EB7AB2">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 Hilberg (1961) 13.</w:t>
      </w:r>
    </w:p>
  </w:footnote>
  <w:footnote w:id="81">
    <w:p w:rsidR="00213D8D" w:rsidRPr="00055C1E"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055C1E">
        <w:rPr>
          <w:rFonts w:ascii="Arial Narrow" w:hAnsi="Arial Narrow"/>
        </w:rPr>
        <w:t xml:space="preserve"> L. Poliakov (1971) 227-228, 236.</w:t>
      </w:r>
    </w:p>
  </w:footnote>
  <w:footnote w:id="82">
    <w:p w:rsidR="00213D8D" w:rsidRPr="00055C1E"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055C1E">
        <w:rPr>
          <w:rFonts w:ascii="Arial Narrow" w:hAnsi="Arial Narrow"/>
        </w:rPr>
        <w:t xml:space="preserve"> Id., ibid., 151 e segs.</w:t>
      </w:r>
    </w:p>
  </w:footnote>
  <w:footnote w:id="83">
    <w:p w:rsidR="00213D8D" w:rsidRPr="001B4E9E" w:rsidRDefault="00213D8D">
      <w:pPr>
        <w:pStyle w:val="Textodenotaderodap"/>
        <w:rPr>
          <w:rFonts w:ascii="Arial Narrow" w:hAnsi="Arial Narrow"/>
        </w:rPr>
      </w:pPr>
      <w:r w:rsidRPr="001B4E9E">
        <w:rPr>
          <w:rStyle w:val="Refdenotaderodap"/>
          <w:rFonts w:ascii="Arial Narrow" w:hAnsi="Arial Narrow"/>
        </w:rPr>
        <w:footnoteRef/>
      </w:r>
      <w:r w:rsidRPr="001B4E9E">
        <w:rPr>
          <w:rFonts w:ascii="Arial Narrow" w:hAnsi="Arial Narrow"/>
        </w:rPr>
        <w:t xml:space="preserve"> </w:t>
      </w:r>
      <w:r>
        <w:rPr>
          <w:rFonts w:ascii="Arial Narrow" w:hAnsi="Arial Narrow"/>
        </w:rPr>
        <w:t xml:space="preserve">S. G. Payne (2003 a) 126 observou que a divisão da humanidade em raças distintas iniciou-se no século XVIII em termos </w:t>
      </w:r>
      <w:r w:rsidR="004639C9">
        <w:rPr>
          <w:rFonts w:ascii="Arial Narrow" w:hAnsi="Arial Narrow"/>
        </w:rPr>
        <w:t xml:space="preserve">apenas </w:t>
      </w:r>
      <w:r>
        <w:rPr>
          <w:rFonts w:ascii="Arial Narrow" w:hAnsi="Arial Narrow"/>
        </w:rPr>
        <w:t>descritivos e só ao longo do século XIX se converteu numa hierarquização biológica.</w:t>
      </w:r>
    </w:p>
  </w:footnote>
  <w:footnote w:id="84">
    <w:p w:rsidR="00213D8D" w:rsidRPr="00806279" w:rsidRDefault="00213D8D" w:rsidP="00DF4B40">
      <w:pPr>
        <w:pStyle w:val="Textodenotaderodap"/>
        <w:ind w:firstLine="708"/>
        <w:rPr>
          <w:rFonts w:ascii="Arial Narrow" w:hAnsi="Arial Narrow"/>
          <w:lang w:val="en-US"/>
        </w:rPr>
      </w:pPr>
      <w:r w:rsidRPr="003E305A">
        <w:rPr>
          <w:rStyle w:val="Refdenotaderodap"/>
          <w:rFonts w:ascii="Arial Narrow" w:hAnsi="Arial Narrow"/>
        </w:rPr>
        <w:footnoteRef/>
      </w:r>
      <w:r w:rsidRPr="00806279">
        <w:rPr>
          <w:rFonts w:ascii="Arial Narrow" w:hAnsi="Arial Narrow"/>
          <w:lang w:val="en-US"/>
        </w:rPr>
        <w:t xml:space="preserve"> A. Pichot (2000) 183.</w:t>
      </w:r>
    </w:p>
  </w:footnote>
  <w:footnote w:id="85">
    <w:p w:rsidR="00213D8D" w:rsidRPr="00CF3FA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806279">
        <w:rPr>
          <w:rFonts w:ascii="Arial Narrow" w:hAnsi="Arial Narrow"/>
          <w:lang w:val="en-US"/>
        </w:rPr>
        <w:t xml:space="preserve"> E. Black (2003) 411.</w:t>
      </w:r>
    </w:p>
  </w:footnote>
  <w:footnote w:id="86">
    <w:p w:rsidR="00213D8D" w:rsidRPr="00DB5B98" w:rsidRDefault="00213D8D">
      <w:pPr>
        <w:pStyle w:val="Textodenotaderodap"/>
        <w:rPr>
          <w:rFonts w:ascii="Arial Narrow" w:hAnsi="Arial Narrow"/>
        </w:rPr>
      </w:pPr>
      <w:r w:rsidRPr="00C20E9D">
        <w:rPr>
          <w:rStyle w:val="Refdenotaderodap"/>
          <w:rFonts w:ascii="Arial Narrow" w:hAnsi="Arial Narrow"/>
        </w:rPr>
        <w:footnoteRef/>
      </w:r>
      <w:r w:rsidRPr="00055C1E">
        <w:rPr>
          <w:rFonts w:ascii="Arial Narrow" w:hAnsi="Arial Narrow"/>
          <w:lang w:val="en-US"/>
        </w:rPr>
        <w:t xml:space="preserve"> Sh. F. Weiss (2010) 66. </w:t>
      </w:r>
      <w:r w:rsidRPr="00DB5B98">
        <w:rPr>
          <w:rFonts w:ascii="Arial Narrow" w:hAnsi="Arial Narrow"/>
        </w:rPr>
        <w:t>Ver também as p</w:t>
      </w:r>
      <w:r>
        <w:rPr>
          <w:rFonts w:ascii="Arial Narrow" w:hAnsi="Arial Narrow"/>
        </w:rPr>
        <w:t>ágs. 3 e 42.</w:t>
      </w:r>
    </w:p>
  </w:footnote>
  <w:footnote w:id="87">
    <w:p w:rsidR="00213D8D" w:rsidRPr="00055C1E" w:rsidRDefault="00213D8D">
      <w:pPr>
        <w:pStyle w:val="Textodenotaderodap"/>
        <w:rPr>
          <w:rFonts w:ascii="Arial Narrow" w:hAnsi="Arial Narrow"/>
          <w:lang w:val="en-US"/>
        </w:rPr>
      </w:pPr>
      <w:r w:rsidRPr="00B55F75">
        <w:rPr>
          <w:rStyle w:val="Refdenotaderodap"/>
          <w:rFonts w:ascii="Arial Narrow" w:hAnsi="Arial Narrow"/>
        </w:rPr>
        <w:footnoteRef/>
      </w:r>
      <w:r w:rsidRPr="00055C1E">
        <w:rPr>
          <w:rFonts w:ascii="Arial Narrow" w:hAnsi="Arial Narrow"/>
          <w:lang w:val="en-US"/>
        </w:rPr>
        <w:t xml:space="preserve"> A. Pichot (2000) 182 e segs.; Sh. F. Weiss (2010) 8.</w:t>
      </w:r>
    </w:p>
  </w:footnote>
  <w:footnote w:id="88">
    <w:p w:rsidR="00A27964" w:rsidRPr="00A27964" w:rsidRDefault="00A27964">
      <w:pPr>
        <w:pStyle w:val="Textodenotaderodap"/>
        <w:rPr>
          <w:rFonts w:ascii="Arial Narrow" w:hAnsi="Arial Narrow"/>
        </w:rPr>
      </w:pPr>
      <w:r w:rsidRPr="00A27964">
        <w:rPr>
          <w:rStyle w:val="Refdenotaderodap"/>
          <w:rFonts w:ascii="Arial Narrow" w:hAnsi="Arial Narrow"/>
        </w:rPr>
        <w:footnoteRef/>
      </w:r>
      <w:r w:rsidRPr="00A27964">
        <w:rPr>
          <w:rFonts w:ascii="Arial Narrow" w:hAnsi="Arial Narrow"/>
        </w:rPr>
        <w:t xml:space="preserve"> </w:t>
      </w:r>
      <w:r w:rsidRPr="00DB5539">
        <w:rPr>
          <w:rFonts w:ascii="Arial Narrow" w:hAnsi="Arial Narrow"/>
        </w:rPr>
        <w:t>L. Stoddard (1922)</w:t>
      </w:r>
      <w:r>
        <w:rPr>
          <w:rFonts w:ascii="Arial Narrow" w:hAnsi="Arial Narrow"/>
        </w:rPr>
        <w:t xml:space="preserve"> 238-239.</w:t>
      </w:r>
      <w:r w:rsidR="00D46EE5">
        <w:rPr>
          <w:rFonts w:ascii="Arial Narrow" w:hAnsi="Arial Narrow"/>
        </w:rPr>
        <w:t xml:space="preserve"> </w:t>
      </w:r>
      <w:r w:rsidR="00D46EE5" w:rsidRPr="003E305A">
        <w:rPr>
          <w:rFonts w:ascii="Arial Narrow" w:hAnsi="Arial Narrow"/>
        </w:rPr>
        <w:t>Acerca das relações entre Lothrop Stoddard e o Ku Klux Klan ver A. Herman (1997) 184.</w:t>
      </w:r>
    </w:p>
  </w:footnote>
  <w:footnote w:id="89">
    <w:p w:rsidR="00213D8D" w:rsidRPr="00D358A0" w:rsidRDefault="00213D8D">
      <w:pPr>
        <w:pStyle w:val="Textodenotaderodap"/>
        <w:rPr>
          <w:rFonts w:ascii="Arial Narrow" w:hAnsi="Arial Narrow"/>
        </w:rPr>
      </w:pPr>
      <w:r w:rsidRPr="00D358A0">
        <w:rPr>
          <w:rStyle w:val="Refdenotaderodap"/>
          <w:rFonts w:ascii="Arial Narrow" w:hAnsi="Arial Narrow"/>
        </w:rPr>
        <w:footnoteRef/>
      </w:r>
      <w:r w:rsidRPr="00D358A0">
        <w:rPr>
          <w:rFonts w:ascii="Arial Narrow" w:hAnsi="Arial Narrow"/>
        </w:rPr>
        <w:t xml:space="preserve"> </w:t>
      </w:r>
      <w:r>
        <w:rPr>
          <w:rFonts w:ascii="Arial Narrow" w:hAnsi="Arial Narrow"/>
        </w:rPr>
        <w:t>J. Goldberg (2009) 247.</w:t>
      </w:r>
    </w:p>
  </w:footnote>
  <w:footnote w:id="90">
    <w:p w:rsidR="003B7C37" w:rsidRPr="003B7C37" w:rsidRDefault="003B7C37">
      <w:pPr>
        <w:pStyle w:val="Textodenotaderodap"/>
        <w:rPr>
          <w:rFonts w:ascii="Arial Narrow" w:hAnsi="Arial Narrow"/>
        </w:rPr>
      </w:pPr>
      <w:r w:rsidRPr="003B7C37">
        <w:rPr>
          <w:rStyle w:val="Refdenotaderodap"/>
          <w:rFonts w:ascii="Arial Narrow" w:hAnsi="Arial Narrow"/>
        </w:rPr>
        <w:footnoteRef/>
      </w:r>
      <w:r w:rsidRPr="003B7C37">
        <w:rPr>
          <w:rFonts w:ascii="Arial Narrow" w:hAnsi="Arial Narrow"/>
        </w:rPr>
        <w:t xml:space="preserve"> </w:t>
      </w:r>
      <w:r w:rsidRPr="00DB5539">
        <w:rPr>
          <w:rFonts w:ascii="Arial Narrow" w:hAnsi="Arial Narrow"/>
        </w:rPr>
        <w:t>L. Stoddard (1922) 48-</w:t>
      </w:r>
      <w:r w:rsidR="00E372B8" w:rsidRPr="00DB5539">
        <w:rPr>
          <w:rFonts w:ascii="Arial Narrow" w:hAnsi="Arial Narrow"/>
        </w:rPr>
        <w:t>55</w:t>
      </w:r>
      <w:r w:rsidRPr="00DB5539">
        <w:rPr>
          <w:rFonts w:ascii="Arial Narrow" w:hAnsi="Arial Narrow"/>
        </w:rPr>
        <w:t>.</w:t>
      </w:r>
    </w:p>
  </w:footnote>
  <w:footnote w:id="91">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São as palavras empregues por Flaubert, como se vê em A. Herman (1997) 121 n.</w:t>
      </w:r>
    </w:p>
  </w:footnote>
  <w:footnote w:id="92">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120-122.</w:t>
      </w:r>
    </w:p>
  </w:footnote>
  <w:footnote w:id="93">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L. Poliakov (1971) 34.</w:t>
      </w:r>
    </w:p>
  </w:footnote>
  <w:footnote w:id="94">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F. Boas (1938) 19; J. P. Faye (1972) 17e segs.; id. (1980) 525-526; L. Poliakov (1971) 36.</w:t>
      </w:r>
    </w:p>
  </w:footnote>
  <w:footnote w:id="95">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L. Poliakov (1971) 40.</w:t>
      </w:r>
    </w:p>
  </w:footnote>
  <w:footnote w:id="96">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42.</w:t>
      </w:r>
    </w:p>
  </w:footnote>
  <w:footnote w:id="97">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43.</w:t>
      </w:r>
    </w:p>
  </w:footnote>
  <w:footnote w:id="98">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J. P. Faye (1972) 22.</w:t>
      </w:r>
      <w:r>
        <w:rPr>
          <w:rFonts w:ascii="Arial Narrow" w:hAnsi="Arial Narrow"/>
        </w:rPr>
        <w:t xml:space="preserve"> </w:t>
      </w:r>
      <w:r w:rsidRPr="003E305A">
        <w:rPr>
          <w:rFonts w:ascii="Arial Narrow" w:hAnsi="Arial Narrow"/>
        </w:rPr>
        <w:t xml:space="preserve">Defendendo uma noção de história que supunha a sucessão de patamares de progresso, cada um mais elevado do que o anterior, e </w:t>
      </w:r>
      <w:r>
        <w:rPr>
          <w:rFonts w:ascii="Arial Narrow" w:hAnsi="Arial Narrow"/>
        </w:rPr>
        <w:t xml:space="preserve">efectuando assim uma profissão de fé de </w:t>
      </w:r>
      <w:r w:rsidRPr="003E305A">
        <w:rPr>
          <w:rFonts w:ascii="Arial Narrow" w:hAnsi="Arial Narrow"/>
        </w:rPr>
        <w:t>marxismo ortodoxo, Lukács considerou que para Thierry a concepção de uma oposição entre francos e gauleses constituíra a fase preparatória de uma concepção de luta de classes, enquanto o processo ideológico teria sido inverso para os autores posteriores, que recorreram à evocação de ilusórios conflitos raciais para apagar os antagonismos reais entre classes. Ver G. Lukacs (1965) 195-196. Não creio que haja motivo para proceder a esta periodização e parece-me que existiu uma verdadeira linha de continuidade multi-secular no mito do confronto entre francos e gauleses. Em vez de ter promovido a mitologia racial a um estádio superior, Thierry simplesmente emancipou-se dela, deixando-a continuar o seu caminho.</w:t>
      </w:r>
    </w:p>
  </w:footnote>
  <w:footnote w:id="99">
    <w:p w:rsidR="00213D8D" w:rsidRPr="003E305A" w:rsidRDefault="00213D8D" w:rsidP="00DF4B4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L. Poliakov (1971) 44.</w:t>
      </w:r>
    </w:p>
  </w:footnote>
  <w:footnote w:id="100">
    <w:p w:rsidR="00213D8D" w:rsidRPr="003E305A" w:rsidRDefault="00213D8D" w:rsidP="00DF4B4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Id., ibid., 43.</w:t>
      </w:r>
    </w:p>
  </w:footnote>
  <w:footnote w:id="101">
    <w:p w:rsidR="00213D8D" w:rsidRPr="003E305A" w:rsidRDefault="00213D8D" w:rsidP="00DF4B4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Balzac, </w:t>
      </w:r>
      <w:r w:rsidRPr="003E305A">
        <w:rPr>
          <w:rFonts w:ascii="Arial Narrow" w:hAnsi="Arial Narrow"/>
          <w:i/>
          <w:lang w:val="fr-FR"/>
        </w:rPr>
        <w:t>Le Cabinet des Antiques,</w:t>
      </w:r>
      <w:r w:rsidRPr="003E305A">
        <w:rPr>
          <w:rFonts w:ascii="Arial Narrow" w:hAnsi="Arial Narrow"/>
          <w:lang w:val="fr-FR"/>
        </w:rPr>
        <w:t xml:space="preserve"> em Balzac (1976-1981) IV 966, 986, 994, 1096; id., </w:t>
      </w:r>
      <w:r w:rsidRPr="003E305A">
        <w:rPr>
          <w:rFonts w:ascii="Arial Narrow" w:hAnsi="Arial Narrow"/>
          <w:i/>
          <w:lang w:val="fr-FR"/>
        </w:rPr>
        <w:t>Illusions Perdues,</w:t>
      </w:r>
      <w:r w:rsidRPr="003E305A">
        <w:rPr>
          <w:rFonts w:ascii="Arial Narrow" w:hAnsi="Arial Narrow"/>
          <w:lang w:val="fr-FR"/>
        </w:rPr>
        <w:t xml:space="preserve"> em id., ibid., V 177; id., </w:t>
      </w:r>
      <w:r w:rsidRPr="003E305A">
        <w:rPr>
          <w:rFonts w:ascii="Arial Narrow" w:hAnsi="Arial Narrow"/>
          <w:i/>
          <w:lang w:val="fr-FR"/>
        </w:rPr>
        <w:t>Les Paysans,</w:t>
      </w:r>
      <w:r w:rsidRPr="003E305A">
        <w:rPr>
          <w:rFonts w:ascii="Arial Narrow" w:hAnsi="Arial Narrow"/>
          <w:lang w:val="fr-FR"/>
        </w:rPr>
        <w:t xml:space="preserve"> em id., ibid., IX 126; id., </w:t>
      </w:r>
      <w:r w:rsidRPr="003E305A">
        <w:rPr>
          <w:rFonts w:ascii="Arial Narrow" w:hAnsi="Arial Narrow"/>
          <w:i/>
          <w:lang w:val="fr-FR"/>
        </w:rPr>
        <w:t>Le Médecin de Campagne,</w:t>
      </w:r>
      <w:r w:rsidRPr="003E305A">
        <w:rPr>
          <w:rFonts w:ascii="Arial Narrow" w:hAnsi="Arial Narrow"/>
          <w:lang w:val="fr-FR"/>
        </w:rPr>
        <w:t xml:space="preserve"> em id., ibid., IX 508; id., </w:t>
      </w:r>
      <w:r w:rsidRPr="003E305A">
        <w:rPr>
          <w:rFonts w:ascii="Arial Narrow" w:hAnsi="Arial Narrow"/>
          <w:i/>
          <w:lang w:val="fr-FR"/>
        </w:rPr>
        <w:t xml:space="preserve">Historique du Procès </w:t>
      </w:r>
      <w:r w:rsidR="00957F29" w:rsidRPr="003E305A">
        <w:rPr>
          <w:rFonts w:ascii="Arial Narrow" w:hAnsi="Arial Narrow"/>
          <w:i/>
          <w:lang w:val="fr-FR"/>
        </w:rPr>
        <w:t xml:space="preserve">auquel </w:t>
      </w:r>
      <w:r w:rsidRPr="003E305A">
        <w:rPr>
          <w:rFonts w:ascii="Arial Narrow" w:hAnsi="Arial Narrow"/>
          <w:i/>
          <w:lang w:val="fr-FR"/>
        </w:rPr>
        <w:t>a Donné Lieu «Le Lys dans la Vallée»,</w:t>
      </w:r>
      <w:r w:rsidRPr="003E305A">
        <w:rPr>
          <w:rFonts w:ascii="Arial Narrow" w:hAnsi="Arial Narrow"/>
          <w:lang w:val="fr-FR"/>
        </w:rPr>
        <w:t xml:space="preserve"> em id., ibid., IX 929-930.</w:t>
      </w:r>
    </w:p>
  </w:footnote>
  <w:footnote w:id="102">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Citados em L. Poliakov (1971) 47.</w:t>
      </w:r>
    </w:p>
  </w:footnote>
  <w:footnote w:id="10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Camille Jullian citado em id., ibid., 44.</w:t>
      </w:r>
    </w:p>
  </w:footnote>
  <w:footnote w:id="104">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Balzac, </w:t>
      </w:r>
      <w:r w:rsidRPr="003E305A">
        <w:rPr>
          <w:rFonts w:ascii="Arial Narrow" w:hAnsi="Arial Narrow"/>
          <w:i/>
        </w:rPr>
        <w:t>Le Cabinet des Antiques,</w:t>
      </w:r>
      <w:r w:rsidRPr="003E305A">
        <w:rPr>
          <w:rFonts w:ascii="Arial Narrow" w:hAnsi="Arial Narrow"/>
        </w:rPr>
        <w:t xml:space="preserve"> em Balzac (1976-1981) IV 1096.</w:t>
      </w:r>
    </w:p>
  </w:footnote>
  <w:footnote w:id="105">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L. Poliakov (1971) 279.</w:t>
      </w:r>
      <w:r>
        <w:rPr>
          <w:rFonts w:ascii="Arial Narrow" w:hAnsi="Arial Narrow"/>
        </w:rPr>
        <w:t xml:space="preserve"> O doutrinador oficial do nacional-socialismo, Alfred Rosenberg, elogiou em </w:t>
      </w:r>
      <w:r w:rsidRPr="00B32765">
        <w:rPr>
          <w:rFonts w:ascii="Arial Narrow" w:hAnsi="Arial Narrow"/>
          <w:i/>
        </w:rPr>
        <w:t>O Mito do Século XX</w:t>
      </w:r>
      <w:r>
        <w:rPr>
          <w:rFonts w:ascii="Arial Narrow" w:hAnsi="Arial Narrow"/>
        </w:rPr>
        <w:t xml:space="preserve"> esta tese de </w:t>
      </w:r>
      <w:r w:rsidRPr="00B32765">
        <w:rPr>
          <w:rFonts w:ascii="Arial Narrow" w:hAnsi="Arial Narrow"/>
        </w:rPr>
        <w:t>Vacher de Lapouge</w:t>
      </w:r>
      <w:r>
        <w:rPr>
          <w:rFonts w:ascii="Arial Narrow" w:hAnsi="Arial Narrow"/>
        </w:rPr>
        <w:t>. Ver A. Rosenberg (1986) 596-597 ou id. [s. d. 2] 431-432.</w:t>
      </w:r>
    </w:p>
  </w:footnote>
  <w:footnote w:id="106">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difusão deste tema na Rússia ver J. Frank (1999-</w:t>
      </w:r>
      <w:r w:rsidR="00154EC3">
        <w:rPr>
          <w:rFonts w:ascii="Arial Narrow" w:hAnsi="Arial Narrow"/>
        </w:rPr>
        <w:t>2008</w:t>
      </w:r>
      <w:r w:rsidRPr="003E305A">
        <w:rPr>
          <w:rFonts w:ascii="Arial Narrow" w:hAnsi="Arial Narrow"/>
        </w:rPr>
        <w:t>) III 69-70. As passagens citadas encontram-se em II 69 e III 69.</w:t>
      </w:r>
    </w:p>
  </w:footnote>
  <w:footnote w:id="107">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T. A. Jackson (1936) 151.</w:t>
      </w:r>
    </w:p>
  </w:footnote>
  <w:footnote w:id="108">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F. Nietzsche (1973) 180 (sub. orig.).</w:t>
      </w:r>
    </w:p>
  </w:footnote>
  <w:footnote w:id="109">
    <w:p w:rsidR="00213D8D" w:rsidRPr="00DF4B4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F4B40">
        <w:rPr>
          <w:rFonts w:ascii="Arial Narrow" w:hAnsi="Arial Narrow"/>
          <w:lang w:val="en-US"/>
        </w:rPr>
        <w:t xml:space="preserve"> E. Black (2003) 18, 27, 28, 209, 211.</w:t>
      </w:r>
    </w:p>
  </w:footnote>
  <w:footnote w:id="110">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Herman (1997) 118.</w:t>
      </w:r>
    </w:p>
  </w:footnote>
  <w:footnote w:id="111">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Ch. Darwin (1990 a) 113-119. </w:t>
      </w:r>
      <w:r w:rsidRPr="003E305A">
        <w:rPr>
          <w:rFonts w:ascii="Arial Narrow" w:hAnsi="Arial Narrow"/>
        </w:rPr>
        <w:t>Segundo A. Herman (1997) 260 n., Alfred Wallace, que ao mesmo tempo que Darwin, e independentemente dele, formulara uma teoria similar acerca da evolução das espécies e da selecção natural, relatou que «numa das minhas últimas conversas com Darwin ele dissertou de maneira muito sombria acerca do futuro da humanidade, argumentando que a selecção natural deixara de funcionar na nossa civilização moderna e que os mais aptos já não sobreviviam».</w:t>
      </w:r>
    </w:p>
  </w:footnote>
  <w:footnote w:id="112">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Black (2003) 18.</w:t>
      </w:r>
    </w:p>
  </w:footnote>
  <w:footnote w:id="11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Ch. Darwin (1990 a) 23.</w:t>
      </w:r>
    </w:p>
  </w:footnote>
  <w:footnote w:id="114">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Platon (19</w:t>
      </w:r>
      <w:r>
        <w:rPr>
          <w:rFonts w:ascii="Arial Narrow" w:hAnsi="Arial Narrow"/>
        </w:rPr>
        <w:t>56</w:t>
      </w:r>
      <w:r w:rsidRPr="003E305A">
        <w:rPr>
          <w:rFonts w:ascii="Arial Narrow" w:hAnsi="Arial Narrow"/>
        </w:rPr>
        <w:t xml:space="preserve">) </w:t>
      </w:r>
      <w:r>
        <w:rPr>
          <w:rFonts w:ascii="Arial Narrow" w:hAnsi="Arial Narrow"/>
        </w:rPr>
        <w:t xml:space="preserve">64-66. </w:t>
      </w:r>
      <w:r w:rsidRPr="003E305A">
        <w:rPr>
          <w:rFonts w:ascii="Arial Narrow" w:hAnsi="Arial Narrow"/>
        </w:rPr>
        <w:t xml:space="preserve">Ver igualmente a pág. </w:t>
      </w:r>
      <w:r>
        <w:rPr>
          <w:rFonts w:ascii="Arial Narrow" w:hAnsi="Arial Narrow"/>
        </w:rPr>
        <w:t>80.</w:t>
      </w:r>
      <w:r w:rsidR="003C6283">
        <w:rPr>
          <w:rFonts w:ascii="Arial Narrow" w:hAnsi="Arial Narrow"/>
        </w:rPr>
        <w:t xml:space="preserve"> O eugenista norte-americano Lothrop Stoddard notou que na Grécia clássica se encontravam os precursores da eugenia e citou a este respeito </w:t>
      </w:r>
      <w:r w:rsidR="00FC3764">
        <w:rPr>
          <w:rFonts w:ascii="Arial Narrow" w:hAnsi="Arial Narrow"/>
        </w:rPr>
        <w:t xml:space="preserve">Theognis de Mégara, Platão </w:t>
      </w:r>
      <w:r w:rsidR="00516843">
        <w:rPr>
          <w:rFonts w:ascii="Arial Narrow" w:hAnsi="Arial Narrow"/>
        </w:rPr>
        <w:t xml:space="preserve">e Aristóteles. Ver </w:t>
      </w:r>
      <w:r w:rsidR="00516843" w:rsidRPr="003B7C37">
        <w:rPr>
          <w:rFonts w:ascii="Arial Narrow" w:hAnsi="Arial Narrow"/>
        </w:rPr>
        <w:t>L. Stoddard (1922) 36-37.</w:t>
      </w:r>
    </w:p>
  </w:footnote>
  <w:footnote w:id="115">
    <w:p w:rsidR="00213D8D" w:rsidRPr="00DB5539"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DB5539">
        <w:rPr>
          <w:rFonts w:ascii="Arial Narrow" w:hAnsi="Arial Narrow"/>
        </w:rPr>
        <w:t xml:space="preserve"> L. Poliakov (1971) 161 n. 2.</w:t>
      </w:r>
    </w:p>
  </w:footnote>
  <w:footnote w:id="116">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DB5539">
        <w:rPr>
          <w:rFonts w:ascii="Arial Narrow" w:hAnsi="Arial Narrow"/>
        </w:rPr>
        <w:t xml:space="preserve"> Id., ibid., 146. </w:t>
      </w:r>
      <w:r w:rsidRPr="003E305A">
        <w:rPr>
          <w:rFonts w:ascii="Arial Narrow" w:hAnsi="Arial Narrow"/>
        </w:rPr>
        <w:t>A expressão citada encontra-se no mesmo lugar. Ver também a pág. 160.</w:t>
      </w:r>
    </w:p>
  </w:footnote>
  <w:footnote w:id="117">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Ch. Darwin (1990 a) 157 e segs.</w:t>
      </w:r>
    </w:p>
  </w:footnote>
  <w:footnote w:id="118">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158.</w:t>
      </w:r>
    </w:p>
  </w:footnote>
  <w:footnote w:id="119">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134.</w:t>
      </w:r>
    </w:p>
  </w:footnote>
  <w:footnote w:id="120">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W. G. Beasley (1981) 207-208; N. Chomsky (1969) 215 n. 56; A. Pichot (2000) 387; </w:t>
      </w:r>
      <w:r w:rsidR="009F5BB6" w:rsidRPr="009F5BB6">
        <w:rPr>
          <w:rFonts w:ascii="Arial Narrow" w:hAnsi="Arial Narrow"/>
          <w:lang w:val="en-US"/>
        </w:rPr>
        <w:t xml:space="preserve">L. Stoddard (1921) </w:t>
      </w:r>
      <w:r w:rsidR="009F5BB6">
        <w:rPr>
          <w:rFonts w:ascii="Arial Narrow" w:hAnsi="Arial Narrow"/>
          <w:lang w:val="en-US"/>
        </w:rPr>
        <w:t xml:space="preserve">42-43; </w:t>
      </w:r>
      <w:r w:rsidRPr="003E305A">
        <w:rPr>
          <w:rFonts w:ascii="Arial Narrow" w:hAnsi="Arial Narrow"/>
          <w:lang w:val="en-GB"/>
        </w:rPr>
        <w:t xml:space="preserve">R. Storry (1957) 21; id. </w:t>
      </w:r>
      <w:r w:rsidRPr="003E305A">
        <w:rPr>
          <w:rFonts w:ascii="Arial Narrow" w:hAnsi="Arial Narrow"/>
        </w:rPr>
        <w:t>(1990) 162. Segundo B. Ulloa (1981) 1182, foi esta uma das razões que levou o governo mexicano a não pedir a inclusão do seu país na Sociedade das Nações.</w:t>
      </w:r>
    </w:p>
  </w:footnote>
  <w:footnote w:id="121">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Th. Pakenham (1999) 308.</w:t>
      </w:r>
    </w:p>
  </w:footnote>
  <w:footnote w:id="122">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385.</w:t>
      </w:r>
    </w:p>
  </w:footnote>
  <w:footnote w:id="123">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xvi, 44, 57, 63, 71, 75, 89, 103, 145 e segs., 236, 237, 412.</w:t>
      </w:r>
    </w:p>
  </w:footnote>
  <w:footnote w:id="124">
    <w:p w:rsidR="00213D8D" w:rsidRPr="00CF3FA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Acerca dos subsídios conferidos pela Carnegie Institution ao movimento eugenista norte-americano ver id., ibid., 36 e segs., 56 e 421. Na verdade, como sublinh</w:t>
      </w:r>
      <w:r>
        <w:rPr>
          <w:rFonts w:ascii="Arial Narrow" w:hAnsi="Arial Narrow"/>
        </w:rPr>
        <w:t>ou</w:t>
      </w:r>
      <w:r w:rsidRPr="003E305A">
        <w:rPr>
          <w:rFonts w:ascii="Arial Narrow" w:hAnsi="Arial Narrow"/>
        </w:rPr>
        <w:t xml:space="preserve"> Edwin Black</w:t>
      </w:r>
      <w:r>
        <w:rPr>
          <w:rFonts w:ascii="Arial Narrow" w:hAnsi="Arial Narrow"/>
        </w:rPr>
        <w:t>,</w:t>
      </w:r>
      <w:r w:rsidRPr="003E305A">
        <w:rPr>
          <w:rFonts w:ascii="Arial Narrow" w:hAnsi="Arial Narrow"/>
        </w:rPr>
        <w:t xml:space="preserve"> </w:t>
      </w:r>
      <w:r w:rsidRPr="00213D8D">
        <w:rPr>
          <w:rFonts w:ascii="Arial Narrow" w:hAnsi="Arial Narrow"/>
        </w:rPr>
        <w:t>op. cit.,</w:t>
      </w:r>
      <w:r w:rsidRPr="003E305A">
        <w:rPr>
          <w:rFonts w:ascii="Arial Narrow" w:hAnsi="Arial Narrow"/>
        </w:rPr>
        <w:t xml:space="preserve"> 40, a Station for Experimental Evolution, dirigida por Davenport, funcionava como parte integrante da Carnegie Institution. </w:t>
      </w:r>
      <w:r>
        <w:rPr>
          <w:rFonts w:ascii="Arial Narrow" w:hAnsi="Arial Narrow"/>
        </w:rPr>
        <w:t xml:space="preserve">Em 1939 a Carnegie Institution suspendeu os subsídios ao </w:t>
      </w:r>
      <w:r w:rsidRPr="00CF2952">
        <w:rPr>
          <w:rFonts w:ascii="Arial Narrow" w:hAnsi="Arial Narrow"/>
        </w:rPr>
        <w:t>Eugenics Record Office</w:t>
      </w:r>
      <w:r>
        <w:rPr>
          <w:rFonts w:ascii="Arial Narrow" w:hAnsi="Arial Narrow"/>
        </w:rPr>
        <w:t xml:space="preserve">, o que o levou a encerrar, como indicou Sh. F. Weiss (2010) 307. </w:t>
      </w:r>
      <w:r w:rsidRPr="003E305A">
        <w:rPr>
          <w:rFonts w:ascii="Arial Narrow" w:hAnsi="Arial Narrow"/>
        </w:rPr>
        <w:t>Acerca dos subsídios atribuídos pela Rockefeller Foundation consultar Edwin Black</w:t>
      </w:r>
      <w:r>
        <w:rPr>
          <w:rFonts w:ascii="Arial Narrow" w:hAnsi="Arial Narrow"/>
        </w:rPr>
        <w:t>,</w:t>
      </w:r>
      <w:r w:rsidRPr="003E305A">
        <w:rPr>
          <w:rFonts w:ascii="Arial Narrow" w:hAnsi="Arial Narrow"/>
        </w:rPr>
        <w:t xml:space="preserve"> </w:t>
      </w:r>
      <w:r w:rsidRPr="00213D8D">
        <w:rPr>
          <w:rFonts w:ascii="Arial Narrow" w:hAnsi="Arial Narrow"/>
        </w:rPr>
        <w:t>op. cit.,</w:t>
      </w:r>
      <w:r w:rsidRPr="003E305A">
        <w:rPr>
          <w:rFonts w:ascii="Arial Narrow" w:hAnsi="Arial Narrow"/>
        </w:rPr>
        <w:t xml:space="preserve"> 57, 93-94 e 95. A viúva de Harriman, o magnate dos caminhos</w:t>
      </w:r>
      <w:r w:rsidR="00C13629">
        <w:rPr>
          <w:rFonts w:ascii="Arial Narrow" w:hAnsi="Arial Narrow"/>
        </w:rPr>
        <w:t>-</w:t>
      </w:r>
      <w:r w:rsidRPr="003E305A">
        <w:rPr>
          <w:rFonts w:ascii="Arial Narrow" w:hAnsi="Arial Narrow"/>
        </w:rPr>
        <w:t>de</w:t>
      </w:r>
      <w:r w:rsidR="00C13629">
        <w:rPr>
          <w:rFonts w:ascii="Arial Narrow" w:hAnsi="Arial Narrow"/>
        </w:rPr>
        <w:t>-</w:t>
      </w:r>
      <w:r w:rsidRPr="003E305A">
        <w:rPr>
          <w:rFonts w:ascii="Arial Narrow" w:hAnsi="Arial Narrow"/>
        </w:rPr>
        <w:t>ferro, contribuiu também muito generosamente para sustentar o movimento eugenista, como se vê em Edwin Black</w:t>
      </w:r>
      <w:r>
        <w:rPr>
          <w:rFonts w:ascii="Arial Narrow" w:hAnsi="Arial Narrow"/>
        </w:rPr>
        <w:t>,</w:t>
      </w:r>
      <w:r w:rsidRPr="003E305A">
        <w:rPr>
          <w:rFonts w:ascii="Arial Narrow" w:hAnsi="Arial Narrow"/>
        </w:rPr>
        <w:t xml:space="preserve"> </w:t>
      </w:r>
      <w:r w:rsidRPr="00213D8D">
        <w:rPr>
          <w:rFonts w:ascii="Arial Narrow" w:hAnsi="Arial Narrow"/>
        </w:rPr>
        <w:t>op. cit.,</w:t>
      </w:r>
      <w:r w:rsidRPr="003E305A">
        <w:rPr>
          <w:rFonts w:ascii="Arial Narrow" w:hAnsi="Arial Narrow"/>
        </w:rPr>
        <w:t xml:space="preserve"> 47, 56-57, 94, 105 e 238.</w:t>
      </w:r>
      <w:r>
        <w:rPr>
          <w:rFonts w:ascii="Arial Narrow" w:hAnsi="Arial Narrow"/>
        </w:rPr>
        <w:t xml:space="preserve"> Segundo Sheila Faith Weiss</w:t>
      </w:r>
      <w:r w:rsidR="00F423DF">
        <w:rPr>
          <w:rFonts w:ascii="Arial Narrow" w:hAnsi="Arial Narrow"/>
        </w:rPr>
        <w:t>,</w:t>
      </w:r>
      <w:r>
        <w:rPr>
          <w:rFonts w:ascii="Arial Narrow" w:hAnsi="Arial Narrow"/>
        </w:rPr>
        <w:t xml:space="preserve"> </w:t>
      </w:r>
      <w:r w:rsidRPr="00F423DF">
        <w:rPr>
          <w:rFonts w:ascii="Arial Narrow" w:hAnsi="Arial Narrow"/>
        </w:rPr>
        <w:t>op. cit.,</w:t>
      </w:r>
      <w:r>
        <w:rPr>
          <w:rFonts w:ascii="Arial Narrow" w:hAnsi="Arial Narrow"/>
        </w:rPr>
        <w:t xml:space="preserve"> 28, Davenport teria convencido a senhora Harriman de que subsidiar a eugenia era um investimento sensato, porque uma grande parte da violência social e do crime se devia a inadequações hereditárias, que o movimento eugenista iria resolver. Wickliffe Draper foi outro multimilionário que subsidiou o movimento eugenista, além de ter criado uma fundação destinada à promoção científica do racismo. </w:t>
      </w:r>
      <w:r w:rsidRPr="00CF3FA0">
        <w:rPr>
          <w:rFonts w:ascii="Arial Narrow" w:hAnsi="Arial Narrow"/>
          <w:lang w:val="en-US"/>
        </w:rPr>
        <w:t xml:space="preserve">Ver a este respeito Edwin Black, </w:t>
      </w:r>
      <w:r w:rsidRPr="00F423DF">
        <w:rPr>
          <w:rFonts w:ascii="Arial Narrow" w:hAnsi="Arial Narrow"/>
          <w:lang w:val="en-US"/>
        </w:rPr>
        <w:t>op. cit.,</w:t>
      </w:r>
      <w:r w:rsidRPr="00CF3FA0">
        <w:rPr>
          <w:rFonts w:ascii="Arial Narrow" w:hAnsi="Arial Narrow"/>
          <w:lang w:val="en-US"/>
        </w:rPr>
        <w:t xml:space="preserve"> </w:t>
      </w:r>
      <w:r>
        <w:rPr>
          <w:rFonts w:ascii="Arial Narrow" w:hAnsi="Arial Narrow"/>
          <w:lang w:val="en-GB"/>
        </w:rPr>
        <w:t xml:space="preserve">288-289 e </w:t>
      </w:r>
      <w:r w:rsidRPr="00CF3FA0">
        <w:rPr>
          <w:rFonts w:ascii="Arial Narrow" w:hAnsi="Arial Narrow"/>
          <w:lang w:val="en-US"/>
        </w:rPr>
        <w:t xml:space="preserve">Sheila Faith Weiss, </w:t>
      </w:r>
      <w:r w:rsidRPr="00F423DF">
        <w:rPr>
          <w:rFonts w:ascii="Arial Narrow" w:hAnsi="Arial Narrow"/>
          <w:lang w:val="en-US"/>
        </w:rPr>
        <w:t>op. cit.,</w:t>
      </w:r>
      <w:r w:rsidRPr="00CF3FA0">
        <w:rPr>
          <w:rFonts w:ascii="Arial Narrow" w:hAnsi="Arial Narrow"/>
          <w:lang w:val="en-US"/>
        </w:rPr>
        <w:t xml:space="preserve"> </w:t>
      </w:r>
      <w:r>
        <w:rPr>
          <w:rFonts w:ascii="Arial Narrow" w:hAnsi="Arial Narrow"/>
          <w:lang w:val="en-GB"/>
        </w:rPr>
        <w:t>275, 279.</w:t>
      </w:r>
    </w:p>
  </w:footnote>
  <w:footnote w:id="125">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47, 71-72, 97, 193, 208, 219, 236.</w:t>
      </w:r>
    </w:p>
  </w:footnote>
  <w:footnote w:id="126">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56, 60, 154-157.</w:t>
      </w:r>
    </w:p>
  </w:footnote>
  <w:footnote w:id="127">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39, 48, 52, 56, 60, 75, 78.</w:t>
      </w:r>
    </w:p>
  </w:footnote>
  <w:footnote w:id="128">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58, 215-216, 225-226, 234, 295-296.</w:t>
      </w:r>
    </w:p>
  </w:footnote>
  <w:footnote w:id="129">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52, 225.</w:t>
      </w:r>
    </w:p>
  </w:footnote>
  <w:footnote w:id="130">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59.</w:t>
      </w:r>
    </w:p>
  </w:footnote>
  <w:footnote w:id="131">
    <w:p w:rsidR="00213D8D" w:rsidRPr="00CF3FA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CF3FA0">
        <w:rPr>
          <w:rFonts w:ascii="Arial Narrow" w:hAnsi="Arial Narrow"/>
          <w:lang w:val="en-US"/>
        </w:rPr>
        <w:t xml:space="preserve"> Id., ibid., 58.</w:t>
      </w:r>
    </w:p>
  </w:footnote>
  <w:footnote w:id="132">
    <w:p w:rsidR="00213D8D" w:rsidRPr="00CF3FA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CF3FA0">
        <w:rPr>
          <w:rFonts w:ascii="Arial Narrow" w:hAnsi="Arial Narrow"/>
          <w:lang w:val="en-US"/>
        </w:rPr>
        <w:t xml:space="preserve"> Id., ibid., 5, 54, 55, 65.</w:t>
      </w:r>
    </w:p>
  </w:footnote>
  <w:footnote w:id="133">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Lucien Howe começou a conduzir esta campanha em 1918, precisamente o ano em que foi eleito presidente da American Ophtalmologic Society. Ver a este respeito id., ibid., xvi e 145 e segs.</w:t>
      </w:r>
    </w:p>
  </w:footnote>
  <w:footnote w:id="134">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58-59.</w:t>
      </w:r>
    </w:p>
  </w:footnote>
  <w:footnote w:id="135">
    <w:p w:rsidR="00213D8D" w:rsidRPr="00DB5539"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lang w:val="en-GB"/>
        </w:rPr>
        <w:t xml:space="preserve"> </w:t>
      </w:r>
      <w:r w:rsidR="00350CB1" w:rsidRPr="00350CB1">
        <w:rPr>
          <w:rFonts w:ascii="Arial Narrow" w:hAnsi="Arial Narrow"/>
          <w:lang w:val="en-US"/>
        </w:rPr>
        <w:t>L. Stoddard (1922)</w:t>
      </w:r>
      <w:r w:rsidR="00350CB1">
        <w:rPr>
          <w:rFonts w:ascii="Arial Narrow" w:hAnsi="Arial Narrow"/>
          <w:lang w:val="en-US"/>
        </w:rPr>
        <w:t xml:space="preserve"> 68. </w:t>
      </w:r>
      <w:r w:rsidR="00350CB1" w:rsidRPr="00DB5539">
        <w:rPr>
          <w:rFonts w:ascii="Arial Narrow" w:hAnsi="Arial Narrow"/>
          <w:lang w:val="en-US"/>
        </w:rPr>
        <w:t>Ver ainda E. Black (2003) 132 e 226.</w:t>
      </w:r>
    </w:p>
  </w:footnote>
  <w:footnote w:id="136">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r w:rsidR="00350CB1" w:rsidRPr="003E305A">
        <w:rPr>
          <w:rFonts w:ascii="Arial Narrow" w:hAnsi="Arial Narrow"/>
          <w:lang w:val="en-GB"/>
        </w:rPr>
        <w:t xml:space="preserve">E. Black (2003) </w:t>
      </w:r>
      <w:r w:rsidRPr="003E305A">
        <w:rPr>
          <w:rFonts w:ascii="Arial Narrow" w:hAnsi="Arial Narrow"/>
          <w:lang w:val="en-GB"/>
        </w:rPr>
        <w:t>249.</w:t>
      </w:r>
    </w:p>
  </w:footnote>
  <w:footnote w:id="137">
    <w:p w:rsidR="00213D8D" w:rsidRPr="00DB5539"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DB5539">
        <w:rPr>
          <w:rFonts w:ascii="Arial Narrow" w:hAnsi="Arial Narrow"/>
          <w:lang w:val="en-US"/>
        </w:rPr>
        <w:t xml:space="preserve"> Id., ibid., 248 e segs.</w:t>
      </w:r>
    </w:p>
  </w:footnote>
  <w:footnote w:id="138">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248. Acerca das concepções eugenistas de Shaw e da sua influência sobre os fascistas britânicos ver Th. Linehan (2000) 30-31.</w:t>
      </w:r>
    </w:p>
  </w:footnote>
  <w:footnote w:id="139">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Black (2003) 252 e 259.</w:t>
      </w:r>
    </w:p>
  </w:footnote>
  <w:footnote w:id="140">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Id., ibid., </w:t>
      </w:r>
      <w:r w:rsidRPr="003E305A">
        <w:rPr>
          <w:rFonts w:ascii="Arial Narrow" w:hAnsi="Arial Narrow"/>
        </w:rPr>
        <w:t>254-255.</w:t>
      </w:r>
    </w:p>
  </w:footnote>
  <w:footnote w:id="141">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255.</w:t>
      </w:r>
    </w:p>
  </w:footnote>
  <w:footnote w:id="142">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69-70, 122.</w:t>
      </w:r>
    </w:p>
  </w:footnote>
  <w:footnote w:id="143">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Pichot (2000) 209.</w:t>
      </w:r>
    </w:p>
  </w:footnote>
  <w:footnote w:id="144">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63, 64.</w:t>
      </w:r>
    </w:p>
  </w:footnote>
  <w:footnote w:id="145">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67; A. Pichot (2000) 187, 207.</w:t>
      </w:r>
    </w:p>
  </w:footnote>
  <w:footnote w:id="146">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67-69.</w:t>
      </w:r>
    </w:p>
  </w:footnote>
  <w:footnote w:id="147">
    <w:p w:rsidR="00213D8D" w:rsidRPr="00333CCC"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333CCC">
        <w:rPr>
          <w:rFonts w:ascii="Arial Narrow" w:hAnsi="Arial Narrow"/>
          <w:lang w:val="en-US"/>
        </w:rPr>
        <w:t xml:space="preserve"> Id., ibid., 113, 120-122; </w:t>
      </w:r>
      <w:r>
        <w:rPr>
          <w:rFonts w:ascii="Arial Narrow" w:hAnsi="Arial Narrow"/>
          <w:lang w:val="en-US"/>
        </w:rPr>
        <w:t xml:space="preserve">J. Goldberg (2009) 252-253; </w:t>
      </w:r>
      <w:r w:rsidRPr="00333CCC">
        <w:rPr>
          <w:rFonts w:ascii="Arial Narrow" w:hAnsi="Arial Narrow"/>
          <w:lang w:val="en-US"/>
        </w:rPr>
        <w:t>Sh. F. Weiss (2010) 50</w:t>
      </w:r>
      <w:r>
        <w:rPr>
          <w:rFonts w:ascii="Arial Narrow" w:hAnsi="Arial Narrow"/>
          <w:lang w:val="en-US"/>
        </w:rPr>
        <w:t>-51</w:t>
      </w:r>
      <w:r w:rsidRPr="00333CCC">
        <w:rPr>
          <w:rFonts w:ascii="Arial Narrow" w:hAnsi="Arial Narrow"/>
          <w:lang w:val="en-US"/>
        </w:rPr>
        <w:t>.</w:t>
      </w:r>
    </w:p>
  </w:footnote>
  <w:footnote w:id="148">
    <w:p w:rsidR="00213D8D" w:rsidRPr="00CF3FA0" w:rsidRDefault="00213D8D">
      <w:pPr>
        <w:pStyle w:val="Textodenotaderodap"/>
        <w:rPr>
          <w:rFonts w:ascii="Arial Narrow" w:hAnsi="Arial Narrow"/>
          <w:lang w:val="en-US"/>
        </w:rPr>
      </w:pPr>
      <w:r w:rsidRPr="00392C5F">
        <w:rPr>
          <w:rStyle w:val="Refdenotaderodap"/>
          <w:rFonts w:ascii="Arial Narrow" w:hAnsi="Arial Narrow"/>
        </w:rPr>
        <w:footnoteRef/>
      </w:r>
      <w:r w:rsidRPr="00CF3FA0">
        <w:rPr>
          <w:rFonts w:ascii="Arial Narrow" w:hAnsi="Arial Narrow"/>
          <w:lang w:val="en-US"/>
        </w:rPr>
        <w:t xml:space="preserve"> Sh. F. Weiss (2010) 58.</w:t>
      </w:r>
    </w:p>
  </w:footnote>
  <w:footnote w:id="149">
    <w:p w:rsidR="00213D8D" w:rsidRPr="00CF3FA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CF3FA0">
        <w:rPr>
          <w:rFonts w:ascii="Arial Narrow" w:hAnsi="Arial Narrow"/>
          <w:lang w:val="en-US"/>
        </w:rPr>
        <w:t xml:space="preserve"> </w:t>
      </w:r>
      <w:r w:rsidRPr="003E305A">
        <w:rPr>
          <w:rFonts w:ascii="Arial Narrow" w:hAnsi="Arial Narrow"/>
          <w:lang w:val="en-GB"/>
        </w:rPr>
        <w:t xml:space="preserve">E. Black (2003) </w:t>
      </w:r>
      <w:r w:rsidRPr="00CF3FA0">
        <w:rPr>
          <w:rFonts w:ascii="Arial Narrow" w:hAnsi="Arial Narrow"/>
          <w:lang w:val="en-US"/>
        </w:rPr>
        <w:t>228.</w:t>
      </w:r>
    </w:p>
  </w:footnote>
  <w:footnote w:id="150">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sondagem efectuada pela </w:t>
      </w:r>
      <w:r w:rsidRPr="003E305A">
        <w:rPr>
          <w:rFonts w:ascii="Arial Narrow" w:hAnsi="Arial Narrow"/>
          <w:i/>
        </w:rPr>
        <w:t>Fortune Magazine</w:t>
      </w:r>
      <w:r w:rsidRPr="003E305A">
        <w:rPr>
          <w:rFonts w:ascii="Arial Narrow" w:hAnsi="Arial Narrow"/>
        </w:rPr>
        <w:t xml:space="preserve"> encontra-se mencionada em S. Kühl (1994) 46. </w:t>
      </w:r>
      <w:r w:rsidR="00B16007">
        <w:rPr>
          <w:rFonts w:ascii="Arial Narrow" w:hAnsi="Arial Narrow"/>
        </w:rPr>
        <w:t>Todavia</w:t>
      </w:r>
      <w:r w:rsidRPr="003E305A">
        <w:rPr>
          <w:rFonts w:ascii="Arial Narrow" w:hAnsi="Arial Narrow"/>
        </w:rPr>
        <w:t>, E. Black (2003) 125 pretende</w:t>
      </w:r>
      <w:r>
        <w:rPr>
          <w:rFonts w:ascii="Arial Narrow" w:hAnsi="Arial Narrow"/>
        </w:rPr>
        <w:t>u</w:t>
      </w:r>
      <w:r w:rsidRPr="003E305A">
        <w:rPr>
          <w:rFonts w:ascii="Arial Narrow" w:hAnsi="Arial Narrow"/>
        </w:rPr>
        <w:t xml:space="preserve"> que a eugenia e as campanhas de esterilização sexual constituíam um movimento restrito à elite, sem audiência entre as massas do país.</w:t>
      </w:r>
      <w:r>
        <w:rPr>
          <w:rFonts w:ascii="Arial Narrow" w:hAnsi="Arial Narrow"/>
        </w:rPr>
        <w:t xml:space="preserve"> Mais prudente, Sh. F. Weiss (2010) 281 escreveu que «infelizmente nada sabemos quanto ao que os americanos médios pensavam tanto sobre as medidas eugenistas do nazismo como sobre as do seu próprio país».</w:t>
      </w:r>
    </w:p>
  </w:footnote>
  <w:footnote w:id="151">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Black (2003) 398. O mesmo autor, porém, escreve</w:t>
      </w:r>
      <w:r>
        <w:rPr>
          <w:rFonts w:ascii="Arial Narrow" w:hAnsi="Arial Narrow"/>
        </w:rPr>
        <w:t>u</w:t>
      </w:r>
      <w:r w:rsidRPr="003E305A">
        <w:rPr>
          <w:rFonts w:ascii="Arial Narrow" w:hAnsi="Arial Narrow"/>
        </w:rPr>
        <w:t xml:space="preserve"> </w:t>
      </w:r>
      <w:r w:rsidR="008F3C86">
        <w:rPr>
          <w:rFonts w:ascii="Arial Narrow" w:hAnsi="Arial Narrow"/>
        </w:rPr>
        <w:t>(</w:t>
      </w:r>
      <w:r w:rsidRPr="003E305A">
        <w:rPr>
          <w:rFonts w:ascii="Arial Narrow" w:hAnsi="Arial Narrow"/>
        </w:rPr>
        <w:t>pág. xvi</w:t>
      </w:r>
      <w:r w:rsidR="008F3C86">
        <w:rPr>
          <w:rFonts w:ascii="Arial Narrow" w:hAnsi="Arial Narrow"/>
        </w:rPr>
        <w:t>)</w:t>
      </w:r>
      <w:r w:rsidRPr="003E305A">
        <w:rPr>
          <w:rFonts w:ascii="Arial Narrow" w:hAnsi="Arial Narrow"/>
        </w:rPr>
        <w:t xml:space="preserve"> que cerca de 60.000 norte-americanos foram esterilizados compulsivamente, embora prevenindo que o total é «provavelmente muito mais elevado». A. Pichot (2000) 209-211 inform</w:t>
      </w:r>
      <w:r>
        <w:rPr>
          <w:rFonts w:ascii="Arial Narrow" w:hAnsi="Arial Narrow"/>
        </w:rPr>
        <w:t>ou</w:t>
      </w:r>
      <w:r w:rsidRPr="003E305A">
        <w:rPr>
          <w:rFonts w:ascii="Arial Narrow" w:hAnsi="Arial Narrow"/>
        </w:rPr>
        <w:t xml:space="preserve"> que, segundo os registos oficiais, desde 1907 até ao final de 1948 a esterilização sexual nos Estados Unidos se aplic</w:t>
      </w:r>
      <w:r>
        <w:rPr>
          <w:rFonts w:ascii="Arial Narrow" w:hAnsi="Arial Narrow"/>
        </w:rPr>
        <w:t>ara</w:t>
      </w:r>
      <w:r w:rsidRPr="003E305A">
        <w:rPr>
          <w:rFonts w:ascii="Arial Narrow" w:hAnsi="Arial Narrow"/>
        </w:rPr>
        <w:t xml:space="preserve"> a cerca de 20.000 homens e quase 30.000 mulheres, sendo o número real possivelmente superior.</w:t>
      </w:r>
      <w:r>
        <w:rPr>
          <w:rFonts w:ascii="Arial Narrow" w:hAnsi="Arial Narrow"/>
        </w:rPr>
        <w:t xml:space="preserve"> </w:t>
      </w:r>
      <w:r w:rsidRPr="003E305A">
        <w:rPr>
          <w:rFonts w:ascii="Arial Narrow" w:hAnsi="Arial Narrow"/>
        </w:rPr>
        <w:t>Por seu lado,</w:t>
      </w:r>
      <w:r>
        <w:rPr>
          <w:rFonts w:ascii="Arial Narrow" w:hAnsi="Arial Narrow"/>
        </w:rPr>
        <w:t xml:space="preserve"> Sh. F. Weiss (2010) 59 considerou que «o número de esterilizações obrigatórias alcançaria cerca de sessenta mil».</w:t>
      </w:r>
    </w:p>
  </w:footnote>
  <w:footnote w:id="152">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Black (2003) 242-245; </w:t>
      </w:r>
      <w:r w:rsidRPr="003E305A">
        <w:rPr>
          <w:rFonts w:ascii="Arial Narrow" w:hAnsi="Arial Narrow"/>
          <w:i/>
        </w:rPr>
        <w:t>The Economist,</w:t>
      </w:r>
      <w:r w:rsidRPr="003E305A">
        <w:rPr>
          <w:rFonts w:ascii="Arial Narrow" w:hAnsi="Arial Narrow"/>
        </w:rPr>
        <w:t xml:space="preserve"> 30 de Agosto de 1997, págs. 20-21. A expressão citada encontra-se em Edwin Black,</w:t>
      </w:r>
      <w:r w:rsidRPr="002160D1">
        <w:rPr>
          <w:rFonts w:ascii="Arial Narrow" w:hAnsi="Arial Narrow"/>
        </w:rPr>
        <w:t xml:space="preserve"> op. cit.,</w:t>
      </w:r>
      <w:r w:rsidRPr="003E305A">
        <w:rPr>
          <w:rFonts w:ascii="Arial Narrow" w:hAnsi="Arial Narrow"/>
        </w:rPr>
        <w:t xml:space="preserve"> 245.</w:t>
      </w:r>
    </w:p>
  </w:footnote>
  <w:footnote w:id="153">
    <w:p w:rsidR="00213D8D" w:rsidRPr="00055C1E"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E. Black (2003) 233; M. A. Hasian Jr. </w:t>
      </w:r>
      <w:r w:rsidRPr="00055C1E">
        <w:rPr>
          <w:rFonts w:ascii="Arial Narrow" w:hAnsi="Arial Narrow"/>
        </w:rPr>
        <w:t>(1996) 133-134.</w:t>
      </w:r>
    </w:p>
  </w:footnote>
  <w:footnote w:id="154">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055C1E">
        <w:rPr>
          <w:rFonts w:ascii="Arial Narrow" w:hAnsi="Arial Narrow"/>
        </w:rPr>
        <w:t xml:space="preserve"> E. Black (2003) 210-212, 216-218, 220, 233-234. Segundo J. Caplan (org. 1995) 168, enquanto na generalidade da Europa continental a legislação de protecção às famílias se deveu à iniciativa </w:t>
      </w:r>
      <w:r w:rsidR="002160D1">
        <w:rPr>
          <w:rFonts w:ascii="Arial Narrow" w:hAnsi="Arial Narrow"/>
        </w:rPr>
        <w:t xml:space="preserve">da </w:t>
      </w:r>
      <w:r w:rsidRPr="00055C1E">
        <w:rPr>
          <w:rFonts w:ascii="Arial Narrow" w:hAnsi="Arial Narrow"/>
        </w:rPr>
        <w:t xml:space="preserve">direita eugenista, na Grã-Bretanha a iniciativa foi tomada pelo Partido Trabalhista num quadro exterior à eugenia. Note-se que Oswald Mosley, embora defendesse que deviam inverter-se as tendências no uso das medidas anticoncepcionais de modo a incentivar a taxa de reprodução entre as elites e desincentivá-la entre as camadas mais pobres, considerou que a esterilização dos deficientes deveria ser voluntária. </w:t>
      </w:r>
      <w:r>
        <w:rPr>
          <w:rFonts w:ascii="Arial Narrow" w:hAnsi="Arial Narrow"/>
          <w:lang w:val="en-GB"/>
        </w:rPr>
        <w:t xml:space="preserve">Ver </w:t>
      </w:r>
      <w:r w:rsidRPr="00AA4C42">
        <w:rPr>
          <w:rFonts w:ascii="Arial Narrow" w:hAnsi="Arial Narrow"/>
          <w:lang w:val="fr-FR"/>
        </w:rPr>
        <w:t xml:space="preserve">O. Mosley </w:t>
      </w:r>
      <w:r>
        <w:rPr>
          <w:rFonts w:ascii="Arial Narrow" w:hAnsi="Arial Narrow"/>
          <w:lang w:val="fr-FR"/>
        </w:rPr>
        <w:t>(</w:t>
      </w:r>
      <w:r w:rsidRPr="00AA4C42">
        <w:rPr>
          <w:rFonts w:ascii="Arial Narrow" w:hAnsi="Arial Narrow"/>
          <w:lang w:val="fr-FR"/>
        </w:rPr>
        <w:t>1936</w:t>
      </w:r>
      <w:r>
        <w:rPr>
          <w:rFonts w:ascii="Arial Narrow" w:hAnsi="Arial Narrow"/>
          <w:lang w:val="fr-FR"/>
        </w:rPr>
        <w:t>) § 76.</w:t>
      </w:r>
    </w:p>
  </w:footnote>
  <w:footnote w:id="155">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185 e segs.; A. Pichot (2000) 177.</w:t>
      </w:r>
    </w:p>
  </w:footnote>
  <w:footnote w:id="156">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74.</w:t>
      </w:r>
    </w:p>
  </w:footnote>
  <w:footnote w:id="157">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188.</w:t>
      </w:r>
    </w:p>
  </w:footnote>
  <w:footnote w:id="158">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187-194, 202.</w:t>
      </w:r>
    </w:p>
  </w:footnote>
  <w:footnote w:id="159">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202.</w:t>
      </w:r>
    </w:p>
  </w:footnote>
  <w:footnote w:id="160">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202-205.</w:t>
      </w:r>
    </w:p>
  </w:footnote>
  <w:footnote w:id="161">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place">
        <w:r w:rsidRPr="003E305A">
          <w:rPr>
            <w:rFonts w:ascii="Arial Narrow" w:hAnsi="Arial Narrow"/>
            <w:lang w:val="en-GB"/>
          </w:rPr>
          <w:t>S. Kühl</w:t>
        </w:r>
      </w:smartTag>
      <w:r w:rsidRPr="003E305A">
        <w:rPr>
          <w:rFonts w:ascii="Arial Narrow" w:hAnsi="Arial Narrow"/>
          <w:lang w:val="en-GB"/>
        </w:rPr>
        <w:t xml:space="preserve"> (1994) 25-26, 38-39.</w:t>
      </w:r>
    </w:p>
  </w:footnote>
  <w:footnote w:id="162">
    <w:p w:rsidR="00213D8D" w:rsidRPr="00B2463D" w:rsidRDefault="00213D8D" w:rsidP="00DF4B4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A. Hitler (1995) 400.</w:t>
      </w:r>
    </w:p>
  </w:footnote>
  <w:footnote w:id="163">
    <w:p w:rsidR="00213D8D" w:rsidRPr="00B2463D" w:rsidRDefault="00213D8D" w:rsidP="00DF4B4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H. S. Chamberlain (1913) 1412-1413.</w:t>
      </w:r>
    </w:p>
  </w:footnote>
  <w:footnote w:id="164">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S. Kühl (1994) 39 e segs., 86 e segs. </w:t>
      </w:r>
      <w:r w:rsidRPr="003E305A">
        <w:rPr>
          <w:rFonts w:ascii="Arial Narrow" w:hAnsi="Arial Narrow"/>
        </w:rPr>
        <w:t>Apesar dis</w:t>
      </w:r>
      <w:r>
        <w:rPr>
          <w:rFonts w:ascii="Arial Narrow" w:hAnsi="Arial Narrow"/>
        </w:rPr>
        <w:t>t</w:t>
      </w:r>
      <w:r w:rsidRPr="003E305A">
        <w:rPr>
          <w:rFonts w:ascii="Arial Narrow" w:hAnsi="Arial Narrow"/>
        </w:rPr>
        <w:t xml:space="preserve">o, não </w:t>
      </w:r>
      <w:r>
        <w:rPr>
          <w:rFonts w:ascii="Arial Narrow" w:hAnsi="Arial Narrow"/>
        </w:rPr>
        <w:t xml:space="preserve">há </w:t>
      </w:r>
      <w:r w:rsidRPr="003E305A">
        <w:rPr>
          <w:rFonts w:ascii="Arial Narrow" w:hAnsi="Arial Narrow"/>
        </w:rPr>
        <w:t xml:space="preserve">razão para supor, como </w:t>
      </w:r>
      <w:r>
        <w:rPr>
          <w:rFonts w:ascii="Arial Narrow" w:hAnsi="Arial Narrow"/>
        </w:rPr>
        <w:t>fez</w:t>
      </w:r>
      <w:r w:rsidRPr="003E305A">
        <w:rPr>
          <w:rFonts w:ascii="Arial Narrow" w:hAnsi="Arial Narrow"/>
        </w:rPr>
        <w:t xml:space="preserve"> E. Black (2003) xviii, 7, 70, 239, 258-259, 261 e segs. e 270, que a criação do racismo nacional-socialista se tivesse devido ao movimento eugenista norte-americano. Na área da cultura germânica havia uma tradição de </w:t>
      </w:r>
      <w:r>
        <w:rPr>
          <w:rFonts w:ascii="Arial Narrow" w:hAnsi="Arial Narrow"/>
        </w:rPr>
        <w:t xml:space="preserve">eugenia </w:t>
      </w:r>
      <w:r w:rsidRPr="003E305A">
        <w:rPr>
          <w:rFonts w:ascii="Arial Narrow" w:hAnsi="Arial Narrow"/>
        </w:rPr>
        <w:t>racis</w:t>
      </w:r>
      <w:r>
        <w:rPr>
          <w:rFonts w:ascii="Arial Narrow" w:hAnsi="Arial Narrow"/>
        </w:rPr>
        <w:t>ta</w:t>
      </w:r>
      <w:r w:rsidRPr="003E305A">
        <w:rPr>
          <w:rFonts w:ascii="Arial Narrow" w:hAnsi="Arial Narrow"/>
        </w:rPr>
        <w:t xml:space="preserve"> própria, muito profunda e diversificada, que Edwin Black ignor</w:t>
      </w:r>
      <w:r>
        <w:rPr>
          <w:rFonts w:ascii="Arial Narrow" w:hAnsi="Arial Narrow"/>
        </w:rPr>
        <w:t xml:space="preserve">ou no seu livro e foi detalhadamente analisada por Sh. F. Weiss (2010) </w:t>
      </w:r>
      <w:r w:rsidRPr="00064F39">
        <w:rPr>
          <w:rFonts w:ascii="Arial Narrow" w:hAnsi="Arial Narrow"/>
          <w:i/>
        </w:rPr>
        <w:t>passim</w:t>
      </w:r>
      <w:r>
        <w:rPr>
          <w:rFonts w:ascii="Arial Narrow" w:hAnsi="Arial Narrow"/>
        </w:rPr>
        <w:t>.</w:t>
      </w:r>
    </w:p>
  </w:footnote>
  <w:footnote w:id="165">
    <w:p w:rsidR="00213D8D" w:rsidRPr="003C2FFE"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3C2FFE">
        <w:rPr>
          <w:rFonts w:ascii="Arial Narrow" w:hAnsi="Arial Narrow"/>
          <w:lang w:val="en-US"/>
        </w:rPr>
        <w:t xml:space="preserve"> E. Black (2003) 258-259, 262-263; Sh. F. Weiss (2010) 50</w:t>
      </w:r>
      <w:r>
        <w:rPr>
          <w:rFonts w:ascii="Arial Narrow" w:hAnsi="Arial Narrow"/>
          <w:lang w:val="en-US"/>
        </w:rPr>
        <w:t>, 56, 100, 200, 274, 275 e segs</w:t>
      </w:r>
      <w:r w:rsidRPr="003C2FFE">
        <w:rPr>
          <w:rFonts w:ascii="Arial Narrow" w:hAnsi="Arial Narrow"/>
          <w:lang w:val="en-US"/>
        </w:rPr>
        <w:t>.</w:t>
      </w:r>
    </w:p>
  </w:footnote>
  <w:footnote w:id="166">
    <w:p w:rsidR="00213D8D" w:rsidRPr="00B2463D" w:rsidRDefault="00213D8D" w:rsidP="00DF4B40">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rPr>
        <w:t xml:space="preserve"> </w:t>
      </w:r>
      <w:r w:rsidRPr="003C2FFE">
        <w:rPr>
          <w:rFonts w:ascii="Arial Narrow" w:hAnsi="Arial Narrow"/>
        </w:rPr>
        <w:t xml:space="preserve">E. Black (2003) </w:t>
      </w:r>
      <w:r w:rsidRPr="00B2463D">
        <w:rPr>
          <w:rFonts w:ascii="Arial Narrow" w:hAnsi="Arial Narrow"/>
        </w:rPr>
        <w:t>258, 283 e segs., 288, 294-297, 302, 306 e segs., 364-365, 369</w:t>
      </w:r>
      <w:r>
        <w:rPr>
          <w:rFonts w:ascii="Arial Narrow" w:hAnsi="Arial Narrow"/>
        </w:rPr>
        <w:t>; Sh. F. Weiss (2010) 78, 82, 100, 124, 129, 132, 148-152, 272-273</w:t>
      </w:r>
      <w:r w:rsidRPr="00B2463D">
        <w:rPr>
          <w:rFonts w:ascii="Arial Narrow" w:hAnsi="Arial Narrow"/>
        </w:rPr>
        <w:t>.</w:t>
      </w:r>
      <w:r>
        <w:rPr>
          <w:rFonts w:ascii="Arial Narrow" w:hAnsi="Arial Narrow"/>
        </w:rPr>
        <w:t xml:space="preserve"> Note-se que, segundo Sheila Faith Weiss</w:t>
      </w:r>
      <w:r w:rsidR="00BB5124">
        <w:rPr>
          <w:rFonts w:ascii="Arial Narrow" w:hAnsi="Arial Narrow"/>
        </w:rPr>
        <w:t>,</w:t>
      </w:r>
      <w:r>
        <w:rPr>
          <w:rFonts w:ascii="Arial Narrow" w:hAnsi="Arial Narrow"/>
        </w:rPr>
        <w:t xml:space="preserve"> </w:t>
      </w:r>
      <w:r w:rsidRPr="00BB5124">
        <w:rPr>
          <w:rFonts w:ascii="Arial Narrow" w:hAnsi="Arial Narrow"/>
        </w:rPr>
        <w:t>op. cit.,</w:t>
      </w:r>
      <w:r>
        <w:rPr>
          <w:rFonts w:ascii="Arial Narrow" w:hAnsi="Arial Narrow"/>
        </w:rPr>
        <w:t xml:space="preserve"> 152, a </w:t>
      </w:r>
      <w:r w:rsidRPr="00D62B7A">
        <w:rPr>
          <w:rFonts w:ascii="Arial Narrow" w:hAnsi="Arial Narrow"/>
        </w:rPr>
        <w:t xml:space="preserve">Rockefeller Foundation </w:t>
      </w:r>
      <w:r>
        <w:rPr>
          <w:rFonts w:ascii="Arial Narrow" w:hAnsi="Arial Narrow"/>
        </w:rPr>
        <w:t>deixou de subsidiar o instituto de psiquiatria dirigido por Rüdin no final de 1937.</w:t>
      </w:r>
    </w:p>
  </w:footnote>
  <w:footnote w:id="167">
    <w:p w:rsidR="00213D8D" w:rsidRPr="00AA6BBF" w:rsidRDefault="00213D8D" w:rsidP="00DF4B40">
      <w:pPr>
        <w:pStyle w:val="Textodenotaderodap"/>
        <w:rPr>
          <w:rFonts w:ascii="Arial Narrow" w:hAnsi="Arial Narrow"/>
        </w:rPr>
      </w:pPr>
      <w:r w:rsidRPr="00AA6BBF">
        <w:rPr>
          <w:rStyle w:val="Refdenotaderodap"/>
          <w:rFonts w:ascii="Arial Narrow" w:hAnsi="Arial Narrow"/>
        </w:rPr>
        <w:footnoteRef/>
      </w:r>
      <w:r w:rsidRPr="00AA6BBF">
        <w:rPr>
          <w:rFonts w:ascii="Arial Narrow" w:hAnsi="Arial Narrow"/>
        </w:rPr>
        <w:t xml:space="preserve"> É significativa a ausência de Ford entre os capitalistas financiadores e apoiantes do movimento eugenista, que </w:t>
      </w:r>
      <w:r w:rsidRPr="003C2FFE">
        <w:rPr>
          <w:rFonts w:ascii="Arial Narrow" w:hAnsi="Arial Narrow"/>
        </w:rPr>
        <w:t xml:space="preserve">E. Black (2003) </w:t>
      </w:r>
      <w:r w:rsidRPr="00AA6BBF">
        <w:rPr>
          <w:rFonts w:ascii="Arial Narrow" w:hAnsi="Arial Narrow"/>
          <w:i/>
        </w:rPr>
        <w:t>passim</w:t>
      </w:r>
      <w:r w:rsidRPr="00AA6BBF">
        <w:rPr>
          <w:rFonts w:ascii="Arial Narrow" w:hAnsi="Arial Narrow"/>
        </w:rPr>
        <w:t xml:space="preserve"> mencionou com abundância.</w:t>
      </w:r>
    </w:p>
  </w:footnote>
  <w:footnote w:id="168">
    <w:p w:rsidR="00213D8D" w:rsidRPr="00FB3255" w:rsidRDefault="00213D8D" w:rsidP="00DF4B40">
      <w:pPr>
        <w:pStyle w:val="Textodenotaderodap"/>
        <w:rPr>
          <w:rFonts w:ascii="Arial Narrow" w:hAnsi="Arial Narrow"/>
          <w:lang w:val="en-GB"/>
        </w:rPr>
      </w:pPr>
      <w:r w:rsidRPr="00D83184">
        <w:rPr>
          <w:rStyle w:val="Refdenotaderodap"/>
          <w:rFonts w:ascii="Arial Narrow" w:hAnsi="Arial Narrow"/>
        </w:rPr>
        <w:footnoteRef/>
      </w:r>
      <w:r w:rsidRPr="00FB3255">
        <w:rPr>
          <w:rFonts w:ascii="Arial Narrow" w:hAnsi="Arial Narrow"/>
          <w:lang w:val="en-GB"/>
        </w:rPr>
        <w:t xml:space="preserve"> </w:t>
      </w:r>
      <w:r w:rsidRPr="00DF4B40">
        <w:rPr>
          <w:rFonts w:ascii="Arial Narrow" w:hAnsi="Arial Narrow"/>
          <w:lang w:val="en-US"/>
        </w:rPr>
        <w:t>A. Nevins et al. (1957) 18, 324, 354, 513, 539, 540.</w:t>
      </w:r>
    </w:p>
  </w:footnote>
  <w:footnote w:id="169">
    <w:p w:rsidR="00213D8D" w:rsidRPr="0083129B"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83129B">
        <w:rPr>
          <w:rFonts w:ascii="Arial Narrow" w:hAnsi="Arial Narrow"/>
          <w:lang w:val="en-US"/>
        </w:rPr>
        <w:t xml:space="preserve"> E. Black (2003) 273 e segs.</w:t>
      </w:r>
    </w:p>
  </w:footnote>
  <w:footnote w:id="170">
    <w:p w:rsidR="00213D8D" w:rsidRPr="00B2463D" w:rsidRDefault="00213D8D" w:rsidP="00DF4B40">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rPr>
        <w:t xml:space="preserve"> Id., ibid., 259.</w:t>
      </w:r>
    </w:p>
  </w:footnote>
  <w:footnote w:id="171">
    <w:p w:rsidR="00D75BFD" w:rsidRPr="003E305A" w:rsidRDefault="00D75BFD" w:rsidP="00D75BFD">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259</w:t>
      </w:r>
      <w:r>
        <w:rPr>
          <w:rFonts w:ascii="Arial Narrow" w:hAnsi="Arial Narrow"/>
        </w:rPr>
        <w:t>,</w:t>
      </w:r>
      <w:r w:rsidRPr="003E305A">
        <w:rPr>
          <w:rFonts w:ascii="Arial Narrow" w:hAnsi="Arial Narrow"/>
        </w:rPr>
        <w:t xml:space="preserve"> S. Kühl (1994) 85</w:t>
      </w:r>
      <w:r>
        <w:rPr>
          <w:rFonts w:ascii="Arial Narrow" w:hAnsi="Arial Narrow"/>
        </w:rPr>
        <w:t xml:space="preserve"> e Sh. F. Weiss (2010) 280</w:t>
      </w:r>
      <w:r w:rsidRPr="003E305A">
        <w:rPr>
          <w:rFonts w:ascii="Arial Narrow" w:hAnsi="Arial Narrow"/>
        </w:rPr>
        <w:t>.</w:t>
      </w:r>
      <w:r>
        <w:rPr>
          <w:rFonts w:ascii="Arial Narrow" w:hAnsi="Arial Narrow"/>
        </w:rPr>
        <w:t xml:space="preserve"> Note-se que na obra filosófica oficiosa do nacional-socialismo </w:t>
      </w:r>
      <w:r w:rsidR="00A97F36">
        <w:rPr>
          <w:rFonts w:ascii="Arial Narrow" w:hAnsi="Arial Narrow"/>
        </w:rPr>
        <w:t>germânico</w:t>
      </w:r>
      <w:r>
        <w:rPr>
          <w:rFonts w:ascii="Arial Narrow" w:hAnsi="Arial Narrow"/>
        </w:rPr>
        <w:t xml:space="preserve">, </w:t>
      </w:r>
      <w:r w:rsidRPr="001F54F1">
        <w:rPr>
          <w:rFonts w:ascii="Arial Narrow" w:hAnsi="Arial Narrow"/>
          <w:i/>
        </w:rPr>
        <w:t>O Mito do Século XX,</w:t>
      </w:r>
      <w:r>
        <w:rPr>
          <w:rFonts w:ascii="Arial Narrow" w:hAnsi="Arial Narrow"/>
        </w:rPr>
        <w:t xml:space="preserve"> Alfred Rosenberg inseriu um elogio a Grant. Ver A. Rosenberg (1986) 626 ou id. [s. d. 2] 452. Segundo A. Bramwell (1985) 68-69 e </w:t>
      </w:r>
      <w:r w:rsidRPr="00473B26">
        <w:rPr>
          <w:rFonts w:ascii="Arial Narrow" w:hAnsi="Arial Narrow"/>
        </w:rPr>
        <w:t>184</w:t>
      </w:r>
      <w:r>
        <w:rPr>
          <w:rFonts w:ascii="Arial Narrow" w:hAnsi="Arial Narrow"/>
        </w:rPr>
        <w:t xml:space="preserve">, Grant influenciou também Walther Darré, que </w:t>
      </w:r>
      <w:r w:rsidRPr="00473B26">
        <w:rPr>
          <w:rFonts w:ascii="Arial Narrow" w:hAnsi="Arial Narrow"/>
        </w:rPr>
        <w:t>nos interrogatórios a que foi submetido pelos Aliados</w:t>
      </w:r>
      <w:r>
        <w:rPr>
          <w:rFonts w:ascii="Arial Narrow" w:hAnsi="Arial Narrow"/>
        </w:rPr>
        <w:t xml:space="preserve"> </w:t>
      </w:r>
      <w:r w:rsidRPr="00473B26">
        <w:rPr>
          <w:rFonts w:ascii="Arial Narrow" w:hAnsi="Arial Narrow"/>
        </w:rPr>
        <w:t xml:space="preserve">invocou repetidamente a obra de Grant para </w:t>
      </w:r>
      <w:r>
        <w:rPr>
          <w:rFonts w:ascii="Arial Narrow" w:hAnsi="Arial Narrow"/>
        </w:rPr>
        <w:t>defender</w:t>
      </w:r>
      <w:r w:rsidRPr="00473B26">
        <w:rPr>
          <w:rFonts w:ascii="Arial Narrow" w:hAnsi="Arial Narrow"/>
        </w:rPr>
        <w:t xml:space="preserve"> a legi</w:t>
      </w:r>
      <w:r>
        <w:rPr>
          <w:rFonts w:ascii="Arial Narrow" w:hAnsi="Arial Narrow"/>
        </w:rPr>
        <w:t>timidade das doutrinas racistas.</w:t>
      </w:r>
    </w:p>
  </w:footnote>
  <w:footnote w:id="172">
    <w:p w:rsidR="00213D8D" w:rsidRPr="0083129B"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lang w:val="fr-FR"/>
        </w:rPr>
        <w:t xml:space="preserve"> E. Black (2003) 259; E. Conte et al. </w:t>
      </w:r>
      <w:r w:rsidRPr="00AC55EF">
        <w:rPr>
          <w:rFonts w:ascii="Arial Narrow" w:hAnsi="Arial Narrow"/>
        </w:rPr>
        <w:t>(1995) 81-82; S. Kühl (1994) 73-74.</w:t>
      </w:r>
      <w:r w:rsidR="00AC55EF" w:rsidRPr="00AC55EF">
        <w:rPr>
          <w:rFonts w:ascii="Arial Narrow" w:hAnsi="Arial Narrow"/>
        </w:rPr>
        <w:t xml:space="preserve"> O antropologista Franz Boas devastou este livro, indicando que «toda a argumentação se baseia no pressuposto dogmático de que onde quer que um povo revele características culturais eminentes elas se devem necessariamente ao estímulo do sangue nórdico. [...] a tese principal é tida como demonstrada e aplicada então para “explicar” fenómenos culturais, e factos biológicos são adulterados de acordo com as ilusões do autor»</w:t>
      </w:r>
      <w:r w:rsidR="00AF763D">
        <w:rPr>
          <w:rFonts w:ascii="Arial Narrow" w:hAnsi="Arial Narrow"/>
        </w:rPr>
        <w:t xml:space="preserve">. </w:t>
      </w:r>
      <w:r w:rsidR="00AF763D" w:rsidRPr="0083129B">
        <w:rPr>
          <w:rFonts w:ascii="Arial Narrow" w:hAnsi="Arial Narrow"/>
          <w:lang w:val="en-US"/>
        </w:rPr>
        <w:t xml:space="preserve">Ver </w:t>
      </w:r>
      <w:r w:rsidR="00AF763D" w:rsidRPr="003E305A">
        <w:rPr>
          <w:rFonts w:ascii="Arial Narrow" w:hAnsi="Arial Narrow"/>
          <w:lang w:val="en-GB"/>
        </w:rPr>
        <w:t>F. Boas (1938) 25.</w:t>
      </w:r>
    </w:p>
  </w:footnote>
  <w:footnote w:id="173">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17.</w:t>
      </w:r>
    </w:p>
  </w:footnote>
  <w:footnote w:id="174">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44.</w:t>
      </w:r>
    </w:p>
  </w:footnote>
  <w:footnote w:id="175">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83.</w:t>
      </w:r>
    </w:p>
  </w:footnote>
  <w:footnote w:id="176">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167, 174.</w:t>
      </w:r>
    </w:p>
  </w:footnote>
  <w:footnote w:id="177">
    <w:p w:rsidR="00213D8D" w:rsidRPr="003E305A" w:rsidRDefault="00213D8D" w:rsidP="00A5506B">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007A4981" w:rsidRPr="0083129B">
        <w:rPr>
          <w:rFonts w:ascii="Arial Narrow" w:hAnsi="Arial Narrow"/>
        </w:rPr>
        <w:t>L. Stoddard (1921) 300-301</w:t>
      </w:r>
      <w:r w:rsidR="00E74E8E">
        <w:rPr>
          <w:rFonts w:ascii="Arial Narrow" w:hAnsi="Arial Narrow"/>
        </w:rPr>
        <w:t>; id. (1922) 5</w:t>
      </w:r>
      <w:r w:rsidR="002010C4">
        <w:rPr>
          <w:rFonts w:ascii="Arial Narrow" w:hAnsi="Arial Narrow"/>
        </w:rPr>
        <w:t>-6</w:t>
      </w:r>
      <w:r w:rsidR="00380F61">
        <w:rPr>
          <w:rFonts w:ascii="Arial Narrow" w:hAnsi="Arial Narrow"/>
        </w:rPr>
        <w:t>, 83-84</w:t>
      </w:r>
      <w:r w:rsidR="007A4981" w:rsidRPr="0083129B">
        <w:rPr>
          <w:rFonts w:ascii="Arial Narrow" w:hAnsi="Arial Narrow"/>
        </w:rPr>
        <w:t xml:space="preserve">. Ver igualmente </w:t>
      </w:r>
      <w:r w:rsidRPr="003E305A">
        <w:rPr>
          <w:rFonts w:ascii="Arial Narrow" w:hAnsi="Arial Narrow"/>
        </w:rPr>
        <w:t xml:space="preserve">F. Boas (1938) 26-27. </w:t>
      </w:r>
      <w:r>
        <w:rPr>
          <w:rFonts w:ascii="Arial Narrow" w:hAnsi="Arial Narrow"/>
        </w:rPr>
        <w:t xml:space="preserve">Em </w:t>
      </w:r>
      <w:r w:rsidRPr="001F54F1">
        <w:rPr>
          <w:rFonts w:ascii="Arial Narrow" w:hAnsi="Arial Narrow"/>
          <w:i/>
        </w:rPr>
        <w:t>O Mito do Século XX</w:t>
      </w:r>
      <w:r>
        <w:rPr>
          <w:rFonts w:ascii="Arial Narrow" w:hAnsi="Arial Narrow"/>
        </w:rPr>
        <w:t xml:space="preserve"> Rosenberg inseriu um elogio a Stoddard. Ver A. Rosenberg (1986) 626 ou id. [s. d. 2] 452. Stoddard influenciou também Walther Darré, a crer em A. Bramwell (1985) 68-69. «Talvez TODOS nós estivéssemos errados, excepto </w:t>
      </w:r>
      <w:r w:rsidRPr="001E4E54">
        <w:rPr>
          <w:rFonts w:ascii="Arial Narrow" w:hAnsi="Arial Narrow"/>
        </w:rPr>
        <w:t>Lothrop Stoddard</w:t>
      </w:r>
      <w:r>
        <w:rPr>
          <w:rFonts w:ascii="Arial Narrow" w:hAnsi="Arial Narrow"/>
        </w:rPr>
        <w:t xml:space="preserve"> e meia dúzia de escritores», disse Ezra Pound na emissão da Rádio Roma de 14 de Junho de 1942. Ver </w:t>
      </w:r>
      <w:r w:rsidRPr="000B6A26">
        <w:rPr>
          <w:rFonts w:ascii="Arial Narrow" w:hAnsi="Arial Narrow"/>
        </w:rPr>
        <w:t xml:space="preserve">L. W. Doob (org. 1978) </w:t>
      </w:r>
      <w:r>
        <w:rPr>
          <w:rFonts w:ascii="Arial Narrow" w:hAnsi="Arial Narrow"/>
        </w:rPr>
        <w:t xml:space="preserve">92 </w:t>
      </w:r>
      <w:r w:rsidRPr="009C3566">
        <w:rPr>
          <w:rFonts w:ascii="Arial Narrow" w:hAnsi="Arial Narrow"/>
        </w:rPr>
        <w:t>(maiúsc. orig.)</w:t>
      </w:r>
      <w:r>
        <w:rPr>
          <w:rFonts w:ascii="Arial Narrow" w:hAnsi="Arial Narrow"/>
        </w:rPr>
        <w:t>.</w:t>
      </w:r>
    </w:p>
  </w:footnote>
  <w:footnote w:id="178">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Black (2003) 31.</w:t>
      </w:r>
    </w:p>
  </w:footnote>
  <w:footnote w:id="179">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0083129B" w:rsidRPr="00E25A7A">
        <w:rPr>
          <w:rFonts w:ascii="Arial Narrow" w:hAnsi="Arial Narrow"/>
        </w:rPr>
        <w:t>L. Stoddard (1921) 166.</w:t>
      </w:r>
      <w:r w:rsidR="00372521">
        <w:rPr>
          <w:rFonts w:ascii="Arial Narrow" w:hAnsi="Arial Narrow"/>
        </w:rPr>
        <w:t xml:space="preserve"> «Estes seres infelizes», escreveu também Lothrop Stoddard referindo-se aos mestiços (pág. 120), «em cujos corpos todas as células são um campo de batalha de hereditariedades dissonantes, expressam os seus espíritos em actos de violência frenética e numa instabilidade sem sentido».</w:t>
      </w:r>
    </w:p>
  </w:footnote>
  <w:footnote w:id="180">
    <w:p w:rsidR="00911288" w:rsidRPr="00911288" w:rsidRDefault="00911288">
      <w:pPr>
        <w:pStyle w:val="Textodenotaderodap"/>
        <w:rPr>
          <w:rFonts w:ascii="Arial Narrow" w:hAnsi="Arial Narrow"/>
        </w:rPr>
      </w:pPr>
      <w:r w:rsidRPr="00911288">
        <w:rPr>
          <w:rStyle w:val="Refdenotaderodap"/>
          <w:rFonts w:ascii="Arial Narrow" w:hAnsi="Arial Narrow"/>
        </w:rPr>
        <w:footnoteRef/>
      </w:r>
      <w:r w:rsidRPr="00911288">
        <w:rPr>
          <w:rFonts w:ascii="Arial Narrow" w:hAnsi="Arial Narrow"/>
        </w:rPr>
        <w:t xml:space="preserve"> </w:t>
      </w:r>
      <w:r w:rsidRPr="00700687">
        <w:rPr>
          <w:rFonts w:ascii="Arial Narrow" w:hAnsi="Arial Narrow"/>
        </w:rPr>
        <w:t>L. Stoddard (1922)</w:t>
      </w:r>
      <w:r>
        <w:rPr>
          <w:rFonts w:ascii="Arial Narrow" w:hAnsi="Arial Narrow"/>
        </w:rPr>
        <w:t xml:space="preserve"> 23</w:t>
      </w:r>
      <w:r w:rsidR="00014E02">
        <w:rPr>
          <w:rFonts w:ascii="Arial Narrow" w:hAnsi="Arial Narrow"/>
        </w:rPr>
        <w:t>, 86</w:t>
      </w:r>
      <w:r w:rsidR="00E1743B">
        <w:rPr>
          <w:rFonts w:ascii="Arial Narrow" w:hAnsi="Arial Narrow"/>
        </w:rPr>
        <w:t>-87</w:t>
      </w:r>
      <w:r w:rsidR="00332825">
        <w:rPr>
          <w:rFonts w:ascii="Arial Narrow" w:hAnsi="Arial Narrow"/>
        </w:rPr>
        <w:t xml:space="preserve">. Escreveu </w:t>
      </w:r>
      <w:r w:rsidR="00332825" w:rsidRPr="00DB5539">
        <w:rPr>
          <w:rFonts w:ascii="Arial Narrow" w:hAnsi="Arial Narrow"/>
        </w:rPr>
        <w:t xml:space="preserve">Lothrop Stoddard (pág. 24) que «a atitude básica do Sub-Homem é, instintiva e naturalmente, uma </w:t>
      </w:r>
      <w:r w:rsidR="00332825" w:rsidRPr="00DB5539">
        <w:rPr>
          <w:rFonts w:ascii="Arial Narrow" w:hAnsi="Arial Narrow"/>
          <w:i/>
        </w:rPr>
        <w:t>revolta contra a civilização</w:t>
      </w:r>
      <w:r w:rsidR="00332825" w:rsidRPr="00DB5539">
        <w:rPr>
          <w:rFonts w:ascii="Arial Narrow" w:hAnsi="Arial Narrow"/>
        </w:rPr>
        <w:t xml:space="preserve">» e acrescentou (pág. 86) que «aquilo que o Sub-Homem pretende não é o progresso mas o </w:t>
      </w:r>
      <w:r w:rsidR="00332825" w:rsidRPr="00DB5539">
        <w:rPr>
          <w:rFonts w:ascii="Arial Narrow" w:hAnsi="Arial Narrow"/>
          <w:i/>
        </w:rPr>
        <w:t>retrocesso</w:t>
      </w:r>
      <w:r w:rsidR="00332825" w:rsidRPr="00DB5539">
        <w:rPr>
          <w:rFonts w:ascii="Arial Narrow" w:hAnsi="Arial Narrow"/>
        </w:rPr>
        <w:t xml:space="preserve"> — retrocesso para condições mais primitivas em que se sinta à vontade». </w:t>
      </w:r>
      <w:r w:rsidR="00332825" w:rsidRPr="00332825">
        <w:rPr>
          <w:rFonts w:ascii="Arial Narrow" w:hAnsi="Arial Narrow"/>
        </w:rPr>
        <w:t>É por isso</w:t>
      </w:r>
      <w:r w:rsidR="00332825">
        <w:rPr>
          <w:rFonts w:ascii="Arial Narrow" w:hAnsi="Arial Narrow"/>
        </w:rPr>
        <w:t>, considerou Stoddard (pág</w:t>
      </w:r>
      <w:r w:rsidR="0027214C">
        <w:rPr>
          <w:rFonts w:ascii="Arial Narrow" w:hAnsi="Arial Narrow"/>
        </w:rPr>
        <w:t>s</w:t>
      </w:r>
      <w:r w:rsidR="00332825">
        <w:rPr>
          <w:rFonts w:ascii="Arial Narrow" w:hAnsi="Arial Narrow"/>
        </w:rPr>
        <w:t>. 87</w:t>
      </w:r>
      <w:r w:rsidR="0027214C">
        <w:rPr>
          <w:rFonts w:ascii="Arial Narrow" w:hAnsi="Arial Narrow"/>
        </w:rPr>
        <w:t>, 220-221</w:t>
      </w:r>
      <w:r w:rsidR="00146DEF">
        <w:rPr>
          <w:rFonts w:ascii="Arial Narrow" w:hAnsi="Arial Narrow"/>
        </w:rPr>
        <w:t>, 224</w:t>
      </w:r>
      <w:r w:rsidR="00332825">
        <w:rPr>
          <w:rFonts w:ascii="Arial Narrow" w:hAnsi="Arial Narrow"/>
        </w:rPr>
        <w:t>)</w:t>
      </w:r>
      <w:r w:rsidR="00B13B68">
        <w:rPr>
          <w:rFonts w:ascii="Arial Narrow" w:hAnsi="Arial Narrow"/>
        </w:rPr>
        <w:t>,</w:t>
      </w:r>
      <w:r w:rsidR="00332825" w:rsidRPr="00332825">
        <w:rPr>
          <w:rFonts w:ascii="Arial Narrow" w:hAnsi="Arial Narrow"/>
        </w:rPr>
        <w:t xml:space="preserve"> que o sub-homem declara guerra à civilização</w:t>
      </w:r>
      <w:r w:rsidR="00460D7B">
        <w:rPr>
          <w:rFonts w:ascii="Arial Narrow" w:hAnsi="Arial Narrow"/>
        </w:rPr>
        <w:t>.</w:t>
      </w:r>
    </w:p>
  </w:footnote>
  <w:footnote w:id="181">
    <w:p w:rsidR="00213D8D" w:rsidRPr="003708B5"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3708B5">
        <w:rPr>
          <w:rFonts w:ascii="Arial Narrow" w:hAnsi="Arial Narrow"/>
          <w:lang w:val="en-US"/>
        </w:rPr>
        <w:t xml:space="preserve"> </w:t>
      </w:r>
      <w:r w:rsidR="0083129B" w:rsidRPr="003708B5">
        <w:rPr>
          <w:rFonts w:ascii="Arial Narrow" w:hAnsi="Arial Narrow"/>
          <w:lang w:val="en-US"/>
        </w:rPr>
        <w:t xml:space="preserve">E. Black (2003) </w:t>
      </w:r>
      <w:r w:rsidRPr="003708B5">
        <w:rPr>
          <w:rFonts w:ascii="Arial Narrow" w:hAnsi="Arial Narrow"/>
          <w:lang w:val="en-US"/>
        </w:rPr>
        <w:t>258.</w:t>
      </w:r>
    </w:p>
  </w:footnote>
  <w:footnote w:id="182">
    <w:p w:rsidR="00213D8D" w:rsidRPr="003708B5"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3708B5">
        <w:rPr>
          <w:rFonts w:ascii="Arial Narrow" w:hAnsi="Arial Narrow"/>
          <w:lang w:val="en-US"/>
        </w:rPr>
        <w:t xml:space="preserve"> </w:t>
      </w:r>
      <w:r w:rsidR="00911288" w:rsidRPr="003708B5">
        <w:rPr>
          <w:rFonts w:ascii="Arial Narrow" w:hAnsi="Arial Narrow"/>
          <w:lang w:val="en-US"/>
        </w:rPr>
        <w:t xml:space="preserve">Id., ibid., </w:t>
      </w:r>
      <w:r w:rsidRPr="003708B5">
        <w:rPr>
          <w:rFonts w:ascii="Arial Narrow" w:hAnsi="Arial Narrow"/>
          <w:lang w:val="en-US"/>
        </w:rPr>
        <w:t>91, 133, 134, 138, 188, 192, 258, 394.</w:t>
      </w:r>
    </w:p>
  </w:footnote>
  <w:footnote w:id="183">
    <w:p w:rsidR="00413891" w:rsidRPr="00413891" w:rsidRDefault="00413891">
      <w:pPr>
        <w:pStyle w:val="Textodenotaderodap"/>
        <w:rPr>
          <w:rFonts w:ascii="Arial Narrow" w:hAnsi="Arial Narrow"/>
        </w:rPr>
      </w:pPr>
      <w:r w:rsidRPr="00413891">
        <w:rPr>
          <w:rStyle w:val="Refdenotaderodap"/>
          <w:rFonts w:ascii="Arial Narrow" w:hAnsi="Arial Narrow"/>
        </w:rPr>
        <w:footnoteRef/>
      </w:r>
      <w:r w:rsidRPr="003708B5">
        <w:rPr>
          <w:rFonts w:ascii="Arial Narrow" w:hAnsi="Arial Narrow"/>
          <w:lang w:val="en-US"/>
        </w:rPr>
        <w:t xml:space="preserve"> </w:t>
      </w:r>
      <w:r w:rsidRPr="00413891">
        <w:rPr>
          <w:rFonts w:ascii="Arial Narrow" w:hAnsi="Arial Narrow"/>
          <w:lang w:val="en-US"/>
        </w:rPr>
        <w:t xml:space="preserve">D. L. Hoffmann </w:t>
      </w:r>
      <w:r>
        <w:rPr>
          <w:rFonts w:ascii="Arial Narrow" w:hAnsi="Arial Narrow"/>
          <w:lang w:val="en-US"/>
        </w:rPr>
        <w:t xml:space="preserve">et al. </w:t>
      </w:r>
      <w:r w:rsidRPr="003708B5">
        <w:rPr>
          <w:rFonts w:ascii="Arial Narrow" w:hAnsi="Arial Narrow"/>
        </w:rPr>
        <w:t>(2009) 103 argumenta</w:t>
      </w:r>
      <w:r w:rsidR="003A2FE3">
        <w:rPr>
          <w:rFonts w:ascii="Arial Narrow" w:hAnsi="Arial Narrow"/>
        </w:rPr>
        <w:t>ra</w:t>
      </w:r>
      <w:r w:rsidRPr="003708B5">
        <w:rPr>
          <w:rFonts w:ascii="Arial Narrow" w:hAnsi="Arial Narrow"/>
        </w:rPr>
        <w:t>m que, ao contrário do que pretendiam os dirigentes soviético</w:t>
      </w:r>
      <w:r w:rsidR="003A2FE3">
        <w:rPr>
          <w:rFonts w:ascii="Arial Narrow" w:hAnsi="Arial Narrow"/>
        </w:rPr>
        <w:t>s</w:t>
      </w:r>
      <w:r w:rsidRPr="003708B5">
        <w:rPr>
          <w:rFonts w:ascii="Arial Narrow" w:hAnsi="Arial Narrow"/>
        </w:rPr>
        <w:t xml:space="preserve">, a eugenia não era uma disciplina fascista porque era praticada amplamente em democracias como os Estados Unidos. </w:t>
      </w:r>
      <w:r w:rsidR="003708B5">
        <w:rPr>
          <w:rFonts w:ascii="Arial Narrow" w:hAnsi="Arial Narrow"/>
        </w:rPr>
        <w:t>O que escrevi até aqui mostra a deliberada ingenuidade deste raciocínio.</w:t>
      </w:r>
    </w:p>
  </w:footnote>
  <w:footnote w:id="184">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t>
      </w:r>
      <w:r w:rsidR="00413891" w:rsidRPr="003E305A">
        <w:rPr>
          <w:rFonts w:ascii="Arial Narrow" w:hAnsi="Arial Narrow"/>
        </w:rPr>
        <w:t xml:space="preserve">E. Black (2003) </w:t>
      </w:r>
      <w:r w:rsidRPr="003E305A">
        <w:rPr>
          <w:rFonts w:ascii="Arial Narrow" w:hAnsi="Arial Narrow"/>
        </w:rPr>
        <w:t>370.</w:t>
      </w:r>
    </w:p>
  </w:footnote>
  <w:footnote w:id="185">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416.</w:t>
      </w:r>
    </w:p>
  </w:footnote>
  <w:footnote w:id="186">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Pichot (2000) 242-243. Ver no mesmo sentido S. Kühl (1994) 36.</w:t>
      </w:r>
    </w:p>
  </w:footnote>
  <w:footnote w:id="187">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Black (2003) 270</w:t>
      </w:r>
      <w:r w:rsidR="00BF502E">
        <w:rPr>
          <w:rFonts w:ascii="Arial Narrow" w:hAnsi="Arial Narrow"/>
        </w:rPr>
        <w:t>,</w:t>
      </w:r>
      <w:r w:rsidRPr="003E305A">
        <w:rPr>
          <w:rFonts w:ascii="Arial Narrow" w:hAnsi="Arial Narrow"/>
        </w:rPr>
        <w:t xml:space="preserve"> 318 </w:t>
      </w:r>
      <w:r w:rsidR="00BF502E">
        <w:rPr>
          <w:rFonts w:ascii="Arial Narrow" w:hAnsi="Arial Narrow"/>
        </w:rPr>
        <w:t xml:space="preserve">e </w:t>
      </w:r>
      <w:r w:rsidR="00BF502E" w:rsidRPr="00BF502E">
        <w:rPr>
          <w:rFonts w:ascii="Arial Narrow" w:hAnsi="Arial Narrow"/>
        </w:rPr>
        <w:t xml:space="preserve">A. Quinchon-Caudal (2013) </w:t>
      </w:r>
      <w:r w:rsidR="00BF502E">
        <w:rPr>
          <w:rFonts w:ascii="Arial Narrow" w:hAnsi="Arial Narrow"/>
        </w:rPr>
        <w:t xml:space="preserve">175 </w:t>
      </w:r>
      <w:r w:rsidRPr="003E305A">
        <w:rPr>
          <w:rFonts w:ascii="Arial Narrow" w:hAnsi="Arial Narrow"/>
        </w:rPr>
        <w:t>atribu</w:t>
      </w:r>
      <w:r w:rsidR="00BF502E">
        <w:rPr>
          <w:rFonts w:ascii="Arial Narrow" w:hAnsi="Arial Narrow"/>
        </w:rPr>
        <w:t>em</w:t>
      </w:r>
      <w:r w:rsidRPr="003E305A">
        <w:rPr>
          <w:rFonts w:ascii="Arial Narrow" w:hAnsi="Arial Narrow"/>
        </w:rPr>
        <w:t xml:space="preserve"> esta definição a Rudolf Hess, mas</w:t>
      </w:r>
      <w:r>
        <w:rPr>
          <w:rFonts w:ascii="Arial Narrow" w:hAnsi="Arial Narrow"/>
        </w:rPr>
        <w:t>,</w:t>
      </w:r>
      <w:r w:rsidRPr="003E305A">
        <w:rPr>
          <w:rFonts w:ascii="Arial Narrow" w:hAnsi="Arial Narrow"/>
        </w:rPr>
        <w:t xml:space="preserve"> segundo S. Kühl (1994) 36 e 121 n. 39, ela deve-se ao eugenista Fritz Lenz, que a formul</w:t>
      </w:r>
      <w:r>
        <w:rPr>
          <w:rFonts w:ascii="Arial Narrow" w:hAnsi="Arial Narrow"/>
        </w:rPr>
        <w:t>ara</w:t>
      </w:r>
      <w:r w:rsidRPr="003E305A">
        <w:rPr>
          <w:rFonts w:ascii="Arial Narrow" w:hAnsi="Arial Narrow"/>
        </w:rPr>
        <w:t xml:space="preserve"> em 1931, e atingiu em seguida uma grande difusão, nomeadamente graças a Hess. Na origem esta concepção remonta ao célebre biólogo Ernst Haeckel, que afirm</w:t>
      </w:r>
      <w:r>
        <w:rPr>
          <w:rFonts w:ascii="Arial Narrow" w:hAnsi="Arial Narrow"/>
        </w:rPr>
        <w:t>ara</w:t>
      </w:r>
      <w:r w:rsidRPr="003E305A">
        <w:rPr>
          <w:rFonts w:ascii="Arial Narrow" w:hAnsi="Arial Narrow"/>
        </w:rPr>
        <w:t xml:space="preserve"> que «a política é biologia aplicada». </w:t>
      </w:r>
      <w:r>
        <w:rPr>
          <w:rFonts w:ascii="Arial Narrow" w:hAnsi="Arial Narrow"/>
        </w:rPr>
        <w:t xml:space="preserve">Ver </w:t>
      </w:r>
      <w:r w:rsidRPr="0051066C">
        <w:rPr>
          <w:rFonts w:ascii="Arial Narrow" w:hAnsi="Arial Narrow"/>
        </w:rPr>
        <w:t xml:space="preserve">University of California Museum of Paleontology [s. d.]. </w:t>
      </w:r>
      <w:r w:rsidRPr="003E305A">
        <w:rPr>
          <w:rFonts w:ascii="Arial Narrow" w:hAnsi="Arial Narrow"/>
        </w:rPr>
        <w:t>Nesta perspectiva o nacional-socialismo apresent</w:t>
      </w:r>
      <w:r>
        <w:rPr>
          <w:rFonts w:ascii="Arial Narrow" w:hAnsi="Arial Narrow"/>
        </w:rPr>
        <w:t>ou</w:t>
      </w:r>
      <w:r w:rsidRPr="003E305A">
        <w:rPr>
          <w:rFonts w:ascii="Arial Narrow" w:hAnsi="Arial Narrow"/>
        </w:rPr>
        <w:t>-se como a única política correcta.</w:t>
      </w:r>
      <w:r w:rsidR="00CC5B0F">
        <w:rPr>
          <w:rFonts w:ascii="Arial Narrow" w:hAnsi="Arial Narrow"/>
        </w:rPr>
        <w:t xml:space="preserve"> Note-se que, segundo </w:t>
      </w:r>
      <w:r w:rsidR="00CC5B0F" w:rsidRPr="00E51DF6">
        <w:rPr>
          <w:rFonts w:ascii="Arial Narrow" w:hAnsi="Arial Narrow"/>
        </w:rPr>
        <w:t>A</w:t>
      </w:r>
      <w:r w:rsidR="00BF502E">
        <w:rPr>
          <w:rFonts w:ascii="Arial Narrow" w:hAnsi="Arial Narrow"/>
        </w:rPr>
        <w:t>nne</w:t>
      </w:r>
      <w:r w:rsidR="00CC5B0F" w:rsidRPr="00E51DF6">
        <w:rPr>
          <w:rFonts w:ascii="Arial Narrow" w:hAnsi="Arial Narrow"/>
        </w:rPr>
        <w:t xml:space="preserve"> Quinchon-Caudal</w:t>
      </w:r>
      <w:r w:rsidR="00BF502E">
        <w:rPr>
          <w:rFonts w:ascii="Arial Narrow" w:hAnsi="Arial Narrow"/>
        </w:rPr>
        <w:t xml:space="preserve">, op. cit., </w:t>
      </w:r>
      <w:r w:rsidR="00CC5B0F" w:rsidRPr="00E51DF6">
        <w:rPr>
          <w:rFonts w:ascii="Arial Narrow" w:hAnsi="Arial Narrow"/>
        </w:rPr>
        <w:t>161, a Federação Nacional-Socialista dos Médicos Alemães anunciou que «a biologia nacional deve prece</w:t>
      </w:r>
      <w:r w:rsidR="002E60D2" w:rsidRPr="00E51DF6">
        <w:rPr>
          <w:rFonts w:ascii="Arial Narrow" w:hAnsi="Arial Narrow"/>
        </w:rPr>
        <w:t>d</w:t>
      </w:r>
      <w:r w:rsidR="00CC5B0F" w:rsidRPr="00E51DF6">
        <w:rPr>
          <w:rFonts w:ascii="Arial Narrow" w:hAnsi="Arial Narrow"/>
        </w:rPr>
        <w:t>er a economia nacional».</w:t>
      </w:r>
    </w:p>
  </w:footnote>
  <w:footnote w:id="188">
    <w:p w:rsidR="00213D8D" w:rsidRPr="003E305A" w:rsidRDefault="00213D8D" w:rsidP="00DF4B4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L. Poliakov (1971) 314. Acerca das funções assumidas por von Verschuer em 1942 ver E. Black (2003) 347.</w:t>
      </w:r>
    </w:p>
  </w:footnote>
  <w:footnote w:id="189">
    <w:p w:rsidR="006478A4" w:rsidRPr="006478A4" w:rsidRDefault="006478A4">
      <w:pPr>
        <w:pStyle w:val="Textodenotaderodap"/>
        <w:rPr>
          <w:rFonts w:ascii="Arial Narrow" w:hAnsi="Arial Narrow"/>
        </w:rPr>
      </w:pPr>
      <w:r w:rsidRPr="006478A4">
        <w:rPr>
          <w:rStyle w:val="Refdenotaderodap"/>
          <w:rFonts w:ascii="Arial Narrow" w:hAnsi="Arial Narrow"/>
        </w:rPr>
        <w:footnoteRef/>
      </w:r>
      <w:r w:rsidRPr="006478A4">
        <w:rPr>
          <w:rFonts w:ascii="Arial Narrow" w:hAnsi="Arial Narrow"/>
        </w:rPr>
        <w:t xml:space="preserve"> </w:t>
      </w:r>
      <w:r>
        <w:rPr>
          <w:rFonts w:ascii="Arial Narrow" w:hAnsi="Arial Narrow"/>
        </w:rPr>
        <w:t xml:space="preserve">Citado em </w:t>
      </w:r>
      <w:r w:rsidRPr="006478A4">
        <w:rPr>
          <w:rFonts w:ascii="Arial Narrow" w:hAnsi="Arial Narrow"/>
        </w:rPr>
        <w:t>A. Quinchon-Caudal (2013)</w:t>
      </w:r>
      <w:r>
        <w:rPr>
          <w:rFonts w:ascii="Arial Narrow" w:hAnsi="Arial Narrow"/>
        </w:rPr>
        <w:t xml:space="preserve"> 175.</w:t>
      </w:r>
    </w:p>
  </w:footnote>
  <w:footnote w:id="190">
    <w:p w:rsidR="00EF3FF0" w:rsidRPr="00EF3FF0" w:rsidRDefault="00EF3FF0">
      <w:pPr>
        <w:pStyle w:val="Textodenotaderodap"/>
        <w:rPr>
          <w:rFonts w:ascii="Arial Narrow" w:hAnsi="Arial Narrow"/>
        </w:rPr>
      </w:pPr>
      <w:r w:rsidRPr="00EF3FF0">
        <w:rPr>
          <w:rStyle w:val="Refdenotaderodap"/>
          <w:rFonts w:ascii="Arial Narrow" w:hAnsi="Arial Narrow"/>
        </w:rPr>
        <w:footnoteRef/>
      </w:r>
      <w:r w:rsidRPr="00EF3FF0">
        <w:rPr>
          <w:rFonts w:ascii="Arial Narrow" w:hAnsi="Arial Narrow"/>
        </w:rPr>
        <w:t xml:space="preserve"> </w:t>
      </w:r>
      <w:r w:rsidR="00E05519">
        <w:rPr>
          <w:rFonts w:ascii="Arial Narrow" w:hAnsi="Arial Narrow"/>
        </w:rPr>
        <w:t xml:space="preserve">Id., ibid., </w:t>
      </w:r>
      <w:r w:rsidRPr="00EF3FF0">
        <w:rPr>
          <w:rFonts w:ascii="Arial Narrow" w:hAnsi="Arial Narrow"/>
        </w:rPr>
        <w:t>232.</w:t>
      </w:r>
    </w:p>
  </w:footnote>
  <w:footnote w:id="191">
    <w:p w:rsidR="00213D8D" w:rsidRPr="003B072E" w:rsidRDefault="00213D8D" w:rsidP="00AD6EE5">
      <w:pPr>
        <w:pStyle w:val="Textodenotaderodap"/>
        <w:rPr>
          <w:rFonts w:ascii="Arial Narrow" w:hAnsi="Arial Narrow"/>
          <w:lang w:val="en-US"/>
        </w:rPr>
      </w:pPr>
      <w:r w:rsidRPr="00DC2119">
        <w:rPr>
          <w:rStyle w:val="Refdenotaderodap"/>
          <w:rFonts w:ascii="Arial Narrow" w:hAnsi="Arial Narrow"/>
        </w:rPr>
        <w:footnoteRef/>
      </w:r>
      <w:r w:rsidRPr="00DC2119">
        <w:rPr>
          <w:rFonts w:ascii="Arial Narrow" w:hAnsi="Arial Narrow"/>
        </w:rPr>
        <w:t xml:space="preserve"> </w:t>
      </w:r>
      <w:r>
        <w:rPr>
          <w:rFonts w:ascii="Arial Narrow" w:hAnsi="Arial Narrow"/>
        </w:rPr>
        <w:t xml:space="preserve">Ambos citados em J. Noakes et al. </w:t>
      </w:r>
      <w:r w:rsidRPr="003B072E">
        <w:rPr>
          <w:rFonts w:ascii="Arial Narrow" w:hAnsi="Arial Narrow"/>
          <w:lang w:val="en-US"/>
        </w:rPr>
        <w:t>(orgs. 2008-2010) IV 108.</w:t>
      </w:r>
    </w:p>
  </w:footnote>
  <w:footnote w:id="192">
    <w:p w:rsidR="00213D8D" w:rsidRPr="00B2463D" w:rsidRDefault="00213D8D" w:rsidP="00DF4B4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w:t>
      </w:r>
      <w:r w:rsidR="0053273C" w:rsidRPr="003B072E">
        <w:rPr>
          <w:rFonts w:ascii="Arial Narrow" w:hAnsi="Arial Narrow"/>
          <w:lang w:val="en-US"/>
        </w:rPr>
        <w:t xml:space="preserve">Ph. Burrin (2000) 148; </w:t>
      </w:r>
      <w:r w:rsidR="00E51DF6" w:rsidRPr="003B072E">
        <w:rPr>
          <w:rFonts w:ascii="Arial Narrow" w:hAnsi="Arial Narrow"/>
          <w:lang w:val="en-US"/>
        </w:rPr>
        <w:t xml:space="preserve">A. Quinchon-Caudal (2013) 161; </w:t>
      </w:r>
      <w:r>
        <w:rPr>
          <w:rFonts w:ascii="Arial Narrow" w:hAnsi="Arial Narrow"/>
          <w:lang w:val="de-DE"/>
        </w:rPr>
        <w:t xml:space="preserve">P. Watson (2011) 661; </w:t>
      </w:r>
      <w:r w:rsidRPr="00B2463D">
        <w:rPr>
          <w:rFonts w:ascii="Arial Narrow" w:hAnsi="Arial Narrow"/>
          <w:lang w:val="de-DE"/>
        </w:rPr>
        <w:t>S. Wiesenthal (1989) 118.</w:t>
      </w:r>
      <w:r w:rsidR="00A71139">
        <w:rPr>
          <w:rFonts w:ascii="Arial Narrow" w:hAnsi="Arial Narrow"/>
          <w:lang w:val="de-DE"/>
        </w:rPr>
        <w:t xml:space="preserve"> </w:t>
      </w:r>
      <w:r w:rsidR="00F15189">
        <w:rPr>
          <w:rFonts w:ascii="Arial Narrow" w:hAnsi="Arial Narrow"/>
          <w:lang w:val="de-DE"/>
        </w:rPr>
        <w:t xml:space="preserve">«[...] os médicos foram três vezes mais numerosos do que os outros alemães a aderir ao partido nazi», escreveu </w:t>
      </w:r>
      <w:r w:rsidR="00F15189" w:rsidRPr="006478A4">
        <w:rPr>
          <w:rFonts w:ascii="Arial Narrow" w:hAnsi="Arial Narrow"/>
        </w:rPr>
        <w:t xml:space="preserve">Anne Quinchon-Caudal, op. cit., 161, </w:t>
      </w:r>
      <w:r w:rsidR="00A7265D" w:rsidRPr="006478A4">
        <w:rPr>
          <w:rFonts w:ascii="Arial Narrow" w:hAnsi="Arial Narrow"/>
        </w:rPr>
        <w:t xml:space="preserve">acrescentando (pág. 165) que «em 1937 os SS provinham […] com sete vezes mais frequência do meio médico do que de qualquer outra categoria profissional»; </w:t>
      </w:r>
      <w:r w:rsidR="00F15189">
        <w:rPr>
          <w:rFonts w:ascii="Arial Narrow" w:hAnsi="Arial Narrow"/>
          <w:lang w:val="de-DE"/>
        </w:rPr>
        <w:t xml:space="preserve">talvez </w:t>
      </w:r>
      <w:r w:rsidR="00A71139">
        <w:rPr>
          <w:rFonts w:ascii="Arial Narrow" w:hAnsi="Arial Narrow"/>
          <w:lang w:val="de-DE"/>
        </w:rPr>
        <w:t xml:space="preserve">este facto se compreenda melhor ao sabermos que em 1933, segundo </w:t>
      </w:r>
      <w:r w:rsidR="00F15189">
        <w:rPr>
          <w:rFonts w:ascii="Arial Narrow" w:hAnsi="Arial Narrow"/>
        </w:rPr>
        <w:t xml:space="preserve">esta historiadora (pág. </w:t>
      </w:r>
      <w:r w:rsidR="00A71139" w:rsidRPr="00E51DF6">
        <w:rPr>
          <w:rFonts w:ascii="Arial Narrow" w:hAnsi="Arial Narrow"/>
        </w:rPr>
        <w:t>160</w:t>
      </w:r>
      <w:r w:rsidR="00F15189">
        <w:rPr>
          <w:rFonts w:ascii="Arial Narrow" w:hAnsi="Arial Narrow"/>
        </w:rPr>
        <w:t>)</w:t>
      </w:r>
      <w:r w:rsidR="00A71139" w:rsidRPr="00E51DF6">
        <w:rPr>
          <w:rFonts w:ascii="Arial Narrow" w:hAnsi="Arial Narrow"/>
        </w:rPr>
        <w:t xml:space="preserve">, </w:t>
      </w:r>
      <w:r w:rsidR="00A71139">
        <w:rPr>
          <w:rFonts w:ascii="Arial Narrow" w:hAnsi="Arial Narrow"/>
          <w:lang w:val="de-DE"/>
        </w:rPr>
        <w:t>13% dos médicos alemães eram judeus e que em Berlim a percentagem subia a metade.</w:t>
      </w:r>
    </w:p>
  </w:footnote>
  <w:footnote w:id="193">
    <w:p w:rsidR="00213D8D" w:rsidRPr="00B2463D" w:rsidRDefault="00213D8D" w:rsidP="00DF4B4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S. Kühl (1994) 23-25</w:t>
      </w:r>
      <w:r>
        <w:rPr>
          <w:rFonts w:ascii="Arial Narrow" w:hAnsi="Arial Narrow"/>
          <w:lang w:val="de-DE"/>
        </w:rPr>
        <w:t>; Sh. F. Weiss (2010) 53, 60-61</w:t>
      </w:r>
      <w:r w:rsidRPr="00B2463D">
        <w:rPr>
          <w:rFonts w:ascii="Arial Narrow" w:hAnsi="Arial Narrow"/>
          <w:lang w:val="de-DE"/>
        </w:rPr>
        <w:t>.</w:t>
      </w:r>
    </w:p>
  </w:footnote>
  <w:footnote w:id="194">
    <w:p w:rsidR="00213D8D" w:rsidRPr="00B2463D" w:rsidRDefault="00213D8D" w:rsidP="00DF4B4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E. Black (2003) 299-300; S. Kühl (1994) 38, 39, 42 e segs.; A. Pichot (2000) 241-242, 421 n. 144</w:t>
      </w:r>
      <w:r>
        <w:rPr>
          <w:rFonts w:ascii="Arial Narrow" w:hAnsi="Arial Narrow"/>
          <w:lang w:val="de-DE"/>
        </w:rPr>
        <w:t>; Sh. F. Weiss (2010) 63, 286</w:t>
      </w:r>
      <w:r w:rsidRPr="00B2463D">
        <w:rPr>
          <w:rFonts w:ascii="Arial Narrow" w:hAnsi="Arial Narrow"/>
          <w:lang w:val="de-DE"/>
        </w:rPr>
        <w:t>.</w:t>
      </w:r>
      <w:r>
        <w:rPr>
          <w:rFonts w:ascii="Arial Narrow" w:hAnsi="Arial Narrow"/>
          <w:lang w:val="de-DE"/>
        </w:rPr>
        <w:t xml:space="preserve"> Note-se que, segundo M. Gilbert (2011 b) II 695, em Outubro de 1944 médicos dos SS realizaram em Buchenwald experiências com homossexuais, implicando a castração; todavia, </w:t>
      </w:r>
      <w:r w:rsidR="00700A95">
        <w:rPr>
          <w:rFonts w:ascii="Arial Narrow" w:hAnsi="Arial Narrow"/>
          <w:lang w:val="de-DE"/>
        </w:rPr>
        <w:t xml:space="preserve">noutro campo de concentração </w:t>
      </w:r>
      <w:r>
        <w:rPr>
          <w:rFonts w:ascii="Arial Narrow" w:hAnsi="Arial Narrow"/>
          <w:lang w:val="de-DE"/>
        </w:rPr>
        <w:t>médicos dos SS praticaram experimentalmente algumas esterilizações de criminosos, como indicou Martin Gilbert</w:t>
      </w:r>
      <w:r w:rsidR="00700A95">
        <w:rPr>
          <w:rFonts w:ascii="Arial Narrow" w:hAnsi="Arial Narrow"/>
          <w:lang w:val="de-DE"/>
        </w:rPr>
        <w:t>,</w:t>
      </w:r>
      <w:r>
        <w:rPr>
          <w:rFonts w:ascii="Arial Narrow" w:hAnsi="Arial Narrow"/>
          <w:lang w:val="de-DE"/>
        </w:rPr>
        <w:t xml:space="preserve"> </w:t>
      </w:r>
      <w:r w:rsidRPr="00700A95">
        <w:rPr>
          <w:rFonts w:ascii="Arial Narrow" w:hAnsi="Arial Narrow"/>
          <w:lang w:val="de-DE"/>
        </w:rPr>
        <w:t>op. cit.,</w:t>
      </w:r>
      <w:r>
        <w:rPr>
          <w:rFonts w:ascii="Arial Narrow" w:hAnsi="Arial Narrow"/>
          <w:lang w:val="de-DE"/>
        </w:rPr>
        <w:t xml:space="preserve"> I 38, e o mesmo autor</w:t>
      </w:r>
      <w:r w:rsidR="00700A95">
        <w:rPr>
          <w:rFonts w:ascii="Arial Narrow" w:hAnsi="Arial Narrow"/>
          <w:lang w:val="de-DE"/>
        </w:rPr>
        <w:t xml:space="preserve"> </w:t>
      </w:r>
      <w:r>
        <w:rPr>
          <w:rFonts w:ascii="Arial Narrow" w:hAnsi="Arial Narrow"/>
          <w:lang w:val="de-DE"/>
        </w:rPr>
        <w:t xml:space="preserve">mostrou </w:t>
      </w:r>
      <w:r w:rsidR="00700A95">
        <w:rPr>
          <w:rFonts w:ascii="Arial Narrow" w:hAnsi="Arial Narrow"/>
          <w:lang w:val="de-DE"/>
        </w:rPr>
        <w:t xml:space="preserve">(vol. II, págs. 508, 854) </w:t>
      </w:r>
      <w:r>
        <w:rPr>
          <w:rFonts w:ascii="Arial Narrow" w:hAnsi="Arial Narrow"/>
          <w:lang w:val="de-DE"/>
        </w:rPr>
        <w:t>que um médico dos SS procurara desenvolver em Auschwitz uma técnica de esterilização feminina em massa.</w:t>
      </w:r>
    </w:p>
  </w:footnote>
  <w:footnote w:id="195">
    <w:p w:rsidR="00213D8D" w:rsidRPr="00CF3FA0" w:rsidRDefault="00213D8D">
      <w:pPr>
        <w:pStyle w:val="Textodenotaderodap"/>
        <w:rPr>
          <w:rFonts w:ascii="Arial Narrow" w:hAnsi="Arial Narrow"/>
          <w:lang w:val="en-US"/>
        </w:rPr>
      </w:pPr>
      <w:r w:rsidRPr="00C948E6">
        <w:rPr>
          <w:rStyle w:val="Refdenotaderodap"/>
          <w:rFonts w:ascii="Arial Narrow" w:hAnsi="Arial Narrow"/>
        </w:rPr>
        <w:footnoteRef/>
      </w:r>
      <w:r w:rsidRPr="00CF3FA0">
        <w:rPr>
          <w:rFonts w:ascii="Arial Narrow" w:hAnsi="Arial Narrow"/>
          <w:lang w:val="en-US"/>
        </w:rPr>
        <w:t xml:space="preserve"> Sh. F. Weiss (2010) 34.</w:t>
      </w:r>
    </w:p>
  </w:footnote>
  <w:footnote w:id="196">
    <w:p w:rsidR="00213D8D" w:rsidRPr="00CF3FA0" w:rsidRDefault="00213D8D" w:rsidP="00DF4B40">
      <w:pPr>
        <w:pStyle w:val="Textodenotaderodap"/>
        <w:ind w:firstLine="708"/>
        <w:rPr>
          <w:rFonts w:ascii="Arial Narrow" w:hAnsi="Arial Narrow"/>
          <w:lang w:val="en-US"/>
        </w:rPr>
      </w:pPr>
      <w:r w:rsidRPr="003E305A">
        <w:rPr>
          <w:rStyle w:val="Refdenotaderodap"/>
          <w:rFonts w:ascii="Arial Narrow" w:hAnsi="Arial Narrow"/>
        </w:rPr>
        <w:footnoteRef/>
      </w:r>
      <w:r w:rsidRPr="00CF3FA0">
        <w:rPr>
          <w:rFonts w:ascii="Arial Narrow" w:hAnsi="Arial Narrow"/>
          <w:lang w:val="en-US"/>
        </w:rPr>
        <w:t xml:space="preserve"> S. Kühl (1994) 25, 51.</w:t>
      </w:r>
    </w:p>
  </w:footnote>
  <w:footnote w:id="197">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Pichot (2000) 257. Por seu lado, W. Petter, «Euthanasia Programme», em I. C. B. Dear et al. (orgs. 1995) 342 indic</w:t>
      </w:r>
      <w:r>
        <w:rPr>
          <w:rFonts w:ascii="Arial Narrow" w:hAnsi="Arial Narrow"/>
        </w:rPr>
        <w:t>ou</w:t>
      </w:r>
      <w:r w:rsidRPr="003E305A">
        <w:rPr>
          <w:rFonts w:ascii="Arial Narrow" w:hAnsi="Arial Narrow"/>
        </w:rPr>
        <w:t xml:space="preserve"> que o número de esterilizações no Reich se situou entre 300.000 e 400.000, enquanto S. Kühl (1994) 102 mencion</w:t>
      </w:r>
      <w:r>
        <w:rPr>
          <w:rFonts w:ascii="Arial Narrow" w:hAnsi="Arial Narrow"/>
        </w:rPr>
        <w:t>ou</w:t>
      </w:r>
      <w:r w:rsidRPr="003E305A">
        <w:rPr>
          <w:rFonts w:ascii="Arial Narrow" w:hAnsi="Arial Narrow"/>
        </w:rPr>
        <w:t xml:space="preserve"> mais de 400.000 esterilizações</w:t>
      </w:r>
      <w:r>
        <w:rPr>
          <w:rFonts w:ascii="Arial Narrow" w:hAnsi="Arial Narrow"/>
        </w:rPr>
        <w:t xml:space="preserve"> e Sh. F. Weiss (2010) 99 referiu cerca de 400.000, especificando que este número se referia apenas às fronteiras da antiga Alemanha</w:t>
      </w:r>
      <w:r w:rsidRPr="003E305A">
        <w:rPr>
          <w:rFonts w:ascii="Arial Narrow" w:hAnsi="Arial Narrow"/>
        </w:rPr>
        <w:t>. Segundo E. Black (2003) 299 e 304, as autoridades naciona</w:t>
      </w:r>
      <w:r>
        <w:rPr>
          <w:rFonts w:ascii="Arial Narrow" w:hAnsi="Arial Narrow"/>
        </w:rPr>
        <w:t>l</w:t>
      </w:r>
      <w:r w:rsidRPr="003E305A">
        <w:rPr>
          <w:rFonts w:ascii="Arial Narrow" w:hAnsi="Arial Narrow"/>
        </w:rPr>
        <w:t>-socialistas haviam anunciado que a partir de 1 de Janeiro de 1934 procederiam à esterilização de 400.000 pessoas e em 1934 praticaram-se pelo menos 56.000 esterilizações; este autor acrescent</w:t>
      </w:r>
      <w:r>
        <w:rPr>
          <w:rFonts w:ascii="Arial Narrow" w:hAnsi="Arial Narrow"/>
        </w:rPr>
        <w:t>ou</w:t>
      </w:r>
      <w:r w:rsidR="00E809B5">
        <w:rPr>
          <w:rFonts w:ascii="Arial Narrow" w:hAnsi="Arial Narrow"/>
        </w:rPr>
        <w:t xml:space="preserve"> (</w:t>
      </w:r>
      <w:r w:rsidRPr="003E305A">
        <w:rPr>
          <w:rFonts w:ascii="Arial Narrow" w:hAnsi="Arial Narrow"/>
        </w:rPr>
        <w:t>pág. 316</w:t>
      </w:r>
      <w:r w:rsidR="00E809B5">
        <w:rPr>
          <w:rFonts w:ascii="Arial Narrow" w:hAnsi="Arial Narrow"/>
        </w:rPr>
        <w:t>)</w:t>
      </w:r>
      <w:r w:rsidRPr="003E305A">
        <w:rPr>
          <w:rFonts w:ascii="Arial Narrow" w:hAnsi="Arial Narrow"/>
        </w:rPr>
        <w:t xml:space="preserve"> que até 1937 as medidas de esterilização </w:t>
      </w:r>
      <w:r>
        <w:rPr>
          <w:rFonts w:ascii="Arial Narrow" w:hAnsi="Arial Narrow"/>
        </w:rPr>
        <w:t xml:space="preserve">tinham atingido </w:t>
      </w:r>
      <w:r w:rsidRPr="003E305A">
        <w:rPr>
          <w:rFonts w:ascii="Arial Narrow" w:hAnsi="Arial Narrow"/>
        </w:rPr>
        <w:t>cerca de 200.000 pessoas, deixando de então em diante os registos de ser publicados.</w:t>
      </w:r>
      <w:r>
        <w:rPr>
          <w:rFonts w:ascii="Arial Narrow" w:hAnsi="Arial Narrow"/>
        </w:rPr>
        <w:t xml:space="preserve"> Também J. Noakes et al. (2008-2010) II 264 indicaram que até 1937 tinham sido esterilizadas praticamente 200.000 pessoas.</w:t>
      </w:r>
    </w:p>
  </w:footnote>
  <w:footnote w:id="198">
    <w:p w:rsidR="0036298D" w:rsidRPr="003E305A" w:rsidRDefault="0036298D" w:rsidP="0036298D">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s-ES"/>
        </w:rPr>
        <w:t xml:space="preserve"> </w:t>
      </w:r>
      <w:r w:rsidR="00F9780B" w:rsidRPr="003E305A">
        <w:rPr>
          <w:rFonts w:ascii="Arial Narrow" w:hAnsi="Arial Narrow"/>
          <w:lang w:val="es-ES"/>
        </w:rPr>
        <w:t xml:space="preserve">A. Pichot (2000) 260-264, 271. </w:t>
      </w:r>
      <w:r>
        <w:rPr>
          <w:rFonts w:ascii="Arial Narrow" w:hAnsi="Arial Narrow"/>
          <w:lang w:val="es-ES"/>
        </w:rPr>
        <w:t>Segundo</w:t>
      </w:r>
      <w:r>
        <w:rPr>
          <w:rFonts w:ascii="Arial Narrow" w:hAnsi="Arial Narrow"/>
        </w:rPr>
        <w:t xml:space="preserve"> J. Noakes et al., </w:t>
      </w:r>
      <w:r w:rsidRPr="007909A2">
        <w:rPr>
          <w:rFonts w:ascii="Arial Narrow" w:hAnsi="Arial Narrow"/>
        </w:rPr>
        <w:t xml:space="preserve">(org. </w:t>
      </w:r>
      <w:r>
        <w:rPr>
          <w:rFonts w:ascii="Arial Narrow" w:hAnsi="Arial Narrow"/>
        </w:rPr>
        <w:t xml:space="preserve">2008-2010) III 389, </w:t>
      </w:r>
      <w:r w:rsidRPr="006A5D47">
        <w:rPr>
          <w:rFonts w:ascii="Arial Narrow" w:hAnsi="Arial Narrow"/>
        </w:rPr>
        <w:t xml:space="preserve">mais de cem mil </w:t>
      </w:r>
      <w:r>
        <w:rPr>
          <w:rFonts w:ascii="Arial Narrow" w:hAnsi="Arial Narrow"/>
        </w:rPr>
        <w:t xml:space="preserve">doentes mentais e deficientes teriam sido mortos entre 1939 e 1945, mas estes autores acrescentaram (pág. 440) que é impossível determinar quantos foram mortos a partir do termo oficial do programa de eutanásia em Agosto de 1941. Também Martin Gilbert </w:t>
      </w:r>
      <w:r w:rsidRPr="0036298D">
        <w:rPr>
          <w:rFonts w:ascii="Arial Narrow" w:hAnsi="Arial Narrow"/>
        </w:rPr>
        <w:t xml:space="preserve">(2011 b) </w:t>
      </w:r>
      <w:r>
        <w:rPr>
          <w:rFonts w:ascii="Arial Narrow" w:hAnsi="Arial Narrow"/>
        </w:rPr>
        <w:t>I 441 considerou que «talvez nunca venha a ser conhecida a escala das mortes por eutanásia».</w:t>
      </w:r>
    </w:p>
  </w:footnote>
  <w:footnote w:id="199">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Pichot (2000) 276-278.</w:t>
      </w:r>
    </w:p>
  </w:footnote>
  <w:footnote w:id="200">
    <w:p w:rsidR="00213D8D" w:rsidRPr="003E305A" w:rsidRDefault="00213D8D" w:rsidP="00DF4B4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286, 316.</w:t>
      </w:r>
    </w:p>
  </w:footnote>
  <w:footnote w:id="201">
    <w:p w:rsidR="00213D8D" w:rsidRPr="003E305A" w:rsidRDefault="00213D8D" w:rsidP="00DF4B4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place">
        <w:r w:rsidRPr="003E305A">
          <w:rPr>
            <w:rFonts w:ascii="Arial Narrow" w:hAnsi="Arial Narrow"/>
            <w:lang w:val="en-GB"/>
          </w:rPr>
          <w:t>S. Kühl</w:t>
        </w:r>
      </w:smartTag>
      <w:r w:rsidRPr="003E305A">
        <w:rPr>
          <w:rFonts w:ascii="Arial Narrow" w:hAnsi="Arial Narrow"/>
          <w:lang w:val="en-GB"/>
        </w:rPr>
        <w:t xml:space="preserve"> (1994) 27, 29 e segs., 44-45.</w:t>
      </w:r>
    </w:p>
  </w:footnote>
  <w:footnote w:id="202">
    <w:p w:rsidR="00213D8D" w:rsidRPr="003E305A"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Black (2003) xvii, 277, 297-298, 300 e seg., 313, 314-316, 317-318, 343-344, 385, 388-389, 393, 414-417; S. Kühl (1994) 5-6, 34-35, 37, 46, 48 e segs., 53 e segs., 60-62, 65, 75, 83, 97. </w:t>
      </w:r>
      <w:r>
        <w:rPr>
          <w:rFonts w:ascii="Arial Narrow" w:hAnsi="Arial Narrow"/>
        </w:rPr>
        <w:t>A classificação</w:t>
      </w:r>
      <w:r w:rsidRPr="003E305A">
        <w:rPr>
          <w:rFonts w:ascii="Arial Narrow" w:hAnsi="Arial Narrow"/>
        </w:rPr>
        <w:t xml:space="preserve"> </w:t>
      </w:r>
      <w:r>
        <w:rPr>
          <w:rFonts w:ascii="Arial Narrow" w:hAnsi="Arial Narrow"/>
        </w:rPr>
        <w:t>d</w:t>
      </w:r>
      <w:r w:rsidRPr="003E305A">
        <w:rPr>
          <w:rFonts w:ascii="Arial Narrow" w:hAnsi="Arial Narrow"/>
        </w:rPr>
        <w:t xml:space="preserve">o </w:t>
      </w:r>
      <w:r w:rsidRPr="003E305A">
        <w:rPr>
          <w:rFonts w:ascii="Arial Narrow" w:hAnsi="Arial Narrow"/>
          <w:i/>
        </w:rPr>
        <w:t>Eugenical News</w:t>
      </w:r>
      <w:r w:rsidRPr="003E305A">
        <w:rPr>
          <w:rFonts w:ascii="Arial Narrow" w:hAnsi="Arial Narrow"/>
        </w:rPr>
        <w:t xml:space="preserve"> como «a voz oficial do</w:t>
      </w:r>
      <w:r>
        <w:rPr>
          <w:rFonts w:ascii="Arial Narrow" w:hAnsi="Arial Narrow"/>
        </w:rPr>
        <w:t xml:space="preserve"> movimento eugenista americano» encontra-se </w:t>
      </w:r>
      <w:r w:rsidR="0074713C">
        <w:rPr>
          <w:rFonts w:ascii="Arial Narrow" w:hAnsi="Arial Narrow"/>
        </w:rPr>
        <w:t xml:space="preserve">em </w:t>
      </w:r>
      <w:r w:rsidR="0074713C" w:rsidRPr="00B3721C">
        <w:rPr>
          <w:rFonts w:ascii="Arial Narrow" w:hAnsi="Arial Narrow"/>
        </w:rPr>
        <w:t xml:space="preserve">Edwin Black, op. cit., </w:t>
      </w:r>
      <w:r w:rsidR="0074713C" w:rsidRPr="003E305A">
        <w:rPr>
          <w:rFonts w:ascii="Arial Narrow" w:hAnsi="Arial Narrow"/>
        </w:rPr>
        <w:t>305</w:t>
      </w:r>
      <w:r>
        <w:rPr>
          <w:rFonts w:ascii="Arial Narrow" w:hAnsi="Arial Narrow"/>
        </w:rPr>
        <w:t>.</w:t>
      </w:r>
    </w:p>
  </w:footnote>
  <w:footnote w:id="203">
    <w:p w:rsidR="00213D8D" w:rsidRPr="006478A4" w:rsidRDefault="00213D8D" w:rsidP="00DF4B40">
      <w:pPr>
        <w:pStyle w:val="Textodenotaderodap"/>
        <w:ind w:firstLine="708"/>
        <w:rPr>
          <w:rFonts w:ascii="Arial Narrow" w:hAnsi="Arial Narrow"/>
        </w:rPr>
      </w:pPr>
      <w:r w:rsidRPr="003E305A">
        <w:rPr>
          <w:rStyle w:val="Refdenotaderodap"/>
          <w:rFonts w:ascii="Arial Narrow" w:hAnsi="Arial Narrow"/>
        </w:rPr>
        <w:footnoteRef/>
      </w:r>
      <w:r w:rsidRPr="0083129B">
        <w:rPr>
          <w:rFonts w:ascii="Arial Narrow" w:hAnsi="Arial Narrow"/>
        </w:rPr>
        <w:t xml:space="preserve"> E. Black (2003) xvii, 327, 338, 348 e segs., 355 e segs., 367, 371; M. Buber (1949) 252-253; </w:t>
      </w:r>
      <w:r w:rsidR="00E40ACB" w:rsidRPr="0083129B">
        <w:rPr>
          <w:rFonts w:ascii="Arial Narrow" w:hAnsi="Arial Narrow"/>
        </w:rPr>
        <w:t>S. Friedländer (2008) 747-748</w:t>
      </w:r>
      <w:r w:rsidR="00F0330F" w:rsidRPr="0083129B">
        <w:rPr>
          <w:rFonts w:ascii="Arial Narrow" w:hAnsi="Arial Narrow"/>
        </w:rPr>
        <w:t>, 750</w:t>
      </w:r>
      <w:r w:rsidR="00EB0812" w:rsidRPr="0083129B">
        <w:rPr>
          <w:rFonts w:ascii="Arial Narrow" w:hAnsi="Arial Narrow"/>
        </w:rPr>
        <w:t>, 965</w:t>
      </w:r>
      <w:r w:rsidR="00A72991" w:rsidRPr="0083129B">
        <w:rPr>
          <w:rFonts w:ascii="Arial Narrow" w:hAnsi="Arial Narrow"/>
        </w:rPr>
        <w:t>-966</w:t>
      </w:r>
      <w:r w:rsidR="00E40ACB" w:rsidRPr="0083129B">
        <w:rPr>
          <w:rFonts w:ascii="Arial Narrow" w:hAnsi="Arial Narrow"/>
        </w:rPr>
        <w:t xml:space="preserve">; </w:t>
      </w:r>
      <w:r w:rsidRPr="0083129B">
        <w:rPr>
          <w:rFonts w:ascii="Arial Narrow" w:hAnsi="Arial Narrow"/>
        </w:rPr>
        <w:t xml:space="preserve">M. Gilbert (2011 b) I 396, 428-429, 449, II 503-504, 511, 695, 709, 839-840, 846; J. Noakes et al. </w:t>
      </w:r>
      <w:r>
        <w:rPr>
          <w:rFonts w:ascii="Arial Narrow" w:hAnsi="Arial Narrow"/>
          <w:lang w:val="en-US"/>
        </w:rPr>
        <w:t xml:space="preserve">(orgs. 2008-2010) III 400-4001, 597, IV 461-462; </w:t>
      </w:r>
      <w:r w:rsidRPr="00501E25">
        <w:rPr>
          <w:rFonts w:ascii="Arial Narrow" w:hAnsi="Arial Narrow"/>
          <w:lang w:val="en-US"/>
        </w:rPr>
        <w:t xml:space="preserve">A. Pichot (2000) 393; </w:t>
      </w:r>
      <w:r w:rsidR="009B7086" w:rsidRPr="009B7086">
        <w:rPr>
          <w:rFonts w:ascii="Arial Narrow" w:hAnsi="Arial Narrow"/>
          <w:lang w:val="en-US"/>
        </w:rPr>
        <w:t xml:space="preserve">A. Quinchon-Caudal (2013) </w:t>
      </w:r>
      <w:r w:rsidR="009B7086">
        <w:rPr>
          <w:rFonts w:ascii="Arial Narrow" w:hAnsi="Arial Narrow"/>
          <w:lang w:val="en-US"/>
        </w:rPr>
        <w:t>165-172</w:t>
      </w:r>
      <w:r w:rsidR="001B401B">
        <w:rPr>
          <w:rFonts w:ascii="Arial Narrow" w:hAnsi="Arial Narrow"/>
          <w:lang w:val="en-US"/>
        </w:rPr>
        <w:t>, 225</w:t>
      </w:r>
      <w:r w:rsidR="009B7086">
        <w:rPr>
          <w:rFonts w:ascii="Arial Narrow" w:hAnsi="Arial Narrow"/>
          <w:lang w:val="en-US"/>
        </w:rPr>
        <w:t xml:space="preserve">; </w:t>
      </w:r>
      <w:r>
        <w:rPr>
          <w:rFonts w:ascii="Arial Narrow" w:hAnsi="Arial Narrow"/>
          <w:lang w:val="en-US"/>
        </w:rPr>
        <w:t xml:space="preserve">P. Watson (2011) 696; </w:t>
      </w:r>
      <w:r w:rsidRPr="00501E25">
        <w:rPr>
          <w:rFonts w:ascii="Arial Narrow" w:hAnsi="Arial Narrow"/>
          <w:lang w:val="en-US"/>
        </w:rPr>
        <w:t xml:space="preserve">Sh. </w:t>
      </w:r>
      <w:r>
        <w:rPr>
          <w:rFonts w:ascii="Arial Narrow" w:hAnsi="Arial Narrow"/>
          <w:lang w:val="en-US"/>
        </w:rPr>
        <w:t>F. Weiss (2010) 72, 106, 112-119, 172-173, 180, 182-183</w:t>
      </w:r>
      <w:r w:rsidRPr="00501E25">
        <w:rPr>
          <w:rFonts w:ascii="Arial Narrow" w:hAnsi="Arial Narrow"/>
          <w:lang w:val="en-US"/>
        </w:rPr>
        <w:t>.</w:t>
      </w:r>
      <w:r w:rsidR="00F15DE5">
        <w:rPr>
          <w:rFonts w:ascii="Arial Narrow" w:hAnsi="Arial Narrow"/>
          <w:lang w:val="en-US"/>
        </w:rPr>
        <w:t xml:space="preserve"> </w:t>
      </w:r>
      <w:r w:rsidR="00F15DE5" w:rsidRPr="006478A4">
        <w:rPr>
          <w:rFonts w:ascii="Arial Narrow" w:hAnsi="Arial Narrow"/>
        </w:rPr>
        <w:t xml:space="preserve">O argumento invocado por </w:t>
      </w:r>
      <w:r w:rsidR="006F029B" w:rsidRPr="006478A4">
        <w:rPr>
          <w:rFonts w:ascii="Arial Narrow" w:hAnsi="Arial Narrow"/>
        </w:rPr>
        <w:t xml:space="preserve">Anne Quinchon-Caudal, op. cit., </w:t>
      </w:r>
      <w:r w:rsidR="00F15DE5" w:rsidRPr="006478A4">
        <w:rPr>
          <w:rFonts w:ascii="Arial Narrow" w:hAnsi="Arial Narrow"/>
        </w:rPr>
        <w:t xml:space="preserve">172-173, de que ao testarem em judeus, ciganos ou eslavos </w:t>
      </w:r>
      <w:r w:rsidR="006F029B" w:rsidRPr="006478A4">
        <w:rPr>
          <w:rFonts w:ascii="Arial Narrow" w:hAnsi="Arial Narrow"/>
        </w:rPr>
        <w:t>terapias</w:t>
      </w:r>
      <w:r w:rsidR="00F15DE5" w:rsidRPr="006478A4">
        <w:rPr>
          <w:rFonts w:ascii="Arial Narrow" w:hAnsi="Arial Narrow"/>
        </w:rPr>
        <w:t xml:space="preserve"> destinad</w:t>
      </w:r>
      <w:r w:rsidR="006F029B" w:rsidRPr="006478A4">
        <w:rPr>
          <w:rFonts w:ascii="Arial Narrow" w:hAnsi="Arial Narrow"/>
        </w:rPr>
        <w:t>a</w:t>
      </w:r>
      <w:r w:rsidR="00F15DE5" w:rsidRPr="006478A4">
        <w:rPr>
          <w:rFonts w:ascii="Arial Narrow" w:hAnsi="Arial Narrow"/>
        </w:rPr>
        <w:t>s a ser aplicad</w:t>
      </w:r>
      <w:r w:rsidR="006F029B" w:rsidRPr="006478A4">
        <w:rPr>
          <w:rFonts w:ascii="Arial Narrow" w:hAnsi="Arial Narrow"/>
        </w:rPr>
        <w:t>a</w:t>
      </w:r>
      <w:r w:rsidR="00F15DE5" w:rsidRPr="006478A4">
        <w:rPr>
          <w:rFonts w:ascii="Arial Narrow" w:hAnsi="Arial Narrow"/>
        </w:rPr>
        <w:t>s em nórdicos os médicos nacional-socialistas estavam a equipará-los involuntariamente à raça considerada superior não é procedente, porque se realizam experiências com cobai</w:t>
      </w:r>
      <w:r w:rsidR="006F029B" w:rsidRPr="006478A4">
        <w:rPr>
          <w:rFonts w:ascii="Arial Narrow" w:hAnsi="Arial Narrow"/>
        </w:rPr>
        <w:t>a</w:t>
      </w:r>
      <w:r w:rsidR="00F15DE5" w:rsidRPr="006478A4">
        <w:rPr>
          <w:rFonts w:ascii="Arial Narrow" w:hAnsi="Arial Narrow"/>
        </w:rPr>
        <w:t>s animais sem que ninguém assuma que os animais sejam humanos.</w:t>
      </w:r>
    </w:p>
  </w:footnote>
  <w:footnote w:id="204">
    <w:p w:rsidR="00213D8D" w:rsidRPr="00CF3FA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CF3FA0">
        <w:rPr>
          <w:rFonts w:ascii="Arial Narrow" w:hAnsi="Arial Narrow"/>
          <w:lang w:val="en-US"/>
        </w:rPr>
        <w:t xml:space="preserve"> E. Black (2003) xvi, 145 e segs.</w:t>
      </w:r>
    </w:p>
  </w:footnote>
  <w:footnote w:id="205">
    <w:p w:rsidR="00213D8D" w:rsidRPr="00CF3FA0" w:rsidRDefault="00213D8D" w:rsidP="00DF4B40">
      <w:pPr>
        <w:pStyle w:val="Textodenotaderodap"/>
        <w:rPr>
          <w:rFonts w:ascii="Arial Narrow" w:hAnsi="Arial Narrow"/>
          <w:lang w:val="en-US"/>
        </w:rPr>
      </w:pPr>
      <w:r w:rsidRPr="003E305A">
        <w:rPr>
          <w:rStyle w:val="Refdenotaderodap"/>
          <w:rFonts w:ascii="Arial Narrow" w:hAnsi="Arial Narrow"/>
        </w:rPr>
        <w:footnoteRef/>
      </w:r>
      <w:r w:rsidRPr="00CF3FA0">
        <w:rPr>
          <w:rFonts w:ascii="Arial Narrow" w:hAnsi="Arial Narrow"/>
          <w:lang w:val="en-US"/>
        </w:rPr>
        <w:t xml:space="preserve"> Id., ibid., 63-66, 110-112, 230-232, 243.</w:t>
      </w:r>
    </w:p>
  </w:footnote>
  <w:footnote w:id="206">
    <w:p w:rsidR="00213D8D" w:rsidRPr="003E305A" w:rsidRDefault="00213D8D" w:rsidP="00DF4B4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Id., ibid., 339</w:t>
      </w:r>
      <w:r>
        <w:rPr>
          <w:rFonts w:ascii="Arial Narrow" w:hAnsi="Arial Narrow"/>
          <w:lang w:val="fr-FR"/>
        </w:rPr>
        <w:t xml:space="preserve">; </w:t>
      </w:r>
      <w:r w:rsidR="00995DBF" w:rsidRPr="00995DBF">
        <w:rPr>
          <w:rFonts w:ascii="Arial Narrow" w:hAnsi="Arial Narrow"/>
          <w:lang w:val="en-US"/>
        </w:rPr>
        <w:t xml:space="preserve">A. Quinchon-Caudal (2013) </w:t>
      </w:r>
      <w:r w:rsidR="00995DBF">
        <w:rPr>
          <w:rFonts w:ascii="Arial Narrow" w:hAnsi="Arial Narrow"/>
          <w:lang w:val="en-US"/>
        </w:rPr>
        <w:t>132</w:t>
      </w:r>
      <w:r w:rsidR="00121827">
        <w:rPr>
          <w:rFonts w:ascii="Arial Narrow" w:hAnsi="Arial Narrow"/>
          <w:lang w:val="en-US"/>
        </w:rPr>
        <w:t>, 133-134</w:t>
      </w:r>
      <w:r w:rsidR="00995DBF">
        <w:rPr>
          <w:rFonts w:ascii="Arial Narrow" w:hAnsi="Arial Narrow"/>
          <w:lang w:val="en-US"/>
        </w:rPr>
        <w:t xml:space="preserve">; </w:t>
      </w:r>
      <w:r>
        <w:rPr>
          <w:rFonts w:ascii="Arial Narrow" w:hAnsi="Arial Narrow"/>
          <w:lang w:val="fr-FR"/>
        </w:rPr>
        <w:t>Sh. F. Weiss (2010) 100</w:t>
      </w:r>
      <w:r w:rsidRPr="003E305A">
        <w:rPr>
          <w:rFonts w:ascii="Arial Narrow" w:hAnsi="Arial Narrow"/>
          <w:lang w:val="fr-FR"/>
        </w:rPr>
        <w:t>.</w:t>
      </w:r>
      <w:r>
        <w:rPr>
          <w:rFonts w:ascii="Arial Narrow" w:hAnsi="Arial Narrow"/>
          <w:lang w:val="fr-FR"/>
        </w:rPr>
        <w:t xml:space="preserve"> Note-se que já em 1929 o psiquiatra Ernst Rüdin, que haveria de desempenhar funções de elevada responsabilidade no Terceiro Reich, defendera na sua área específica um ponto de vista similar, como indicou Sheila Faith Weiss,</w:t>
      </w:r>
      <w:r w:rsidRPr="00856CE1">
        <w:rPr>
          <w:rFonts w:ascii="Arial Narrow" w:hAnsi="Arial Narrow"/>
          <w:lang w:val="fr-FR"/>
        </w:rPr>
        <w:t xml:space="preserve"> op. cit.,</w:t>
      </w:r>
      <w:r>
        <w:rPr>
          <w:rFonts w:ascii="Arial Narrow" w:hAnsi="Arial Narrow"/>
          <w:lang w:val="fr-FR"/>
        </w:rPr>
        <w:t xml:space="preserve"> 133.</w:t>
      </w:r>
    </w:p>
  </w:footnote>
  <w:footnote w:id="207">
    <w:p w:rsidR="00856CE1" w:rsidRPr="00856CE1" w:rsidRDefault="00856CE1">
      <w:pPr>
        <w:pStyle w:val="Textodenotaderodap"/>
        <w:rPr>
          <w:rFonts w:ascii="Arial Narrow" w:hAnsi="Arial Narrow"/>
        </w:rPr>
      </w:pPr>
      <w:r w:rsidRPr="00856CE1">
        <w:rPr>
          <w:rStyle w:val="Refdenotaderodap"/>
          <w:rFonts w:ascii="Arial Narrow" w:hAnsi="Arial Narrow"/>
        </w:rPr>
        <w:footnoteRef/>
      </w:r>
      <w:r w:rsidRPr="00856CE1">
        <w:rPr>
          <w:rFonts w:ascii="Arial Narrow" w:hAnsi="Arial Narrow"/>
        </w:rPr>
        <w:t xml:space="preserve"> </w:t>
      </w:r>
      <w:r w:rsidRPr="001E4E54">
        <w:rPr>
          <w:rFonts w:ascii="Arial Narrow" w:hAnsi="Arial Narrow"/>
        </w:rPr>
        <w:t xml:space="preserve">Em </w:t>
      </w:r>
      <w:r w:rsidRPr="001E4E54">
        <w:rPr>
          <w:rFonts w:ascii="Arial Narrow" w:hAnsi="Arial Narrow"/>
          <w:iCs/>
        </w:rPr>
        <w:t>3 de Maio de 1942</w:t>
      </w:r>
      <w:r w:rsidR="00F135D8">
        <w:rPr>
          <w:rFonts w:ascii="Arial Narrow" w:hAnsi="Arial Narrow"/>
          <w:iCs/>
        </w:rPr>
        <w:t>,</w:t>
      </w:r>
      <w:r>
        <w:rPr>
          <w:rFonts w:ascii="Arial Narrow" w:hAnsi="Arial Narrow"/>
          <w:iCs/>
        </w:rPr>
        <w:t xml:space="preserve"> </w:t>
      </w:r>
      <w:r w:rsidRPr="001E4E54">
        <w:rPr>
          <w:rFonts w:ascii="Arial Narrow" w:hAnsi="Arial Narrow"/>
          <w:iCs/>
        </w:rPr>
        <w:t xml:space="preserve">em </w:t>
      </w:r>
      <w:r w:rsidRPr="001E4E54">
        <w:rPr>
          <w:rFonts w:ascii="Arial Narrow" w:hAnsi="Arial Narrow"/>
          <w:bCs/>
          <w:i/>
          <w:iCs/>
        </w:rPr>
        <w:t>Hitler’s Table Talk</w:t>
      </w:r>
      <w:r w:rsidRPr="001E4E54">
        <w:rPr>
          <w:rFonts w:ascii="Arial Narrow" w:hAnsi="Arial Narrow"/>
          <w:iCs/>
        </w:rPr>
        <w:t>...,</w:t>
      </w:r>
      <w:r>
        <w:rPr>
          <w:rFonts w:ascii="Arial Narrow" w:hAnsi="Arial Narrow"/>
          <w:iCs/>
        </w:rPr>
        <w:t xml:space="preserve"> 459.</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DF4B40"/>
    <w:rsid w:val="00011258"/>
    <w:rsid w:val="0001314B"/>
    <w:rsid w:val="00014557"/>
    <w:rsid w:val="00014E02"/>
    <w:rsid w:val="00015085"/>
    <w:rsid w:val="00025A0C"/>
    <w:rsid w:val="00033983"/>
    <w:rsid w:val="00036180"/>
    <w:rsid w:val="00037AD7"/>
    <w:rsid w:val="000405EC"/>
    <w:rsid w:val="00053CE1"/>
    <w:rsid w:val="00055C1E"/>
    <w:rsid w:val="00063AC4"/>
    <w:rsid w:val="00064F39"/>
    <w:rsid w:val="0006552A"/>
    <w:rsid w:val="0007000A"/>
    <w:rsid w:val="000774DD"/>
    <w:rsid w:val="00083F64"/>
    <w:rsid w:val="000856A7"/>
    <w:rsid w:val="00086D68"/>
    <w:rsid w:val="00091B8B"/>
    <w:rsid w:val="0009363D"/>
    <w:rsid w:val="000A4617"/>
    <w:rsid w:val="000C008C"/>
    <w:rsid w:val="000C0AB1"/>
    <w:rsid w:val="000D06F7"/>
    <w:rsid w:val="000D2E2A"/>
    <w:rsid w:val="000D6A7A"/>
    <w:rsid w:val="000E32A3"/>
    <w:rsid w:val="000E4993"/>
    <w:rsid w:val="000F3C46"/>
    <w:rsid w:val="000F666E"/>
    <w:rsid w:val="00101CC4"/>
    <w:rsid w:val="00106909"/>
    <w:rsid w:val="001071F8"/>
    <w:rsid w:val="0010736F"/>
    <w:rsid w:val="00114335"/>
    <w:rsid w:val="00114833"/>
    <w:rsid w:val="00114E0A"/>
    <w:rsid w:val="00121827"/>
    <w:rsid w:val="00121B43"/>
    <w:rsid w:val="001256CC"/>
    <w:rsid w:val="00127173"/>
    <w:rsid w:val="00143BB0"/>
    <w:rsid w:val="00145571"/>
    <w:rsid w:val="00146DEF"/>
    <w:rsid w:val="00151813"/>
    <w:rsid w:val="00154EC3"/>
    <w:rsid w:val="00156F9D"/>
    <w:rsid w:val="00156FBC"/>
    <w:rsid w:val="00160C71"/>
    <w:rsid w:val="00163AF4"/>
    <w:rsid w:val="00167C09"/>
    <w:rsid w:val="00170E92"/>
    <w:rsid w:val="00171C8D"/>
    <w:rsid w:val="00175235"/>
    <w:rsid w:val="001765C0"/>
    <w:rsid w:val="001803BD"/>
    <w:rsid w:val="001832C8"/>
    <w:rsid w:val="0019087F"/>
    <w:rsid w:val="001A0F37"/>
    <w:rsid w:val="001A34F2"/>
    <w:rsid w:val="001A4CC6"/>
    <w:rsid w:val="001A57BD"/>
    <w:rsid w:val="001A63A3"/>
    <w:rsid w:val="001A74CC"/>
    <w:rsid w:val="001B0794"/>
    <w:rsid w:val="001B29CB"/>
    <w:rsid w:val="001B29CD"/>
    <w:rsid w:val="001B401B"/>
    <w:rsid w:val="001B4E9E"/>
    <w:rsid w:val="001B5F08"/>
    <w:rsid w:val="001C277A"/>
    <w:rsid w:val="001C409B"/>
    <w:rsid w:val="001C4B9F"/>
    <w:rsid w:val="001C6D89"/>
    <w:rsid w:val="001C7BA7"/>
    <w:rsid w:val="001D682D"/>
    <w:rsid w:val="001D6D7D"/>
    <w:rsid w:val="001E05DA"/>
    <w:rsid w:val="001E4E54"/>
    <w:rsid w:val="001E7E00"/>
    <w:rsid w:val="001E7E1D"/>
    <w:rsid w:val="001F2ADC"/>
    <w:rsid w:val="001F36B9"/>
    <w:rsid w:val="001F54F1"/>
    <w:rsid w:val="001F75C8"/>
    <w:rsid w:val="002010C4"/>
    <w:rsid w:val="00202715"/>
    <w:rsid w:val="00202D32"/>
    <w:rsid w:val="00207B4E"/>
    <w:rsid w:val="00213C15"/>
    <w:rsid w:val="00213D8D"/>
    <w:rsid w:val="002148A1"/>
    <w:rsid w:val="002148D7"/>
    <w:rsid w:val="002160D1"/>
    <w:rsid w:val="00217AA5"/>
    <w:rsid w:val="00223884"/>
    <w:rsid w:val="002274AB"/>
    <w:rsid w:val="00230D04"/>
    <w:rsid w:val="0023188C"/>
    <w:rsid w:val="00232264"/>
    <w:rsid w:val="00232F13"/>
    <w:rsid w:val="002366AB"/>
    <w:rsid w:val="002401BE"/>
    <w:rsid w:val="00247CF5"/>
    <w:rsid w:val="00251367"/>
    <w:rsid w:val="00255057"/>
    <w:rsid w:val="00255CD3"/>
    <w:rsid w:val="00255D92"/>
    <w:rsid w:val="00261435"/>
    <w:rsid w:val="00265381"/>
    <w:rsid w:val="00267F82"/>
    <w:rsid w:val="00270531"/>
    <w:rsid w:val="00271E27"/>
    <w:rsid w:val="0027214C"/>
    <w:rsid w:val="00273793"/>
    <w:rsid w:val="00273F08"/>
    <w:rsid w:val="00275796"/>
    <w:rsid w:val="002759FB"/>
    <w:rsid w:val="00286B2A"/>
    <w:rsid w:val="00286C18"/>
    <w:rsid w:val="00286C67"/>
    <w:rsid w:val="0028742D"/>
    <w:rsid w:val="002906B1"/>
    <w:rsid w:val="0029114E"/>
    <w:rsid w:val="00295D89"/>
    <w:rsid w:val="002969B1"/>
    <w:rsid w:val="002A3326"/>
    <w:rsid w:val="002B0B91"/>
    <w:rsid w:val="002B18A5"/>
    <w:rsid w:val="002C2632"/>
    <w:rsid w:val="002C6FCF"/>
    <w:rsid w:val="002C735C"/>
    <w:rsid w:val="002D74B3"/>
    <w:rsid w:val="002E48C4"/>
    <w:rsid w:val="002E4929"/>
    <w:rsid w:val="002E57C5"/>
    <w:rsid w:val="002E60D2"/>
    <w:rsid w:val="002F3361"/>
    <w:rsid w:val="002F3DC1"/>
    <w:rsid w:val="002F64CE"/>
    <w:rsid w:val="002F7056"/>
    <w:rsid w:val="0030169B"/>
    <w:rsid w:val="003019A5"/>
    <w:rsid w:val="00302C4F"/>
    <w:rsid w:val="00306442"/>
    <w:rsid w:val="00307602"/>
    <w:rsid w:val="0031052A"/>
    <w:rsid w:val="00311B54"/>
    <w:rsid w:val="00311B63"/>
    <w:rsid w:val="00313369"/>
    <w:rsid w:val="0031384E"/>
    <w:rsid w:val="00321A5C"/>
    <w:rsid w:val="003223EB"/>
    <w:rsid w:val="003303C2"/>
    <w:rsid w:val="00332825"/>
    <w:rsid w:val="00333CCC"/>
    <w:rsid w:val="00335E08"/>
    <w:rsid w:val="003411FB"/>
    <w:rsid w:val="00344171"/>
    <w:rsid w:val="003446F3"/>
    <w:rsid w:val="00345B92"/>
    <w:rsid w:val="00346C4C"/>
    <w:rsid w:val="0034713A"/>
    <w:rsid w:val="00347A06"/>
    <w:rsid w:val="00350CB1"/>
    <w:rsid w:val="00351771"/>
    <w:rsid w:val="00354BA6"/>
    <w:rsid w:val="0036298D"/>
    <w:rsid w:val="00366682"/>
    <w:rsid w:val="003708B5"/>
    <w:rsid w:val="00370C7B"/>
    <w:rsid w:val="00372521"/>
    <w:rsid w:val="0037294C"/>
    <w:rsid w:val="00377EAB"/>
    <w:rsid w:val="00380F61"/>
    <w:rsid w:val="00383FF4"/>
    <w:rsid w:val="0038701C"/>
    <w:rsid w:val="00391BFE"/>
    <w:rsid w:val="00392C5F"/>
    <w:rsid w:val="003A03FF"/>
    <w:rsid w:val="003A2FE3"/>
    <w:rsid w:val="003A5479"/>
    <w:rsid w:val="003A6A93"/>
    <w:rsid w:val="003B072E"/>
    <w:rsid w:val="003B3D5B"/>
    <w:rsid w:val="003B7C37"/>
    <w:rsid w:val="003C2FFE"/>
    <w:rsid w:val="003C46A1"/>
    <w:rsid w:val="003C5314"/>
    <w:rsid w:val="003C5EF9"/>
    <w:rsid w:val="003C6283"/>
    <w:rsid w:val="003D024B"/>
    <w:rsid w:val="003D02F8"/>
    <w:rsid w:val="003D06BD"/>
    <w:rsid w:val="003D36A4"/>
    <w:rsid w:val="003E1C5D"/>
    <w:rsid w:val="003E2769"/>
    <w:rsid w:val="003E38D6"/>
    <w:rsid w:val="003E511C"/>
    <w:rsid w:val="003E7B80"/>
    <w:rsid w:val="003F08D6"/>
    <w:rsid w:val="003F182B"/>
    <w:rsid w:val="003F1C3D"/>
    <w:rsid w:val="004120B4"/>
    <w:rsid w:val="004128DD"/>
    <w:rsid w:val="004134B2"/>
    <w:rsid w:val="00413891"/>
    <w:rsid w:val="00413DEE"/>
    <w:rsid w:val="004147BF"/>
    <w:rsid w:val="00415CEB"/>
    <w:rsid w:val="00417C52"/>
    <w:rsid w:val="004223E6"/>
    <w:rsid w:val="004305F8"/>
    <w:rsid w:val="00456E9C"/>
    <w:rsid w:val="00460CC3"/>
    <w:rsid w:val="00460D7B"/>
    <w:rsid w:val="0046116D"/>
    <w:rsid w:val="004611FA"/>
    <w:rsid w:val="004612CA"/>
    <w:rsid w:val="0046164F"/>
    <w:rsid w:val="004639C9"/>
    <w:rsid w:val="00464461"/>
    <w:rsid w:val="00466A96"/>
    <w:rsid w:val="0047042D"/>
    <w:rsid w:val="00473B26"/>
    <w:rsid w:val="00484CEC"/>
    <w:rsid w:val="004863F2"/>
    <w:rsid w:val="004922EC"/>
    <w:rsid w:val="004B06ED"/>
    <w:rsid w:val="004B48FC"/>
    <w:rsid w:val="004B7303"/>
    <w:rsid w:val="004C64D4"/>
    <w:rsid w:val="004D2BA9"/>
    <w:rsid w:val="004D7626"/>
    <w:rsid w:val="004E06F5"/>
    <w:rsid w:val="004E09A8"/>
    <w:rsid w:val="004E4FD8"/>
    <w:rsid w:val="004F0BCC"/>
    <w:rsid w:val="004F494D"/>
    <w:rsid w:val="004F51BD"/>
    <w:rsid w:val="00501E25"/>
    <w:rsid w:val="0051066C"/>
    <w:rsid w:val="00510845"/>
    <w:rsid w:val="00511052"/>
    <w:rsid w:val="00516843"/>
    <w:rsid w:val="00517882"/>
    <w:rsid w:val="00520AA7"/>
    <w:rsid w:val="00521A22"/>
    <w:rsid w:val="00522E6C"/>
    <w:rsid w:val="00522E84"/>
    <w:rsid w:val="005242D1"/>
    <w:rsid w:val="005313B0"/>
    <w:rsid w:val="0053273C"/>
    <w:rsid w:val="00532ABE"/>
    <w:rsid w:val="00532EC7"/>
    <w:rsid w:val="00533A9C"/>
    <w:rsid w:val="00537066"/>
    <w:rsid w:val="005373F3"/>
    <w:rsid w:val="00540045"/>
    <w:rsid w:val="005456C3"/>
    <w:rsid w:val="00546100"/>
    <w:rsid w:val="005532FE"/>
    <w:rsid w:val="005550C3"/>
    <w:rsid w:val="0056006C"/>
    <w:rsid w:val="005610AB"/>
    <w:rsid w:val="00564293"/>
    <w:rsid w:val="005805C4"/>
    <w:rsid w:val="0058496E"/>
    <w:rsid w:val="00587A5F"/>
    <w:rsid w:val="005903E0"/>
    <w:rsid w:val="00591620"/>
    <w:rsid w:val="00592575"/>
    <w:rsid w:val="005A3492"/>
    <w:rsid w:val="005A3687"/>
    <w:rsid w:val="005B5409"/>
    <w:rsid w:val="005B5BEE"/>
    <w:rsid w:val="005B7CBF"/>
    <w:rsid w:val="005C301F"/>
    <w:rsid w:val="005C5669"/>
    <w:rsid w:val="005C6601"/>
    <w:rsid w:val="005C726B"/>
    <w:rsid w:val="005C72B4"/>
    <w:rsid w:val="005E01B5"/>
    <w:rsid w:val="005E23A2"/>
    <w:rsid w:val="005E43CD"/>
    <w:rsid w:val="005E60DC"/>
    <w:rsid w:val="005E6DFB"/>
    <w:rsid w:val="005E70BA"/>
    <w:rsid w:val="005F08E9"/>
    <w:rsid w:val="005F76DC"/>
    <w:rsid w:val="006019BC"/>
    <w:rsid w:val="00605A81"/>
    <w:rsid w:val="00607A61"/>
    <w:rsid w:val="00615650"/>
    <w:rsid w:val="00616AA8"/>
    <w:rsid w:val="0062607F"/>
    <w:rsid w:val="0063240C"/>
    <w:rsid w:val="006350DA"/>
    <w:rsid w:val="00640C4E"/>
    <w:rsid w:val="0064336E"/>
    <w:rsid w:val="006478A4"/>
    <w:rsid w:val="00651387"/>
    <w:rsid w:val="006518E2"/>
    <w:rsid w:val="00651EB6"/>
    <w:rsid w:val="00655429"/>
    <w:rsid w:val="0065658B"/>
    <w:rsid w:val="0066242D"/>
    <w:rsid w:val="00665944"/>
    <w:rsid w:val="00670204"/>
    <w:rsid w:val="00672046"/>
    <w:rsid w:val="00681F1E"/>
    <w:rsid w:val="00687499"/>
    <w:rsid w:val="00691B5A"/>
    <w:rsid w:val="006A0E4A"/>
    <w:rsid w:val="006A1DB2"/>
    <w:rsid w:val="006B048D"/>
    <w:rsid w:val="006B4DD3"/>
    <w:rsid w:val="006C0B46"/>
    <w:rsid w:val="006C1E25"/>
    <w:rsid w:val="006D2C63"/>
    <w:rsid w:val="006D3E11"/>
    <w:rsid w:val="006D4FF6"/>
    <w:rsid w:val="006E29EE"/>
    <w:rsid w:val="006E515D"/>
    <w:rsid w:val="006E6AC0"/>
    <w:rsid w:val="006E6AD3"/>
    <w:rsid w:val="006F029B"/>
    <w:rsid w:val="006F26DF"/>
    <w:rsid w:val="006F5218"/>
    <w:rsid w:val="00700687"/>
    <w:rsid w:val="00700A95"/>
    <w:rsid w:val="0070535A"/>
    <w:rsid w:val="00705515"/>
    <w:rsid w:val="007073F1"/>
    <w:rsid w:val="00712E62"/>
    <w:rsid w:val="007149E4"/>
    <w:rsid w:val="00720329"/>
    <w:rsid w:val="00725D1E"/>
    <w:rsid w:val="00733697"/>
    <w:rsid w:val="00740F92"/>
    <w:rsid w:val="007411BE"/>
    <w:rsid w:val="007450DB"/>
    <w:rsid w:val="00746C27"/>
    <w:rsid w:val="0074713C"/>
    <w:rsid w:val="00754927"/>
    <w:rsid w:val="00764D66"/>
    <w:rsid w:val="00770079"/>
    <w:rsid w:val="00770485"/>
    <w:rsid w:val="00772DDC"/>
    <w:rsid w:val="00775D12"/>
    <w:rsid w:val="0077613B"/>
    <w:rsid w:val="007817FC"/>
    <w:rsid w:val="0078325C"/>
    <w:rsid w:val="00784648"/>
    <w:rsid w:val="00786C93"/>
    <w:rsid w:val="0079299E"/>
    <w:rsid w:val="00794FD0"/>
    <w:rsid w:val="007A2EEA"/>
    <w:rsid w:val="007A37F6"/>
    <w:rsid w:val="007A3BA8"/>
    <w:rsid w:val="007A4981"/>
    <w:rsid w:val="007A5F4C"/>
    <w:rsid w:val="007B40E9"/>
    <w:rsid w:val="007B48E9"/>
    <w:rsid w:val="007C1DDE"/>
    <w:rsid w:val="007C6200"/>
    <w:rsid w:val="007C6CAC"/>
    <w:rsid w:val="007C6F3F"/>
    <w:rsid w:val="007D387F"/>
    <w:rsid w:val="007E4D7A"/>
    <w:rsid w:val="007E5D9A"/>
    <w:rsid w:val="007E5DAC"/>
    <w:rsid w:val="007F15E5"/>
    <w:rsid w:val="007F1843"/>
    <w:rsid w:val="007F2009"/>
    <w:rsid w:val="007F256A"/>
    <w:rsid w:val="00804E40"/>
    <w:rsid w:val="00806279"/>
    <w:rsid w:val="008212DA"/>
    <w:rsid w:val="00823E4A"/>
    <w:rsid w:val="00826609"/>
    <w:rsid w:val="00830754"/>
    <w:rsid w:val="0083129B"/>
    <w:rsid w:val="00831805"/>
    <w:rsid w:val="00844632"/>
    <w:rsid w:val="0084475D"/>
    <w:rsid w:val="00845465"/>
    <w:rsid w:val="00846140"/>
    <w:rsid w:val="00853FBB"/>
    <w:rsid w:val="00856CE1"/>
    <w:rsid w:val="008616CB"/>
    <w:rsid w:val="00861DED"/>
    <w:rsid w:val="00861F7F"/>
    <w:rsid w:val="008665FD"/>
    <w:rsid w:val="00872516"/>
    <w:rsid w:val="0087470C"/>
    <w:rsid w:val="00877707"/>
    <w:rsid w:val="008827BE"/>
    <w:rsid w:val="00893D6A"/>
    <w:rsid w:val="008A2ED0"/>
    <w:rsid w:val="008A3B4C"/>
    <w:rsid w:val="008A4B96"/>
    <w:rsid w:val="008A5E7D"/>
    <w:rsid w:val="008A6D7C"/>
    <w:rsid w:val="008A72E5"/>
    <w:rsid w:val="008B031F"/>
    <w:rsid w:val="008B0B36"/>
    <w:rsid w:val="008B332F"/>
    <w:rsid w:val="008B4D17"/>
    <w:rsid w:val="008B6FE4"/>
    <w:rsid w:val="008C10F3"/>
    <w:rsid w:val="008C1123"/>
    <w:rsid w:val="008C4589"/>
    <w:rsid w:val="008C7C48"/>
    <w:rsid w:val="008D5E88"/>
    <w:rsid w:val="008D6141"/>
    <w:rsid w:val="008D67C6"/>
    <w:rsid w:val="008E02DF"/>
    <w:rsid w:val="008E59C5"/>
    <w:rsid w:val="008E7FD8"/>
    <w:rsid w:val="008F302A"/>
    <w:rsid w:val="008F379C"/>
    <w:rsid w:val="008F3C86"/>
    <w:rsid w:val="008F406B"/>
    <w:rsid w:val="00905A66"/>
    <w:rsid w:val="00911288"/>
    <w:rsid w:val="009138D0"/>
    <w:rsid w:val="00915016"/>
    <w:rsid w:val="009157E7"/>
    <w:rsid w:val="00917A87"/>
    <w:rsid w:val="0093000A"/>
    <w:rsid w:val="009319B0"/>
    <w:rsid w:val="00941A1D"/>
    <w:rsid w:val="00941EEB"/>
    <w:rsid w:val="009453E1"/>
    <w:rsid w:val="009530E0"/>
    <w:rsid w:val="00957F29"/>
    <w:rsid w:val="00961B67"/>
    <w:rsid w:val="009622EA"/>
    <w:rsid w:val="00963A22"/>
    <w:rsid w:val="00963FFE"/>
    <w:rsid w:val="0096743C"/>
    <w:rsid w:val="00971666"/>
    <w:rsid w:val="00973691"/>
    <w:rsid w:val="00976E88"/>
    <w:rsid w:val="0097712E"/>
    <w:rsid w:val="00980934"/>
    <w:rsid w:val="00983CE4"/>
    <w:rsid w:val="00984A0E"/>
    <w:rsid w:val="00987A2A"/>
    <w:rsid w:val="00995DBF"/>
    <w:rsid w:val="00996AD4"/>
    <w:rsid w:val="009979C1"/>
    <w:rsid w:val="009A2AE4"/>
    <w:rsid w:val="009A3372"/>
    <w:rsid w:val="009B3C92"/>
    <w:rsid w:val="009B7086"/>
    <w:rsid w:val="009B729C"/>
    <w:rsid w:val="009C25A8"/>
    <w:rsid w:val="009C299C"/>
    <w:rsid w:val="009C3566"/>
    <w:rsid w:val="009C62A4"/>
    <w:rsid w:val="009C7C70"/>
    <w:rsid w:val="009D35A5"/>
    <w:rsid w:val="009D4E4A"/>
    <w:rsid w:val="009D7588"/>
    <w:rsid w:val="009E31E3"/>
    <w:rsid w:val="009F1AB5"/>
    <w:rsid w:val="009F4FEB"/>
    <w:rsid w:val="009F5BB6"/>
    <w:rsid w:val="009F7F67"/>
    <w:rsid w:val="00A12A03"/>
    <w:rsid w:val="00A1467F"/>
    <w:rsid w:val="00A15195"/>
    <w:rsid w:val="00A162C7"/>
    <w:rsid w:val="00A16F14"/>
    <w:rsid w:val="00A248BB"/>
    <w:rsid w:val="00A26191"/>
    <w:rsid w:val="00A27964"/>
    <w:rsid w:val="00A3114E"/>
    <w:rsid w:val="00A32A4D"/>
    <w:rsid w:val="00A346BC"/>
    <w:rsid w:val="00A3528E"/>
    <w:rsid w:val="00A415AF"/>
    <w:rsid w:val="00A54E3C"/>
    <w:rsid w:val="00A5506B"/>
    <w:rsid w:val="00A556B3"/>
    <w:rsid w:val="00A655F4"/>
    <w:rsid w:val="00A71139"/>
    <w:rsid w:val="00A7265D"/>
    <w:rsid w:val="00A72991"/>
    <w:rsid w:val="00A74E18"/>
    <w:rsid w:val="00A752D7"/>
    <w:rsid w:val="00A83F19"/>
    <w:rsid w:val="00A8664B"/>
    <w:rsid w:val="00A878EB"/>
    <w:rsid w:val="00A95E4E"/>
    <w:rsid w:val="00A97F36"/>
    <w:rsid w:val="00AA2C5B"/>
    <w:rsid w:val="00AA3064"/>
    <w:rsid w:val="00AA48F6"/>
    <w:rsid w:val="00AA4C42"/>
    <w:rsid w:val="00AA5CB2"/>
    <w:rsid w:val="00AB0B5C"/>
    <w:rsid w:val="00AB2882"/>
    <w:rsid w:val="00AC55EF"/>
    <w:rsid w:val="00AC596D"/>
    <w:rsid w:val="00AC5DC5"/>
    <w:rsid w:val="00AC6B23"/>
    <w:rsid w:val="00AD297B"/>
    <w:rsid w:val="00AD4C5B"/>
    <w:rsid w:val="00AD6192"/>
    <w:rsid w:val="00AD6EE5"/>
    <w:rsid w:val="00AD70ED"/>
    <w:rsid w:val="00AD73F3"/>
    <w:rsid w:val="00AE56DE"/>
    <w:rsid w:val="00AE579F"/>
    <w:rsid w:val="00AF0D89"/>
    <w:rsid w:val="00AF763D"/>
    <w:rsid w:val="00B0092A"/>
    <w:rsid w:val="00B03534"/>
    <w:rsid w:val="00B128C5"/>
    <w:rsid w:val="00B131CB"/>
    <w:rsid w:val="00B132F5"/>
    <w:rsid w:val="00B13B68"/>
    <w:rsid w:val="00B16007"/>
    <w:rsid w:val="00B17959"/>
    <w:rsid w:val="00B25A37"/>
    <w:rsid w:val="00B32765"/>
    <w:rsid w:val="00B341F4"/>
    <w:rsid w:val="00B3721C"/>
    <w:rsid w:val="00B37A99"/>
    <w:rsid w:val="00B4130E"/>
    <w:rsid w:val="00B41CDA"/>
    <w:rsid w:val="00B42C14"/>
    <w:rsid w:val="00B44D76"/>
    <w:rsid w:val="00B45FDE"/>
    <w:rsid w:val="00B46165"/>
    <w:rsid w:val="00B479E9"/>
    <w:rsid w:val="00B5085F"/>
    <w:rsid w:val="00B52045"/>
    <w:rsid w:val="00B54919"/>
    <w:rsid w:val="00B55F75"/>
    <w:rsid w:val="00B57AEA"/>
    <w:rsid w:val="00B60F05"/>
    <w:rsid w:val="00B610A9"/>
    <w:rsid w:val="00B62E02"/>
    <w:rsid w:val="00B63C63"/>
    <w:rsid w:val="00B80660"/>
    <w:rsid w:val="00B81A9B"/>
    <w:rsid w:val="00B8298E"/>
    <w:rsid w:val="00B9208E"/>
    <w:rsid w:val="00B92753"/>
    <w:rsid w:val="00B93778"/>
    <w:rsid w:val="00B95288"/>
    <w:rsid w:val="00B975FA"/>
    <w:rsid w:val="00BA5E9B"/>
    <w:rsid w:val="00BB0F3E"/>
    <w:rsid w:val="00BB5124"/>
    <w:rsid w:val="00BB7851"/>
    <w:rsid w:val="00BB79CC"/>
    <w:rsid w:val="00BC26F3"/>
    <w:rsid w:val="00BD1EE8"/>
    <w:rsid w:val="00BD7260"/>
    <w:rsid w:val="00BE3767"/>
    <w:rsid w:val="00BE6A10"/>
    <w:rsid w:val="00BF502E"/>
    <w:rsid w:val="00C02AB9"/>
    <w:rsid w:val="00C10750"/>
    <w:rsid w:val="00C111B9"/>
    <w:rsid w:val="00C115B6"/>
    <w:rsid w:val="00C13629"/>
    <w:rsid w:val="00C155F0"/>
    <w:rsid w:val="00C17B77"/>
    <w:rsid w:val="00C2043F"/>
    <w:rsid w:val="00C204B8"/>
    <w:rsid w:val="00C20E9D"/>
    <w:rsid w:val="00C22B1C"/>
    <w:rsid w:val="00C24F2B"/>
    <w:rsid w:val="00C334FB"/>
    <w:rsid w:val="00C33939"/>
    <w:rsid w:val="00C37BB7"/>
    <w:rsid w:val="00C40CFD"/>
    <w:rsid w:val="00C462B6"/>
    <w:rsid w:val="00C51AEA"/>
    <w:rsid w:val="00C51E0B"/>
    <w:rsid w:val="00C534CA"/>
    <w:rsid w:val="00C553A1"/>
    <w:rsid w:val="00C555F4"/>
    <w:rsid w:val="00C55C72"/>
    <w:rsid w:val="00C57B25"/>
    <w:rsid w:val="00C61A8C"/>
    <w:rsid w:val="00C61D6B"/>
    <w:rsid w:val="00C62E5A"/>
    <w:rsid w:val="00C63139"/>
    <w:rsid w:val="00C64148"/>
    <w:rsid w:val="00C665F5"/>
    <w:rsid w:val="00C72393"/>
    <w:rsid w:val="00C826BE"/>
    <w:rsid w:val="00C832CE"/>
    <w:rsid w:val="00C85E2A"/>
    <w:rsid w:val="00C861E6"/>
    <w:rsid w:val="00C86BFF"/>
    <w:rsid w:val="00C910DF"/>
    <w:rsid w:val="00C948E6"/>
    <w:rsid w:val="00C95051"/>
    <w:rsid w:val="00CA0CCC"/>
    <w:rsid w:val="00CA1CA1"/>
    <w:rsid w:val="00CA2EBE"/>
    <w:rsid w:val="00CA5569"/>
    <w:rsid w:val="00CB0F72"/>
    <w:rsid w:val="00CB67E7"/>
    <w:rsid w:val="00CC20DC"/>
    <w:rsid w:val="00CC31E7"/>
    <w:rsid w:val="00CC50CE"/>
    <w:rsid w:val="00CC5B0F"/>
    <w:rsid w:val="00CC7C10"/>
    <w:rsid w:val="00CD070E"/>
    <w:rsid w:val="00CD1321"/>
    <w:rsid w:val="00CD1C57"/>
    <w:rsid w:val="00CD2BBF"/>
    <w:rsid w:val="00CD6014"/>
    <w:rsid w:val="00CE0BF4"/>
    <w:rsid w:val="00CE2FBA"/>
    <w:rsid w:val="00CF1763"/>
    <w:rsid w:val="00CF2952"/>
    <w:rsid w:val="00CF3963"/>
    <w:rsid w:val="00CF3FA0"/>
    <w:rsid w:val="00CF7A81"/>
    <w:rsid w:val="00D0070D"/>
    <w:rsid w:val="00D01448"/>
    <w:rsid w:val="00D01B41"/>
    <w:rsid w:val="00D06106"/>
    <w:rsid w:val="00D137A6"/>
    <w:rsid w:val="00D1380D"/>
    <w:rsid w:val="00D14A0C"/>
    <w:rsid w:val="00D162D3"/>
    <w:rsid w:val="00D179E3"/>
    <w:rsid w:val="00D22538"/>
    <w:rsid w:val="00D229F9"/>
    <w:rsid w:val="00D233BC"/>
    <w:rsid w:val="00D24C05"/>
    <w:rsid w:val="00D2682E"/>
    <w:rsid w:val="00D31274"/>
    <w:rsid w:val="00D358A0"/>
    <w:rsid w:val="00D404BD"/>
    <w:rsid w:val="00D46EE5"/>
    <w:rsid w:val="00D53F1F"/>
    <w:rsid w:val="00D573D9"/>
    <w:rsid w:val="00D62367"/>
    <w:rsid w:val="00D62B7A"/>
    <w:rsid w:val="00D6459C"/>
    <w:rsid w:val="00D65476"/>
    <w:rsid w:val="00D663F5"/>
    <w:rsid w:val="00D676A0"/>
    <w:rsid w:val="00D71134"/>
    <w:rsid w:val="00D71FF7"/>
    <w:rsid w:val="00D72D84"/>
    <w:rsid w:val="00D731F8"/>
    <w:rsid w:val="00D75BFD"/>
    <w:rsid w:val="00D85B42"/>
    <w:rsid w:val="00D91569"/>
    <w:rsid w:val="00D96872"/>
    <w:rsid w:val="00D97A6F"/>
    <w:rsid w:val="00DA3AC7"/>
    <w:rsid w:val="00DA5266"/>
    <w:rsid w:val="00DA5CD3"/>
    <w:rsid w:val="00DA68EE"/>
    <w:rsid w:val="00DA6B13"/>
    <w:rsid w:val="00DB5539"/>
    <w:rsid w:val="00DB5B98"/>
    <w:rsid w:val="00DC0B18"/>
    <w:rsid w:val="00DC2119"/>
    <w:rsid w:val="00DC31E7"/>
    <w:rsid w:val="00DC5431"/>
    <w:rsid w:val="00DD5346"/>
    <w:rsid w:val="00DE7290"/>
    <w:rsid w:val="00DF01C3"/>
    <w:rsid w:val="00DF1555"/>
    <w:rsid w:val="00DF4B40"/>
    <w:rsid w:val="00E01F0F"/>
    <w:rsid w:val="00E02A2D"/>
    <w:rsid w:val="00E04119"/>
    <w:rsid w:val="00E05519"/>
    <w:rsid w:val="00E10C27"/>
    <w:rsid w:val="00E12429"/>
    <w:rsid w:val="00E125E5"/>
    <w:rsid w:val="00E14C48"/>
    <w:rsid w:val="00E1743B"/>
    <w:rsid w:val="00E305FB"/>
    <w:rsid w:val="00E333E6"/>
    <w:rsid w:val="00E372B8"/>
    <w:rsid w:val="00E40ACB"/>
    <w:rsid w:val="00E4305F"/>
    <w:rsid w:val="00E512FF"/>
    <w:rsid w:val="00E51DF6"/>
    <w:rsid w:val="00E53541"/>
    <w:rsid w:val="00E72A22"/>
    <w:rsid w:val="00E7356A"/>
    <w:rsid w:val="00E739F0"/>
    <w:rsid w:val="00E74E8E"/>
    <w:rsid w:val="00E809B5"/>
    <w:rsid w:val="00E818A7"/>
    <w:rsid w:val="00E846F3"/>
    <w:rsid w:val="00E8550F"/>
    <w:rsid w:val="00E957EF"/>
    <w:rsid w:val="00EA07A8"/>
    <w:rsid w:val="00EA14F4"/>
    <w:rsid w:val="00EA3B43"/>
    <w:rsid w:val="00EA6F92"/>
    <w:rsid w:val="00EB0812"/>
    <w:rsid w:val="00EB3863"/>
    <w:rsid w:val="00EB38F1"/>
    <w:rsid w:val="00EB3AAB"/>
    <w:rsid w:val="00EB7AB2"/>
    <w:rsid w:val="00EC1F6D"/>
    <w:rsid w:val="00EC557B"/>
    <w:rsid w:val="00EC63D8"/>
    <w:rsid w:val="00EC77AA"/>
    <w:rsid w:val="00EC7B4E"/>
    <w:rsid w:val="00ED2FD9"/>
    <w:rsid w:val="00EE297A"/>
    <w:rsid w:val="00EE4957"/>
    <w:rsid w:val="00EE4B39"/>
    <w:rsid w:val="00EE638A"/>
    <w:rsid w:val="00EF06C6"/>
    <w:rsid w:val="00EF10FE"/>
    <w:rsid w:val="00EF32C7"/>
    <w:rsid w:val="00EF3FF0"/>
    <w:rsid w:val="00EF6B54"/>
    <w:rsid w:val="00F0330F"/>
    <w:rsid w:val="00F034EB"/>
    <w:rsid w:val="00F0503B"/>
    <w:rsid w:val="00F063E5"/>
    <w:rsid w:val="00F106BA"/>
    <w:rsid w:val="00F116FD"/>
    <w:rsid w:val="00F135D8"/>
    <w:rsid w:val="00F15189"/>
    <w:rsid w:val="00F15DE5"/>
    <w:rsid w:val="00F21840"/>
    <w:rsid w:val="00F235E9"/>
    <w:rsid w:val="00F23796"/>
    <w:rsid w:val="00F257D6"/>
    <w:rsid w:val="00F25AC1"/>
    <w:rsid w:val="00F268B1"/>
    <w:rsid w:val="00F27AA0"/>
    <w:rsid w:val="00F3061F"/>
    <w:rsid w:val="00F313BB"/>
    <w:rsid w:val="00F322A8"/>
    <w:rsid w:val="00F3427E"/>
    <w:rsid w:val="00F4074A"/>
    <w:rsid w:val="00F4089C"/>
    <w:rsid w:val="00F423DF"/>
    <w:rsid w:val="00F428AA"/>
    <w:rsid w:val="00F46248"/>
    <w:rsid w:val="00F51FB5"/>
    <w:rsid w:val="00F52A55"/>
    <w:rsid w:val="00F542EB"/>
    <w:rsid w:val="00F570FC"/>
    <w:rsid w:val="00F57435"/>
    <w:rsid w:val="00F60D99"/>
    <w:rsid w:val="00F70EA1"/>
    <w:rsid w:val="00F72784"/>
    <w:rsid w:val="00F732A5"/>
    <w:rsid w:val="00F75D1C"/>
    <w:rsid w:val="00F7633C"/>
    <w:rsid w:val="00F840B6"/>
    <w:rsid w:val="00F86089"/>
    <w:rsid w:val="00F86407"/>
    <w:rsid w:val="00F94B61"/>
    <w:rsid w:val="00F9652A"/>
    <w:rsid w:val="00F9736F"/>
    <w:rsid w:val="00F97749"/>
    <w:rsid w:val="00F9780B"/>
    <w:rsid w:val="00FA0EC5"/>
    <w:rsid w:val="00FA68CE"/>
    <w:rsid w:val="00FA6C7C"/>
    <w:rsid w:val="00FA7B34"/>
    <w:rsid w:val="00FB34BE"/>
    <w:rsid w:val="00FB3D22"/>
    <w:rsid w:val="00FB7010"/>
    <w:rsid w:val="00FB788E"/>
    <w:rsid w:val="00FC3764"/>
    <w:rsid w:val="00FD238D"/>
    <w:rsid w:val="00FD2A90"/>
    <w:rsid w:val="00FD6042"/>
    <w:rsid w:val="00FE0CBA"/>
    <w:rsid w:val="00FE73A6"/>
    <w:rsid w:val="00FF1050"/>
    <w:rsid w:val="00FF14D3"/>
    <w:rsid w:val="00FF1E26"/>
    <w:rsid w:val="00FF27FC"/>
    <w:rsid w:val="00FF66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F4B40"/>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basedOn w:val="Fontepargpadro"/>
    <w:semiHidden/>
    <w:rsid w:val="00DF4B40"/>
    <w:rPr>
      <w:vertAlign w:val="superscript"/>
    </w:rPr>
  </w:style>
  <w:style w:type="paragraph" w:styleId="Textodenotaderodap">
    <w:name w:val="footnote text"/>
    <w:basedOn w:val="Normal"/>
    <w:link w:val="TextodenotaderodapChar"/>
    <w:semiHidden/>
    <w:rsid w:val="00DF4B40"/>
    <w:pPr>
      <w:spacing w:line="240" w:lineRule="auto"/>
      <w:ind w:firstLine="720"/>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DF4B40"/>
    <w:rPr>
      <w:lang w:val="pt-PT" w:eastAsia="zh-CN"/>
    </w:rPr>
  </w:style>
  <w:style w:type="paragraph" w:styleId="Ttulo">
    <w:name w:val="Title"/>
    <w:basedOn w:val="Normal"/>
    <w:link w:val="TtuloChar"/>
    <w:qFormat/>
    <w:rsid w:val="00DF4B40"/>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DF4B40"/>
    <w:rPr>
      <w:b/>
      <w:bCs/>
      <w:kern w:val="28"/>
      <w:sz w:val="32"/>
      <w:szCs w:val="32"/>
      <w:lang w:val="pt-PT" w:eastAsia="zh-CN"/>
    </w:rPr>
  </w:style>
  <w:style w:type="paragraph" w:styleId="Rodap">
    <w:name w:val="footer"/>
    <w:basedOn w:val="Normal"/>
    <w:link w:val="RodapChar"/>
    <w:rsid w:val="00DF4B40"/>
    <w:pPr>
      <w:tabs>
        <w:tab w:val="center" w:pos="4252"/>
        <w:tab w:val="right" w:pos="8504"/>
      </w:tabs>
      <w:ind w:firstLine="720"/>
    </w:pPr>
    <w:rPr>
      <w:rFonts w:ascii="Times New Roman" w:hAnsi="Times New Roman"/>
      <w:noProof w:val="0"/>
      <w:lang w:eastAsia="zh-CN"/>
    </w:rPr>
  </w:style>
  <w:style w:type="character" w:customStyle="1" w:styleId="RodapChar">
    <w:name w:val="Rodapé Char"/>
    <w:basedOn w:val="Fontepargpadro"/>
    <w:link w:val="Rodap"/>
    <w:rsid w:val="00DF4B40"/>
    <w:rPr>
      <w:sz w:val="24"/>
      <w:szCs w:val="24"/>
      <w:lang w:val="pt-PT" w:eastAsia="zh-CN"/>
    </w:rPr>
  </w:style>
  <w:style w:type="character" w:styleId="Nmerodepgina">
    <w:name w:val="page number"/>
    <w:basedOn w:val="Fontepargpadro"/>
    <w:rsid w:val="00DF4B40"/>
  </w:style>
  <w:style w:type="character" w:styleId="Hyperlink">
    <w:name w:val="Hyperlink"/>
    <w:basedOn w:val="Fontepargpadro"/>
    <w:rsid w:val="00DF4B40"/>
    <w:rPr>
      <w:color w:val="0000FF"/>
      <w:u w:val="single"/>
    </w:rPr>
  </w:style>
  <w:style w:type="paragraph" w:styleId="Cabealho">
    <w:name w:val="header"/>
    <w:basedOn w:val="Normal"/>
    <w:link w:val="CabealhoChar"/>
    <w:uiPriority w:val="99"/>
    <w:semiHidden/>
    <w:unhideWhenUsed/>
    <w:rsid w:val="00784648"/>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784648"/>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E25E5-96EB-4415-B66A-027AC433F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3368</TotalTime>
  <Pages>45</Pages>
  <Words>15567</Words>
  <Characters>88733</Characters>
  <Application>Microsoft Office Word</Application>
  <DocSecurity>0</DocSecurity>
  <Lines>739</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508</cp:revision>
  <dcterms:created xsi:type="dcterms:W3CDTF">2010-10-07T00:18:00Z</dcterms:created>
  <dcterms:modified xsi:type="dcterms:W3CDTF">2015-05-28T14:28:00Z</dcterms:modified>
</cp:coreProperties>
</file>