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E01" w:rsidRPr="003E305A" w:rsidRDefault="00321E01" w:rsidP="00321E01">
      <w:pPr>
        <w:pStyle w:val="Ttulo"/>
        <w:spacing w:before="0" w:after="960"/>
        <w:rPr>
          <w:rFonts w:ascii="Arial Narrow" w:hAnsi="Arial Narrow"/>
        </w:rPr>
      </w:pPr>
      <w:r w:rsidRPr="003E305A">
        <w:rPr>
          <w:rFonts w:ascii="Arial Narrow" w:hAnsi="Arial Narrow"/>
        </w:rPr>
        <w:t xml:space="preserve">Capítulo </w:t>
      </w:r>
      <w:r>
        <w:rPr>
          <w:rFonts w:ascii="Arial Narrow" w:hAnsi="Arial Narrow"/>
        </w:rPr>
        <w:t>2</w:t>
      </w:r>
      <w:r w:rsidRPr="003E305A">
        <w:rPr>
          <w:rFonts w:ascii="Arial Narrow" w:hAnsi="Arial Narrow"/>
        </w:rPr>
        <w:br/>
      </w:r>
      <w:r w:rsidRPr="00D716AA">
        <w:rPr>
          <w:rFonts w:ascii="Arial Narrow" w:hAnsi="Arial Narrow"/>
        </w:rPr>
        <w:t>RAÇA DE SENHORES, SUB-HOMENS E ANTI-RAÇA</w:t>
      </w:r>
    </w:p>
    <w:p w:rsidR="00321E01" w:rsidRPr="003E305A" w:rsidRDefault="00321E01" w:rsidP="003F04F9">
      <w:pPr>
        <w:keepNext/>
        <w:spacing w:after="360"/>
        <w:ind w:firstLine="0"/>
        <w:jc w:val="center"/>
        <w:rPr>
          <w:b/>
          <w:sz w:val="28"/>
        </w:rPr>
      </w:pPr>
      <w:r w:rsidRPr="003E305A">
        <w:rPr>
          <w:b/>
          <w:sz w:val="28"/>
        </w:rPr>
        <w:t xml:space="preserve">1. </w:t>
      </w:r>
      <w:r>
        <w:rPr>
          <w:b/>
          <w:sz w:val="28"/>
        </w:rPr>
        <w:t>Racismo abrangente</w:t>
      </w:r>
    </w:p>
    <w:p w:rsidR="00960A99" w:rsidRDefault="00321E01" w:rsidP="00321E01">
      <w:r w:rsidRPr="003E305A">
        <w:t xml:space="preserve">Na ala populista do NSDAP, encabeçada por Gregor Strasser, e entre </w:t>
      </w:r>
      <w:r>
        <w:t>a</w:t>
      </w:r>
      <w:r w:rsidRPr="003E305A">
        <w:t xml:space="preserve">s SA, pelo menos </w:t>
      </w:r>
      <w:r>
        <w:t xml:space="preserve">enquanto estiveram sob a condução </w:t>
      </w:r>
      <w:r w:rsidRPr="003E305A">
        <w:t xml:space="preserve">de Röhm, vigorava um racismo de </w:t>
      </w:r>
      <w:r w:rsidR="00126248">
        <w:t>escopo</w:t>
      </w:r>
      <w:r w:rsidRPr="003E305A">
        <w:t xml:space="preserve"> abrangente, fundado num conceito de raça dinâmico e adaptáve</w:t>
      </w:r>
      <w:r w:rsidR="00A52982">
        <w:t>l</w:t>
      </w:r>
      <w:r w:rsidR="00ED7934">
        <w:t xml:space="preserve"> ao meio social</w:t>
      </w:r>
      <w:r w:rsidRPr="003E305A">
        <w:t xml:space="preserve">. </w:t>
      </w:r>
      <w:r w:rsidR="002B1C6D">
        <w:t xml:space="preserve">Também </w:t>
      </w:r>
      <w:r w:rsidR="002B1C6D" w:rsidRPr="003E305A">
        <w:t xml:space="preserve">Otto Strasser, o irmão de Gregor, </w:t>
      </w:r>
      <w:r w:rsidR="002B1C6D">
        <w:t>n</w:t>
      </w:r>
      <w:r w:rsidR="002B1C6D" w:rsidRPr="003E305A">
        <w:t xml:space="preserve">as discussões com Hitler em Maio de 1930, que </w:t>
      </w:r>
      <w:r w:rsidR="00960A99">
        <w:t xml:space="preserve">o </w:t>
      </w:r>
      <w:r w:rsidR="002B1C6D" w:rsidRPr="003E305A">
        <w:t xml:space="preserve">levaram </w:t>
      </w:r>
      <w:r w:rsidR="00960A99">
        <w:t>a abandonar o partido</w:t>
      </w:r>
      <w:r w:rsidR="002B1C6D" w:rsidRPr="003E305A">
        <w:t xml:space="preserve">, defendeu </w:t>
      </w:r>
      <w:r w:rsidR="00960A99">
        <w:t>um</w:t>
      </w:r>
      <w:r w:rsidR="002B1C6D" w:rsidRPr="003E305A">
        <w:t>a concepção abrangente de racismo</w:t>
      </w:r>
      <w:r w:rsidR="002B1C6D">
        <w:t>.</w:t>
      </w:r>
      <w:r w:rsidR="002B1C6D" w:rsidRPr="003E305A">
        <w:t xml:space="preserve"> </w:t>
      </w:r>
      <w:r w:rsidR="002B1C6D">
        <w:t xml:space="preserve">E no meio científico esta modalidade foi sustentada </w:t>
      </w:r>
      <w:r w:rsidR="00A269F1">
        <w:t xml:space="preserve">nomeadamente </w:t>
      </w:r>
      <w:r w:rsidR="002B1C6D">
        <w:t xml:space="preserve">por Karl Saller, um médico </w:t>
      </w:r>
      <w:r w:rsidR="005E7361">
        <w:t xml:space="preserve">e antropólogo </w:t>
      </w:r>
      <w:r w:rsidR="002B1C6D">
        <w:t xml:space="preserve">filado nas SA, e por </w:t>
      </w:r>
      <w:r w:rsidR="009E488E">
        <w:t xml:space="preserve">Friedrich </w:t>
      </w:r>
      <w:r w:rsidR="002B1C6D">
        <w:t xml:space="preserve">Merkenschlager, especialista de fitobiologia e membro do NSDAP desde a primeira hora. </w:t>
      </w:r>
    </w:p>
    <w:p w:rsidR="00321E01" w:rsidRPr="003E305A" w:rsidRDefault="002B1C6D" w:rsidP="00321E01">
      <w:r>
        <w:t xml:space="preserve">Segundo esta concepção </w:t>
      </w:r>
      <w:r w:rsidRPr="003E305A">
        <w:t xml:space="preserve">a </w:t>
      </w:r>
      <w:r w:rsidR="00321E01" w:rsidRPr="003E305A">
        <w:t xml:space="preserve">raça superior ampliar-se-ia graças à assimilação de múltiplos elementos que, embora possuidores de certas características consideradas inferiores, estavam desde há muito física e culturalmente germanizados. </w:t>
      </w:r>
      <w:r w:rsidR="005E7361">
        <w:t>O</w:t>
      </w:r>
      <w:r w:rsidR="00321E01" w:rsidRPr="003E305A">
        <w:t xml:space="preserve">s elementos superiores iriam promovendo biologicamente os inferiores através de acasalamentos sucessivos. Em termos práticos isto significava que a raça alemã se ampliaria e consolidaria pela integração progressiva das raças que compunham a esfera germânica. A convergência destas raças resultaria da participação de todas elas no povo alemão e da </w:t>
      </w:r>
      <w:r w:rsidR="000907B0">
        <w:t xml:space="preserve">sua </w:t>
      </w:r>
      <w:r w:rsidR="00321E01" w:rsidRPr="003E305A">
        <w:t xml:space="preserve">adaptação às condições do solo alemão. O conceito de </w:t>
      </w:r>
      <w:r w:rsidR="00321E01" w:rsidRPr="0060607E">
        <w:rPr>
          <w:i/>
        </w:rPr>
        <w:t>comunidade de trabalho,</w:t>
      </w:r>
      <w:r w:rsidR="00321E01" w:rsidRPr="003E305A">
        <w:t xml:space="preserve"> </w:t>
      </w:r>
      <w:r w:rsidR="00321E01">
        <w:t xml:space="preserve">empregue com muita frequência </w:t>
      </w:r>
      <w:r w:rsidR="002008BE">
        <w:t>nestes meios políticos</w:t>
      </w:r>
      <w:r w:rsidR="00321E01">
        <w:t xml:space="preserve">, </w:t>
      </w:r>
      <w:r w:rsidR="00321E01" w:rsidRPr="003E305A">
        <w:t xml:space="preserve">esclarece o plano em que se colocava a ala populista do </w:t>
      </w:r>
      <w:r w:rsidR="003878B6">
        <w:t>nacional-socialismo</w:t>
      </w:r>
      <w:r w:rsidR="00321E01" w:rsidRPr="003E305A">
        <w:t xml:space="preserve">. Um destino histórico colectivo, localizado num âmbito geográfico específico, determinaria a formação da raça </w:t>
      </w:r>
      <w:r w:rsidR="00321E01">
        <w:t>germânica</w:t>
      </w:r>
      <w:r w:rsidR="00321E01" w:rsidRPr="003E305A">
        <w:t xml:space="preserve">, e portanto </w:t>
      </w:r>
      <w:r w:rsidR="00960A99">
        <w:t xml:space="preserve">as </w:t>
      </w:r>
      <w:r w:rsidR="00321E01" w:rsidRPr="003E305A">
        <w:t>raízes sociais</w:t>
      </w:r>
      <w:r w:rsidR="00126248">
        <w:t>,</w:t>
      </w:r>
      <w:r w:rsidR="00321E01" w:rsidRPr="003E305A">
        <w:t xml:space="preserve"> </w:t>
      </w:r>
      <w:r w:rsidR="00126248">
        <w:t xml:space="preserve">económicas </w:t>
      </w:r>
      <w:r w:rsidR="00321E01" w:rsidRPr="003E305A">
        <w:t xml:space="preserve">e culturais </w:t>
      </w:r>
      <w:r w:rsidR="00960A99">
        <w:t xml:space="preserve">definiriam </w:t>
      </w:r>
      <w:r w:rsidR="00321E01" w:rsidRPr="003E305A">
        <w:t>o quadro da evolução biológica</w:t>
      </w:r>
      <w:r w:rsidR="00126248">
        <w:t>,</w:t>
      </w:r>
      <w:r w:rsidR="00321E01" w:rsidRPr="003E305A">
        <w:t xml:space="preserve"> </w:t>
      </w:r>
      <w:r w:rsidR="00126248">
        <w:t xml:space="preserve">sendo </w:t>
      </w:r>
      <w:r w:rsidR="00321E01">
        <w:t xml:space="preserve">a raça </w:t>
      </w:r>
      <w:r w:rsidR="00126248">
        <w:t xml:space="preserve">entendida </w:t>
      </w:r>
      <w:r w:rsidR="00321E01">
        <w:t>como resultado de um modo de vida comum</w:t>
      </w:r>
      <w:r w:rsidR="00321E01" w:rsidRPr="003E305A">
        <w:t xml:space="preserve">. </w:t>
      </w:r>
      <w:r w:rsidR="00ED7934">
        <w:t xml:space="preserve">Afinal, raça e povo estariam fundidos. O </w:t>
      </w:r>
      <w:r w:rsidR="00321E01">
        <w:t xml:space="preserve">tipo de racismo defendido por Gregor Strasser, por Röhm e pelos seus seguidores subordinava-se à </w:t>
      </w:r>
      <w:r w:rsidR="00321E01" w:rsidRPr="003E305A">
        <w:t xml:space="preserve">revolução social nacional-socialista e garantiria, em termos físicos, a consolidação </w:t>
      </w:r>
      <w:r w:rsidR="00321E01">
        <w:t>da</w:t>
      </w:r>
      <w:r w:rsidR="00321E01" w:rsidRPr="003E305A">
        <w:t xml:space="preserve"> ordem nova</w:t>
      </w:r>
      <w:r>
        <w:rPr>
          <w:rStyle w:val="Refdenotaderodap"/>
        </w:rPr>
        <w:footnoteReference w:id="1"/>
      </w:r>
      <w:r w:rsidR="00321E01" w:rsidRPr="003E305A">
        <w:t xml:space="preserve">. </w:t>
      </w:r>
    </w:p>
    <w:p w:rsidR="007426D6" w:rsidRDefault="00321E01" w:rsidP="00321E01">
      <w:r>
        <w:lastRenderedPageBreak/>
        <w:t>Esse</w:t>
      </w:r>
      <w:r w:rsidRPr="003E305A">
        <w:t xml:space="preserve"> quadro assimilador poderia mesmo incluir os eslavos</w:t>
      </w:r>
      <w:r w:rsidR="009E488E">
        <w:t>, dando um corpo biológico ao «socialismo prussiano» de Spengler</w:t>
      </w:r>
      <w:r w:rsidR="00A45413">
        <w:rPr>
          <w:rStyle w:val="Refdenotaderodap"/>
        </w:rPr>
        <w:footnoteReference w:id="2"/>
      </w:r>
      <w:r w:rsidRPr="003E305A">
        <w:t>, e talvez os defensores desta orientação invocassem a autoridade de Houston Stewart Chamberlain, apesar de a herança do grande ideólogo do racismo lhes ter sido em geral desfavorável. Chamberlain insistiu repetidamente que, na sua definição, a raça germânica se referia aos europeus setentrionais e incluía, além dos germanos propriamente ditos, os celtas e também os eslavos</w:t>
      </w:r>
      <w:r w:rsidRPr="003E305A">
        <w:rPr>
          <w:rStyle w:val="Refdenotaderodap"/>
        </w:rPr>
        <w:footnoteReference w:id="3"/>
      </w:r>
      <w:r w:rsidRPr="003E305A">
        <w:t>, embora entre estes últimos as características germânicas se tivessem deteriorado devido ao cruzamento com populações asiáticas consideradas biológica e mentalmente inferiores</w:t>
      </w:r>
      <w:r w:rsidRPr="003E305A">
        <w:rPr>
          <w:rStyle w:val="Refdenotaderodap"/>
        </w:rPr>
        <w:footnoteReference w:id="4"/>
      </w:r>
      <w:r w:rsidRPr="003E305A">
        <w:t xml:space="preserve">. </w:t>
      </w:r>
      <w:r>
        <w:t xml:space="preserve">Sem </w:t>
      </w:r>
      <w:r w:rsidRPr="003E305A">
        <w:t>tom</w:t>
      </w:r>
      <w:r>
        <w:t>ar</w:t>
      </w:r>
      <w:r w:rsidRPr="003E305A">
        <w:t xml:space="preserve"> uma posição definitiva acerca do problema</w:t>
      </w:r>
      <w:r>
        <w:t>,</w:t>
      </w:r>
      <w:r w:rsidRPr="003E305A">
        <w:t xml:space="preserve"> Chamberlain reconheceu que entre os eslavos seus contemporâneos «subsiste um certo instinto de tipo especificamente germânico, talvez apenas a sombra de um instinto, mas que torna ainda a alma eslava parente da nossa e lhe dá uma capacidade produtiva, malgrado toda a resistência oposta pela cultura asiática, estabelecida hereditariamente sobre o mesmo solo»</w:t>
      </w:r>
      <w:r w:rsidRPr="003E305A">
        <w:rPr>
          <w:rStyle w:val="Refdenotaderodap"/>
        </w:rPr>
        <w:footnoteReference w:id="5"/>
      </w:r>
      <w:r w:rsidRPr="003E305A">
        <w:t xml:space="preserve">. </w:t>
      </w:r>
    </w:p>
    <w:p w:rsidR="00321E01" w:rsidRPr="003E305A" w:rsidRDefault="0003161D" w:rsidP="00321E01">
      <w:r>
        <w:t xml:space="preserve">Todavia, </w:t>
      </w:r>
      <w:r w:rsidR="00321E01" w:rsidRPr="003E305A">
        <w:t>Chamberlain deix</w:t>
      </w:r>
      <w:r>
        <w:t>ara</w:t>
      </w:r>
      <w:r w:rsidR="00321E01" w:rsidRPr="003E305A">
        <w:t xml:space="preserve"> em aberto a questão de saber até que ponto os eslavos modernos poderiam integrar</w:t>
      </w:r>
      <w:r w:rsidR="00173E8D">
        <w:t>-se</w:t>
      </w:r>
      <w:r w:rsidR="00321E01" w:rsidRPr="003E305A">
        <w:t xml:space="preserve"> na raça superior, e a dúvida foi resolvida de modo afirmativo pela </w:t>
      </w:r>
      <w:r w:rsidR="00321E01">
        <w:t>extrema-</w:t>
      </w:r>
      <w:r w:rsidR="00321E01" w:rsidRPr="003E305A">
        <w:t>direita nacional-bolchevista, para quem a qualidade racial dos eslavos se manifestava no comunismo russo. Sem chegar a tais extremos, também Gregor Strasser defendia uma política externa favorável à Rússia</w:t>
      </w:r>
      <w:r w:rsidR="00321E01" w:rsidRPr="003E305A">
        <w:rPr>
          <w:rStyle w:val="Refdenotaderodap"/>
        </w:rPr>
        <w:footnoteReference w:id="6"/>
      </w:r>
      <w:r w:rsidR="00332B7A">
        <w:t>,</w:t>
      </w:r>
      <w:r w:rsidR="00321E01" w:rsidRPr="003E305A">
        <w:t xml:space="preserve"> e até ao final de 1932, esclarece</w:t>
      </w:r>
      <w:r w:rsidR="00321E01">
        <w:t>u</w:t>
      </w:r>
      <w:r w:rsidR="00321E01" w:rsidRPr="003E305A">
        <w:t xml:space="preserve"> um conhecedor da cultura alemã, «a imprensa de Strasser insiste cada vez mais na necessidade de uma aproximação à União Soviética, cujo sistema interno é, no entanto, condenado. Strasser combate absolutamente a ideia de uma superioridade dos povos germânicos sobre os povos eslavos. [...] O tema </w:t>
      </w:r>
      <w:r w:rsidR="00173E8D">
        <w:t>—</w:t>
      </w:r>
      <w:r w:rsidR="00321E01" w:rsidRPr="003E305A">
        <w:t xml:space="preserve"> tão frequente no </w:t>
      </w:r>
      <w:r w:rsidR="00321E01" w:rsidRPr="003E305A">
        <w:rPr>
          <w:i/>
        </w:rPr>
        <w:t>Völkischer Beobachter</w:t>
      </w:r>
      <w:r w:rsidR="00321E01" w:rsidRPr="003E305A">
        <w:t xml:space="preserve"> [dirigido por Alfred Rosenberg] </w:t>
      </w:r>
      <w:r w:rsidR="00173E8D">
        <w:t>—</w:t>
      </w:r>
      <w:r w:rsidR="00321E01" w:rsidRPr="003E305A">
        <w:t xml:space="preserve"> da superioridade dos germanos sobre os eslavos é combatido pela imprensa de Strasser»</w:t>
      </w:r>
      <w:r w:rsidR="00321E01" w:rsidRPr="003E305A">
        <w:rPr>
          <w:rStyle w:val="Refdenotaderodap"/>
        </w:rPr>
        <w:footnoteReference w:id="7"/>
      </w:r>
      <w:r w:rsidR="00321E01" w:rsidRPr="003E305A">
        <w:t xml:space="preserve">. </w:t>
      </w:r>
      <w:r w:rsidR="00417207">
        <w:t xml:space="preserve">Mesmo que </w:t>
      </w:r>
      <w:r w:rsidR="00303F6D">
        <w:t xml:space="preserve">o principal objectivo do general von Schleicher quando tentou incluir Gregor Strasser como </w:t>
      </w:r>
      <w:r w:rsidR="00303F6D">
        <w:lastRenderedPageBreak/>
        <w:t>segunda figura do seu efémero governo tivesse sido o de fazer pressão sobre Hitler ou até dividir a meio o NSDAP</w:t>
      </w:r>
      <w:r w:rsidR="002D561A">
        <w:t>,</w:t>
      </w:r>
      <w:r w:rsidR="00303F6D">
        <w:t xml:space="preserve"> </w:t>
      </w:r>
      <w:r w:rsidR="00C60B3E">
        <w:t xml:space="preserve">talvez o facto de o general </w:t>
      </w:r>
      <w:r w:rsidR="00B5041D">
        <w:t>defend</w:t>
      </w:r>
      <w:r w:rsidR="00C60B3E">
        <w:t>er</w:t>
      </w:r>
      <w:r w:rsidR="00B5041D">
        <w:t xml:space="preserve"> o estreitamento das relações com a União Soviética</w:t>
      </w:r>
      <w:r w:rsidR="00C60B3E">
        <w:t xml:space="preserve"> ajude a explicar aquela manobra</w:t>
      </w:r>
      <w:r w:rsidR="00C60B3E">
        <w:rPr>
          <w:rStyle w:val="Refdenotaderodap"/>
        </w:rPr>
        <w:footnoteReference w:id="8"/>
      </w:r>
      <w:r w:rsidR="00C60B3E">
        <w:t xml:space="preserve">. Afinal, a rápida queda de Schleicher e o isolamento político de </w:t>
      </w:r>
      <w:r w:rsidR="007E75D1">
        <w:t xml:space="preserve">Gregor </w:t>
      </w:r>
      <w:r w:rsidR="00C60B3E">
        <w:t xml:space="preserve">Strasser ditaram o rumo da política externa alemã. </w:t>
      </w:r>
    </w:p>
    <w:p w:rsidR="00321E01" w:rsidRDefault="00321E01" w:rsidP="00321E01">
      <w:r>
        <w:t xml:space="preserve">Entre as obras marcantes da cultura </w:t>
      </w:r>
      <w:r w:rsidR="007426D6">
        <w:t>germânica</w:t>
      </w:r>
      <w:r>
        <w:t xml:space="preserve"> daquela época, foi sem dúvida em </w:t>
      </w:r>
      <w:r w:rsidRPr="00B36B98">
        <w:rPr>
          <w:i/>
        </w:rPr>
        <w:t>A Decadência do Ocidente</w:t>
      </w:r>
      <w:r>
        <w:t xml:space="preserve"> que a noção plástica e abrangente de raça encontrou a formulação mais substancial. A raça era para Spengler um fenómeno emocional antes de ser biológico. «Os povos não são unidades linguísticas, nem unidades políticas, nem unidades zoológicas», escreveu ele, «mas unidades espirituais»</w:t>
      </w:r>
      <w:r>
        <w:rPr>
          <w:rStyle w:val="Refdenotaderodap"/>
        </w:rPr>
        <w:footnoteReference w:id="9"/>
      </w:r>
      <w:r>
        <w:t>. O emocional e o cultural conjugavam-se na raça, o que se entende se soubermos que para Spengler a cultura, que ele valorizava, era inconsciente e irracional, enquanto a civilização, fruto da decadência, era racional e consciente. «A raça é algo de cósmico, algo que se refere à alma», e Spengler estabeleceu uma relação íntima entre a raça e as noções de «tempo» e «anseio» ou «desejo» no sentido mais forte do vocábulo</w:t>
      </w:r>
      <w:r>
        <w:rPr>
          <w:rStyle w:val="Refdenotaderodap"/>
        </w:rPr>
        <w:footnoteReference w:id="10"/>
      </w:r>
      <w:r>
        <w:t>. «Raça, tempo e destino são termos que vivem ligados»</w:t>
      </w:r>
      <w:r>
        <w:rPr>
          <w:rStyle w:val="Refdenotaderodap"/>
        </w:rPr>
        <w:footnoteReference w:id="11"/>
      </w:r>
      <w:r>
        <w:t xml:space="preserve"> ou, noutra formulação, é com a «luta pelo poder», com o «destino», com a «política» que a raça se relaciona</w:t>
      </w:r>
      <w:r w:rsidRPr="005C4D59">
        <w:rPr>
          <w:vertAlign w:val="superscript"/>
        </w:rPr>
        <w:footnoteReference w:id="12"/>
      </w:r>
      <w:r>
        <w:t xml:space="preserve">. A raça era em suma, para Spengler, um devir histórico, por isso </w:t>
      </w:r>
      <w:r w:rsidRPr="001A2CB3">
        <w:t>critic</w:t>
      </w:r>
      <w:r>
        <w:t>ou</w:t>
      </w:r>
      <w:r w:rsidRPr="001A2CB3">
        <w:t xml:space="preserve"> as noções estritamente b</w:t>
      </w:r>
      <w:r>
        <w:t>iológicas de raça</w:t>
      </w:r>
      <w:r>
        <w:rPr>
          <w:rStyle w:val="Refdenotaderodap"/>
        </w:rPr>
        <w:footnoteReference w:id="13"/>
      </w:r>
      <w:r>
        <w:t xml:space="preserve">. Embora em momento </w:t>
      </w:r>
      <w:r w:rsidR="000A1CF6">
        <w:t>nenhum</w:t>
      </w:r>
      <w:r>
        <w:t xml:space="preserve"> Spengler o afirmasse, não me parece duvidoso que a passagem da sua noção de raça para a noção biológica defendida pelos hitlerianos constituiria uma transmutação da cultura em civilização e, portanto, correponderia à anunciada decadência. Ele chegou a afirmar que eram as condições geográficas e não o sangue a exercer influência sobre o esqueleto humano</w:t>
      </w:r>
      <w:r>
        <w:rPr>
          <w:rStyle w:val="Refdenotaderodap"/>
        </w:rPr>
        <w:footnoteReference w:id="14"/>
      </w:r>
      <w:r>
        <w:t xml:space="preserve">. «A raça não emigra. Os homens emigram e as suas gerações posteriores nascem em diferentes países; a paisagem exerce, no entanto, um misterioso poder sobre o elemento vegetativo desses descendentes e acaba por alterar completamente a expressão racial; a antiga desaparece e surge uma nova». Em seguida </w:t>
      </w:r>
      <w:r w:rsidRPr="00D45D1D">
        <w:t xml:space="preserve">Spengler </w:t>
      </w:r>
      <w:r>
        <w:t xml:space="preserve">deu </w:t>
      </w:r>
      <w:r w:rsidRPr="00D45D1D">
        <w:t xml:space="preserve">vários exemplos de emigrantes de diferentes </w:t>
      </w:r>
      <w:r w:rsidR="00A1587A">
        <w:t>proveniências</w:t>
      </w:r>
      <w:r w:rsidRPr="00D45D1D">
        <w:t xml:space="preserve"> que </w:t>
      </w:r>
      <w:r w:rsidR="006B42AB">
        <w:t xml:space="preserve">passaram a encontrar-se </w:t>
      </w:r>
      <w:r>
        <w:t xml:space="preserve">fundidos </w:t>
      </w:r>
      <w:r w:rsidRPr="00D45D1D">
        <w:t xml:space="preserve">numa nova raça única, não só </w:t>
      </w:r>
      <w:r>
        <w:t xml:space="preserve">entre </w:t>
      </w:r>
      <w:r w:rsidRPr="00D45D1D">
        <w:t xml:space="preserve">brancos, mas também </w:t>
      </w:r>
      <w:r>
        <w:t xml:space="preserve">em resultado da </w:t>
      </w:r>
      <w:r w:rsidRPr="00D45D1D">
        <w:t xml:space="preserve">assimilação </w:t>
      </w:r>
      <w:r w:rsidR="0076722D">
        <w:t>de</w:t>
      </w:r>
      <w:r w:rsidRPr="00D45D1D">
        <w:t xml:space="preserve"> brancos, índios e negros. </w:t>
      </w:r>
      <w:r>
        <w:t xml:space="preserve">E </w:t>
      </w:r>
      <w:r w:rsidR="00934A60">
        <w:t>in</w:t>
      </w:r>
      <w:r>
        <w:t xml:space="preserve">vocou a este respeito os trabalhos de Franz Boas, que mostrara que embora os judeus sicilianos e os judeus alemães tivessem formatos de cabeça muito distintos, nos Estados </w:t>
      </w:r>
      <w:r>
        <w:lastRenderedPageBreak/>
        <w:t>Unidos os filhos de ambos os grupos nasciam com cabeças do mesmo tipo</w:t>
      </w:r>
      <w:r>
        <w:rPr>
          <w:rStyle w:val="Refdenotaderodap"/>
        </w:rPr>
        <w:footnoteReference w:id="15"/>
      </w:r>
      <w:r>
        <w:t xml:space="preserve">. Como se estas passagens não bastassem para enraivecer os adeptos da vertente biológica do racismo, Spengler explicou que o sentido darwiniano de raça «só existe para a ciência e nunca para a consciência popular». Entendida no plano das emoções e do desejo histórico, a raça consistia na determinação da biologia pela cultura. Seria difícil expressar melhor a concepção abrangente do racismo. «Nunca povo </w:t>
      </w:r>
      <w:r w:rsidR="00A1587A">
        <w:t>nenhum</w:t>
      </w:r>
      <w:r w:rsidRPr="00900438">
        <w:t xml:space="preserve"> </w:t>
      </w:r>
      <w:r>
        <w:t>se entusiasmou por esse ideal do “sangue puro”. Ter raça não significa ter uma mesma matéria determinada. A raça é algo de cósmico», repetiu Spengler, «uma direcção, a sensação de destinos coincidentes, a marcha pela história com idêntico percurso e os mesmos passos. É a deficiente compreensão deste ritmo metafísico que dá origem ao ódio das raças, que não é menos forte entre franceses e alemães do que entre alemães e judeus»</w:t>
      </w:r>
      <w:r>
        <w:rPr>
          <w:rStyle w:val="Refdenotaderodap"/>
        </w:rPr>
        <w:footnoteReference w:id="16"/>
      </w:r>
      <w:r>
        <w:t xml:space="preserve">. </w:t>
      </w:r>
    </w:p>
    <w:p w:rsidR="002338C3" w:rsidRDefault="00321E01" w:rsidP="00321E01">
      <w:r>
        <w:t>Recorrendo a est</w:t>
      </w:r>
      <w:r w:rsidR="00C5032D">
        <w:t>a</w:t>
      </w:r>
      <w:r>
        <w:t xml:space="preserve"> </w:t>
      </w:r>
      <w:r w:rsidRPr="003E305A">
        <w:t>perspectiva integradora, até o anti-semitismo comum na extrema-direita germânica foi revisto e atenuado</w:t>
      </w:r>
      <w:r>
        <w:t xml:space="preserve"> pela ala populista do nacional-socialismo</w:t>
      </w:r>
      <w:r w:rsidRPr="003E305A">
        <w:rPr>
          <w:rStyle w:val="Refdenotaderodap"/>
        </w:rPr>
        <w:footnoteReference w:id="17"/>
      </w:r>
      <w:r w:rsidR="002D203C">
        <w:t>,</w:t>
      </w:r>
      <w:r w:rsidRPr="003E305A">
        <w:t xml:space="preserve"> </w:t>
      </w:r>
      <w:r w:rsidR="002D203C">
        <w:t>e Saller foi acusado de defender a assimilação da população judaica e da sua cultura urbana pelo povo alemão</w:t>
      </w:r>
      <w:r w:rsidR="002D203C">
        <w:rPr>
          <w:rStyle w:val="Refdenotaderodap"/>
        </w:rPr>
        <w:footnoteReference w:id="18"/>
      </w:r>
      <w:r w:rsidR="002D203C">
        <w:t xml:space="preserve">. </w:t>
      </w:r>
      <w:r w:rsidRPr="003E305A">
        <w:t xml:space="preserve">O próprio Röhm, que durante os períodos em que chefiou as SA foi uma das figuras mais influentes do </w:t>
      </w:r>
      <w:r w:rsidR="00A453CA">
        <w:t>NSDAP</w:t>
      </w:r>
      <w:r w:rsidRPr="003E305A">
        <w:t>, jamais manifestou traços de anti-semitismo, e desde a tomada do poder até ser liquidado no primeiro dia de Julho de 1934 parece ter procurado refrear a política defendida pelo Führer relativamente aos judeus</w:t>
      </w:r>
      <w:r w:rsidRPr="003E305A">
        <w:rPr>
          <w:rStyle w:val="Refdenotaderodap"/>
        </w:rPr>
        <w:footnoteReference w:id="19"/>
      </w:r>
      <w:r w:rsidRPr="003E305A">
        <w:t xml:space="preserve">. </w:t>
      </w:r>
      <w:r w:rsidR="002338C3">
        <w:t>É especialmente digno de nota que n</w:t>
      </w:r>
      <w:r w:rsidR="002338C3" w:rsidRPr="00972B2B">
        <w:t xml:space="preserve">um discurso pronunciado </w:t>
      </w:r>
      <w:r w:rsidR="002338C3">
        <w:t>em Berlim, em 7 de Dezembro de 1933, Röhm tivesse criticado o bolchevismo sem invocar o seu pretenso carácter judaico</w:t>
      </w:r>
      <w:r w:rsidR="00091A3B">
        <w:rPr>
          <w:rStyle w:val="Refdenotaderodap"/>
        </w:rPr>
        <w:footnoteReference w:id="20"/>
      </w:r>
      <w:r w:rsidR="00091A3B">
        <w:t>.</w:t>
      </w:r>
      <w:r w:rsidR="002338C3">
        <w:t xml:space="preserve"> Simetricamente, atacou os políticos parlamentares e as sumidades da finança e da indústria sem os assimilar aos judeus, e o mesmo </w:t>
      </w:r>
      <w:r w:rsidR="0098116A">
        <w:t>quando</w:t>
      </w:r>
      <w:r w:rsidR="002338C3">
        <w:t xml:space="preserve"> atac</w:t>
      </w:r>
      <w:r w:rsidR="0098116A">
        <w:t>ou</w:t>
      </w:r>
      <w:r w:rsidR="002338C3">
        <w:t xml:space="preserve"> a imprensa estrangeira inimiga do novo Reich</w:t>
      </w:r>
      <w:r w:rsidR="00091A3B">
        <w:rPr>
          <w:rStyle w:val="Refdenotaderodap"/>
        </w:rPr>
        <w:footnoteReference w:id="21"/>
      </w:r>
      <w:r w:rsidR="00091A3B">
        <w:t>.</w:t>
      </w:r>
      <w:r w:rsidR="002338C3">
        <w:t xml:space="preserve"> Nem </w:t>
      </w:r>
      <w:r w:rsidR="0098116A">
        <w:t>ao</w:t>
      </w:r>
      <w:r w:rsidR="002338C3">
        <w:t xml:space="preserve"> invectiv</w:t>
      </w:r>
      <w:r w:rsidR="0098116A">
        <w:t>ar</w:t>
      </w:r>
      <w:r w:rsidR="002338C3">
        <w:t xml:space="preserve"> «os </w:t>
      </w:r>
      <w:r w:rsidR="002338C3">
        <w:lastRenderedPageBreak/>
        <w:t xml:space="preserve">emigrantes que foram expulsos do país não pelo nacional-socialismo mas pela sua própria má consciência» </w:t>
      </w:r>
      <w:r w:rsidR="00301D27">
        <w:t xml:space="preserve">Röhm </w:t>
      </w:r>
      <w:r w:rsidR="002338C3">
        <w:t>incluiu entre eles os judeus</w:t>
      </w:r>
      <w:r w:rsidR="00D62F5F">
        <w:rPr>
          <w:rStyle w:val="Refdenotaderodap"/>
        </w:rPr>
        <w:footnoteReference w:id="22"/>
      </w:r>
      <w:r w:rsidR="00D62F5F">
        <w:t>,</w:t>
      </w:r>
      <w:r w:rsidR="002338C3">
        <w:t xml:space="preserve"> </w:t>
      </w:r>
      <w:r w:rsidR="00301D27">
        <w:t xml:space="preserve">e ao </w:t>
      </w:r>
      <w:r w:rsidR="002338C3">
        <w:t>fal</w:t>
      </w:r>
      <w:r w:rsidR="00301D27">
        <w:t>ar</w:t>
      </w:r>
      <w:r w:rsidR="002338C3">
        <w:t xml:space="preserve"> dos «opositores políticos internos do nacional-socialismo» indicou apenas o comunismo e o marxismo</w:t>
      </w:r>
      <w:r w:rsidR="00D62F5F">
        <w:rPr>
          <w:rStyle w:val="Refdenotaderodap"/>
        </w:rPr>
        <w:footnoteReference w:id="23"/>
      </w:r>
      <w:r w:rsidR="00D62F5F">
        <w:t>.</w:t>
      </w:r>
      <w:r w:rsidR="002338C3">
        <w:t xml:space="preserve"> É certo que este discurso se destinou ao corpo diplomático, mas circulou </w:t>
      </w:r>
      <w:r w:rsidR="00DE7540">
        <w:t xml:space="preserve">na Alemanha </w:t>
      </w:r>
      <w:r w:rsidR="00301D27">
        <w:t>e nas SA</w:t>
      </w:r>
      <w:r w:rsidR="002338C3">
        <w:t xml:space="preserve">, onde o facto de não se apontar o dedo aos judeus seria sem dúvida notado. </w:t>
      </w:r>
    </w:p>
    <w:p w:rsidR="00321E01" w:rsidRPr="003E305A" w:rsidRDefault="00091A3B" w:rsidP="00321E01">
      <w:r w:rsidRPr="003E305A">
        <w:t xml:space="preserve">Este </w:t>
      </w:r>
      <w:r w:rsidR="00321E01" w:rsidRPr="003E305A">
        <w:t>tipo de atitudes encontrava raízes na legítima tradição racista. Em vez de pretender ostracizar o Judeu enquanto membro de uma raça estranha, o surto anti-semita ocorrido na década de 1880 atacara, pelo contrário, os judeus que não se haviam deixado absorver pela sociedade e pela cultura germânicas</w:t>
      </w:r>
      <w:r w:rsidR="00321E01" w:rsidRPr="003E305A">
        <w:rPr>
          <w:rStyle w:val="Refdenotaderodap"/>
        </w:rPr>
        <w:footnoteReference w:id="24"/>
      </w:r>
      <w:r w:rsidR="00321E01" w:rsidRPr="003E305A">
        <w:t xml:space="preserve">. Escrevendo no último quartel do século XIX, Paul de Lagarde, que </w:t>
      </w:r>
      <w:r w:rsidR="00A453CA">
        <w:t xml:space="preserve">Rosenberg haveria de incluir no panteon </w:t>
      </w:r>
      <w:r w:rsidR="000F3026">
        <w:t xml:space="preserve">dos mestres </w:t>
      </w:r>
      <w:r w:rsidR="00A453CA">
        <w:t>do nacional-socialismo</w:t>
      </w:r>
      <w:r w:rsidR="00321E01" w:rsidRPr="003E305A">
        <w:rPr>
          <w:rStyle w:val="Refdenotaderodap"/>
        </w:rPr>
        <w:footnoteReference w:id="25"/>
      </w:r>
      <w:r w:rsidR="00321E01" w:rsidRPr="003E305A">
        <w:t xml:space="preserve">, atribuíra à debilidade da cultura alemã o facto de os judeus não terem ainda sido assimilados e permanecerem no interior do país como um corpo estranho. </w:t>
      </w:r>
      <w:r w:rsidR="00321E01">
        <w:t>Era ao judaísmo e não aos judeus que Lagarde se opunha, e a necessidade de lutar contra aqueles judeus que se mantinham afastados da cultura germânica correspondia à necessidade de integrar os judeus no seio do povo alemão, entendido como uma unidade étnica e cultural</w:t>
      </w:r>
      <w:r w:rsidR="00321E01">
        <w:rPr>
          <w:rStyle w:val="Refdenotaderodap"/>
        </w:rPr>
        <w:footnoteReference w:id="26"/>
      </w:r>
      <w:r w:rsidR="00321E01">
        <w:t xml:space="preserve">. </w:t>
      </w:r>
      <w:r w:rsidR="00321E01" w:rsidRPr="003E305A">
        <w:t xml:space="preserve">Na sequência lógica desta posição, </w:t>
      </w:r>
      <w:r w:rsidR="00321E01">
        <w:t xml:space="preserve">num </w:t>
      </w:r>
      <w:r w:rsidR="00321E01" w:rsidRPr="007576CD">
        <w:t>ensaio publicado em 1886</w:t>
      </w:r>
      <w:r w:rsidR="00321E01">
        <w:t xml:space="preserve"> </w:t>
      </w:r>
      <w:r w:rsidR="00321E01" w:rsidRPr="003E305A">
        <w:t>Lagarde vi</w:t>
      </w:r>
      <w:r w:rsidR="00321E01">
        <w:t>u</w:t>
      </w:r>
      <w:r w:rsidR="00321E01" w:rsidRPr="003E305A">
        <w:t xml:space="preserve"> no exército a força que seria capaz de dissolver a especificidade da cultura e do comportamento judaicos</w:t>
      </w:r>
      <w:r w:rsidR="00321E01" w:rsidRPr="003E305A">
        <w:rPr>
          <w:rStyle w:val="Refdenotaderodap"/>
        </w:rPr>
        <w:footnoteReference w:id="27"/>
      </w:r>
      <w:r w:rsidR="00321E01" w:rsidRPr="003E305A">
        <w:t xml:space="preserve">. </w:t>
      </w:r>
      <w:r w:rsidR="00321E01">
        <w:t xml:space="preserve">Exactamente quarenta anos </w:t>
      </w:r>
      <w:r w:rsidR="00321E01" w:rsidRPr="003E305A">
        <w:t>depois, Gregor Strasser, lançando o ridículo sobre os métodos de selecção racial de uma nova elite propostos pelos seus antagonistas dentro do NSDAP, defend</w:t>
      </w:r>
      <w:r w:rsidR="00321E01">
        <w:t>eu</w:t>
      </w:r>
      <w:r w:rsidR="00321E01" w:rsidRPr="003E305A">
        <w:t xml:space="preserve"> </w:t>
      </w:r>
      <w:r w:rsidR="00321E01" w:rsidRPr="004813C6">
        <w:t xml:space="preserve">também </w:t>
      </w:r>
      <w:r w:rsidR="00321E01" w:rsidRPr="003E305A">
        <w:t>que através da participação no serviço militar se obteria em duas ou três décadas uma classe dirigente verdadeiramente sólida</w:t>
      </w:r>
      <w:r w:rsidR="00321E01" w:rsidRPr="003E305A">
        <w:rPr>
          <w:rStyle w:val="Refdenotaderodap"/>
        </w:rPr>
        <w:footnoteReference w:id="28"/>
      </w:r>
      <w:r w:rsidR="00321E01" w:rsidRPr="003E305A">
        <w:t>. Esta orientação era decerto chocante para os meios conservadores, porque a lei de 6 de Março de 1919, que havia instituído a Reichswehr provisória, decretara que os judeus não poderiam ser recrutados para as novas forças armadas</w:t>
      </w:r>
      <w:r w:rsidR="00321E01" w:rsidRPr="003E305A">
        <w:rPr>
          <w:rStyle w:val="Refdenotaderodap"/>
        </w:rPr>
        <w:footnoteReference w:id="29"/>
      </w:r>
      <w:r w:rsidR="00321E01" w:rsidRPr="003E305A">
        <w:t xml:space="preserve">. </w:t>
      </w:r>
    </w:p>
    <w:p w:rsidR="00321E01" w:rsidRPr="003E305A" w:rsidRDefault="00321E01" w:rsidP="003F04F9">
      <w:pPr>
        <w:keepNext/>
        <w:spacing w:before="720" w:after="360"/>
        <w:ind w:firstLine="0"/>
        <w:jc w:val="center"/>
        <w:rPr>
          <w:b/>
          <w:sz w:val="28"/>
        </w:rPr>
      </w:pPr>
      <w:r w:rsidRPr="003E305A">
        <w:rPr>
          <w:b/>
          <w:sz w:val="28"/>
        </w:rPr>
        <w:lastRenderedPageBreak/>
        <w:t xml:space="preserve">2. </w:t>
      </w:r>
      <w:r>
        <w:rPr>
          <w:b/>
          <w:sz w:val="28"/>
        </w:rPr>
        <w:t>Racismo excludente</w:t>
      </w:r>
    </w:p>
    <w:p w:rsidR="00321E01" w:rsidRPr="00F5182A" w:rsidRDefault="00321E01" w:rsidP="00321E01">
      <w:r w:rsidRPr="00F5182A">
        <w:t xml:space="preserve">Ernst Niekisch entrou em férias políticas </w:t>
      </w:r>
      <w:r w:rsidR="00DB7C15">
        <w:t>aquando</w:t>
      </w:r>
      <w:r w:rsidRPr="00F5182A">
        <w:t xml:space="preserve"> </w:t>
      </w:r>
      <w:r w:rsidR="00DB7C15">
        <w:t>d</w:t>
      </w:r>
      <w:r w:rsidRPr="00F5182A">
        <w:t xml:space="preserve">a chacina dos chefes da ala populista do </w:t>
      </w:r>
      <w:r w:rsidR="008B5380">
        <w:t>NSDAP</w:t>
      </w:r>
      <w:r w:rsidRPr="00F5182A">
        <w:t xml:space="preserve">, </w:t>
      </w:r>
      <w:r w:rsidR="00552AFE">
        <w:t xml:space="preserve">na passagem de Junho para Julho de 1934, </w:t>
      </w:r>
      <w:r w:rsidRPr="00F5182A">
        <w:t xml:space="preserve">e </w:t>
      </w:r>
      <w:r w:rsidR="00552AFE">
        <w:t xml:space="preserve">no ano seguinte </w:t>
      </w:r>
      <w:r w:rsidRPr="00F5182A">
        <w:t>o eterno dissidente visitou Roma. Recebido pelo Duce, que o interrogou sobre as razões do seu desacordo com Hitler, Niekisch explicou que fora muito influenciado pelo marxismo e havia trabalhado nos sindicatos. A quem ele o dizia! Mussolini confidenciou-lhe que era necessário ter sido marxista para adquirir um conhecimento verdadeiro das realidades políticas</w:t>
      </w:r>
      <w:r w:rsidR="008B5380">
        <w:t>:</w:t>
      </w:r>
      <w:r w:rsidRPr="00F5182A">
        <w:t xml:space="preserve"> «Quem não passou pela escola do materialismo histórico permanece sempre um ideólogo»</w:t>
      </w:r>
      <w:r w:rsidRPr="00F5182A">
        <w:rPr>
          <w:vertAlign w:val="superscript"/>
        </w:rPr>
        <w:footnoteReference w:id="30"/>
      </w:r>
      <w:r w:rsidRPr="00F5182A">
        <w:t xml:space="preserve">. Era evidente o subentendido, o manifesto desinteresse do Führer pelas questões económicas. Mas será que quem nunca abordara a economia numa perspectiva </w:t>
      </w:r>
      <w:r w:rsidR="00351B30">
        <w:t>marxista</w:t>
      </w:r>
      <w:r w:rsidRPr="00F5182A">
        <w:t xml:space="preserve"> não poderia depois ser um verdadeiro </w:t>
      </w:r>
      <w:r w:rsidR="00351B30">
        <w:t>revolucionário</w:t>
      </w:r>
      <w:r w:rsidRPr="00F5182A">
        <w:t xml:space="preserve">? Mussolini, e Niekisch com ele, enganavam-se. </w:t>
      </w:r>
    </w:p>
    <w:p w:rsidR="00C51DCB" w:rsidRDefault="00C51DCB" w:rsidP="00C51DCB">
      <w:pPr>
        <w:keepNext/>
        <w:spacing w:before="240" w:after="120"/>
        <w:ind w:firstLine="0"/>
        <w:jc w:val="center"/>
      </w:pPr>
      <w:r>
        <w:rPr>
          <w:b/>
          <w:sz w:val="28"/>
          <w:szCs w:val="28"/>
        </w:rPr>
        <w:t>1</w:t>
      </w:r>
    </w:p>
    <w:p w:rsidR="00321E01" w:rsidRPr="00F5182A" w:rsidRDefault="00321E01" w:rsidP="00321E01">
      <w:r w:rsidRPr="00F5182A">
        <w:t xml:space="preserve">Hitler foi um revolucionário, talvez o mais revolucionário dos defensores da ordem, porque </w:t>
      </w:r>
      <w:r w:rsidR="008B5380">
        <w:t xml:space="preserve">pretendia instaurar </w:t>
      </w:r>
      <w:r w:rsidRPr="00F5182A">
        <w:t xml:space="preserve">transformações tão profundas que deixariam sem sentido a questão social. Em Maio de 1930, numa acerba discussão com Otto Strasser, Hitler </w:t>
      </w:r>
      <w:r w:rsidR="00227BA1">
        <w:t>defende</w:t>
      </w:r>
      <w:r w:rsidR="00206453">
        <w:t>u</w:t>
      </w:r>
      <w:r w:rsidR="00227BA1">
        <w:t xml:space="preserve"> a constituição de uma elite </w:t>
      </w:r>
      <w:r w:rsidR="00585690">
        <w:t xml:space="preserve">dirigente </w:t>
      </w:r>
      <w:r w:rsidR="00227BA1">
        <w:t xml:space="preserve">a partir de uma raça superior e </w:t>
      </w:r>
      <w:r w:rsidRPr="00F5182A">
        <w:t>proclam</w:t>
      </w:r>
      <w:r w:rsidR="00206453">
        <w:t>ou</w:t>
      </w:r>
      <w:r w:rsidRPr="00F5182A">
        <w:t xml:space="preserve"> que «as únicas revoluções </w:t>
      </w:r>
      <w:r w:rsidR="00C378B7">
        <w:t xml:space="preserve">possíveis </w:t>
      </w:r>
      <w:r w:rsidRPr="00F5182A">
        <w:t xml:space="preserve">são as revoluções raciais; não pode ocorrer uma revolução </w:t>
      </w:r>
      <w:r w:rsidR="00C378B7" w:rsidRPr="00F5182A">
        <w:t xml:space="preserve">económica </w:t>
      </w:r>
      <w:r w:rsidR="00C378B7">
        <w:t xml:space="preserve">ou </w:t>
      </w:r>
      <w:r w:rsidRPr="00F5182A">
        <w:t xml:space="preserve">política ou social </w:t>
      </w:r>
      <w:r w:rsidR="008B5380">
        <w:t>—</w:t>
      </w:r>
      <w:r w:rsidRPr="00F5182A">
        <w:t xml:space="preserve"> o que há sempre e apenas é a luta da camada mais baixa de raça inferior contra a raça superior dominante, e esta perde a partida se esquecer as leis da sua existência»</w:t>
      </w:r>
      <w:r w:rsidRPr="00F5182A">
        <w:rPr>
          <w:vertAlign w:val="superscript"/>
        </w:rPr>
        <w:footnoteReference w:id="31"/>
      </w:r>
      <w:r w:rsidRPr="00F5182A">
        <w:t xml:space="preserve">. </w:t>
      </w:r>
      <w:r w:rsidR="00C17D12">
        <w:t xml:space="preserve">Já o </w:t>
      </w:r>
      <w:r w:rsidR="00C17D12" w:rsidRPr="003E305A">
        <w:t>bizarríssimo Lanz von Liebenfels</w:t>
      </w:r>
      <w:r w:rsidR="00C17D12">
        <w:t>, por quem Hitler se interessara nos seus dias famélicos em Viena, havia defendido, numa estranha obra publicada em 1905</w:t>
      </w:r>
      <w:r w:rsidR="005B6E16">
        <w:t>,</w:t>
      </w:r>
      <w:r w:rsidR="00C17D12">
        <w:t xml:space="preserve"> </w:t>
      </w:r>
      <w:r w:rsidR="005B6E16">
        <w:t>que «a questão social não é uma questão de estômagos individuais — é uma questão racial»</w:t>
      </w:r>
      <w:r w:rsidR="0099656E">
        <w:rPr>
          <w:rStyle w:val="Refdenotaderodap"/>
        </w:rPr>
        <w:footnoteReference w:id="32"/>
      </w:r>
      <w:r w:rsidR="005B6E16">
        <w:t xml:space="preserve">. </w:t>
      </w:r>
      <w:r w:rsidR="00E53034">
        <w:t>E a</w:t>
      </w:r>
      <w:r w:rsidRPr="00F5182A">
        <w:t xml:space="preserve">pós ter tomado o poder, o Führer repetiu a um dignitário </w:t>
      </w:r>
      <w:r w:rsidR="003878B6">
        <w:t>nacional-socialista</w:t>
      </w:r>
      <w:r w:rsidRPr="00F5182A">
        <w:t xml:space="preserve"> que «qualquer política que não tenha uma base biológica ou objectivos biológicos é uma política cega»</w:t>
      </w:r>
      <w:r w:rsidRPr="00F5182A">
        <w:rPr>
          <w:vertAlign w:val="superscript"/>
        </w:rPr>
        <w:footnoteReference w:id="33"/>
      </w:r>
      <w:r w:rsidRPr="00F5182A">
        <w:t xml:space="preserve">. </w:t>
      </w:r>
    </w:p>
    <w:p w:rsidR="00321E01" w:rsidRPr="00F5182A" w:rsidRDefault="00321E01" w:rsidP="00321E01">
      <w:r w:rsidRPr="00F5182A">
        <w:lastRenderedPageBreak/>
        <w:t xml:space="preserve">Lemos em </w:t>
      </w:r>
      <w:r w:rsidRPr="00F5182A">
        <w:rPr>
          <w:i/>
        </w:rPr>
        <w:t>Mein Kampf</w:t>
      </w:r>
      <w:r w:rsidRPr="00F5182A">
        <w:t xml:space="preserve"> que a luta de classes não </w:t>
      </w:r>
      <w:r w:rsidR="008B5380">
        <w:t>é</w:t>
      </w:r>
      <w:r w:rsidRPr="00F5182A">
        <w:t xml:space="preserve"> inerente ao capitalismo </w:t>
      </w:r>
      <w:r w:rsidR="008B5380">
        <w:t xml:space="preserve">e se </w:t>
      </w:r>
      <w:r w:rsidRPr="00F5182A">
        <w:t>desencadea</w:t>
      </w:r>
      <w:r w:rsidR="008B5380">
        <w:t>ra</w:t>
      </w:r>
      <w:r w:rsidRPr="00F5182A">
        <w:t xml:space="preserve"> apenas a partir do momento em que o capital por acções destruíra a </w:t>
      </w:r>
      <w:r w:rsidR="00206453">
        <w:t>ligação</w:t>
      </w:r>
      <w:r w:rsidRPr="00F5182A">
        <w:t xml:space="preserve"> pessoal que teria até então unido patrões e trabalhadores</w:t>
      </w:r>
      <w:r w:rsidRPr="00F5182A">
        <w:rPr>
          <w:vertAlign w:val="superscript"/>
        </w:rPr>
        <w:footnoteReference w:id="34"/>
      </w:r>
      <w:r w:rsidRPr="00F5182A">
        <w:t xml:space="preserve">. Ora, na visão hitleriana o capital por acções era representado pelos judeus. E assim, ao mesmo tempo que a finança internacional </w:t>
      </w:r>
      <w:r w:rsidR="008B5380">
        <w:t xml:space="preserve">judaica </w:t>
      </w:r>
      <w:r w:rsidRPr="00F5182A">
        <w:t>atacava a partir do exterior a nação germânica</w:t>
      </w:r>
      <w:r w:rsidR="007A31F2">
        <w:t xml:space="preserve"> com o objectivo de se </w:t>
      </w:r>
      <w:r w:rsidRPr="00F5182A">
        <w:t xml:space="preserve">apoderar da sua economia, </w:t>
      </w:r>
      <w:r w:rsidR="008B5380">
        <w:t>através d</w:t>
      </w:r>
      <w:r w:rsidRPr="00F5182A">
        <w:t xml:space="preserve">a luta de classes </w:t>
      </w:r>
      <w:r w:rsidR="008B5380">
        <w:t xml:space="preserve">os judeus </w:t>
      </w:r>
      <w:r w:rsidRPr="00F5182A">
        <w:t>desagregava</w:t>
      </w:r>
      <w:r w:rsidR="008B5380">
        <w:t>m</w:t>
      </w:r>
      <w:r w:rsidRPr="00F5182A">
        <w:t xml:space="preserve"> internamente a solidariedade nacional. «[...] enquanto por um lado ele [o Judeu] organiza até às últimas consequências os métodos capitalistas de exploração humana, aborda as próprias vítimas do seu espírito e da sua actividade e depressa as chefia na luta que travam contra ele mesmo. [...] o Judeu faz uma barulheira permanente contra o capital internacional, mas na verdade ele refere-se à economia nacional, que tem de ser demolida para que a Bolsa internacional possa triunfar sobre o seu cadáver»</w:t>
      </w:r>
      <w:r w:rsidRPr="00F5182A">
        <w:rPr>
          <w:vertAlign w:val="superscript"/>
        </w:rPr>
        <w:footnoteReference w:id="35"/>
      </w:r>
      <w:r w:rsidRPr="00F5182A">
        <w:t xml:space="preserve">. Este esquema simplista permite decifrar </w:t>
      </w:r>
      <w:r w:rsidR="00F603DD">
        <w:t>um dos</w:t>
      </w:r>
      <w:r w:rsidRPr="00F5182A">
        <w:t xml:space="preserve"> maior</w:t>
      </w:r>
      <w:r w:rsidR="00F603DD">
        <w:t>es</w:t>
      </w:r>
      <w:r w:rsidRPr="00F5182A">
        <w:t xml:space="preserve"> paradoxos hitlerianos, que o judaísmo sustentasse tanto o grande capital financeiro internacional como o anticapitalismo marxista. Ambos poriam em causa, de um e outro lado, o vínculo pessoal, considerado característico do povo germânico, que teria ligado os trabalhadores aos seus patrões. </w:t>
      </w:r>
      <w:r w:rsidR="005161A2">
        <w:t>Em torno daquele paradoxo se estruturaram do princípio até ao fim as obsessões de Hitler, e ainda o repetiu em 24 de Fevereiro de 1945</w:t>
      </w:r>
      <w:r w:rsidR="005161A2">
        <w:rPr>
          <w:rStyle w:val="Refdenotaderodap"/>
        </w:rPr>
        <w:footnoteReference w:id="36"/>
      </w:r>
      <w:r w:rsidR="005161A2">
        <w:t xml:space="preserve">. </w:t>
      </w:r>
    </w:p>
    <w:p w:rsidR="00652CD1" w:rsidRDefault="00321E01" w:rsidP="00301048">
      <w:r w:rsidRPr="00F5182A">
        <w:t xml:space="preserve">A bem dizer, tanto o problema como a solução já haviam sido </w:t>
      </w:r>
      <w:r w:rsidR="00681A66">
        <w:t>enunciados</w:t>
      </w:r>
      <w:r w:rsidRPr="00F5182A">
        <w:t xml:space="preserve"> </w:t>
      </w:r>
      <w:r w:rsidR="00301048">
        <w:t xml:space="preserve">por Henry Ford, que </w:t>
      </w:r>
      <w:r w:rsidR="00301048" w:rsidRPr="003E305A">
        <w:t xml:space="preserve">exerceu uma influência efectiva sobre </w:t>
      </w:r>
      <w:r w:rsidR="007A31F2">
        <w:t xml:space="preserve">o racismo </w:t>
      </w:r>
      <w:r w:rsidR="00301048" w:rsidRPr="003E305A">
        <w:t>alemã</w:t>
      </w:r>
      <w:r w:rsidR="007A31F2">
        <w:t>o</w:t>
      </w:r>
      <w:r w:rsidR="00301048" w:rsidRPr="003E305A">
        <w:t xml:space="preserve"> mediante o semanário que financi</w:t>
      </w:r>
      <w:r w:rsidR="00301048">
        <w:t>ou</w:t>
      </w:r>
      <w:r w:rsidR="00301048" w:rsidRPr="003E305A">
        <w:t xml:space="preserve"> e dirigi</w:t>
      </w:r>
      <w:r w:rsidR="00301048">
        <w:t>u,</w:t>
      </w:r>
      <w:r w:rsidR="00301048" w:rsidRPr="003E305A">
        <w:t xml:space="preserve"> </w:t>
      </w:r>
      <w:r w:rsidR="00301048">
        <w:rPr>
          <w:i/>
        </w:rPr>
        <w:t xml:space="preserve">The </w:t>
      </w:r>
      <w:r w:rsidR="00301048" w:rsidRPr="00C242BB">
        <w:rPr>
          <w:i/>
        </w:rPr>
        <w:t>Dearborn Independent</w:t>
      </w:r>
      <w:r w:rsidR="00301048">
        <w:rPr>
          <w:i/>
        </w:rPr>
        <w:t>,</w:t>
      </w:r>
      <w:r w:rsidR="00301048" w:rsidRPr="00C242BB">
        <w:t xml:space="preserve"> </w:t>
      </w:r>
      <w:r w:rsidR="00301048">
        <w:t xml:space="preserve">e </w:t>
      </w:r>
      <w:r w:rsidR="00301048" w:rsidRPr="003E305A">
        <w:t xml:space="preserve">os textos antijudaicos que </w:t>
      </w:r>
      <w:r w:rsidR="00301048">
        <w:t>ali fez publicar sob a sua assinatura</w:t>
      </w:r>
      <w:r w:rsidR="00301048" w:rsidRPr="003E305A">
        <w:rPr>
          <w:rStyle w:val="Refdenotaderodap"/>
        </w:rPr>
        <w:footnoteReference w:id="37"/>
      </w:r>
      <w:r w:rsidR="00301048" w:rsidRPr="003E305A">
        <w:t xml:space="preserve">. </w:t>
      </w:r>
      <w:r w:rsidR="002776CF">
        <w:t xml:space="preserve">Sabe-se </w:t>
      </w:r>
      <w:r w:rsidR="00301048">
        <w:t>que</w:t>
      </w:r>
      <w:r w:rsidR="00023CDC">
        <w:t>,</w:t>
      </w:r>
      <w:r w:rsidR="00301048">
        <w:t xml:space="preserve"> mesmo sem os escrever, era Ford quem indicava as linhas principais de cada artigo e ditou até algumas passagens</w:t>
      </w:r>
      <w:r w:rsidR="00301048">
        <w:rPr>
          <w:rStyle w:val="Refdenotaderodap"/>
        </w:rPr>
        <w:footnoteReference w:id="38"/>
      </w:r>
      <w:r w:rsidR="00301048">
        <w:t xml:space="preserve">. Os textos foram depois reunidos num </w:t>
      </w:r>
      <w:r w:rsidR="00301048">
        <w:lastRenderedPageBreak/>
        <w:t xml:space="preserve">livro </w:t>
      </w:r>
      <w:r w:rsidR="00216867">
        <w:t>com</w:t>
      </w:r>
      <w:r w:rsidR="00301048">
        <w:t xml:space="preserve"> o título </w:t>
      </w:r>
      <w:r w:rsidR="00301048">
        <w:rPr>
          <w:i/>
        </w:rPr>
        <w:t>The International Jew,</w:t>
      </w:r>
      <w:r w:rsidR="00301048">
        <w:t xml:space="preserve"> que atingiu uma tiragem de meio milhão de exemplares</w:t>
      </w:r>
      <w:r w:rsidR="00301048">
        <w:rPr>
          <w:rStyle w:val="Refdenotaderodap"/>
        </w:rPr>
        <w:footnoteReference w:id="39"/>
      </w:r>
      <w:r w:rsidR="007A31F2">
        <w:t>,</w:t>
      </w:r>
      <w:r w:rsidR="00301048">
        <w:t xml:space="preserve"> </w:t>
      </w:r>
      <w:r w:rsidR="007A31F2">
        <w:t xml:space="preserve">e a </w:t>
      </w:r>
      <w:r w:rsidR="004B7545">
        <w:t xml:space="preserve">sua </w:t>
      </w:r>
      <w:r w:rsidR="00301048">
        <w:t xml:space="preserve">leitura deixa-me convencido de que inspirou algumas das </w:t>
      </w:r>
      <w:r w:rsidR="002776CF">
        <w:t>teses</w:t>
      </w:r>
      <w:r w:rsidR="00301048">
        <w:t xml:space="preserve"> expressas por Hitler em </w:t>
      </w:r>
      <w:r w:rsidR="00301048" w:rsidRPr="00B05BEB">
        <w:rPr>
          <w:i/>
        </w:rPr>
        <w:t>Mein Kampf</w:t>
      </w:r>
      <w:r w:rsidR="00301048" w:rsidRPr="00B05BEB">
        <w:t xml:space="preserve">. </w:t>
      </w:r>
      <w:r w:rsidR="004B7545">
        <w:t xml:space="preserve">Sem dúvida que </w:t>
      </w:r>
      <w:r w:rsidR="00A014E0">
        <w:t xml:space="preserve">este tipo de </w:t>
      </w:r>
      <w:r w:rsidR="002776CF">
        <w:t xml:space="preserve">ideias </w:t>
      </w:r>
      <w:r w:rsidR="00301048" w:rsidRPr="00B05BEB">
        <w:t xml:space="preserve">circulava nos meios anti-semitas, propiciando uma comunidade </w:t>
      </w:r>
      <w:r w:rsidR="00301048">
        <w:t>ideológica</w:t>
      </w:r>
      <w:r w:rsidR="00301048" w:rsidRPr="00B05BEB">
        <w:t xml:space="preserve">, e sobretudo os </w:t>
      </w:r>
      <w:r w:rsidR="00301048" w:rsidRPr="00B05BEB">
        <w:rPr>
          <w:i/>
        </w:rPr>
        <w:t>Protocolos</w:t>
      </w:r>
      <w:r w:rsidR="00301048" w:rsidRPr="00B05BEB">
        <w:t xml:space="preserve"> </w:t>
      </w:r>
      <w:r w:rsidR="00301048" w:rsidRPr="00B05BEB">
        <w:rPr>
          <w:i/>
        </w:rPr>
        <w:t>dos Sábios do Sion</w:t>
      </w:r>
      <w:r w:rsidR="00301048" w:rsidRPr="00B05BEB">
        <w:t xml:space="preserve"> constituíam o quadro comum </w:t>
      </w:r>
      <w:r w:rsidR="00A014E0">
        <w:t>de tais</w:t>
      </w:r>
      <w:r w:rsidR="00301048" w:rsidRPr="00B05BEB">
        <w:t xml:space="preserve"> delírios</w:t>
      </w:r>
      <w:r w:rsidR="00AC51FF">
        <w:t xml:space="preserve">, mas também é certo que a celebridade mundial </w:t>
      </w:r>
      <w:r w:rsidR="00DE1235">
        <w:t>dos</w:t>
      </w:r>
      <w:r w:rsidR="00AC51FF">
        <w:t xml:space="preserve"> </w:t>
      </w:r>
      <w:r w:rsidR="00AC51FF" w:rsidRPr="00AC51FF">
        <w:rPr>
          <w:i/>
        </w:rPr>
        <w:t>Protocolos</w:t>
      </w:r>
      <w:r w:rsidR="00AC51FF">
        <w:t xml:space="preserve"> se deve</w:t>
      </w:r>
      <w:r w:rsidR="00E715B9">
        <w:t>u</w:t>
      </w:r>
      <w:r w:rsidR="00AC51FF">
        <w:t xml:space="preserve"> em boa medida a </w:t>
      </w:r>
      <w:r w:rsidR="00AC51FF" w:rsidRPr="00E715B9">
        <w:rPr>
          <w:i/>
        </w:rPr>
        <w:t>The International Jew</w:t>
      </w:r>
      <w:r w:rsidR="00AC51FF">
        <w:rPr>
          <w:rStyle w:val="Refdenotaderodap"/>
        </w:rPr>
        <w:footnoteReference w:id="40"/>
      </w:r>
      <w:r w:rsidR="00AC51FF">
        <w:t xml:space="preserve">. </w:t>
      </w:r>
      <w:r w:rsidR="00E715B9">
        <w:t>Tudo somado, as</w:t>
      </w:r>
      <w:r w:rsidR="00E715B9" w:rsidRPr="00B05BEB">
        <w:t xml:space="preserve"> </w:t>
      </w:r>
      <w:r w:rsidR="00301048" w:rsidRPr="00B05BEB">
        <w:t>coincidências parecem-me demasiado flagrantes para não se admitir uma influência específica e directa dos artigos assinados</w:t>
      </w:r>
      <w:r w:rsidR="00301048">
        <w:t xml:space="preserve"> por Ford</w:t>
      </w:r>
      <w:r w:rsidR="002776CF">
        <w:t xml:space="preserve">, </w:t>
      </w:r>
      <w:r w:rsidR="00AC51FF">
        <w:t xml:space="preserve">já </w:t>
      </w:r>
      <w:r w:rsidR="002776CF">
        <w:t xml:space="preserve">que </w:t>
      </w:r>
      <w:r w:rsidR="00301048" w:rsidRPr="004E1E23">
        <w:rPr>
          <w:i/>
        </w:rPr>
        <w:t xml:space="preserve">The International Jew </w:t>
      </w:r>
      <w:r w:rsidR="00301048" w:rsidRPr="003E305A">
        <w:t>fo</w:t>
      </w:r>
      <w:r w:rsidR="00AC51FF">
        <w:t>ra</w:t>
      </w:r>
      <w:r w:rsidR="00301048" w:rsidRPr="003E305A">
        <w:t xml:space="preserve"> </w:t>
      </w:r>
      <w:r w:rsidR="00FE7561">
        <w:t>traduzido</w:t>
      </w:r>
      <w:r w:rsidR="00301048" w:rsidRPr="003E305A">
        <w:t xml:space="preserve"> na Alemanha, onde Theodor Fritsch lhe assegurou grande difusão</w:t>
      </w:r>
      <w:r w:rsidR="00301048">
        <w:t xml:space="preserve">, contando </w:t>
      </w:r>
      <w:r w:rsidR="00301048" w:rsidRPr="002A7711">
        <w:t>seis reedições entre 1920 e 1922</w:t>
      </w:r>
      <w:r w:rsidR="00301048" w:rsidRPr="003E305A">
        <w:rPr>
          <w:rStyle w:val="Refdenotaderodap"/>
        </w:rPr>
        <w:footnoteReference w:id="41"/>
      </w:r>
      <w:r w:rsidR="00301048">
        <w:t>.</w:t>
      </w:r>
      <w:r w:rsidR="00301048" w:rsidRPr="003E305A">
        <w:t xml:space="preserve"> </w:t>
      </w:r>
      <w:r w:rsidR="00760715">
        <w:t>E se</w:t>
      </w:r>
      <w:r w:rsidR="00760715" w:rsidRPr="003E305A">
        <w:t xml:space="preserve"> não é inteiramente seguro que Ford tivesse subsidia</w:t>
      </w:r>
      <w:r w:rsidR="00760715">
        <w:t>do</w:t>
      </w:r>
      <w:r w:rsidR="00760715" w:rsidRPr="003E305A">
        <w:t xml:space="preserve"> o NSDAP</w:t>
      </w:r>
      <w:r w:rsidR="00760715" w:rsidRPr="003E305A">
        <w:rPr>
          <w:rStyle w:val="Refdenotaderodap"/>
        </w:rPr>
        <w:footnoteReference w:id="42"/>
      </w:r>
      <w:r w:rsidR="00760715" w:rsidRPr="003E305A">
        <w:t xml:space="preserve">, </w:t>
      </w:r>
      <w:r w:rsidR="00760715">
        <w:t xml:space="preserve">conhece-se </w:t>
      </w:r>
      <w:r w:rsidR="00760715" w:rsidRPr="003E305A">
        <w:t xml:space="preserve">pelo menos o elogio </w:t>
      </w:r>
      <w:r w:rsidR="00760715">
        <w:t xml:space="preserve">feito </w:t>
      </w:r>
      <w:r w:rsidR="00760715" w:rsidRPr="003E305A">
        <w:t xml:space="preserve">ao «grande homem» na primeira edição de </w:t>
      </w:r>
      <w:r w:rsidR="00760715" w:rsidRPr="003E305A">
        <w:rPr>
          <w:i/>
        </w:rPr>
        <w:t>Mein Kampf</w:t>
      </w:r>
      <w:r w:rsidR="00760715" w:rsidRPr="003E305A">
        <w:rPr>
          <w:rStyle w:val="Refdenotaderodap"/>
        </w:rPr>
        <w:footnoteReference w:id="43"/>
      </w:r>
      <w:r w:rsidR="00760715" w:rsidRPr="003E305A">
        <w:t xml:space="preserve"> e </w:t>
      </w:r>
      <w:r w:rsidR="00760715">
        <w:t>durante vários anos Hitler ornamentou com uma fotografia de Ford a sua mesa de trabalho</w:t>
      </w:r>
      <w:r w:rsidR="00760715">
        <w:rPr>
          <w:rStyle w:val="Refdenotaderodap"/>
        </w:rPr>
        <w:footnoteReference w:id="44"/>
      </w:r>
      <w:r w:rsidR="00760715">
        <w:t xml:space="preserve">. </w:t>
      </w:r>
    </w:p>
    <w:p w:rsidR="00301048" w:rsidRPr="003E305A" w:rsidRDefault="00760715" w:rsidP="00301048">
      <w:r>
        <w:t xml:space="preserve">Porém, </w:t>
      </w:r>
      <w:r w:rsidRPr="005164CE">
        <w:t xml:space="preserve">a </w:t>
      </w:r>
      <w:r w:rsidR="00301048" w:rsidRPr="005164CE">
        <w:t xml:space="preserve">campanha anti-semita </w:t>
      </w:r>
      <w:r w:rsidR="00301048">
        <w:t>inicia</w:t>
      </w:r>
      <w:r w:rsidR="008821E4">
        <w:t>da</w:t>
      </w:r>
      <w:r w:rsidR="00301048">
        <w:t xml:space="preserve"> em</w:t>
      </w:r>
      <w:r w:rsidR="00301048" w:rsidRPr="005164CE">
        <w:t xml:space="preserve"> </w:t>
      </w:r>
      <w:r w:rsidR="00301048">
        <w:rPr>
          <w:i/>
        </w:rPr>
        <w:t xml:space="preserve">The </w:t>
      </w:r>
      <w:r w:rsidR="00301048" w:rsidRPr="005164CE">
        <w:rPr>
          <w:i/>
        </w:rPr>
        <w:t>Dearborn Independent</w:t>
      </w:r>
      <w:r w:rsidR="00301048" w:rsidRPr="005164CE">
        <w:t xml:space="preserve"> em Maio de 1920</w:t>
      </w:r>
      <w:r w:rsidR="008821E4">
        <w:t xml:space="preserve"> e</w:t>
      </w:r>
      <w:r w:rsidR="00301048" w:rsidRPr="005164CE">
        <w:t xml:space="preserve"> prosseguid</w:t>
      </w:r>
      <w:r w:rsidR="008821E4">
        <w:t>a</w:t>
      </w:r>
      <w:r w:rsidR="00301048" w:rsidRPr="005164CE">
        <w:t xml:space="preserve"> ao longo de noventa números</w:t>
      </w:r>
      <w:r w:rsidR="008821E4">
        <w:t xml:space="preserve"> cessou </w:t>
      </w:r>
      <w:r w:rsidR="008821E4" w:rsidRPr="005164CE">
        <w:t>abruptamente</w:t>
      </w:r>
      <w:r w:rsidR="008821E4">
        <w:t xml:space="preserve"> </w:t>
      </w:r>
      <w:r w:rsidR="00301048" w:rsidRPr="005164CE">
        <w:t>no começo de 1922</w:t>
      </w:r>
      <w:r w:rsidR="008821E4">
        <w:t>,</w:t>
      </w:r>
      <w:r w:rsidR="00301048" w:rsidRPr="005164CE">
        <w:t xml:space="preserve"> sem </w:t>
      </w:r>
      <w:r w:rsidR="008821E4">
        <w:t xml:space="preserve">que Ford </w:t>
      </w:r>
      <w:r w:rsidR="00301048" w:rsidRPr="005164CE">
        <w:t>explica</w:t>
      </w:r>
      <w:r w:rsidR="008821E4">
        <w:t>sse</w:t>
      </w:r>
      <w:r w:rsidR="00301048" w:rsidRPr="005164CE">
        <w:t xml:space="preserve"> os motivos </w:t>
      </w:r>
      <w:r w:rsidR="00301048">
        <w:t>da</w:t>
      </w:r>
      <w:r w:rsidR="00301048" w:rsidRPr="005164CE">
        <w:t xml:space="preserve"> decisão. </w:t>
      </w:r>
      <w:r w:rsidR="004E3B7D">
        <w:t xml:space="preserve">Apesar disso, apareceram de </w:t>
      </w:r>
      <w:r w:rsidR="004E3B7D" w:rsidRPr="005164CE">
        <w:t>maneira esporádica</w:t>
      </w:r>
      <w:r w:rsidR="004E3B7D">
        <w:t xml:space="preserve"> </w:t>
      </w:r>
      <w:r w:rsidR="00301048" w:rsidRPr="005164CE">
        <w:t xml:space="preserve">artigos contra os judeus </w:t>
      </w:r>
      <w:r w:rsidR="00104EF4">
        <w:t xml:space="preserve">e </w:t>
      </w:r>
      <w:r w:rsidR="00301048" w:rsidRPr="005164CE">
        <w:t>em 1925 um judeu que havia sido difamado moveu um processo em tribunal</w:t>
      </w:r>
      <w:r w:rsidR="00301048">
        <w:t>.</w:t>
      </w:r>
      <w:r w:rsidR="00301048" w:rsidRPr="005164CE">
        <w:t xml:space="preserve"> A pendência foi resolvida por acordo e em Julho de 1927 </w:t>
      </w:r>
      <w:r w:rsidR="002776CF">
        <w:t xml:space="preserve">Ford </w:t>
      </w:r>
      <w:r w:rsidR="00301048" w:rsidRPr="005164CE">
        <w:t>publicou um texto onde</w:t>
      </w:r>
      <w:r w:rsidR="00301048">
        <w:t>,</w:t>
      </w:r>
      <w:r w:rsidR="00301048" w:rsidRPr="005164CE">
        <w:t xml:space="preserve"> </w:t>
      </w:r>
      <w:r w:rsidR="00301048">
        <w:t xml:space="preserve">além de </w:t>
      </w:r>
      <w:r w:rsidR="004B7545">
        <w:t xml:space="preserve">um </w:t>
      </w:r>
      <w:r w:rsidR="00301048" w:rsidRPr="005164CE">
        <w:t>pedi</w:t>
      </w:r>
      <w:r w:rsidR="004B7545">
        <w:t>do</w:t>
      </w:r>
      <w:r w:rsidR="00301048" w:rsidRPr="005164CE">
        <w:t xml:space="preserve"> </w:t>
      </w:r>
      <w:r w:rsidR="004B7545">
        <w:t xml:space="preserve">de </w:t>
      </w:r>
      <w:r w:rsidR="00301048" w:rsidRPr="005164CE">
        <w:t>desculpa</w:t>
      </w:r>
      <w:r w:rsidR="004B7545">
        <w:t>s</w:t>
      </w:r>
      <w:r w:rsidR="00301048">
        <w:t>,</w:t>
      </w:r>
      <w:r w:rsidR="00301048" w:rsidRPr="005164CE">
        <w:t xml:space="preserve"> retractou os insultos proferidos contra o povo judaico</w:t>
      </w:r>
      <w:r w:rsidR="00301048">
        <w:t xml:space="preserve"> e</w:t>
      </w:r>
      <w:r w:rsidR="00301048" w:rsidRPr="005164CE">
        <w:t xml:space="preserve"> pretende</w:t>
      </w:r>
      <w:r w:rsidR="00301048">
        <w:t>u</w:t>
      </w:r>
      <w:r w:rsidR="00301048" w:rsidRPr="005164CE">
        <w:t xml:space="preserve"> que não conhecia </w:t>
      </w:r>
      <w:r w:rsidR="00301048">
        <w:t xml:space="preserve">o teor dos artigos, </w:t>
      </w:r>
      <w:r w:rsidR="00301048" w:rsidRPr="005164CE">
        <w:t>atribui</w:t>
      </w:r>
      <w:r w:rsidR="00301048">
        <w:t>ndo</w:t>
      </w:r>
      <w:r w:rsidR="00301048" w:rsidRPr="005164CE">
        <w:t xml:space="preserve"> a sua responsabilidade aos jornalistas</w:t>
      </w:r>
      <w:r w:rsidR="00301048">
        <w:rPr>
          <w:rStyle w:val="Refdenotaderodap"/>
        </w:rPr>
        <w:footnoteReference w:id="45"/>
      </w:r>
      <w:r w:rsidR="00301048" w:rsidRPr="005164CE">
        <w:t xml:space="preserve">. </w:t>
      </w:r>
      <w:r w:rsidR="00301048">
        <w:t xml:space="preserve">Isto não impediu que </w:t>
      </w:r>
      <w:r w:rsidR="00301048" w:rsidRPr="00AD76C8">
        <w:t>a propaganda nacional-socialista</w:t>
      </w:r>
      <w:r w:rsidR="00301048">
        <w:t>,</w:t>
      </w:r>
      <w:r w:rsidR="00301048" w:rsidRPr="00AD76C8">
        <w:t xml:space="preserve"> </w:t>
      </w:r>
      <w:r w:rsidR="00301048">
        <w:t xml:space="preserve">que </w:t>
      </w:r>
      <w:r w:rsidR="00301048" w:rsidRPr="00AD76C8">
        <w:t>difundi</w:t>
      </w:r>
      <w:r w:rsidR="00301048">
        <w:t>a</w:t>
      </w:r>
      <w:r w:rsidR="00301048" w:rsidRPr="00AD76C8">
        <w:t xml:space="preserve"> </w:t>
      </w:r>
      <w:r w:rsidR="00301048">
        <w:t xml:space="preserve">desde há </w:t>
      </w:r>
      <w:r w:rsidR="00301048">
        <w:lastRenderedPageBreak/>
        <w:t xml:space="preserve">vários anos </w:t>
      </w:r>
      <w:r w:rsidR="00301048" w:rsidRPr="00AD76C8">
        <w:t>uma versão abreviada</w:t>
      </w:r>
      <w:r w:rsidR="00301048">
        <w:t xml:space="preserve"> da obra,</w:t>
      </w:r>
      <w:r w:rsidR="00301048" w:rsidRPr="00AD76C8">
        <w:t xml:space="preserve"> </w:t>
      </w:r>
      <w:r w:rsidR="00301048">
        <w:t>continuasse a fazê-lo</w:t>
      </w:r>
      <w:r w:rsidR="00301048">
        <w:rPr>
          <w:rStyle w:val="Refdenotaderodap"/>
        </w:rPr>
        <w:footnoteReference w:id="46"/>
      </w:r>
      <w:r w:rsidR="00301048">
        <w:t xml:space="preserve">, embora pareça que foi este o motivo que levou Hitler a retirar a menção a Ford da segunda edição de </w:t>
      </w:r>
      <w:r w:rsidR="00301048" w:rsidRPr="004B1FAF">
        <w:rPr>
          <w:i/>
        </w:rPr>
        <w:t>Mein Kampf</w:t>
      </w:r>
      <w:r w:rsidR="00301048">
        <w:rPr>
          <w:rStyle w:val="Refdenotaderodap"/>
        </w:rPr>
        <w:footnoteReference w:id="47"/>
      </w:r>
      <w:r w:rsidR="00E715B9">
        <w:t>,</w:t>
      </w:r>
      <w:r w:rsidR="00301048">
        <w:t xml:space="preserve"> </w:t>
      </w:r>
      <w:r w:rsidR="00E715B9">
        <w:t xml:space="preserve">e </w:t>
      </w:r>
      <w:r w:rsidR="00301048">
        <w:t xml:space="preserve">a editora de </w:t>
      </w:r>
      <w:r w:rsidR="00301048" w:rsidRPr="00BE2340">
        <w:t xml:space="preserve">Theodor Fritsch </w:t>
      </w:r>
      <w:r w:rsidR="00301048">
        <w:t xml:space="preserve">continuou </w:t>
      </w:r>
      <w:r w:rsidR="008821E4">
        <w:t xml:space="preserve">até ao começo da guerra </w:t>
      </w:r>
      <w:r w:rsidR="00301048">
        <w:t xml:space="preserve">a publicar novas </w:t>
      </w:r>
      <w:r w:rsidR="00216867">
        <w:t>tiragens</w:t>
      </w:r>
      <w:r w:rsidR="00301048">
        <w:t xml:space="preserve"> de </w:t>
      </w:r>
      <w:r w:rsidR="00301048" w:rsidRPr="00692181">
        <w:rPr>
          <w:i/>
        </w:rPr>
        <w:t>The International Jew</w:t>
      </w:r>
      <w:r w:rsidR="00301048">
        <w:rPr>
          <w:rStyle w:val="Refdenotaderodap"/>
        </w:rPr>
        <w:footnoteReference w:id="48"/>
      </w:r>
      <w:r w:rsidR="00301048">
        <w:t xml:space="preserve">. </w:t>
      </w:r>
      <w:r>
        <w:t xml:space="preserve">Aliás, </w:t>
      </w:r>
      <w:r w:rsidR="00301048" w:rsidRPr="003E305A">
        <w:t xml:space="preserve">o </w:t>
      </w:r>
      <w:r w:rsidR="00301048">
        <w:t xml:space="preserve">Terceiro </w:t>
      </w:r>
      <w:r w:rsidR="00301048" w:rsidRPr="003E305A">
        <w:t xml:space="preserve">Reich </w:t>
      </w:r>
      <w:r w:rsidR="008821E4">
        <w:t>concedeu a</w:t>
      </w:r>
      <w:r w:rsidR="00301048">
        <w:t xml:space="preserve"> Ford </w:t>
      </w:r>
      <w:r w:rsidR="00301048" w:rsidRPr="003E305A">
        <w:t xml:space="preserve">a sua </w:t>
      </w:r>
      <w:r w:rsidR="00301048">
        <w:t xml:space="preserve">principal </w:t>
      </w:r>
      <w:r w:rsidR="00301048" w:rsidRPr="003E305A">
        <w:t>condecoração</w:t>
      </w:r>
      <w:r w:rsidR="00301048" w:rsidRPr="003E305A">
        <w:rPr>
          <w:rStyle w:val="Refdenotaderodap"/>
        </w:rPr>
        <w:footnoteReference w:id="49"/>
      </w:r>
      <w:r w:rsidR="00301048" w:rsidRPr="003E305A">
        <w:t xml:space="preserve">. </w:t>
      </w:r>
    </w:p>
    <w:p w:rsidR="00321E01" w:rsidRPr="00F5182A" w:rsidRDefault="00216867" w:rsidP="00321E01">
      <w:r>
        <w:t xml:space="preserve">As </w:t>
      </w:r>
      <w:r w:rsidR="00EB1B6B">
        <w:t xml:space="preserve">posições adoptadas por Ford relativamente aos judeus </w:t>
      </w:r>
      <w:r w:rsidR="00B879A5">
        <w:t xml:space="preserve">ajudam a </w:t>
      </w:r>
      <w:r w:rsidR="00EB1B6B">
        <w:t>enten</w:t>
      </w:r>
      <w:r w:rsidR="00991D28">
        <w:t>d</w:t>
      </w:r>
      <w:r w:rsidR="00EB1B6B">
        <w:t xml:space="preserve">er o anti-semitismo </w:t>
      </w:r>
      <w:r w:rsidR="00E404F6">
        <w:t>de Hitler</w:t>
      </w:r>
      <w:r w:rsidR="00EB1B6B">
        <w:t xml:space="preserve">. </w:t>
      </w:r>
      <w:r w:rsidR="00321E01" w:rsidRPr="00F5182A">
        <w:t>«O judeu rico não é anarquista porque pode chegar ao seu objectivo através de caminhos mais suaves, enquanto o judeu pobre só dispõe dos meios violentos para enriquecer», pretendera Ford. «Apesar disto, o judeu rico e o pobre fazem uma boa parte do percurso um ao lado do outro. O vínculo da simpatia racial não se rompe, porque se a anarquia triunfar o judeu pobre ocupará o seu lugar ao lado do irmão rico, e se o movimento fracassar terá aberto novos caminhos por onde o judeu rico possa prosseguir os seus planos. [...] Isto explica o motivo por que os judeus fomentam em todos os países do mundo os movimentos de rebeldia latentes»</w:t>
      </w:r>
      <w:r w:rsidR="00321E01" w:rsidRPr="00F5182A">
        <w:rPr>
          <w:vertAlign w:val="superscript"/>
        </w:rPr>
        <w:footnoteReference w:id="50"/>
      </w:r>
      <w:r w:rsidR="00321E01" w:rsidRPr="00F5182A">
        <w:t xml:space="preserve">. Daqui Ford retirara uma lição, considerando que o operário estava errado ao julgar que o seu patrão era capitalista, porque ele era na verdade um empresário; o verdadeiro capitalista era o financeiro, que tratava o empresário «muito mais duramente do que ele próprio se atreveria a tratar os seus operários». E o </w:t>
      </w:r>
      <w:r w:rsidR="00E715B9">
        <w:t xml:space="preserve">magnate da indústria </w:t>
      </w:r>
      <w:r w:rsidR="00321E01" w:rsidRPr="00F5182A">
        <w:t>classificara como «uma das grandes tragédias da nossa época» que patrões e trabalhadores se digladiassem em vez de se unirem para combater o inimigo comum, o financeiro, inevitavelmente assimilado ao Judeu</w:t>
      </w:r>
      <w:r w:rsidR="00321E01" w:rsidRPr="00F5182A">
        <w:rPr>
          <w:vertAlign w:val="superscript"/>
        </w:rPr>
        <w:footnoteReference w:id="51"/>
      </w:r>
      <w:r w:rsidR="00321E01" w:rsidRPr="00F5182A">
        <w:t>. «[...] o único verdadeiro capitalista é o Judeu ou, a bem dizer, o Judeu internacional», afirmara Ford</w:t>
      </w:r>
      <w:r w:rsidR="00321E01" w:rsidRPr="00F5182A">
        <w:rPr>
          <w:vertAlign w:val="superscript"/>
        </w:rPr>
        <w:footnoteReference w:id="52"/>
      </w:r>
      <w:r w:rsidR="00321E01" w:rsidRPr="00F5182A">
        <w:t xml:space="preserve">, postulando a necessidade de unir a nação perante o inimigo exterior. </w:t>
      </w:r>
    </w:p>
    <w:p w:rsidR="006E4DD4" w:rsidRDefault="00321E01" w:rsidP="00321E01">
      <w:r w:rsidRPr="00F5182A">
        <w:t>Hitler usou uma perspectiva idêntica. Tal como a expansão do capital por acções a partir das bolsas estrangeiras ameaçava judaizar a economia alemã, também a divisão de classes correspondia a uma «judaização interna do povo»</w:t>
      </w:r>
      <w:r w:rsidRPr="00F5182A">
        <w:rPr>
          <w:vertAlign w:val="superscript"/>
        </w:rPr>
        <w:footnoteReference w:id="53"/>
      </w:r>
      <w:r w:rsidRPr="00F5182A">
        <w:t xml:space="preserve">. Nestes termos não existiam problemas sociais nem sequer dificuldades económicas significativas, pois tudo ficava remetido para os confrontos entre raças. «[...] o problema marxista tornou-se um problema racial», declarou Hitler em Fevereiro de 1924 perante o tribunal que o julgou pela sua actuação na intentona da </w:t>
      </w:r>
      <w:r w:rsidRPr="00F5182A">
        <w:lastRenderedPageBreak/>
        <w:t>cervejaria</w:t>
      </w:r>
      <w:r w:rsidRPr="00F5182A">
        <w:rPr>
          <w:vertAlign w:val="superscript"/>
        </w:rPr>
        <w:footnoteReference w:id="54"/>
      </w:r>
      <w:r w:rsidRPr="00F5182A">
        <w:t xml:space="preserve">. Já quatro anos antes Ford fizera escrever em </w:t>
      </w:r>
      <w:r w:rsidRPr="00F5182A">
        <w:rPr>
          <w:i/>
        </w:rPr>
        <w:t>The International Jew</w:t>
      </w:r>
      <w:r w:rsidRPr="00F5182A">
        <w:t xml:space="preserve"> que «cada vez mais toda a humanidade vai adquirindo a convicção de que a questão operária, a dos salários, a reforma agrária e muitas outras não poderão ser resolvidas enquanto não for resolvida a questão primordial, que é esse poderio financeiro internacional», ou seja, o suposto poderio dos judeus</w:t>
      </w:r>
      <w:r w:rsidRPr="00F5182A">
        <w:rPr>
          <w:vertAlign w:val="superscript"/>
        </w:rPr>
        <w:footnoteReference w:id="55"/>
      </w:r>
      <w:r w:rsidRPr="00F5182A">
        <w:t xml:space="preserve">. Para o futuro Führer residia aqui a única acepção socialista do seu nacionalismo. Quando o Terceiro Reich estivesse implantado, e uma vez resolvida a questão rácica, a aplicação do </w:t>
      </w:r>
      <w:r w:rsidRPr="00F5182A">
        <w:rPr>
          <w:i/>
        </w:rPr>
        <w:t>Führerprinzip</w:t>
      </w:r>
      <w:r w:rsidRPr="00F5182A">
        <w:t xml:space="preserve"> às empresas </w:t>
      </w:r>
      <w:r w:rsidR="00C51359">
        <w:t xml:space="preserve">haveria de </w:t>
      </w:r>
      <w:r w:rsidRPr="00F5182A">
        <w:t>restabelecer</w:t>
      </w:r>
      <w:r w:rsidR="00C51DCB">
        <w:t xml:space="preserve"> </w:t>
      </w:r>
      <w:r w:rsidRPr="00F5182A">
        <w:t>a unidade entre patrões e operários</w:t>
      </w:r>
      <w:r w:rsidRPr="00F5182A">
        <w:rPr>
          <w:vertAlign w:val="superscript"/>
        </w:rPr>
        <w:footnoteReference w:id="56"/>
      </w:r>
      <w:r w:rsidRPr="00F5182A">
        <w:t xml:space="preserve">. </w:t>
      </w:r>
    </w:p>
    <w:p w:rsidR="00321E01" w:rsidRPr="003612E2" w:rsidRDefault="00321E01" w:rsidP="00321E01">
      <w:r w:rsidRPr="00F5182A">
        <w:t xml:space="preserve">Mas </w:t>
      </w:r>
      <w:r w:rsidR="006E4DD4">
        <w:t xml:space="preserve">os hitlerianos </w:t>
      </w:r>
      <w:r>
        <w:t>situ</w:t>
      </w:r>
      <w:r w:rsidR="006E4DD4">
        <w:t>aram</w:t>
      </w:r>
      <w:r>
        <w:t xml:space="preserve"> n</w:t>
      </w:r>
      <w:r w:rsidRPr="00F5182A">
        <w:t xml:space="preserve">um plano metafísico aquelas obsessões que para o maior empresário norte-americano eram simplesmente económicas e políticas. «Só a perda da pureza do sangue é que destrói para sempre a felicidade interior, mergulha o homem definitivamente no abismo, e as consequências não podem mais ser eliminadas do corpo nem do espírito», afirmou </w:t>
      </w:r>
      <w:r w:rsidR="00AB2A35">
        <w:t>Hitler</w:t>
      </w:r>
      <w:r w:rsidRPr="00F5182A">
        <w:t xml:space="preserve"> na obra que ditou na prisão. «Se analisarmos à luz desta questão todos os outros problemas da vida e os compararmos com ela, veremos como perante este padrão são ridiculamente triviais»</w:t>
      </w:r>
      <w:r w:rsidRPr="00F5182A">
        <w:rPr>
          <w:vertAlign w:val="superscript"/>
        </w:rPr>
        <w:footnoteReference w:id="57"/>
      </w:r>
      <w:r w:rsidRPr="00F5182A">
        <w:t>. Sem nos colocarmos nesta dimensão metafísica não entender</w:t>
      </w:r>
      <w:r w:rsidR="00BE4D9D">
        <w:t>emos</w:t>
      </w:r>
      <w:r w:rsidRPr="00F5182A">
        <w:t xml:space="preserve"> o racismo </w:t>
      </w:r>
      <w:r w:rsidR="00EC183F">
        <w:t>hitleriano</w:t>
      </w:r>
      <w:r w:rsidRPr="00F5182A">
        <w:t xml:space="preserve">. </w:t>
      </w:r>
      <w:r w:rsidR="00D93DE5">
        <w:t>O sangue não era pessoal mas colectivo, e não tinha apenas um carácter biológico mas atingia uma dimensão espiritual</w:t>
      </w:r>
      <w:r w:rsidR="00505BCE">
        <w:rPr>
          <w:rStyle w:val="Refdenotaderodap"/>
        </w:rPr>
        <w:footnoteReference w:id="58"/>
      </w:r>
      <w:r w:rsidR="00D93DE5">
        <w:t xml:space="preserve">. </w:t>
      </w:r>
      <w:r w:rsidR="004176C1" w:rsidRPr="004176C1">
        <w:t>«O sangue foi reduzido a uma mera fórmula química e e</w:t>
      </w:r>
      <w:r w:rsidR="004176C1">
        <w:t>xplicado des</w:t>
      </w:r>
      <w:r w:rsidR="00DA0B11">
        <w:t>t</w:t>
      </w:r>
      <w:r w:rsidR="004176C1">
        <w:t>a maneira», lastimou-se Alfred Rosenberg</w:t>
      </w:r>
      <w:r w:rsidR="00DD2827">
        <w:t xml:space="preserve">, </w:t>
      </w:r>
      <w:r w:rsidR="00DD2827" w:rsidRPr="00DD2827">
        <w:t>o principal ideólogo do nacional-socialismo</w:t>
      </w:r>
      <w:r w:rsidR="004176C1">
        <w:t xml:space="preserve">. </w:t>
      </w:r>
      <w:r w:rsidR="004176C1" w:rsidRPr="00387F99">
        <w:t>«</w:t>
      </w:r>
      <w:r w:rsidR="00387F99" w:rsidRPr="00387F99">
        <w:t xml:space="preserve">Mas hoje toda uma geração começa a ter </w:t>
      </w:r>
      <w:r w:rsidR="00562147">
        <w:t>o</w:t>
      </w:r>
      <w:r w:rsidR="00387F99" w:rsidRPr="00387F99">
        <w:t xml:space="preserve"> pressentimento de que </w:t>
      </w:r>
      <w:r w:rsidR="00B712A2">
        <w:t xml:space="preserve">os </w:t>
      </w:r>
      <w:r w:rsidR="000E21AF">
        <w:t xml:space="preserve">verdadeiros </w:t>
      </w:r>
      <w:r w:rsidR="00B712A2">
        <w:t xml:space="preserve">valores só são criados e preservados </w:t>
      </w:r>
      <w:r w:rsidR="000E21AF">
        <w:t>onde</w:t>
      </w:r>
      <w:r w:rsidR="00B712A2">
        <w:t xml:space="preserve"> a lei do sangue continua a determinar as ideias e as acções dos homens, tanto conscientemente como inconscientemente»</w:t>
      </w:r>
      <w:r w:rsidR="00416283">
        <w:rPr>
          <w:rStyle w:val="Refdenotaderodap"/>
        </w:rPr>
        <w:footnoteReference w:id="59"/>
      </w:r>
      <w:r w:rsidR="00B712A2">
        <w:t xml:space="preserve">. </w:t>
      </w:r>
      <w:r w:rsidR="00DD2827" w:rsidRPr="00C20972">
        <w:t xml:space="preserve">Por isso ele </w:t>
      </w:r>
      <w:r w:rsidR="00416283" w:rsidRPr="00C20972">
        <w:t xml:space="preserve">pretendeu </w:t>
      </w:r>
      <w:r w:rsidR="00DD2827" w:rsidRPr="00C20972">
        <w:t xml:space="preserve">que «a luta do sangue e a consciência intuitiva da mística da vida são </w:t>
      </w:r>
      <w:r w:rsidR="008A2DB4">
        <w:t>só</w:t>
      </w:r>
      <w:r w:rsidR="00DD2827" w:rsidRPr="00C20972">
        <w:t xml:space="preserve"> dois aspectos da mesma coisa»</w:t>
      </w:r>
      <w:r w:rsidR="00416283">
        <w:rPr>
          <w:rStyle w:val="Refdenotaderodap"/>
          <w:lang w:val="en-US"/>
        </w:rPr>
        <w:footnoteReference w:id="60"/>
      </w:r>
      <w:r w:rsidR="00DD2827" w:rsidRPr="00C20972">
        <w:t xml:space="preserve">. </w:t>
      </w:r>
      <w:r w:rsidR="00AC48B7" w:rsidRPr="00C20972">
        <w:t xml:space="preserve">E assim o sangue </w:t>
      </w:r>
      <w:r w:rsidR="00C51DCB">
        <w:t xml:space="preserve">adquiriu </w:t>
      </w:r>
      <w:r w:rsidR="00AC48B7" w:rsidRPr="00C20972">
        <w:t xml:space="preserve">uma </w:t>
      </w:r>
      <w:r w:rsidR="00665CBB" w:rsidRPr="00C20972">
        <w:t>dimensão religiosa</w:t>
      </w:r>
      <w:r w:rsidR="00AC48B7" w:rsidRPr="00C20972">
        <w:t>.</w:t>
      </w:r>
      <w:r w:rsidR="00F356C8" w:rsidRPr="00C20972">
        <w:t xml:space="preserve"> </w:t>
      </w:r>
      <w:r w:rsidR="00AC48B7" w:rsidRPr="00AC48B7">
        <w:t>«[…] o sangue n</w:t>
      </w:r>
      <w:r w:rsidR="00AC48B7">
        <w:t xml:space="preserve">órdico representa </w:t>
      </w:r>
      <w:r w:rsidR="008D1A9E">
        <w:t>esse</w:t>
      </w:r>
      <w:r w:rsidR="00AC48B7">
        <w:t xml:space="preserve"> </w:t>
      </w:r>
      <w:r w:rsidR="00AC48B7" w:rsidRPr="00AC48B7">
        <w:rPr>
          <w:i/>
        </w:rPr>
        <w:t>mysterivm</w:t>
      </w:r>
      <w:r w:rsidR="00AC48B7" w:rsidRPr="00AC48B7">
        <w:t xml:space="preserve"> </w:t>
      </w:r>
      <w:r w:rsidR="00AC48B7">
        <w:t xml:space="preserve">que </w:t>
      </w:r>
      <w:r w:rsidR="009276CB">
        <w:t>superou e substituiu os vel</w:t>
      </w:r>
      <w:r w:rsidR="00416283">
        <w:t>h</w:t>
      </w:r>
      <w:r w:rsidR="009276CB">
        <w:t>os sacramentos»</w:t>
      </w:r>
      <w:r w:rsidR="00D12E6B">
        <w:rPr>
          <w:rStyle w:val="Refdenotaderodap"/>
        </w:rPr>
        <w:footnoteReference w:id="61"/>
      </w:r>
      <w:r w:rsidR="009276CB">
        <w:t xml:space="preserve">. </w:t>
      </w:r>
      <w:r w:rsidR="006E09F2">
        <w:t xml:space="preserve">Nestes </w:t>
      </w:r>
      <w:r w:rsidR="006E09F2">
        <w:lastRenderedPageBreak/>
        <w:t xml:space="preserve">termos, </w:t>
      </w:r>
      <w:r w:rsidR="00F356C8" w:rsidRPr="00AC48B7">
        <w:t>não surpreende qu</w:t>
      </w:r>
      <w:r w:rsidR="00F356C8" w:rsidRPr="004176C1">
        <w:t xml:space="preserve">e </w:t>
      </w:r>
      <w:r w:rsidR="00F356C8" w:rsidRPr="004176C1">
        <w:rPr>
          <w:i/>
        </w:rPr>
        <w:t>O Mito do Século XX</w:t>
      </w:r>
      <w:r w:rsidR="00A40892" w:rsidRPr="004176C1">
        <w:rPr>
          <w:i/>
        </w:rPr>
        <w:t>,</w:t>
      </w:r>
      <w:r w:rsidR="00F356C8" w:rsidRPr="004176C1">
        <w:t xml:space="preserve"> </w:t>
      </w:r>
      <w:r w:rsidR="00BE4D9D" w:rsidRPr="004176C1">
        <w:t>uma</w:t>
      </w:r>
      <w:r w:rsidR="00A40892" w:rsidRPr="004176C1">
        <w:t xml:space="preserve"> obra de doutrina racial</w:t>
      </w:r>
      <w:r w:rsidR="00F40375" w:rsidRPr="004176C1">
        <w:t xml:space="preserve"> que encontr</w:t>
      </w:r>
      <w:r w:rsidR="00BE4D9D" w:rsidRPr="004176C1">
        <w:t>a</w:t>
      </w:r>
      <w:r w:rsidR="00F40375" w:rsidRPr="004176C1">
        <w:t xml:space="preserve"> no Mestre Eckhart o seu fio condutor</w:t>
      </w:r>
      <w:r w:rsidR="00A40892" w:rsidRPr="004176C1">
        <w:t xml:space="preserve">, </w:t>
      </w:r>
      <w:r w:rsidR="0059022D" w:rsidRPr="004176C1">
        <w:t xml:space="preserve">se apresente acima de tudo como um livro místico, buscando fundar de novo a religião nórdica. </w:t>
      </w:r>
      <w:r w:rsidR="00157FBC" w:rsidRPr="00157FBC">
        <w:t xml:space="preserve">«Ou </w:t>
      </w:r>
      <w:r w:rsidR="00CD5FDE">
        <w:t xml:space="preserve">as crenças </w:t>
      </w:r>
      <w:r w:rsidR="00157FBC" w:rsidRPr="00157FBC">
        <w:t xml:space="preserve">das Igrejas triunfam ou a existência racial imporá </w:t>
      </w:r>
      <w:r w:rsidR="00157FBC">
        <w:t xml:space="preserve">as suas leis biológicas às Igrejas. </w:t>
      </w:r>
      <w:r w:rsidR="00157FBC" w:rsidRPr="007262AB">
        <w:t xml:space="preserve">No primeiro caso poderemos </w:t>
      </w:r>
      <w:r w:rsidR="00A65DC3">
        <w:t>renunciar a</w:t>
      </w:r>
      <w:r w:rsidR="00157FBC" w:rsidRPr="007262AB">
        <w:t xml:space="preserve"> todas as formas de vida </w:t>
      </w:r>
      <w:r w:rsidR="007262AB" w:rsidRPr="007262AB">
        <w:t xml:space="preserve">conformes ao tipo </w:t>
      </w:r>
      <w:r w:rsidR="00931EC5">
        <w:t>rácico</w:t>
      </w:r>
      <w:r w:rsidR="007262AB" w:rsidRPr="007262AB">
        <w:t>.</w:t>
      </w:r>
      <w:r w:rsidR="007262AB">
        <w:t xml:space="preserve"> </w:t>
      </w:r>
      <w:r w:rsidR="007262AB" w:rsidRPr="00E43E32">
        <w:t>No segundo caso começará uma verdadeira civilização»</w:t>
      </w:r>
      <w:r w:rsidR="00BE4D9D">
        <w:rPr>
          <w:rStyle w:val="Refdenotaderodap"/>
          <w:lang w:val="en-US"/>
        </w:rPr>
        <w:footnoteReference w:id="62"/>
      </w:r>
      <w:r w:rsidR="007262AB" w:rsidRPr="00E43E32">
        <w:t xml:space="preserve">. </w:t>
      </w:r>
      <w:r w:rsidR="00943DE1">
        <w:t xml:space="preserve">Na obra de Rosenberg o nacional-socialismo </w:t>
      </w:r>
      <w:r w:rsidR="00D85846">
        <w:t xml:space="preserve">implica o </w:t>
      </w:r>
      <w:r w:rsidR="00943DE1">
        <w:t xml:space="preserve">renascimento do misticismo nórdico ao mesmo tempo que é — e porque é — um renascimento racial. </w:t>
      </w:r>
      <w:r w:rsidR="009358F7" w:rsidRPr="00CD5FDE">
        <w:t>«Raça e individualidade, sangue e espírito estão intimamente ligados»</w:t>
      </w:r>
      <w:r w:rsidR="00D85846">
        <w:rPr>
          <w:rStyle w:val="Refdenotaderodap"/>
        </w:rPr>
        <w:footnoteReference w:id="63"/>
      </w:r>
      <w:r w:rsidR="009358F7" w:rsidRPr="00CD5FDE">
        <w:t xml:space="preserve">. </w:t>
      </w:r>
      <w:r w:rsidR="0087577B" w:rsidRPr="00CD5FDE">
        <w:t>Compreende-se</w:t>
      </w:r>
      <w:r w:rsidR="00434722">
        <w:t xml:space="preserve"> assim </w:t>
      </w:r>
      <w:r w:rsidR="0087577B" w:rsidRPr="00CD5FDE">
        <w:t xml:space="preserve">que </w:t>
      </w:r>
      <w:r w:rsidR="00AD3557" w:rsidRPr="003E305A">
        <w:t xml:space="preserve">Otmar </w:t>
      </w:r>
      <w:r w:rsidR="00D93DE5">
        <w:t xml:space="preserve">von Verschuer, que </w:t>
      </w:r>
      <w:r w:rsidR="00AD7184">
        <w:t xml:space="preserve">a partir </w:t>
      </w:r>
      <w:r w:rsidR="00D93DE5">
        <w:t>de 194</w:t>
      </w:r>
      <w:r w:rsidR="00A62419">
        <w:t>2</w:t>
      </w:r>
      <w:r w:rsidR="00D93DE5">
        <w:t xml:space="preserve"> </w:t>
      </w:r>
      <w:r w:rsidR="009C3D3C">
        <w:t>seria</w:t>
      </w:r>
      <w:r w:rsidR="00AD7184">
        <w:t xml:space="preserve"> a figura científica e médica mais proeminente no </w:t>
      </w:r>
      <w:r w:rsidR="00D93DE5">
        <w:t xml:space="preserve">programa racial do </w:t>
      </w:r>
      <w:r w:rsidR="00AD7184">
        <w:t xml:space="preserve">Terceiro </w:t>
      </w:r>
      <w:r w:rsidR="00D93DE5">
        <w:t xml:space="preserve">Reich, </w:t>
      </w:r>
      <w:r w:rsidR="009C3D3C">
        <w:t xml:space="preserve">tivesse </w:t>
      </w:r>
      <w:r w:rsidR="00ED1336">
        <w:t>escr</w:t>
      </w:r>
      <w:r w:rsidR="009C3D3C">
        <w:t>ito</w:t>
      </w:r>
      <w:r w:rsidR="00ED1336">
        <w:t xml:space="preserve"> </w:t>
      </w:r>
      <w:r w:rsidR="00D93DE5">
        <w:t>em 1934 que «hoje concebemos o povo como uma entidade espiritual e biológica»</w:t>
      </w:r>
      <w:r w:rsidR="00D93DE5">
        <w:rPr>
          <w:rStyle w:val="Refdenotaderodap"/>
        </w:rPr>
        <w:footnoteReference w:id="64"/>
      </w:r>
      <w:r w:rsidR="00310B14">
        <w:t xml:space="preserve"> e na mesma perpectiva </w:t>
      </w:r>
      <w:r w:rsidR="00D16919">
        <w:t xml:space="preserve">o </w:t>
      </w:r>
      <w:r w:rsidR="00E173CE">
        <w:t>SS-</w:t>
      </w:r>
      <w:r w:rsidR="00D16919">
        <w:t xml:space="preserve">Obergruppenführer Reinhard </w:t>
      </w:r>
      <w:r w:rsidR="00310B14">
        <w:t>Heydrich apelou para «a espiritualização da luta»</w:t>
      </w:r>
      <w:r w:rsidR="009F45C8">
        <w:rPr>
          <w:rStyle w:val="Refdenotaderodap"/>
        </w:rPr>
        <w:footnoteReference w:id="65"/>
      </w:r>
      <w:r w:rsidR="00D93DE5">
        <w:t xml:space="preserve">. </w:t>
      </w:r>
      <w:r w:rsidR="00310B14">
        <w:t xml:space="preserve">Após </w:t>
      </w:r>
      <w:r>
        <w:t xml:space="preserve">o final de tudo, ao ser interrogado nos julgamentos de Nuremberga, um capitão SS explicou que </w:t>
      </w:r>
      <w:r w:rsidR="00C51DCB">
        <w:t xml:space="preserve"> </w:t>
      </w:r>
      <w:r>
        <w:t xml:space="preserve">Himmler não fora «um político glacial e cínico». «A atitude de Himmler», </w:t>
      </w:r>
      <w:r w:rsidR="00C51DCB">
        <w:t>declarou</w:t>
      </w:r>
      <w:r>
        <w:t xml:space="preserve"> ele, «era a de um místico, que projectava nessa “visão do mundo” todo o seu fanatismo religioso»</w:t>
      </w:r>
      <w:r>
        <w:rPr>
          <w:rStyle w:val="Refdenotaderodap"/>
        </w:rPr>
        <w:footnoteReference w:id="66"/>
      </w:r>
      <w:r>
        <w:t xml:space="preserve">. </w:t>
      </w:r>
      <w:r w:rsidR="00453539">
        <w:t>Já Hitler</w:t>
      </w:r>
      <w:r w:rsidR="003C7C7C">
        <w:t>, em quem Trotsky detectara o misticismo</w:t>
      </w:r>
      <w:r w:rsidR="003C7C7C">
        <w:rPr>
          <w:rStyle w:val="Refdenotaderodap"/>
        </w:rPr>
        <w:footnoteReference w:id="67"/>
      </w:r>
      <w:r w:rsidR="003C7C7C">
        <w:t>,</w:t>
      </w:r>
      <w:r w:rsidR="00453539">
        <w:t xml:space="preserve"> havia dito que «vejo em Himmler o nosso Inácio de Loyola»</w:t>
      </w:r>
      <w:r w:rsidR="00453539">
        <w:rPr>
          <w:rStyle w:val="Refdenotaderodap"/>
        </w:rPr>
        <w:footnoteReference w:id="68"/>
      </w:r>
      <w:r w:rsidR="00170C91">
        <w:t xml:space="preserve"> e Darré definira os SS como «uma Guarda Pretoriana sob direcção jesuita»</w:t>
      </w:r>
      <w:r w:rsidR="00170C91">
        <w:rPr>
          <w:rStyle w:val="Refdenotaderodap"/>
        </w:rPr>
        <w:footnoteReference w:id="69"/>
      </w:r>
      <w:r w:rsidR="00170C91">
        <w:t xml:space="preserve">. </w:t>
      </w:r>
      <w:r w:rsidR="00563251">
        <w:rPr>
          <w:iCs/>
        </w:rPr>
        <w:t>Mais tarde, também um fascista francês do pós-guerra haveria de evocar Inácio de Loyola a propósito dos SS</w:t>
      </w:r>
      <w:r w:rsidR="00563251">
        <w:rPr>
          <w:rStyle w:val="Refdenotaderodap"/>
          <w:iCs/>
        </w:rPr>
        <w:footnoteReference w:id="70"/>
      </w:r>
      <w:r w:rsidR="00563251">
        <w:rPr>
          <w:iCs/>
        </w:rPr>
        <w:t xml:space="preserve">. </w:t>
      </w:r>
    </w:p>
    <w:p w:rsidR="00C51DCB" w:rsidRDefault="00C51DCB" w:rsidP="00C51DCB">
      <w:pPr>
        <w:keepNext/>
        <w:spacing w:before="240" w:after="120"/>
        <w:ind w:firstLine="0"/>
        <w:jc w:val="center"/>
      </w:pPr>
      <w:r>
        <w:rPr>
          <w:b/>
          <w:sz w:val="28"/>
          <w:szCs w:val="28"/>
        </w:rPr>
        <w:t>2</w:t>
      </w:r>
    </w:p>
    <w:p w:rsidR="00321E01" w:rsidRPr="003E305A" w:rsidRDefault="00321E01" w:rsidP="00321E01">
      <w:r w:rsidRPr="003E305A">
        <w:t>Ao contrário do que sucedia com a ala populista</w:t>
      </w:r>
      <w:r w:rsidR="009F63DF">
        <w:t xml:space="preserve"> d</w:t>
      </w:r>
      <w:r w:rsidR="009F63DF" w:rsidRPr="003E305A">
        <w:t>o NSDAP</w:t>
      </w:r>
      <w:r w:rsidRPr="003E305A">
        <w:t>, era excludente o racismo defendido por Hitler e</w:t>
      </w:r>
      <w:r w:rsidR="00177832">
        <w:t xml:space="preserve"> </w:t>
      </w:r>
      <w:r w:rsidRPr="003E305A">
        <w:t>Rosenberg</w:t>
      </w:r>
      <w:r w:rsidR="00E51D42">
        <w:t>,</w:t>
      </w:r>
      <w:r w:rsidR="000B7BDB">
        <w:t xml:space="preserve"> </w:t>
      </w:r>
      <w:r w:rsidR="00E51D42">
        <w:t>por</w:t>
      </w:r>
      <w:r w:rsidR="000B7BDB">
        <w:t xml:space="preserve"> </w:t>
      </w:r>
      <w:r w:rsidR="00177832" w:rsidRPr="003E305A">
        <w:t xml:space="preserve">Himmler </w:t>
      </w:r>
      <w:r w:rsidR="00177832">
        <w:t xml:space="preserve">e </w:t>
      </w:r>
      <w:r w:rsidRPr="003E305A">
        <w:t>Darré</w:t>
      </w:r>
      <w:r w:rsidRPr="003E305A">
        <w:rPr>
          <w:rStyle w:val="Refdenotaderodap"/>
        </w:rPr>
        <w:footnoteReference w:id="71"/>
      </w:r>
      <w:r w:rsidRPr="003E305A">
        <w:t xml:space="preserve">. Eles consideravam que a Alemanha era formada por </w:t>
      </w:r>
      <w:r w:rsidR="006B6174">
        <w:t xml:space="preserve">diversas </w:t>
      </w:r>
      <w:r w:rsidRPr="003E305A">
        <w:t xml:space="preserve">raças, pelo menos cinco, a crer </w:t>
      </w:r>
      <w:r w:rsidR="00A270EB">
        <w:t xml:space="preserve">em </w:t>
      </w:r>
      <w:r w:rsidRPr="003E305A">
        <w:t xml:space="preserve">Rosenberg, </w:t>
      </w:r>
      <w:r w:rsidR="00A270EB">
        <w:t>que invocou «as mais recentes pesquisas científicas»</w:t>
      </w:r>
      <w:r w:rsidR="002422BE">
        <w:rPr>
          <w:rStyle w:val="Refdenotaderodap"/>
        </w:rPr>
        <w:footnoteReference w:id="72"/>
      </w:r>
      <w:r w:rsidRPr="003E305A">
        <w:t xml:space="preserve">. Em comparação com as outras, as raças </w:t>
      </w:r>
      <w:r w:rsidR="004535F6">
        <w:t xml:space="preserve">germânicas </w:t>
      </w:r>
      <w:r w:rsidRPr="003E305A">
        <w:t xml:space="preserve">seriam </w:t>
      </w:r>
      <w:r w:rsidRPr="003E305A">
        <w:lastRenderedPageBreak/>
        <w:t xml:space="preserve">superiores, mas uma delas, a raça nórdica, destacar-se-ia das demais, constituindo uma verdadeira nobreza de sangue e assegurando a criatividade cultural do país e a coesão das restantes raças </w:t>
      </w:r>
      <w:r w:rsidR="004535F6">
        <w:t>germânicas</w:t>
      </w:r>
      <w:r w:rsidRPr="003E305A">
        <w:t xml:space="preserve">. Não se tratava, como na versão abrangente, de criar por fusão uma raça alemã, e </w:t>
      </w:r>
      <w:r w:rsidR="00621F0F">
        <w:t xml:space="preserve">por este motivo os racistas excludentes </w:t>
      </w:r>
      <w:r w:rsidR="00A360E3">
        <w:t>atacavam a teoria da hereditariedade dos caracteres adquiridos, já que a permanência de uma raça no ambiente cultural de outra não lhe alteraria os traços</w:t>
      </w:r>
      <w:r w:rsidR="00A360E3">
        <w:rPr>
          <w:rStyle w:val="Refdenotaderodap"/>
        </w:rPr>
        <w:footnoteReference w:id="73"/>
      </w:r>
      <w:r w:rsidR="00A360E3">
        <w:t xml:space="preserve">. </w:t>
      </w:r>
      <w:r w:rsidR="00177832" w:rsidRPr="003E305A">
        <w:t xml:space="preserve">Só </w:t>
      </w:r>
      <w:r w:rsidRPr="003E305A">
        <w:t xml:space="preserve">uma política de exclusão poderia preservar o fundamento eterno da raça nórdica, único esteio do Reich. Garantida a sua primazia, o elemento nórdico havia de se expandir e dominar o espaço germânico e </w:t>
      </w:r>
      <w:r>
        <w:t>até</w:t>
      </w:r>
      <w:r w:rsidRPr="003E305A">
        <w:t xml:space="preserve"> o continente europeu. Hitler foi claro a este respeito num discurso pronunciado </w:t>
      </w:r>
      <w:r w:rsidR="00C322A1" w:rsidRPr="003E305A">
        <w:t xml:space="preserve">em Düsseldorf </w:t>
      </w:r>
      <w:r w:rsidRPr="003E305A">
        <w:t>em Janeiro de 1932</w:t>
      </w:r>
      <w:r w:rsidR="00C322A1">
        <w:t>,</w:t>
      </w:r>
      <w:r w:rsidRPr="003E305A">
        <w:t xml:space="preserve"> </w:t>
      </w:r>
      <w:r w:rsidR="00C322A1">
        <w:t xml:space="preserve">quando </w:t>
      </w:r>
      <w:r w:rsidRPr="003E305A">
        <w:t>explicou aos principais representantes da indústria do Ruhr e da Renânia que a regeneração racial tinha de se efectuar a partir dos elementos nórdicos existentes no sangue alemão</w:t>
      </w:r>
      <w:r w:rsidRPr="003E305A">
        <w:rPr>
          <w:rStyle w:val="Refdenotaderodap"/>
        </w:rPr>
        <w:footnoteReference w:id="74"/>
      </w:r>
      <w:r w:rsidRPr="003E305A">
        <w:t xml:space="preserve">. E discursando no congresso do partido em Agosto do ano seguinte, o Führer afirmou que o nacional-socialismo «reconhece a presença no nosso povo de diferentes substâncias raciais. Ele não pretende de modo </w:t>
      </w:r>
      <w:r w:rsidR="00A308B5">
        <w:t>nenhum</w:t>
      </w:r>
      <w:r w:rsidRPr="003E305A">
        <w:t xml:space="preserve"> rejeitar, em si, essa mescla. [...]</w:t>
      </w:r>
      <w:r w:rsidR="00C322A1">
        <w:t xml:space="preserve"> </w:t>
      </w:r>
      <w:r w:rsidR="00C322A1" w:rsidRPr="003E305A">
        <w:t>Deseja</w:t>
      </w:r>
      <w:r w:rsidRPr="003E305A">
        <w:t>, no entanto, que a direcção política e cultural do nosso povo conserve o rosto e a expressão da única raça que, graças ao seu heroísmo e às suas predisposições interiores, forjou o povo alemão a partir de um conglomerado de componentes variados. O nacional-socialismo professa assim uma doutrina heróica, que sabe atribuir o justo valor ao sangue, à raça e à personalidade</w:t>
      </w:r>
      <w:r w:rsidR="00851966">
        <w:rPr>
          <w:rStyle w:val="Refdenotaderodap"/>
        </w:rPr>
        <w:footnoteReference w:id="75"/>
      </w:r>
      <w:r w:rsidRPr="003E305A">
        <w:t xml:space="preserve">». Claramente evocada pelo perfil </w:t>
      </w:r>
      <w:r w:rsidRPr="003E305A">
        <w:lastRenderedPageBreak/>
        <w:t>heróico, a raça nórdica via confirmada a supremacia</w:t>
      </w:r>
      <w:r w:rsidR="00851966" w:rsidRPr="003E305A">
        <w:rPr>
          <w:rStyle w:val="Refdenotaderodap"/>
        </w:rPr>
        <w:footnoteReference w:id="76"/>
      </w:r>
      <w:r w:rsidRPr="003E305A">
        <w:t xml:space="preserve">. </w:t>
      </w:r>
      <w:r w:rsidR="007D0A60">
        <w:t xml:space="preserve">«Este destaque conferido à raça nórdica não significa que se semeie o ódio racial na Alemanha», explicou Rosenberg, mas </w:t>
      </w:r>
      <w:r w:rsidR="00493BD2">
        <w:t>preveniu</w:t>
      </w:r>
      <w:r w:rsidR="007D0A60">
        <w:t xml:space="preserve"> logo em seguida que «sem este cimento formador da nossa história nunca </w:t>
      </w:r>
      <w:r w:rsidR="00901BED">
        <w:t xml:space="preserve">a Alemanha </w:t>
      </w:r>
      <w:r w:rsidR="007D0A60">
        <w:t xml:space="preserve">se tornaria um Reich alemão». </w:t>
      </w:r>
      <w:r w:rsidRPr="003E305A">
        <w:t>«</w:t>
      </w:r>
      <w:r w:rsidR="0043001F">
        <w:t xml:space="preserve">Se um </w:t>
      </w:r>
      <w:r w:rsidRPr="003E305A">
        <w:t>dia secar completamente o sangue nórdico», ameaç</w:t>
      </w:r>
      <w:r>
        <w:t>ou</w:t>
      </w:r>
      <w:r w:rsidRPr="003E305A">
        <w:t xml:space="preserve"> o profeta oficial do nacional-socialismo, «a Alemanha desagregar-se-á e </w:t>
      </w:r>
      <w:r w:rsidR="000C206E">
        <w:t>afundar-se-á</w:t>
      </w:r>
      <w:r w:rsidRPr="003E305A">
        <w:t xml:space="preserve"> na anonimidade do caos»</w:t>
      </w:r>
      <w:r w:rsidRPr="003E305A">
        <w:rPr>
          <w:rStyle w:val="Refdenotaderodap"/>
        </w:rPr>
        <w:footnoteReference w:id="77"/>
      </w:r>
      <w:r w:rsidRPr="003E305A">
        <w:t xml:space="preserve">. </w:t>
      </w:r>
      <w:r w:rsidR="000829E7">
        <w:t>Também para Darré os nórdicos constituíam o cerne racial da nação germânica</w:t>
      </w:r>
      <w:r w:rsidR="000829E7">
        <w:rPr>
          <w:rStyle w:val="Refdenotaderodap"/>
        </w:rPr>
        <w:footnoteReference w:id="78"/>
      </w:r>
      <w:r w:rsidR="000829E7">
        <w:t xml:space="preserve">. </w:t>
      </w:r>
    </w:p>
    <w:p w:rsidR="00321E01" w:rsidRPr="003E305A" w:rsidRDefault="00321E01" w:rsidP="00321E01">
      <w:r w:rsidRPr="003E305A">
        <w:t xml:space="preserve">Em </w:t>
      </w:r>
      <w:r w:rsidRPr="003E305A">
        <w:rPr>
          <w:i/>
        </w:rPr>
        <w:t>Mein Kampf</w:t>
      </w:r>
      <w:r w:rsidRPr="003E305A">
        <w:t xml:space="preserve"> Hitler atacou com dureza o racismo de vocação abrangente</w:t>
      </w:r>
      <w:r w:rsidR="00750234">
        <w:t>:</w:t>
      </w:r>
      <w:r w:rsidRPr="003E305A">
        <w:t xml:space="preserve"> «[...] se hoje, através da imposição de uma </w:t>
      </w:r>
      <w:r w:rsidR="006B6174">
        <w:t>língua</w:t>
      </w:r>
      <w:r w:rsidRPr="003E305A">
        <w:t xml:space="preserve"> universal, diferenças óbvias entre diversos povos forem atenuadas e finalmente apagadas, isto significa o começo de um abastardamento e assim, no nosso caso, não de uma germanização, mas de uma destruição do elemento germânico. [...] O resultado final de um processo deste tipo seria, portanto, a destruição daquelas qualidades que precisamente haviam dado ao povo conquistador a sua capacidade de vitória»</w:t>
      </w:r>
      <w:r w:rsidRPr="003E305A">
        <w:rPr>
          <w:rStyle w:val="Refdenotaderodap"/>
        </w:rPr>
        <w:footnoteReference w:id="79"/>
      </w:r>
      <w:r w:rsidRPr="003E305A">
        <w:t xml:space="preserve">. Tem escapado a </w:t>
      </w:r>
      <w:r w:rsidR="00750234">
        <w:t>alguns</w:t>
      </w:r>
      <w:r w:rsidRPr="003E305A">
        <w:t xml:space="preserve"> comentadores que </w:t>
      </w:r>
      <w:r w:rsidRPr="003E305A">
        <w:rPr>
          <w:i/>
        </w:rPr>
        <w:t>Mein Kampf</w:t>
      </w:r>
      <w:r w:rsidRPr="003E305A">
        <w:t xml:space="preserve"> se destinou acima de tudo a intervir na polémica interna do partido nacional-socialista</w:t>
      </w:r>
      <w:r w:rsidRPr="003E305A">
        <w:rPr>
          <w:rStyle w:val="Refdenotaderodap"/>
        </w:rPr>
        <w:footnoteReference w:id="80"/>
      </w:r>
      <w:r w:rsidRPr="003E305A">
        <w:t xml:space="preserve">. Preso e afastado da chefia directa da organização, Hitler procurou reunir os fiéis em torno de uma plataforma doutrinária própria e minar o terreno de Gregor Strasser, o seu rival mais perigoso. Ao fazê-lo, não lhe faltavam credenciais. </w:t>
      </w:r>
    </w:p>
    <w:p w:rsidR="00321E01" w:rsidRPr="003E305A" w:rsidRDefault="00321E01" w:rsidP="00321E01">
      <w:r w:rsidRPr="003E305A">
        <w:t>Acolhido na mansão Wagner em Bayreuth, no Verão de 1923, poucos</w:t>
      </w:r>
      <w:r w:rsidR="00750234">
        <w:t xml:space="preserve"> </w:t>
      </w:r>
      <w:r w:rsidRPr="003E305A">
        <w:t xml:space="preserve"> meses antes de encabeçar a tentativa de golpe de Estado que soçobrou com algum sangue e muito ridículo e o precipitou na prisão, Hitler foi levado à presença de Houston Stewart Chamberlain, um inglês que se tornara uma das grandes figuras da cultura germânica e se naturalizara alemão em plena primeira guerra mundial, proclamando assim de maneira escandalosa a sua opção nacional. Possuidor de uma </w:t>
      </w:r>
      <w:r w:rsidR="00750234">
        <w:t>erudição</w:t>
      </w:r>
      <w:r w:rsidRPr="003E305A">
        <w:t xml:space="preserve"> muitíssimo vasta, capaz de escrever interminavelmente e de passar com enorme facilidade de um para outro domínio d</w:t>
      </w:r>
      <w:r w:rsidR="00750234">
        <w:t>o conhecimento</w:t>
      </w:r>
      <w:r w:rsidRPr="003E305A">
        <w:t xml:space="preserve">, Chamberlain, para empregar as palavras de Lukács, «“sintetizou” o irracionalismo filosófico da época imperialista, o vitalismo, </w:t>
      </w:r>
      <w:r w:rsidRPr="003E305A">
        <w:lastRenderedPageBreak/>
        <w:t xml:space="preserve">com a teoria racial e com as descobertas do darwinismo social. </w:t>
      </w:r>
      <w:r w:rsidR="00750234" w:rsidRPr="003E305A">
        <w:t>Tornou</w:t>
      </w:r>
      <w:r w:rsidRPr="003E305A">
        <w:t>-se assim um precursor directo de Hitler e de Rosenberg, o “clássico” filosófico do nacional-socialismo»</w:t>
      </w:r>
      <w:r w:rsidRPr="003E305A">
        <w:rPr>
          <w:rStyle w:val="Refdenotaderodap"/>
        </w:rPr>
        <w:footnoteReference w:id="81"/>
      </w:r>
      <w:r w:rsidRPr="003E305A">
        <w:t>. Casado com a filha de Richard Wagner, neta de Liszt, o velho Chamberlain, que havia sido inspirador e confidente do antigo imperador e cujo prestígio atingira a dimensão europeia, era não só o patriarca da mais importante dinastia cultural do país como um dos principais ideólogos do racismo germânico. Mais tarde, depois de entronizado o Führer, a doutrina oficial incluiria Wagner e Chamberlain entre os quatro inspiradores intelectuais do nacional-socialismo</w:t>
      </w:r>
      <w:r w:rsidRPr="003E305A">
        <w:rPr>
          <w:rStyle w:val="Refdenotaderodap"/>
        </w:rPr>
        <w:footnoteReference w:id="82"/>
      </w:r>
      <w:r w:rsidRPr="003E305A">
        <w:t>, reforçando a autoridade de Chamberlain</w:t>
      </w:r>
      <w:r w:rsidR="00750234">
        <w:t xml:space="preserve"> pela </w:t>
      </w:r>
      <w:r w:rsidRPr="003E305A">
        <w:t xml:space="preserve">tradição familiar que representava. A sua fé nos germanos jamais havia vacilado, </w:t>
      </w:r>
      <w:r w:rsidR="009F009A">
        <w:t xml:space="preserve">escrevera </w:t>
      </w:r>
      <w:r w:rsidRPr="003E305A">
        <w:t xml:space="preserve">ele </w:t>
      </w:r>
      <w:r w:rsidR="009F009A">
        <w:t xml:space="preserve">depois de </w:t>
      </w:r>
      <w:r w:rsidRPr="003E305A">
        <w:t>receber Hitler</w:t>
      </w:r>
      <w:r w:rsidR="00B4322D">
        <w:t>,</w:t>
      </w:r>
      <w:r w:rsidRPr="003E305A">
        <w:t xml:space="preserve"> em </w:t>
      </w:r>
      <w:r w:rsidR="009F009A">
        <w:t xml:space="preserve">Setembro de </w:t>
      </w:r>
      <w:r w:rsidRPr="003E305A">
        <w:t>1923, mas a sua esperança, que perecera com a derrota militar e as sucessivas revoluções, ressurgi</w:t>
      </w:r>
      <w:r>
        <w:t>a</w:t>
      </w:r>
      <w:r w:rsidRPr="003E305A">
        <w:t xml:space="preserve"> naquele momento, animada pela visão do jovem demagogo</w:t>
      </w:r>
      <w:r w:rsidRPr="003E305A">
        <w:rPr>
          <w:rStyle w:val="Refdenotaderodap"/>
        </w:rPr>
        <w:footnoteReference w:id="83"/>
      </w:r>
      <w:r w:rsidRPr="003E305A">
        <w:t xml:space="preserve">. </w:t>
      </w:r>
      <w:r w:rsidR="008A36CE">
        <w:t>E após o malogro da intentona</w:t>
      </w:r>
      <w:r w:rsidR="00B4322D">
        <w:t xml:space="preserve"> da cervejaria</w:t>
      </w:r>
      <w:r w:rsidR="008A36CE">
        <w:t xml:space="preserve"> Hitler recebeu na prisão outra carta de Chamberlain</w:t>
      </w:r>
      <w:r w:rsidR="008A36CE">
        <w:rPr>
          <w:rStyle w:val="Refdenotaderodap"/>
        </w:rPr>
        <w:footnoteReference w:id="84"/>
      </w:r>
      <w:r w:rsidR="008A36CE">
        <w:t xml:space="preserve">. </w:t>
      </w:r>
    </w:p>
    <w:p w:rsidR="00321E01" w:rsidRPr="003E305A" w:rsidRDefault="00321E01" w:rsidP="00321E01">
      <w:r w:rsidRPr="003E305A">
        <w:t>Esta investidura doutrinária, todavia, não aprisionou Hitler à totalidade das teses d</w:t>
      </w:r>
      <w:r w:rsidR="00B4322D">
        <w:t xml:space="preserve">o velho mestre </w:t>
      </w:r>
      <w:r w:rsidRPr="003E305A">
        <w:t xml:space="preserve">e eles divergiram num </w:t>
      </w:r>
      <w:r w:rsidR="00D213A4">
        <w:t>ponto</w:t>
      </w:r>
      <w:r w:rsidRPr="003E305A">
        <w:t xml:space="preserve"> fundamental, que dizia respeito ao perigo de corrupção da raça considerada superior. Chamberlain deixar</w:t>
      </w:r>
      <w:r w:rsidR="005402F1">
        <w:t>a</w:t>
      </w:r>
      <w:r w:rsidRPr="003E305A">
        <w:t xml:space="preserve"> clara a sua discordância relativamente a uma das ideias centrais de Gobineau, para quem a raça superior, por ser minoritária, estaria condenada a permitir que os seus membros se cruzassem com elementos inferiores e, assim, ficaria inevitavelmente votada ao declínio</w:t>
      </w:r>
      <w:r w:rsidRPr="003E305A">
        <w:rPr>
          <w:rStyle w:val="Refdenotaderodap"/>
        </w:rPr>
        <w:footnoteReference w:id="85"/>
      </w:r>
      <w:r w:rsidRPr="003E305A">
        <w:t>. Gobineau havia fundido o tema do racismo com o tema da decadência e</w:t>
      </w:r>
      <w:r w:rsidR="00CD2793">
        <w:t>,</w:t>
      </w:r>
      <w:r w:rsidRPr="003E305A">
        <w:t xml:space="preserve"> em sentido oposto ao seguido pelos seus antecessores ou contemporâneos, que enalteciam em termos raciais o imperialismo europeu triunfante, ele defendera que a cultura ocidental estava condenada pela degenerescência rácica</w:t>
      </w:r>
      <w:r w:rsidRPr="003E305A">
        <w:rPr>
          <w:rStyle w:val="Refdenotaderodap"/>
        </w:rPr>
        <w:footnoteReference w:id="86"/>
      </w:r>
      <w:r w:rsidRPr="003E305A">
        <w:t>. Depois de observar que «Gobineau não fez mais do que sistematizar de uma maneira muito pessoal opiniões já profundamente enraizadas na sua época», um historiador do racismo acrescent</w:t>
      </w:r>
      <w:r>
        <w:t>ou</w:t>
      </w:r>
      <w:r w:rsidRPr="003E305A">
        <w:t xml:space="preserve"> que «o que ele trazia de novo era sobretudo a conclusão pessimista, o dobre a finados pela civilização»</w:t>
      </w:r>
      <w:r w:rsidRPr="003E305A">
        <w:rPr>
          <w:rStyle w:val="Refdenotaderodap"/>
        </w:rPr>
        <w:footnoteReference w:id="87"/>
      </w:r>
      <w:r w:rsidRPr="003E305A">
        <w:t>. Wagner interessou-se pelas teses de Gobineau e conheceu-o pessoalmente, chegando uma vez a apresentá-lo como «o meu único verdadeiro contemporâneo»</w:t>
      </w:r>
      <w:r w:rsidRPr="003E305A">
        <w:rPr>
          <w:rStyle w:val="Refdenotaderodap"/>
        </w:rPr>
        <w:footnoteReference w:id="88"/>
      </w:r>
      <w:r w:rsidRPr="003E305A">
        <w:t xml:space="preserve">, e nem o </w:t>
      </w:r>
      <w:r w:rsidRPr="003E305A">
        <w:lastRenderedPageBreak/>
        <w:t xml:space="preserve">facto de num dos seus derradeiros escritos </w:t>
      </w:r>
      <w:r w:rsidR="005402F1">
        <w:t xml:space="preserve">Wagner </w:t>
      </w:r>
      <w:r w:rsidRPr="003E305A">
        <w:t>ter partilhado aquela concepção catastrófica atenuou a oposição de Chamberlain</w:t>
      </w:r>
      <w:r w:rsidRPr="00EB23C5">
        <w:rPr>
          <w:vertAlign w:val="superscript"/>
        </w:rPr>
        <w:footnoteReference w:id="89"/>
      </w:r>
      <w:r w:rsidRPr="003E305A">
        <w:t>. Mas apesar de todo o seu prestígi</w:t>
      </w:r>
      <w:r w:rsidR="00BE0F2B">
        <w:t>o, Chamberlain não evitou que o tema</w:t>
      </w:r>
      <w:r w:rsidRPr="003E305A">
        <w:t xml:space="preserve"> </w:t>
      </w:r>
      <w:r w:rsidR="00BE0F2B">
        <w:t xml:space="preserve">da </w:t>
      </w:r>
      <w:r w:rsidR="00BE0F2B" w:rsidRPr="003E305A">
        <w:t>ameaça d</w:t>
      </w:r>
      <w:r w:rsidR="00BE0F2B">
        <w:t>e</w:t>
      </w:r>
      <w:r w:rsidR="00BE0F2B" w:rsidRPr="003E305A">
        <w:t xml:space="preserve"> abastardamento </w:t>
      </w:r>
      <w:r w:rsidR="00BE0F2B">
        <w:t xml:space="preserve">de uma </w:t>
      </w:r>
      <w:r w:rsidR="00BE0F2B" w:rsidRPr="003E305A">
        <w:t xml:space="preserve">raça superior </w:t>
      </w:r>
      <w:r w:rsidR="00BE0F2B">
        <w:t>originariamente pura inspirasse</w:t>
      </w:r>
      <w:r w:rsidRPr="003E305A">
        <w:t xml:space="preserve">, com ressonâncias de tragédia, a ideologia hitleriana. </w:t>
      </w:r>
    </w:p>
    <w:p w:rsidR="00321E01" w:rsidRPr="003E305A" w:rsidRDefault="00321E01" w:rsidP="00321E01">
      <w:r w:rsidRPr="003E305A">
        <w:t xml:space="preserve">«Consideramos qualquer guerra que vise subjugar e submeter um povo estrangeiro como um acto que, mais cedo ou mais tarde, acabará por modificar a substância interna do vencedor, enfraquecendo-o e transformando-o finalmente num vencido», declarou Hitler num discurso </w:t>
      </w:r>
      <w:r w:rsidR="0093273F">
        <w:t>em</w:t>
      </w:r>
      <w:r w:rsidRPr="003E305A">
        <w:t xml:space="preserve"> Maio de 1935</w:t>
      </w:r>
      <w:r w:rsidRPr="003E305A">
        <w:rPr>
          <w:rStyle w:val="Refdenotaderodap"/>
        </w:rPr>
        <w:footnoteReference w:id="90"/>
      </w:r>
      <w:r w:rsidRPr="003E305A">
        <w:t xml:space="preserve">. Foi uma curiosa contradição </w:t>
      </w:r>
      <w:r w:rsidR="008A12E4">
        <w:t>—</w:t>
      </w:r>
      <w:r w:rsidRPr="003E305A">
        <w:t xml:space="preserve"> antecipadora do malogro final do nacional-socialismo </w:t>
      </w:r>
      <w:r w:rsidR="008A12E4">
        <w:t>—</w:t>
      </w:r>
      <w:r w:rsidRPr="003E305A">
        <w:t xml:space="preserve"> esta assimetria entre assimilação e degenerescência. </w:t>
      </w:r>
      <w:r w:rsidR="001327BB">
        <w:t xml:space="preserve">«Não é possível uma assimilação completa de sangue estrangeiro e as características da raça estrangeira continuarão inevitavelmente a </w:t>
      </w:r>
      <w:r w:rsidR="00096130">
        <w:t>re</w:t>
      </w:r>
      <w:r w:rsidR="001327BB">
        <w:t xml:space="preserve">aparecer», </w:t>
      </w:r>
      <w:r w:rsidR="00E64240">
        <w:t xml:space="preserve">disse Hitler numa roda de íntimos em Julho de 1942. </w:t>
      </w:r>
      <w:r w:rsidR="00E64240" w:rsidRPr="0099511C">
        <w:t>«</w:t>
      </w:r>
      <w:r w:rsidR="0079402D" w:rsidRPr="0099511C">
        <w:t xml:space="preserve">Portanto, o nosso povo só estará a prejudicar-se se </w:t>
      </w:r>
      <w:r w:rsidR="0099511C" w:rsidRPr="0099511C">
        <w:t xml:space="preserve">aceitar mestiços na Wehrmacht, admitindo-os </w:t>
      </w:r>
      <w:r w:rsidR="005B5732">
        <w:t xml:space="preserve">assim </w:t>
      </w:r>
      <w:r w:rsidR="0099511C" w:rsidRPr="0099511C">
        <w:t xml:space="preserve">em </w:t>
      </w:r>
      <w:r w:rsidR="0099511C">
        <w:t>situação de igualdade com os germanos de sangue puro»</w:t>
      </w:r>
      <w:r w:rsidR="00F52521">
        <w:rPr>
          <w:rStyle w:val="Refdenotaderodap"/>
        </w:rPr>
        <w:footnoteReference w:id="91"/>
      </w:r>
      <w:r w:rsidR="0099511C">
        <w:t xml:space="preserve">. </w:t>
      </w:r>
      <w:r w:rsidRPr="003E305A">
        <w:t xml:space="preserve">Para os defensores do radicalismo populista que </w:t>
      </w:r>
      <w:r w:rsidR="00F92A86">
        <w:t xml:space="preserve">haviam </w:t>
      </w:r>
      <w:r w:rsidRPr="003E305A">
        <w:t>adopta</w:t>
      </w:r>
      <w:r w:rsidR="00F92A86">
        <w:t>do</w:t>
      </w:r>
      <w:r w:rsidRPr="003E305A">
        <w:t xml:space="preserve"> a versão abrangente do racismo, os elementos superiores, precisamente por o serem, insuflariam as suas virtudes nos elementos viciados por características inferiores. Para os promotores do racismo excludente, porém, as consequências do acasalamento entre superiores e inferiores funcionariam num sentido único, sempre em detrimento dos superiores. Com o </w:t>
      </w:r>
      <w:r w:rsidR="00B81341">
        <w:t xml:space="preserve">mesmo simplismo que, como mostrei (no capítulo 1 desta Parte 4), era empregue pelos eugenistas norte-americanos, </w:t>
      </w:r>
      <w:r w:rsidRPr="003E305A">
        <w:t>Hitler aplicava à questão o princípio dos vasos comunicantes, afirmando que a alteração motivada pela mistura de sangues «implica o rebaixamento do nível da raça mais elevada»</w:t>
      </w:r>
      <w:r w:rsidRPr="003E305A">
        <w:rPr>
          <w:rStyle w:val="Refdenotaderodap"/>
        </w:rPr>
        <w:footnoteReference w:id="92"/>
      </w:r>
      <w:r w:rsidRPr="003E305A">
        <w:t xml:space="preserve">. É certo que subia assim o nível dos elementos inferiores; não tanto, porém, que lhes permitisse algum dia assumir uma verdadeira preponderância. «Qualquer cruzamento entre dois seres que não estejam exactamente ao mesmo nível produz uma média entre o nível dos dois progenitores. Isto significa que os filhos estarão provavelmente num plano mais elevado do que o progenitor racialmente inferior, mas não tão elevado como o progenitor superior. Consequentemente, eles sucumbirão mais tarde na </w:t>
      </w:r>
      <w:r w:rsidRPr="003E305A">
        <w:lastRenderedPageBreak/>
        <w:t>luta contra o nível superior»</w:t>
      </w:r>
      <w:r w:rsidRPr="003E305A">
        <w:rPr>
          <w:rStyle w:val="Refdenotaderodap"/>
        </w:rPr>
        <w:footnoteReference w:id="93"/>
      </w:r>
      <w:r w:rsidRPr="003E305A">
        <w:t>. E como os elementos inferiores seriam, pela sua própria natureza, incapazes de criatividade cultural, qualquer melhoria da sua condição biológica revelava-se inútil, enquanto a degradação do sangue nórdico comprometia a única raça considerada criadora de cultura. Assim, a mestiçagem era apresentada por Hitler como uma perda histórica absoluta, um verdadeiro cataclismo para a humanidade</w:t>
      </w:r>
      <w:r w:rsidRPr="003E305A">
        <w:rPr>
          <w:rStyle w:val="Refdenotaderodap"/>
        </w:rPr>
        <w:footnoteReference w:id="94"/>
      </w:r>
      <w:r w:rsidRPr="003E305A">
        <w:t xml:space="preserve">. </w:t>
      </w:r>
      <w:r w:rsidR="00B12622" w:rsidRPr="003E305A">
        <w:t xml:space="preserve">Wagner havia </w:t>
      </w:r>
      <w:r w:rsidR="00550B5F" w:rsidRPr="003E305A">
        <w:t xml:space="preserve">já </w:t>
      </w:r>
      <w:r w:rsidR="00B12622">
        <w:t xml:space="preserve">defendido </w:t>
      </w:r>
      <w:r w:rsidR="00B12622" w:rsidRPr="003E305A">
        <w:t xml:space="preserve">esta tese, poucos meses antes </w:t>
      </w:r>
      <w:r w:rsidR="00B12622">
        <w:t xml:space="preserve">de </w:t>
      </w:r>
      <w:r w:rsidR="00B12622" w:rsidRPr="003E305A">
        <w:t>mor</w:t>
      </w:r>
      <w:r w:rsidR="00B12622">
        <w:t>rer,</w:t>
      </w:r>
      <w:r w:rsidR="00B12622" w:rsidRPr="003E305A">
        <w:t xml:space="preserve"> num </w:t>
      </w:r>
      <w:r w:rsidR="00872F37" w:rsidRPr="003E305A">
        <w:t>comentário ao célebre livro de Gobineau</w:t>
      </w:r>
      <w:r w:rsidR="00B12622">
        <w:t>:</w:t>
      </w:r>
      <w:r w:rsidR="00872F37" w:rsidRPr="003E305A">
        <w:t xml:space="preserve"> «A mais nobre das raças brancas, a raça ariana, degenera unicamente, mas infalivelmente, porque, sendo menos numerosa do que os representantes das raças inferiores, está obrigada a cruzar-se com eles. Ora, o que ela perde ao adulterar-se não é compensado pelo que estes ganham ao enobrecer-se»</w:t>
      </w:r>
      <w:r w:rsidR="00872F37" w:rsidRPr="003E305A">
        <w:rPr>
          <w:rStyle w:val="Refdenotaderodap"/>
        </w:rPr>
        <w:footnoteReference w:id="95"/>
      </w:r>
      <w:r w:rsidR="00872F37" w:rsidRPr="003E305A">
        <w:t xml:space="preserve">. </w:t>
      </w:r>
      <w:r w:rsidR="00402C2F">
        <w:t>Marca de uma época, o simplismo deste raciocínio era partilhado por cientistas</w:t>
      </w:r>
      <w:r w:rsidR="00550B5F">
        <w:t xml:space="preserve"> e t</w:t>
      </w:r>
      <w:r w:rsidR="00402C2F">
        <w:t xml:space="preserve">ambém </w:t>
      </w:r>
      <w:r w:rsidR="00B36968" w:rsidRPr="003E305A">
        <w:t>Galton</w:t>
      </w:r>
      <w:r w:rsidR="00402C2F">
        <w:t xml:space="preserve"> </w:t>
      </w:r>
      <w:r w:rsidR="008A12E4">
        <w:t xml:space="preserve">considerara que </w:t>
      </w:r>
      <w:r w:rsidR="00B36968">
        <w:t xml:space="preserve">um bom sangue misturado </w:t>
      </w:r>
      <w:r w:rsidR="00B36968" w:rsidRPr="003E305A">
        <w:t>com sangue de má qualidade, em vez de promover os elementos inferiores seria degenerado por eles</w:t>
      </w:r>
      <w:r w:rsidR="00B36968" w:rsidRPr="003E305A">
        <w:rPr>
          <w:rStyle w:val="Refdenotaderodap"/>
        </w:rPr>
        <w:footnoteReference w:id="96"/>
      </w:r>
      <w:r w:rsidR="00B36968" w:rsidRPr="003E305A">
        <w:t xml:space="preserve">. </w:t>
      </w:r>
      <w:r w:rsidR="00550B5F">
        <w:t>N</w:t>
      </w:r>
      <w:r w:rsidR="00601983">
        <w:t>os últimos anos d</w:t>
      </w:r>
      <w:r w:rsidR="00402C2F">
        <w:t xml:space="preserve">o Terceiro Reich o </w:t>
      </w:r>
      <w:r w:rsidR="007070FD">
        <w:t xml:space="preserve">célebre </w:t>
      </w:r>
      <w:r w:rsidR="00402C2F">
        <w:t xml:space="preserve">médico e antropologista Eugen Fischer repetia que o cruzamento de indivíduos de uma raça intelectualmente inferior com indivíduos de uma raça superior produzia mestiços situados num plano </w:t>
      </w:r>
      <w:r w:rsidR="00601983">
        <w:t xml:space="preserve">intelectual </w:t>
      </w:r>
      <w:r w:rsidR="00402C2F">
        <w:t xml:space="preserve">médio que, se se integrassem na raça superior, a arrastariam para </w:t>
      </w:r>
      <w:r w:rsidR="00601983">
        <w:t>o</w:t>
      </w:r>
      <w:r w:rsidR="00402C2F">
        <w:t xml:space="preserve"> declínio</w:t>
      </w:r>
      <w:r w:rsidR="00A67206">
        <w:rPr>
          <w:rStyle w:val="Refdenotaderodap"/>
        </w:rPr>
        <w:footnoteReference w:id="97"/>
      </w:r>
      <w:r w:rsidR="00402C2F">
        <w:t xml:space="preserve">. </w:t>
      </w:r>
      <w:r w:rsidRPr="003E305A">
        <w:t>Os pavores de Gobineau e Wagner</w:t>
      </w:r>
      <w:r w:rsidR="00402C2F">
        <w:t>,</w:t>
      </w:r>
      <w:r w:rsidRPr="003E305A">
        <w:t xml:space="preserve"> </w:t>
      </w:r>
      <w:r w:rsidR="00A67206">
        <w:t xml:space="preserve">propalados por cientistas e académicos, </w:t>
      </w:r>
      <w:r w:rsidRPr="003E305A">
        <w:t>lançaram a sua sombra sobre o racismo de Hitler e Rosenberg</w:t>
      </w:r>
      <w:r w:rsidR="00DA7269">
        <w:t>,</w:t>
      </w:r>
      <w:r w:rsidRPr="003E305A">
        <w:t xml:space="preserve"> </w:t>
      </w:r>
      <w:r w:rsidR="00813BE2">
        <w:t xml:space="preserve">de Darré também, </w:t>
      </w:r>
      <w:r w:rsidR="000F4F88">
        <w:t xml:space="preserve">que em 1926, </w:t>
      </w:r>
      <w:r w:rsidR="000326C2">
        <w:t>quatro</w:t>
      </w:r>
      <w:r w:rsidR="000F4F88">
        <w:t xml:space="preserve"> anos antes de se filiar no NSDAP, </w:t>
      </w:r>
      <w:r w:rsidR="00604C20">
        <w:t xml:space="preserve">temia a perda da identidade nórdica e </w:t>
      </w:r>
      <w:r w:rsidR="003C3EDC">
        <w:t>escreve</w:t>
      </w:r>
      <w:r w:rsidR="00604C20">
        <w:t>u</w:t>
      </w:r>
      <w:r w:rsidR="003C3EDC">
        <w:t xml:space="preserve"> que </w:t>
      </w:r>
      <w:r w:rsidR="006F44B9">
        <w:t xml:space="preserve">«o sangue nórdico já não consegue </w:t>
      </w:r>
      <w:r w:rsidR="002109FD">
        <w:t xml:space="preserve">subjugar </w:t>
      </w:r>
      <w:r w:rsidR="006F44B9">
        <w:t>outros sangues»</w:t>
      </w:r>
      <w:r w:rsidR="00AA223C">
        <w:rPr>
          <w:rStyle w:val="Refdenotaderodap"/>
        </w:rPr>
        <w:footnoteReference w:id="98"/>
      </w:r>
      <w:r w:rsidR="00AA223C">
        <w:t>.</w:t>
      </w:r>
      <w:r w:rsidR="006F44B9">
        <w:t xml:space="preserve"> </w:t>
      </w:r>
    </w:p>
    <w:p w:rsidR="00321E01" w:rsidRPr="003E305A" w:rsidRDefault="00321E01" w:rsidP="00321E01">
      <w:r w:rsidRPr="003E305A">
        <w:t xml:space="preserve">Nas palavras de dois historiadores, a escolha do cônjuge constituía para os </w:t>
      </w:r>
      <w:r w:rsidR="004D68CD">
        <w:t>nacionais-socialistas</w:t>
      </w:r>
      <w:r w:rsidRPr="003E305A">
        <w:t xml:space="preserve"> «o acto decisivo na vida de cada indivíduo. Ela determina ou, pelo contrário, compromete a “imortalidade” de duas linhagens ancestrais [...], contribuindo assim para moldar o destino genético do povo. Trata-se de um acto irremissível. A “má” hereditariedade não pode ser suprimida nem revalorizada mediante uma “hipergamia genética” posterior, enquanto que a “boa” pode, pelo contrário, ser definitivamente corrompida pela “hipogamia genética”»</w:t>
      </w:r>
      <w:r w:rsidRPr="003E305A">
        <w:rPr>
          <w:rStyle w:val="Refdenotaderodap"/>
        </w:rPr>
        <w:footnoteReference w:id="99"/>
      </w:r>
      <w:r w:rsidRPr="003E305A">
        <w:t xml:space="preserve">. </w:t>
      </w:r>
      <w:r w:rsidR="00707D42">
        <w:t>Rosenberg colocou a questão taxativamente</w:t>
      </w:r>
      <w:r w:rsidR="004D68CD">
        <w:t>:</w:t>
      </w:r>
      <w:r w:rsidR="00707D42">
        <w:t xml:space="preserve"> </w:t>
      </w:r>
      <w:r w:rsidR="00D0232B" w:rsidRPr="00D0232B">
        <w:t>«Nas mãos e na natureza da mulher reside a preservação da nossa raça.</w:t>
      </w:r>
      <w:r w:rsidR="00D0232B">
        <w:t xml:space="preserve"> </w:t>
      </w:r>
      <w:r w:rsidR="00D0232B" w:rsidRPr="00C9366F">
        <w:t xml:space="preserve">Um povo pode erguer-se e sair da servidão política, </w:t>
      </w:r>
      <w:r w:rsidR="00C9366F" w:rsidRPr="00C9366F">
        <w:t>mas nunca da poluiç</w:t>
      </w:r>
      <w:r w:rsidR="00C9366F">
        <w:t xml:space="preserve">ão </w:t>
      </w:r>
      <w:r w:rsidR="00C9366F">
        <w:lastRenderedPageBreak/>
        <w:t>racial»</w:t>
      </w:r>
      <w:r w:rsidR="00B84102">
        <w:rPr>
          <w:rStyle w:val="Refdenotaderodap"/>
        </w:rPr>
        <w:footnoteReference w:id="100"/>
      </w:r>
      <w:r w:rsidR="00707D42">
        <w:t xml:space="preserve">. </w:t>
      </w:r>
      <w:r w:rsidRPr="003E305A">
        <w:t>O medo obsessivo do pecado mortal, transposto do espírito para a carne, sustentava toda a dimensão pagã desta biologização do misticismo</w:t>
      </w:r>
      <w:r w:rsidR="009E64B7">
        <w:rPr>
          <w:rStyle w:val="Refdenotaderodap"/>
        </w:rPr>
        <w:footnoteReference w:id="101"/>
      </w:r>
      <w:r w:rsidRPr="003E305A">
        <w:t xml:space="preserve">. </w:t>
      </w:r>
      <w:r w:rsidR="00B1361A">
        <w:t xml:space="preserve">«[...] uma gota de mau sangue que entre nas veias de um indivíduo jamais poderá ser removida», recordou Himmler numa carta </w:t>
      </w:r>
      <w:r w:rsidR="006A619B">
        <w:t>em</w:t>
      </w:r>
      <w:r w:rsidR="00B1361A">
        <w:t xml:space="preserve"> 26 de Novembro de 1941</w:t>
      </w:r>
      <w:r w:rsidR="00B1361A">
        <w:rPr>
          <w:rStyle w:val="Refdenotaderodap"/>
        </w:rPr>
        <w:footnoteReference w:id="102"/>
      </w:r>
      <w:r w:rsidR="00B1361A">
        <w:t xml:space="preserve">. </w:t>
      </w:r>
      <w:r w:rsidR="00817716">
        <w:t>Não era só o sangue das mulheres a ficar corrompido, mas também o dos homens que copulassem com mulheres de raça inferior ou nociva, e já em 1924 Streicher reclamara que fosse cortado o pénis aos alemães que tivessem tido relações sexuais com judias</w:t>
      </w:r>
      <w:r w:rsidR="00817716">
        <w:rPr>
          <w:rStyle w:val="Refdenotaderodap"/>
        </w:rPr>
        <w:footnoteReference w:id="103"/>
      </w:r>
      <w:r w:rsidR="00817716">
        <w:t xml:space="preserve">. </w:t>
      </w:r>
      <w:r w:rsidRPr="003E305A">
        <w:t xml:space="preserve">O sangue dos elementos mais puros da raça superior ficaria a tal ponto contaminado pela cópula com pessoas atingidas pela inferioridade biológica que, a seguir ao </w:t>
      </w:r>
      <w:r w:rsidRPr="003E305A">
        <w:rPr>
          <w:i/>
        </w:rPr>
        <w:t>pogrom</w:t>
      </w:r>
      <w:r w:rsidRPr="003E305A">
        <w:t xml:space="preserve"> organizado pelos </w:t>
      </w:r>
      <w:r w:rsidR="003878B6">
        <w:t xml:space="preserve">nacionais-socialistas </w:t>
      </w:r>
      <w:r w:rsidRPr="003E305A">
        <w:t>na noite de 9 para 10 de Novembro de 1938, ao mesmo tempo que o tribunal interno do NSDAP inocentou os vinte e seis membros do partido que haviam assassinado judeus e determinou que cessassem os seus processos pendentes nos tribunais comuns, os quatro membros responsáveis por violações de judias foram expulsos d</w:t>
      </w:r>
      <w:r w:rsidR="004D68CD">
        <w:t>o</w:t>
      </w:r>
      <w:r w:rsidRPr="003E305A">
        <w:t xml:space="preserve"> </w:t>
      </w:r>
      <w:r w:rsidR="004D68CD">
        <w:t xml:space="preserve">partido </w:t>
      </w:r>
      <w:r w:rsidRPr="003E305A">
        <w:t>e remetidos para a justiça comum, enquanto infractores das Leis de Nuremberga</w:t>
      </w:r>
      <w:r w:rsidRPr="003E305A">
        <w:rPr>
          <w:rStyle w:val="Refdenotaderodap"/>
        </w:rPr>
        <w:footnoteReference w:id="104"/>
      </w:r>
      <w:r w:rsidRPr="003E305A">
        <w:t xml:space="preserve">. E num relatório de Agosto de 1943 Kaltenbrunner, uma das principais figuras do aparelho SS, invocou não só a visão do mundo adoptada pelo </w:t>
      </w:r>
      <w:r w:rsidR="004D68CD">
        <w:t xml:space="preserve">nacional-socialismo </w:t>
      </w:r>
      <w:r w:rsidRPr="003E305A">
        <w:t>mas igualmente motivos de política racial para tentar, talvez sem a eficácia desejada, pôr cobro às relações entre soldados germânicos e mulheres judias</w:t>
      </w:r>
      <w:r w:rsidRPr="003E305A">
        <w:rPr>
          <w:rStyle w:val="Refdenotaderodap"/>
        </w:rPr>
        <w:footnoteReference w:id="105"/>
      </w:r>
      <w:r w:rsidRPr="003E305A">
        <w:t xml:space="preserve">. </w:t>
      </w:r>
      <w:r w:rsidR="004A151A">
        <w:t xml:space="preserve">Mesmo para os SS, a quem tudo era permitido, ou talvez mais ainda para eles, havia algo que estava vedado, o relacionamento sexual com judias e com eslavas. Até um </w:t>
      </w:r>
      <w:r>
        <w:t xml:space="preserve">facínora como </w:t>
      </w:r>
      <w:r w:rsidRPr="00A03829">
        <w:t>Dirlewanger</w:t>
      </w:r>
      <w:r>
        <w:t xml:space="preserve">, </w:t>
      </w:r>
      <w:r w:rsidRPr="00A03829">
        <w:t xml:space="preserve">nacional-socialista desde 1922 </w:t>
      </w:r>
      <w:r>
        <w:t xml:space="preserve">e chefe do </w:t>
      </w:r>
      <w:r w:rsidR="00330BAF">
        <w:t>SS-</w:t>
      </w:r>
      <w:r w:rsidRPr="00A03829">
        <w:t>Sonderkommando</w:t>
      </w:r>
      <w:r>
        <w:t>,</w:t>
      </w:r>
      <w:r w:rsidRPr="00A03829">
        <w:t xml:space="preserve"> </w:t>
      </w:r>
      <w:r w:rsidR="004D68CD">
        <w:t xml:space="preserve">apesar de estar habituado a que tudo lhe fosse perdoado, </w:t>
      </w:r>
      <w:r>
        <w:t xml:space="preserve">passou </w:t>
      </w:r>
      <w:r w:rsidRPr="00A03829">
        <w:t>quase toda a guerra sob a acusação de crime de poluição racial, suspeitando-se que tivesse tido relações sexuais com uma judia na Polónia ocupada</w:t>
      </w:r>
      <w:r w:rsidRPr="00A03829">
        <w:rPr>
          <w:vertAlign w:val="superscript"/>
        </w:rPr>
        <w:footnoteReference w:id="106"/>
      </w:r>
      <w:r w:rsidRPr="00A03829">
        <w:t xml:space="preserve">. </w:t>
      </w:r>
      <w:r w:rsidRPr="00595F2E">
        <w:t xml:space="preserve">A poluição racial podia resultar igualmente </w:t>
      </w:r>
      <w:r>
        <w:t xml:space="preserve">da cópula </w:t>
      </w:r>
      <w:r w:rsidRPr="00595F2E">
        <w:t xml:space="preserve">com mulheres eslavas, </w:t>
      </w:r>
      <w:r>
        <w:t xml:space="preserve">e conhece-se o caso de </w:t>
      </w:r>
      <w:r w:rsidRPr="00595F2E">
        <w:t>um médico SS condenado a duas semanas de prisão e ao cumprimento do serviço militar num batalhão de excepcional severidade pelo facto de ter tido relações sexuais com uma prisioneira polaca</w:t>
      </w:r>
      <w:r>
        <w:rPr>
          <w:rStyle w:val="Refdenotaderodap"/>
        </w:rPr>
        <w:footnoteReference w:id="107"/>
      </w:r>
      <w:r w:rsidRPr="00595F2E">
        <w:t xml:space="preserve">. </w:t>
      </w:r>
      <w:r>
        <w:t xml:space="preserve">No seu depoimento </w:t>
      </w:r>
      <w:r>
        <w:lastRenderedPageBreak/>
        <w:t xml:space="preserve">perante o tribunal de Nuremberga, </w:t>
      </w:r>
      <w:bookmarkStart w:id="0" w:name="OLE_LINK1"/>
      <w:r>
        <w:t>Gottlob Berger</w:t>
      </w:r>
      <w:bookmarkEnd w:id="0"/>
      <w:r>
        <w:t>, que havia ocupado uma das mais altas patentes na hierarquia dos SS, declarou que «ser levado a julgamento sob a acusação de poluição racial era a coisa mais grave que podia acontecer a qualquer membro dos SS»</w:t>
      </w:r>
      <w:r>
        <w:rPr>
          <w:rStyle w:val="Refdenotaderodap"/>
        </w:rPr>
        <w:footnoteReference w:id="108"/>
      </w:r>
      <w:r>
        <w:t xml:space="preserve">. </w:t>
      </w:r>
    </w:p>
    <w:p w:rsidR="00321E01" w:rsidRPr="003E305A" w:rsidRDefault="00321E01" w:rsidP="00321E01">
      <w:r w:rsidRPr="003E305A">
        <w:t xml:space="preserve">Neste contexto, só o oportunismo político e o temor </w:t>
      </w:r>
      <w:r w:rsidR="007E4B0D">
        <w:t>—</w:t>
      </w:r>
      <w:r w:rsidR="00750234">
        <w:t xml:space="preserve"> </w:t>
      </w:r>
      <w:r w:rsidRPr="003E305A">
        <w:t xml:space="preserve">invulgar entre as autoridades </w:t>
      </w:r>
      <w:r w:rsidR="007E4B0D">
        <w:t>do Reich —</w:t>
      </w:r>
      <w:r w:rsidRPr="003E305A">
        <w:t xml:space="preserve"> das reacções populares explica a situação relativamente priveligiada em que se encontraram os casais mistos, cujos membros judeus, além de estarem isentos de alguns dos impostos que oneravam os demais correligionários, foram em grande parte dos casos poupados ao programa de extermínio</w:t>
      </w:r>
      <w:r>
        <w:t>.</w:t>
      </w:r>
      <w:r w:rsidRPr="003E305A">
        <w:t xml:space="preserve"> </w:t>
      </w:r>
      <w:r w:rsidR="00C146E3">
        <w:t>Nesta questão o Führer agiu sempre com muita prudência</w:t>
      </w:r>
      <w:r w:rsidR="00C146E3">
        <w:rPr>
          <w:rStyle w:val="Refdenotaderodap"/>
        </w:rPr>
        <w:footnoteReference w:id="109"/>
      </w:r>
      <w:r w:rsidR="00C146E3">
        <w:t xml:space="preserve">. </w:t>
      </w:r>
      <w:r w:rsidRPr="0040658D">
        <w:t xml:space="preserve">Os judeus ou as judias casados com arianas e arianos puderam ocasionalmente ser vítimas de assassinatos individuais, </w:t>
      </w:r>
      <w:r>
        <w:t xml:space="preserve">mas </w:t>
      </w:r>
      <w:r w:rsidRPr="0040658D">
        <w:t xml:space="preserve">não foram incluídos no genocídio colectivo, </w:t>
      </w:r>
      <w:r w:rsidRPr="003E305A">
        <w:t xml:space="preserve">pelo menos enquanto o cônjuge ariano vivia, porque, se falecesse, o outro cônjuge era de imediato equiparado aos restantes judeus. As judias casadas com arianos ficaram até dispensadas da estrela amarela, quando o seu uso se tornou obrigatório para os judeus </w:t>
      </w:r>
      <w:r w:rsidR="00AD1BF9">
        <w:t xml:space="preserve">do Reich </w:t>
      </w:r>
      <w:r w:rsidRPr="003E305A">
        <w:t>em Setembro de 1941</w:t>
      </w:r>
      <w:r w:rsidRPr="003E305A">
        <w:rPr>
          <w:rStyle w:val="Refdenotaderodap"/>
        </w:rPr>
        <w:footnoteReference w:id="110"/>
      </w:r>
      <w:r w:rsidRPr="003E305A">
        <w:t xml:space="preserve">. Em Fevereiro de 1943, durante a operação destinada a enviar para campos de concentração e de extermínio os judeus do Reich que laboravam nas indústrias de guerra, as esposas arianas de matrimónios mistos manifestaram-se </w:t>
      </w:r>
      <w:r w:rsidR="00533C4B">
        <w:t xml:space="preserve">em Berlim </w:t>
      </w:r>
      <w:r w:rsidRPr="003E305A">
        <w:t xml:space="preserve">e conseguiram obter a libertação dos maridos, uma das raras ocasiões em que os chefes </w:t>
      </w:r>
      <w:r w:rsidR="007E4B0D">
        <w:t>naciona</w:t>
      </w:r>
      <w:r w:rsidR="00B6617B">
        <w:t>l</w:t>
      </w:r>
      <w:r w:rsidR="007E4B0D">
        <w:t>-socialistas</w:t>
      </w:r>
      <w:r w:rsidRPr="003E305A">
        <w:t xml:space="preserve"> recuaram perante as pressões da rua</w:t>
      </w:r>
      <w:r w:rsidRPr="003E305A">
        <w:rPr>
          <w:rStyle w:val="Refdenotaderodap"/>
        </w:rPr>
        <w:footnoteReference w:id="111"/>
      </w:r>
      <w:r w:rsidRPr="003E305A">
        <w:t xml:space="preserve">. É certo que </w:t>
      </w:r>
      <w:r w:rsidR="00C957CF">
        <w:t>só 3% dos judeus tinham esposas arianas</w:t>
      </w:r>
      <w:r w:rsidR="00C957CF">
        <w:rPr>
          <w:rStyle w:val="Refdenotaderodap"/>
        </w:rPr>
        <w:footnoteReference w:id="112"/>
      </w:r>
      <w:r w:rsidR="00C957CF">
        <w:t xml:space="preserve"> e, como </w:t>
      </w:r>
      <w:r w:rsidRPr="003E305A">
        <w:t>a realização de novos casamentos mistos havia sido proibida pelas Leis de Nuremberga</w:t>
      </w:r>
      <w:r w:rsidR="00C957CF">
        <w:t>,</w:t>
      </w:r>
      <w:r w:rsidRPr="003E305A">
        <w:t xml:space="preserve"> a mera passagem dos anos liquidaria as famílias existentes</w:t>
      </w:r>
      <w:r w:rsidR="00B07096">
        <w:t>.</w:t>
      </w:r>
      <w:r w:rsidRPr="003E305A">
        <w:t xml:space="preserve"> </w:t>
      </w:r>
      <w:r w:rsidR="008A627D">
        <w:t xml:space="preserve">Aliás, o </w:t>
      </w:r>
      <w:r w:rsidR="00B07096">
        <w:t>Führer disse a Goebbels em 21 de Novembro de 1941 que «estes casamentos hão-de extinguir-se e escusamos de ficar com cabelos brancos por causa disto»</w:t>
      </w:r>
      <w:r w:rsidR="00B07096">
        <w:rPr>
          <w:rStyle w:val="Refdenotaderodap"/>
        </w:rPr>
        <w:footnoteReference w:id="113"/>
      </w:r>
      <w:r w:rsidR="00B07096">
        <w:t xml:space="preserve">, </w:t>
      </w:r>
      <w:r w:rsidRPr="003E305A">
        <w:t xml:space="preserve">mas </w:t>
      </w:r>
      <w:r w:rsidR="00B07096">
        <w:t xml:space="preserve">como </w:t>
      </w:r>
      <w:r w:rsidRPr="003E305A">
        <w:t xml:space="preserve">em todos os outros casos a </w:t>
      </w:r>
      <w:r w:rsidR="00B07096">
        <w:t xml:space="preserve">sua </w:t>
      </w:r>
      <w:r w:rsidRPr="003E305A">
        <w:t xml:space="preserve">política racial não se satisfez com os processos biológicos </w:t>
      </w:r>
      <w:r>
        <w:t>naturais</w:t>
      </w:r>
      <w:r w:rsidRPr="003E305A">
        <w:t xml:space="preserve"> e adoptou como regra a interferência activa</w:t>
      </w:r>
      <w:r>
        <w:t>,</w:t>
      </w:r>
      <w:r w:rsidRPr="003E305A">
        <w:t xml:space="preserve"> </w:t>
      </w:r>
      <w:r>
        <w:t>os</w:t>
      </w:r>
      <w:r w:rsidRPr="003E305A">
        <w:t xml:space="preserve"> matrimónios mistos </w:t>
      </w:r>
      <w:r w:rsidR="00B07096">
        <w:t xml:space="preserve">constituíram </w:t>
      </w:r>
      <w:r w:rsidRPr="003E305A">
        <w:t xml:space="preserve">uma excepção flagrante e </w:t>
      </w:r>
      <w:r w:rsidR="00C146E3">
        <w:t>injustificável</w:t>
      </w:r>
      <w:r w:rsidRPr="003E305A">
        <w:t xml:space="preserve"> em termos ideológicos</w:t>
      </w:r>
      <w:r w:rsidR="005F031D">
        <w:t>,</w:t>
      </w:r>
      <w:r w:rsidR="00B07096">
        <w:t xml:space="preserve"> </w:t>
      </w:r>
      <w:r w:rsidR="005F031D">
        <w:t xml:space="preserve">para mais </w:t>
      </w:r>
      <w:r w:rsidRPr="003E305A">
        <w:t xml:space="preserve">num regime que dava um tão grande peso à doutrina. </w:t>
      </w:r>
    </w:p>
    <w:p w:rsidR="00321E01" w:rsidRDefault="00321E01" w:rsidP="00321E01">
      <w:r>
        <w:t xml:space="preserve">Que estranha situação, a de homens superiores que corrompiam a pureza do seu sangue copulando com judias ou com eslavas, sem que nesse acto conseguissem promover a </w:t>
      </w:r>
      <w:r>
        <w:lastRenderedPageBreak/>
        <w:t xml:space="preserve">uma verdadeira superioridade o sangue inferior. </w:t>
      </w:r>
      <w:r w:rsidRPr="003E305A">
        <w:t xml:space="preserve">E a </w:t>
      </w:r>
      <w:r>
        <w:t xml:space="preserve">assimetria </w:t>
      </w:r>
      <w:r w:rsidRPr="003E305A">
        <w:t>era mais grave ainda. «O casal nórdico», escrev</w:t>
      </w:r>
      <w:r>
        <w:t>eu</w:t>
      </w:r>
      <w:r w:rsidRPr="003E305A">
        <w:t xml:space="preserve"> o cientista </w:t>
      </w:r>
      <w:r w:rsidR="005825B3">
        <w:t>nacional-socialista</w:t>
      </w:r>
      <w:r w:rsidRPr="003E305A">
        <w:t xml:space="preserve"> Ludwig Ferdinand Clauss, «não busca o êxtase», enquanto o mediterrânico ou o levantino «é um perito nos prazeres amorosos e carnais»</w:t>
      </w:r>
      <w:r w:rsidRPr="003E305A">
        <w:rPr>
          <w:rStyle w:val="Refdenotaderodap"/>
        </w:rPr>
        <w:footnoteReference w:id="114"/>
      </w:r>
      <w:r w:rsidRPr="003E305A">
        <w:t xml:space="preserve">. É certo que o prestígio de Clauss empalideceu e ficou comprometido quando </w:t>
      </w:r>
      <w:r w:rsidR="008A3495">
        <w:t>discordou d</w:t>
      </w:r>
      <w:r w:rsidRPr="003E305A">
        <w:t>os seus colegas que orientavam a política rácica do Reich, sendo expulso do NSDAP em 1943, mas depois disto a sua influência continuou a fazer-se sentir fortemente entre as altas instâncias dos SS</w:t>
      </w:r>
      <w:r w:rsidRPr="003E305A">
        <w:rPr>
          <w:rStyle w:val="Refdenotaderodap"/>
        </w:rPr>
        <w:footnoteReference w:id="115"/>
      </w:r>
      <w:r w:rsidRPr="003E305A">
        <w:t xml:space="preserve">. </w:t>
      </w:r>
      <w:r w:rsidR="005825B3">
        <w:t xml:space="preserve">Singular </w:t>
      </w:r>
      <w:r w:rsidRPr="003E305A">
        <w:t xml:space="preserve">raça de heróis e senhores, inibidos sexualmente pela castidade e incapazes de </w:t>
      </w:r>
      <w:r>
        <w:t>redimir</w:t>
      </w:r>
      <w:r w:rsidRPr="003E305A">
        <w:t xml:space="preserve"> o sangue dos outros povos, enquanto as raças degradadas, aptas à fornicação poluidora, pareciam não conhecer restrições biológicas à sua actuação nociva</w:t>
      </w:r>
      <w:r w:rsidRPr="003E305A">
        <w:rPr>
          <w:rStyle w:val="Refdenotaderodap"/>
        </w:rPr>
        <w:footnoteReference w:id="116"/>
      </w:r>
      <w:r w:rsidR="005825B3">
        <w:t>.</w:t>
      </w:r>
      <w:r w:rsidRPr="003E305A">
        <w:t xml:space="preserve"> </w:t>
      </w:r>
    </w:p>
    <w:p w:rsidR="00321E01" w:rsidRPr="003E305A" w:rsidRDefault="00321E01" w:rsidP="00321E01">
      <w:r w:rsidRPr="003E305A">
        <w:t xml:space="preserve">Só a metáfora de um corpo são e bacilos ocultos pode servir para conceber tamanho paradoxo. É elucidativo que em </w:t>
      </w:r>
      <w:r w:rsidRPr="003E305A">
        <w:rPr>
          <w:i/>
        </w:rPr>
        <w:t>Mein Kampf</w:t>
      </w:r>
      <w:r w:rsidRPr="003E305A">
        <w:t xml:space="preserve"> Hitler misturasse a questão da tuberculose e da sífilis com o contacto sexual com judeus e judias, considerando tudo isto, em conjunto, como factores de degenerescência da raça</w:t>
      </w:r>
      <w:r w:rsidRPr="003E305A">
        <w:rPr>
          <w:rStyle w:val="Refdenotaderodap"/>
        </w:rPr>
        <w:footnoteReference w:id="117"/>
      </w:r>
      <w:r w:rsidRPr="003E305A">
        <w:t>. Já Paul de Lagarde tinha equiparado os judeus a bacilos</w:t>
      </w:r>
      <w:r w:rsidRPr="003E305A">
        <w:rPr>
          <w:rStyle w:val="Refdenotaderodap"/>
        </w:rPr>
        <w:footnoteReference w:id="118"/>
      </w:r>
      <w:r>
        <w:t>.</w:t>
      </w:r>
      <w:r w:rsidRPr="003E305A">
        <w:t xml:space="preserve"> E numa carta datada de </w:t>
      </w:r>
      <w:r w:rsidR="00274082">
        <w:t xml:space="preserve">Setembro de </w:t>
      </w:r>
      <w:r w:rsidRPr="003E305A">
        <w:t>1919, o primeiro dos seus textos políticos de dimensões significativas hoje conhecido, Hitler escrevera que os judeus eram uma «tuberculose rácica»</w:t>
      </w:r>
      <w:r w:rsidRPr="003E305A">
        <w:rPr>
          <w:rStyle w:val="Refdenotaderodap"/>
        </w:rPr>
        <w:footnoteReference w:id="119"/>
      </w:r>
      <w:r w:rsidRPr="003E305A">
        <w:t>, expressão idêntica à usada por Anton Drexler</w:t>
      </w:r>
      <w:r w:rsidRPr="003E305A">
        <w:rPr>
          <w:rStyle w:val="Refdenotaderodap"/>
        </w:rPr>
        <w:footnoteReference w:id="120"/>
      </w:r>
      <w:r w:rsidRPr="003E305A">
        <w:t xml:space="preserve">. </w:t>
      </w:r>
      <w:r w:rsidR="007F7C55" w:rsidRPr="003E305A">
        <w:t xml:space="preserve">Eles seriam uma </w:t>
      </w:r>
      <w:r w:rsidR="007F7C55">
        <w:t>«</w:t>
      </w:r>
      <w:r w:rsidR="007F7C55" w:rsidRPr="003E305A">
        <w:t>peste</w:t>
      </w:r>
      <w:r w:rsidR="007F7C55">
        <w:t>»</w:t>
      </w:r>
      <w:r w:rsidR="007F7C55" w:rsidRPr="003E305A">
        <w:t xml:space="preserve"> também</w:t>
      </w:r>
      <w:r w:rsidR="007F7C55" w:rsidRPr="003E305A">
        <w:rPr>
          <w:rStyle w:val="Refdenotaderodap"/>
        </w:rPr>
        <w:footnoteReference w:id="121"/>
      </w:r>
      <w:r w:rsidR="007F7C55">
        <w:t xml:space="preserve">. </w:t>
      </w:r>
      <w:r>
        <w:t xml:space="preserve">A passagem dos anos não alterou as metáforas. </w:t>
      </w:r>
      <w:r w:rsidR="008C6331">
        <w:t xml:space="preserve">Em </w:t>
      </w:r>
      <w:r w:rsidR="00551A2B">
        <w:t xml:space="preserve">Julho de </w:t>
      </w:r>
      <w:r w:rsidR="008C6331">
        <w:t xml:space="preserve">1941, </w:t>
      </w:r>
      <w:r w:rsidR="00AF0276">
        <w:t xml:space="preserve">já </w:t>
      </w:r>
      <w:r w:rsidR="008C6331">
        <w:t xml:space="preserve">lançado na campanha contra a União Soviética, Hitler gabou-se de </w:t>
      </w:r>
      <w:r w:rsidR="00551A2B">
        <w:t xml:space="preserve">«ser na esfera política como outro Robert Koch» por </w:t>
      </w:r>
      <w:r w:rsidR="008C6331">
        <w:t xml:space="preserve">«ter descoberto os judeus como o bacilo e o fermento que provoca toda a decadência </w:t>
      </w:r>
      <w:r w:rsidR="00AF0276">
        <w:t>na</w:t>
      </w:r>
      <w:r w:rsidR="008C6331">
        <w:t xml:space="preserve"> sociedade»</w:t>
      </w:r>
      <w:r w:rsidR="00AF0276">
        <w:rPr>
          <w:rStyle w:val="Refdenotaderodap"/>
        </w:rPr>
        <w:footnoteReference w:id="122"/>
      </w:r>
      <w:r w:rsidR="008C6331">
        <w:t xml:space="preserve">. </w:t>
      </w:r>
      <w:r w:rsidR="006D305B">
        <w:t xml:space="preserve">No mesmo ano, conversando </w:t>
      </w:r>
      <w:r>
        <w:t>com Himmler</w:t>
      </w:r>
      <w:r w:rsidR="008C6331">
        <w:t>,</w:t>
      </w:r>
      <w:r>
        <w:t xml:space="preserve"> referiu os judeus como «essa peste»</w:t>
      </w:r>
      <w:r w:rsidR="006D305B">
        <w:rPr>
          <w:rStyle w:val="Refdenotaderodap"/>
        </w:rPr>
        <w:footnoteReference w:id="123"/>
      </w:r>
      <w:r>
        <w:t xml:space="preserve"> e em </w:t>
      </w:r>
      <w:r w:rsidRPr="003E305A">
        <w:t xml:space="preserve">Fevereiro </w:t>
      </w:r>
      <w:r>
        <w:t xml:space="preserve">do ano </w:t>
      </w:r>
      <w:r w:rsidR="006D305B">
        <w:t xml:space="preserve">seguinte </w:t>
      </w:r>
      <w:r w:rsidR="005E5B3E">
        <w:t xml:space="preserve">disse </w:t>
      </w:r>
      <w:r w:rsidR="00245F39">
        <w:t xml:space="preserve">a Himmler e outros </w:t>
      </w:r>
      <w:r w:rsidRPr="003E305A">
        <w:t xml:space="preserve">comensais </w:t>
      </w:r>
      <w:r w:rsidR="005E5B3E">
        <w:t xml:space="preserve">que «a </w:t>
      </w:r>
      <w:r w:rsidR="005E5B3E">
        <w:lastRenderedPageBreak/>
        <w:t xml:space="preserve">descoberta do vírus judaico é uma das maiores revoluções que ocorreram no mundo», </w:t>
      </w:r>
      <w:r w:rsidR="005E5B3E" w:rsidRPr="003E305A">
        <w:t>explic</w:t>
      </w:r>
      <w:r w:rsidR="005E5B3E">
        <w:t>ando-lhes</w:t>
      </w:r>
      <w:r w:rsidR="005E5B3E" w:rsidRPr="003E305A">
        <w:t xml:space="preserve"> </w:t>
      </w:r>
      <w:r w:rsidRPr="003E305A">
        <w:t>que o combate contra o judaísmo «tem a mesma natureza que o combate travado no século passado por Pasteur e por Koch»</w:t>
      </w:r>
      <w:r w:rsidRPr="003E305A">
        <w:rPr>
          <w:rStyle w:val="Refdenotaderodap"/>
        </w:rPr>
        <w:footnoteReference w:id="124"/>
      </w:r>
      <w:r w:rsidR="006D305B">
        <w:t>.</w:t>
      </w:r>
      <w:r w:rsidRPr="003E305A">
        <w:t xml:space="preserve"> </w:t>
      </w:r>
      <w:r w:rsidR="007F7C55">
        <w:t>Ainda em 1942, num discurso pronunciado a 26 de Abril, o Führer classificou os judeus como uma «praga»</w:t>
      </w:r>
      <w:r w:rsidR="007F7C55">
        <w:rPr>
          <w:rStyle w:val="Refdenotaderodap"/>
        </w:rPr>
        <w:footnoteReference w:id="125"/>
      </w:r>
      <w:r w:rsidR="007F7C55">
        <w:t xml:space="preserve"> e num </w:t>
      </w:r>
      <w:r w:rsidR="001435C5">
        <w:t xml:space="preserve">encontro </w:t>
      </w:r>
      <w:r w:rsidR="006D305B" w:rsidRPr="003E305A">
        <w:t xml:space="preserve">com o regente Horthy da Hungria </w:t>
      </w:r>
      <w:r w:rsidRPr="003E305A">
        <w:t xml:space="preserve">em Abril </w:t>
      </w:r>
      <w:r w:rsidR="007F7C55">
        <w:t xml:space="preserve">do ano seguinte </w:t>
      </w:r>
      <w:r w:rsidRPr="003E305A">
        <w:t>compar</w:t>
      </w:r>
      <w:r>
        <w:t>ou</w:t>
      </w:r>
      <w:r w:rsidRPr="003E305A">
        <w:t xml:space="preserve"> novamente os judeus ao bacilo da tuberculose</w:t>
      </w:r>
      <w:r w:rsidRPr="003E305A">
        <w:rPr>
          <w:rStyle w:val="Refdenotaderodap"/>
        </w:rPr>
        <w:footnoteReference w:id="126"/>
      </w:r>
      <w:r w:rsidRPr="003E305A">
        <w:t xml:space="preserve">. </w:t>
      </w:r>
      <w:r w:rsidR="00E82CEA">
        <w:t xml:space="preserve">O Judeu </w:t>
      </w:r>
      <w:r w:rsidR="00E82CEA" w:rsidRPr="003E305A">
        <w:t>«tem a mesma função que um bacilo venenoso desempenha no organismo humano», escrev</w:t>
      </w:r>
      <w:r w:rsidR="00E82CEA">
        <w:t>er</w:t>
      </w:r>
      <w:r w:rsidR="00E82CEA" w:rsidRPr="003E305A">
        <w:t>a Goebbels no seu romance</w:t>
      </w:r>
      <w:r w:rsidR="00E82CEA">
        <w:t xml:space="preserve"> de 1929</w:t>
      </w:r>
      <w:r w:rsidR="00E82CEA" w:rsidRPr="003E305A">
        <w:rPr>
          <w:rStyle w:val="Refdenotaderodap"/>
        </w:rPr>
        <w:footnoteReference w:id="127"/>
      </w:r>
      <w:r w:rsidR="00E82CEA">
        <w:t>. Voltou muito mais tarde a chamar-lhe «bacilo», na entrada do seu diário correspondente a 27 de Março de 1942</w:t>
      </w:r>
      <w:r w:rsidR="00E82CEA">
        <w:rPr>
          <w:rStyle w:val="Refdenotaderodap"/>
        </w:rPr>
        <w:footnoteReference w:id="128"/>
      </w:r>
      <w:r w:rsidR="00E82CEA">
        <w:t>,</w:t>
      </w:r>
      <w:r w:rsidR="00E82CEA" w:rsidRPr="003E305A">
        <w:t xml:space="preserve"> </w:t>
      </w:r>
      <w:r w:rsidR="00B0033E">
        <w:t>tendo-</w:t>
      </w:r>
      <w:r w:rsidR="00F90F11">
        <w:t>o</w:t>
      </w:r>
      <w:r w:rsidR="00B0033E">
        <w:t xml:space="preserve"> já </w:t>
      </w:r>
      <w:r w:rsidR="00F90F11">
        <w:t xml:space="preserve">classificado como </w:t>
      </w:r>
      <w:r w:rsidR="00B0033E">
        <w:t>«micróbio» vinte dias antes</w:t>
      </w:r>
      <w:r w:rsidR="00B0033E">
        <w:rPr>
          <w:rStyle w:val="Refdenotaderodap"/>
        </w:rPr>
        <w:footnoteReference w:id="129"/>
      </w:r>
      <w:r w:rsidR="00B0033E">
        <w:t xml:space="preserve">, </w:t>
      </w:r>
      <w:r w:rsidR="00E82CEA">
        <w:t xml:space="preserve">e num importante discurso proferido em 18 de Fevereiro do ano seguinte Goebbels explicou que </w:t>
      </w:r>
      <w:r w:rsidR="00AF7336">
        <w:t>«</w:t>
      </w:r>
      <w:r w:rsidR="00E82CEA">
        <w:t xml:space="preserve">o </w:t>
      </w:r>
      <w:r w:rsidR="00AF7336">
        <w:t>judaísmo constitui um fenómeno infeccioso e contagioso»</w:t>
      </w:r>
      <w:r w:rsidR="00C37957">
        <w:rPr>
          <w:rStyle w:val="Refdenotaderodap"/>
        </w:rPr>
        <w:footnoteReference w:id="130"/>
      </w:r>
      <w:r w:rsidR="00AF7336">
        <w:t xml:space="preserve">. </w:t>
      </w:r>
      <w:r w:rsidR="00A464C1" w:rsidRPr="002378B2">
        <w:t xml:space="preserve">Em 1936 </w:t>
      </w:r>
      <w:r w:rsidR="00A464C1" w:rsidRPr="001472E9">
        <w:rPr>
          <w:i/>
        </w:rPr>
        <w:t>Der Stürmer,</w:t>
      </w:r>
      <w:r w:rsidR="00A464C1">
        <w:t xml:space="preserve"> o semanário dirigido por Julius Streicher, o mais vociferante dos anti-semitas, considerou os judeus como «o bacilo» e dois anos depois </w:t>
      </w:r>
      <w:r w:rsidR="00A464C1" w:rsidRPr="00EC2756">
        <w:t>cham</w:t>
      </w:r>
      <w:r w:rsidR="00A464C1">
        <w:t>ou</w:t>
      </w:r>
      <w:r w:rsidR="00A464C1" w:rsidRPr="00EC2756">
        <w:t xml:space="preserve">-lhes </w:t>
      </w:r>
      <w:r w:rsidR="00A464C1">
        <w:t>«as bactérias, os insectos parasitas e a peste»</w:t>
      </w:r>
      <w:r w:rsidR="00A464C1">
        <w:rPr>
          <w:rStyle w:val="Refdenotaderodap"/>
        </w:rPr>
        <w:footnoteReference w:id="131"/>
      </w:r>
      <w:r w:rsidR="00A464C1">
        <w:t xml:space="preserve">. </w:t>
      </w:r>
      <w:r w:rsidRPr="003E305A">
        <w:t>Com efeito</w:t>
      </w:r>
      <w:r>
        <w:t>,</w:t>
      </w:r>
      <w:r w:rsidRPr="003E305A">
        <w:t xml:space="preserve"> era como um rato pestífero que a propaganda apresentava o Judeu</w:t>
      </w:r>
      <w:r w:rsidRPr="003E305A">
        <w:rPr>
          <w:rStyle w:val="Refdenotaderodap"/>
        </w:rPr>
        <w:footnoteReference w:id="132"/>
      </w:r>
      <w:r>
        <w:t>,</w:t>
      </w:r>
      <w:r w:rsidRPr="003E305A">
        <w:t xml:space="preserve"> </w:t>
      </w:r>
      <w:r>
        <w:t xml:space="preserve">comparado aos «germes da cólera» </w:t>
      </w:r>
      <w:r w:rsidRPr="00AF2A23">
        <w:t xml:space="preserve">no prefácio </w:t>
      </w:r>
      <w:r>
        <w:t xml:space="preserve">com que </w:t>
      </w:r>
      <w:r w:rsidRPr="00AF2A23">
        <w:t xml:space="preserve">o prof. Johann von Leers </w:t>
      </w:r>
      <w:r>
        <w:t xml:space="preserve">introduziu </w:t>
      </w:r>
      <w:r w:rsidRPr="00AF2A23">
        <w:t>um livro acerca do judaísmo</w:t>
      </w:r>
      <w:r>
        <w:rPr>
          <w:rStyle w:val="Refdenotaderodap"/>
        </w:rPr>
        <w:footnoteReference w:id="133"/>
      </w:r>
      <w:r>
        <w:t xml:space="preserve">. </w:t>
      </w:r>
      <w:r w:rsidRPr="003E305A">
        <w:t>Hans Frank, um dos principais juristas do nacional-socialismo, governador-geral da Polónia durante a guerra, insistia em caracterizar os judeus como piolhos</w:t>
      </w:r>
      <w:r w:rsidRPr="003E305A">
        <w:rPr>
          <w:rStyle w:val="Refdenotaderodap"/>
        </w:rPr>
        <w:footnoteReference w:id="134"/>
      </w:r>
      <w:r w:rsidRPr="003E305A">
        <w:t xml:space="preserve">, com uma dupla conotação </w:t>
      </w:r>
      <w:r w:rsidR="006D305B">
        <w:t>—</w:t>
      </w:r>
      <w:r w:rsidRPr="003E305A">
        <w:t xml:space="preserve"> social, enquanto insectos parasitas, e biológica, enquanto portadores do tifo</w:t>
      </w:r>
      <w:r w:rsidRPr="003E305A">
        <w:rPr>
          <w:rStyle w:val="Refdenotaderodap"/>
        </w:rPr>
        <w:footnoteReference w:id="135"/>
      </w:r>
      <w:r w:rsidRPr="003E305A">
        <w:t xml:space="preserve">. </w:t>
      </w:r>
      <w:r w:rsidR="00DE4535">
        <w:t>«Bactéria» foi como Himmler classificou o Judeu no seu discurso de Posen em 4 de Outubro de 1943</w:t>
      </w:r>
      <w:r w:rsidR="00DE4535">
        <w:rPr>
          <w:rStyle w:val="Refdenotaderodap"/>
        </w:rPr>
        <w:footnoteReference w:id="136"/>
      </w:r>
      <w:r w:rsidR="00DE4535">
        <w:t xml:space="preserve">. </w:t>
      </w:r>
      <w:r w:rsidR="00A464C1">
        <w:t xml:space="preserve">A </w:t>
      </w:r>
      <w:r w:rsidR="00A464C1">
        <w:lastRenderedPageBreak/>
        <w:t>nocividade d</w:t>
      </w:r>
      <w:r w:rsidR="006A63A7">
        <w:t>a</w:t>
      </w:r>
      <w:r w:rsidR="006A63A7" w:rsidRPr="003E305A">
        <w:t xml:space="preserve"> raça judaica</w:t>
      </w:r>
      <w:r w:rsidR="006A63A7">
        <w:t xml:space="preserve"> </w:t>
      </w:r>
      <w:r w:rsidR="00A464C1">
        <w:t xml:space="preserve">seria </w:t>
      </w:r>
      <w:r w:rsidRPr="003E305A">
        <w:t>pervers</w:t>
      </w:r>
      <w:r w:rsidR="00A464C1">
        <w:t>a</w:t>
      </w:r>
      <w:r w:rsidRPr="003E305A">
        <w:t xml:space="preserve"> também, porque, embora fosse tida por transmissora da praga, era desde há várias décadas considerada por biólogos e médicos como imune a certas doenças contagiosas, nomeadamente a mais terrível de então, a tuberculose</w:t>
      </w:r>
      <w:r w:rsidRPr="003E305A">
        <w:rPr>
          <w:rStyle w:val="Refdenotaderodap"/>
        </w:rPr>
        <w:footnoteReference w:id="137"/>
      </w:r>
      <w:r w:rsidRPr="003E305A">
        <w:t xml:space="preserve">. </w:t>
      </w:r>
      <w:r w:rsidR="006A63A7">
        <w:t>Aquela</w:t>
      </w:r>
      <w:r>
        <w:t xml:space="preserve"> ameaça </w:t>
      </w:r>
      <w:r w:rsidRPr="003E305A">
        <w:t>estava salvaguardada do perigo</w:t>
      </w:r>
      <w:r>
        <w:t xml:space="preserve"> que representava</w:t>
      </w:r>
      <w:r w:rsidRPr="003E305A">
        <w:t>. O Judeu «envenena o sangue dos outros, mas preserva o seu próprio»</w:t>
      </w:r>
      <w:r>
        <w:t>, explicara Hitler</w:t>
      </w:r>
      <w:r w:rsidRPr="003E305A">
        <w:rPr>
          <w:rStyle w:val="Refdenotaderodap"/>
        </w:rPr>
        <w:footnoteReference w:id="138"/>
      </w:r>
      <w:r w:rsidRPr="003E305A">
        <w:t xml:space="preserve">. Talvez não fosse apenas um símbolo ocasional e correspondesse a motivações e impulsos muito profundos o facto de um dos gases usados pelos SS para assassinarem em massa os judeus nos campos de extermínio ser habitualmente empregue para a desinfestação de casas e roupas ou de pessoas devidamente protegidas por máscaras respiratórias. Nas mãos dos </w:t>
      </w:r>
      <w:r w:rsidR="003878B6">
        <w:t>nacionais-socialistas</w:t>
      </w:r>
      <w:r w:rsidRPr="003E305A">
        <w:t>, os judeus iriam conhecer a mesma sorte dos seus congéneres, ratos e insectos parasitas</w:t>
      </w:r>
      <w:r w:rsidRPr="003E305A">
        <w:rPr>
          <w:rStyle w:val="Refdenotaderodap"/>
        </w:rPr>
        <w:footnoteReference w:id="139"/>
      </w:r>
      <w:r w:rsidRPr="003E305A">
        <w:t xml:space="preserve">. Aliás, </w:t>
      </w:r>
      <w:r w:rsidR="00BF16C8">
        <w:t xml:space="preserve">os encarregados da aplicação desse </w:t>
      </w:r>
      <w:r w:rsidRPr="003E305A">
        <w:t xml:space="preserve">gás </w:t>
      </w:r>
      <w:r>
        <w:t xml:space="preserve">nos campos </w:t>
      </w:r>
      <w:r w:rsidRPr="003E305A">
        <w:t>eram oficialmente designad</w:t>
      </w:r>
      <w:r w:rsidR="00BF16C8">
        <w:t>o</w:t>
      </w:r>
      <w:r w:rsidRPr="003E305A">
        <w:t>s como «desinfectadores»</w:t>
      </w:r>
      <w:r w:rsidRPr="003E305A">
        <w:rPr>
          <w:rStyle w:val="Refdenotaderodap"/>
        </w:rPr>
        <w:footnoteReference w:id="140"/>
      </w:r>
      <w:r w:rsidRPr="003E305A">
        <w:t xml:space="preserve">. </w:t>
      </w:r>
    </w:p>
    <w:p w:rsidR="00321E01" w:rsidRDefault="00321E01" w:rsidP="00321E01">
      <w:r>
        <w:t xml:space="preserve">A lógica que presidia à assimetria entre a vulnerabilidade da raça superior e a resistência daninha do sangue inferior </w:t>
      </w:r>
      <w:r w:rsidRPr="003E305A">
        <w:t xml:space="preserve">era meramente moral e explica-se no quadro de uma metafísica hiper-romântica da história, considerando o combate dos puros como uma derradeira defesa e excluindo da sua vocação qualquer possibilidade de redimir os impuros. </w:t>
      </w:r>
      <w:r w:rsidRPr="00470B71">
        <w:t xml:space="preserve">Enquanto o modelo darwiniano da selecção natural e da selecção sexual fora directamente inspirado pelos mecanismos da concorrência capitalista, para Hitler o confronto entre raças assumia uma forma arcaica, exclusivamente bélica. Seria a guerra o fundamento da dinâmica dos povos. </w:t>
      </w:r>
      <w:r w:rsidRPr="003E305A">
        <w:t xml:space="preserve">No racismo vigente nos círculos políticos animados por Gregor e Otto Strasser </w:t>
      </w:r>
      <w:r w:rsidR="00D640AB">
        <w:t xml:space="preserve">e por Röhm </w:t>
      </w:r>
      <w:r w:rsidRPr="003E305A">
        <w:t>percebemos um sentimento de confiança que só podia dever-se à solidez económica de uma potência capitalista. Nada disto interessava aos defensores da supremacia nórdica. «Nós não acreditamos nas leis económicas», escrev</w:t>
      </w:r>
      <w:r>
        <w:t>eu</w:t>
      </w:r>
      <w:r w:rsidRPr="003E305A">
        <w:t xml:space="preserve"> o </w:t>
      </w:r>
      <w:r w:rsidRPr="003E305A">
        <w:rPr>
          <w:i/>
        </w:rPr>
        <w:t>Völkischer Beobachter,</w:t>
      </w:r>
      <w:r w:rsidRPr="003E305A">
        <w:t xml:space="preserve"> «pelo contrário, acreditamos no poder criativo da nossa raça»</w:t>
      </w:r>
      <w:r w:rsidRPr="003E305A">
        <w:rPr>
          <w:rStyle w:val="Refdenotaderodap"/>
        </w:rPr>
        <w:footnoteReference w:id="141"/>
      </w:r>
      <w:r w:rsidRPr="003E305A">
        <w:t xml:space="preserve">. </w:t>
      </w:r>
      <w:r>
        <w:t xml:space="preserve">Já o mesmo escrevera ou mandara escrever Henry Ford no seu </w:t>
      </w:r>
      <w:r w:rsidRPr="00174AB8">
        <w:rPr>
          <w:i/>
        </w:rPr>
        <w:t>The International Jew</w:t>
      </w:r>
      <w:r w:rsidR="00D640AB">
        <w:t>.</w:t>
      </w:r>
      <w:r w:rsidRPr="00174AB8">
        <w:t xml:space="preserve"> </w:t>
      </w:r>
      <w:r>
        <w:t xml:space="preserve">«Sob a máscara de “leis económicas” escondem-se fenómenos que não obedecem a </w:t>
      </w:r>
      <w:r w:rsidR="00026595">
        <w:t>nenhuma</w:t>
      </w:r>
      <w:r>
        <w:t xml:space="preserve"> lei natural, mas provêm exclusivamente do frio egoísmo de determinados elementos», e quem seriam eles? Os judeus «são os principais autores daquelas pseudociências que levam as massas a ansiar por objectivos económicos irrealizáveis, tal como são os principais autores dessa literatura “popular” que sustenta nas diferentes classes sociais a ilusão de que as </w:t>
      </w:r>
      <w:r w:rsidRPr="00BF6B02">
        <w:rPr>
          <w:i/>
        </w:rPr>
        <w:lastRenderedPageBreak/>
        <w:t>teorias</w:t>
      </w:r>
      <w:r>
        <w:t xml:space="preserve"> económicas são </w:t>
      </w:r>
      <w:r w:rsidRPr="00BF6B02">
        <w:rPr>
          <w:i/>
        </w:rPr>
        <w:t>leis</w:t>
      </w:r>
      <w:r>
        <w:t xml:space="preserve"> económicas»</w:t>
      </w:r>
      <w:r>
        <w:rPr>
          <w:rStyle w:val="Refdenotaderodap"/>
        </w:rPr>
        <w:footnoteReference w:id="142"/>
      </w:r>
      <w:r>
        <w:t xml:space="preserve">. </w:t>
      </w:r>
      <w:r w:rsidRPr="003E305A">
        <w:t>Quanto mais perto ia ficando da Chancelaria, mais frequentemente Hitler falava da economia como uma simples questão de força de vontade</w:t>
      </w:r>
      <w:r w:rsidRPr="003E305A">
        <w:rPr>
          <w:rStyle w:val="Refdenotaderodap"/>
        </w:rPr>
        <w:footnoteReference w:id="143"/>
      </w:r>
      <w:r w:rsidRPr="003E305A">
        <w:t xml:space="preserve"> </w:t>
      </w:r>
      <w:r>
        <w:t xml:space="preserve">e, de uma forma geral, um </w:t>
      </w:r>
      <w:r w:rsidR="00D640AB">
        <w:t>historiador</w:t>
      </w:r>
      <w:r>
        <w:t xml:space="preserve"> mencionou </w:t>
      </w:r>
      <w:r w:rsidRPr="00CC3D37">
        <w:t xml:space="preserve">o desinteresse que os chefes </w:t>
      </w:r>
      <w:r w:rsidR="00026595">
        <w:t>nacional-socialistas</w:t>
      </w:r>
      <w:r w:rsidRPr="00CC3D37">
        <w:t xml:space="preserve"> manifestavam pelas questões económicas</w:t>
      </w:r>
      <w:r>
        <w:rPr>
          <w:rStyle w:val="Refdenotaderodap"/>
        </w:rPr>
        <w:footnoteReference w:id="144"/>
      </w:r>
      <w:r w:rsidRPr="00CC3D37">
        <w:t>.</w:t>
      </w:r>
      <w:r>
        <w:t xml:space="preserve"> </w:t>
      </w:r>
      <w:r w:rsidRPr="003E305A">
        <w:t xml:space="preserve">Enquanto para o populismo dos irmãos Strasser ou de Röhm a revolução </w:t>
      </w:r>
      <w:r>
        <w:t xml:space="preserve">económica e </w:t>
      </w:r>
      <w:r w:rsidRPr="003E305A">
        <w:t xml:space="preserve">social operaria como uma ampla redenção biológica, para os devotos do racismo excludente tal abrangência representava a inevitável condenação da pureza que restasse entre os germanos. </w:t>
      </w:r>
    </w:p>
    <w:p w:rsidR="00A4138A" w:rsidRDefault="00A4138A" w:rsidP="00A4138A">
      <w:pPr>
        <w:keepNext/>
        <w:spacing w:before="240" w:after="120"/>
        <w:ind w:firstLine="0"/>
        <w:jc w:val="center"/>
      </w:pPr>
      <w:r>
        <w:rPr>
          <w:b/>
          <w:sz w:val="28"/>
          <w:szCs w:val="28"/>
        </w:rPr>
        <w:t>3</w:t>
      </w:r>
    </w:p>
    <w:p w:rsidR="00321E01" w:rsidRPr="003E305A" w:rsidRDefault="00321E01" w:rsidP="00321E01">
      <w:r w:rsidRPr="007507FE">
        <w:rPr>
          <w:i/>
        </w:rPr>
        <w:t>Mein Kampf</w:t>
      </w:r>
      <w:r>
        <w:t xml:space="preserve"> proclamava, para todos </w:t>
      </w:r>
      <w:r w:rsidR="00683F5D">
        <w:t>saberem</w:t>
      </w:r>
      <w:r>
        <w:t xml:space="preserve">, que </w:t>
      </w:r>
      <w:r w:rsidRPr="003E305A">
        <w:t>«como os inferiores predominam sempre numericamente sobre os melhores, se ambos tivessem iguais possibilidades de preservar a vida e de se propagarem</w:t>
      </w:r>
      <w:r>
        <w:t>,</w:t>
      </w:r>
      <w:r w:rsidRPr="003E305A">
        <w:t xml:space="preserve"> os inferiores multiplicar-se-iam a uma velocidade tal que no fim os melhores seriam inevitavelmente forçados a ficar em último lugar, a não ser que entretanto se corrigisse esta situação»</w:t>
      </w:r>
      <w:r w:rsidRPr="003E305A">
        <w:rPr>
          <w:rStyle w:val="Refdenotaderodap"/>
        </w:rPr>
        <w:footnoteReference w:id="145"/>
      </w:r>
      <w:r w:rsidRPr="003E305A">
        <w:t>. E aí estava o Führer para corrigi-la. É na perspectiva da defesa da raça nórdica que devem entender</w:t>
      </w:r>
      <w:r w:rsidR="00441868">
        <w:t>-se</w:t>
      </w:r>
      <w:r w:rsidRPr="003E305A">
        <w:t xml:space="preserve"> as suas grandes decisões, e em </w:t>
      </w:r>
      <w:r w:rsidRPr="003E305A">
        <w:rPr>
          <w:i/>
        </w:rPr>
        <w:t>Mein Kampf</w:t>
      </w:r>
      <w:r w:rsidRPr="003E305A">
        <w:t xml:space="preserve"> o problema do Estado foi inteiramente subordinado a esta questão</w:t>
      </w:r>
      <w:r w:rsidRPr="003E305A">
        <w:rPr>
          <w:rStyle w:val="Refdenotaderodap"/>
        </w:rPr>
        <w:footnoteReference w:id="146"/>
      </w:r>
      <w:r w:rsidRPr="003E305A">
        <w:t xml:space="preserve">. </w:t>
      </w:r>
      <w:r w:rsidR="00E75290">
        <w:t>«Devemos distinguir com toda a clareza entre o Estado como um receptáculo e a raça como o seu conteúdo», escreveu Hitler. «Este receptáculo só tem sentido se conseguir preservar e proteger o conteúdo; senão, é inútil»</w:t>
      </w:r>
      <w:r w:rsidR="00E75290">
        <w:rPr>
          <w:rStyle w:val="Refdenotaderodap"/>
        </w:rPr>
        <w:footnoteReference w:id="147"/>
      </w:r>
      <w:r w:rsidR="00E75290">
        <w:t xml:space="preserve">. </w:t>
      </w:r>
      <w:r w:rsidRPr="003E305A">
        <w:t xml:space="preserve">Para a ala populista do </w:t>
      </w:r>
      <w:r w:rsidR="003878B6">
        <w:t xml:space="preserve">nacional-socialismo </w:t>
      </w:r>
      <w:r w:rsidRPr="003E305A">
        <w:t xml:space="preserve">o Estado </w:t>
      </w:r>
      <w:r>
        <w:t>obedec</w:t>
      </w:r>
      <w:r w:rsidR="00683F5D">
        <w:t>er</w:t>
      </w:r>
      <w:r>
        <w:t xml:space="preserve">a a </w:t>
      </w:r>
      <w:r w:rsidRPr="003E305A">
        <w:t>um modelo de tipo mussoliniano, em que predominavam os factores políticos e sociais</w:t>
      </w:r>
      <w:r>
        <w:t>,</w:t>
      </w:r>
      <w:r w:rsidRPr="003E305A">
        <w:t xml:space="preserve"> </w:t>
      </w:r>
      <w:r>
        <w:t xml:space="preserve">e </w:t>
      </w:r>
      <w:r w:rsidRPr="003E305A">
        <w:t>constituí</w:t>
      </w:r>
      <w:r w:rsidR="00683F5D">
        <w:t>r</w:t>
      </w:r>
      <w:r w:rsidRPr="003E305A">
        <w:t>a o quadro que haveria de permitir a fusão das várias componentes raciais. No entender de Hitler, porém, o Estado não era o objectivo da acção política e devia limitar-se a ser o instrumento de protecção da raça, a qual encontrava no Führer a expressão suprema</w:t>
      </w:r>
      <w:r w:rsidRPr="003E305A">
        <w:rPr>
          <w:rStyle w:val="Refdenotaderodap"/>
        </w:rPr>
        <w:footnoteReference w:id="148"/>
      </w:r>
      <w:r w:rsidRPr="003E305A">
        <w:t xml:space="preserve">. </w:t>
      </w:r>
      <w:r w:rsidR="00E75290">
        <w:t xml:space="preserve">Reproduzindo </w:t>
      </w:r>
      <w:r w:rsidR="000E582B">
        <w:t xml:space="preserve">quase textualmente o que Hitler havia escrito, </w:t>
      </w:r>
      <w:r w:rsidRPr="003E305A">
        <w:t>Rosenberg, n</w:t>
      </w:r>
      <w:r w:rsidR="006802E4">
        <w:t>um</w:t>
      </w:r>
      <w:r w:rsidRPr="003E305A">
        <w:t xml:space="preserve">a </w:t>
      </w:r>
      <w:r w:rsidR="006802E4">
        <w:t xml:space="preserve">das edições da </w:t>
      </w:r>
      <w:r w:rsidRPr="003E305A">
        <w:t xml:space="preserve">sua obra maior, definiu que </w:t>
      </w:r>
      <w:r w:rsidR="006802E4">
        <w:t xml:space="preserve">a partir de 1933 </w:t>
      </w:r>
      <w:r w:rsidRPr="003E305A">
        <w:t xml:space="preserve">«o Estado não constitui um fim em si, mas </w:t>
      </w:r>
      <w:r w:rsidR="00214B10">
        <w:t xml:space="preserve">é </w:t>
      </w:r>
      <w:r w:rsidRPr="003E305A">
        <w:t xml:space="preserve">apenas um </w:t>
      </w:r>
      <w:r w:rsidR="006802E4">
        <w:t xml:space="preserve">dos vários </w:t>
      </w:r>
      <w:r w:rsidRPr="003E305A">
        <w:t>meio</w:t>
      </w:r>
      <w:r w:rsidR="006802E4">
        <w:t>s</w:t>
      </w:r>
      <w:r w:rsidRPr="003E305A">
        <w:t xml:space="preserve"> de preservação do povo»</w:t>
      </w:r>
      <w:r w:rsidRPr="003E305A">
        <w:rPr>
          <w:rStyle w:val="Refdenotaderodap"/>
        </w:rPr>
        <w:footnoteReference w:id="149"/>
      </w:r>
      <w:r w:rsidRPr="003E305A">
        <w:t xml:space="preserve">. Fica assim explicada a crítica dos hitlerianos ao totalitarismo </w:t>
      </w:r>
      <w:r w:rsidR="00441868">
        <w:t>aplicado por</w:t>
      </w:r>
      <w:r w:rsidRPr="003E305A">
        <w:t xml:space="preserve"> Mussolini e </w:t>
      </w:r>
      <w:r w:rsidR="00441868">
        <w:t xml:space="preserve">teorizado pelo </w:t>
      </w:r>
      <w:r w:rsidRPr="003E305A">
        <w:t xml:space="preserve">seu admirador alemão, o jurista Carl Schmitt. Mais tarde, </w:t>
      </w:r>
      <w:r w:rsidRPr="003E305A">
        <w:lastRenderedPageBreak/>
        <w:t>noutra era, cancelados os doze anos de existência do Reich de Mil Anos, o sempre mordaz Ernst von Salomon recordaria um debate com um grupo de estudantes de Direito naciona</w:t>
      </w:r>
      <w:r w:rsidR="00907E4E">
        <w:t>l</w:t>
      </w:r>
      <w:r w:rsidRPr="003E305A">
        <w:t xml:space="preserve">-socialistas da </w:t>
      </w:r>
      <w:r w:rsidR="00901C98" w:rsidRPr="003E305A">
        <w:t xml:space="preserve">Universidade </w:t>
      </w:r>
      <w:r w:rsidRPr="003E305A">
        <w:t>de Göttingen</w:t>
      </w:r>
      <w:r w:rsidR="00F82B86">
        <w:t>.</w:t>
      </w:r>
      <w:r w:rsidRPr="003E305A">
        <w:t xml:space="preserve"> </w:t>
      </w:r>
      <w:r w:rsidR="00F82B86" w:rsidRPr="003E305A">
        <w:t xml:space="preserve">Quando </w:t>
      </w:r>
      <w:r w:rsidRPr="003E305A">
        <w:t xml:space="preserve">lhes perguntou quais </w:t>
      </w:r>
      <w:r w:rsidR="00D0130C">
        <w:t xml:space="preserve">eram </w:t>
      </w:r>
      <w:r w:rsidRPr="003E305A">
        <w:t xml:space="preserve">as suas opiniões acerca do Estado obteve </w:t>
      </w:r>
      <w:r>
        <w:t>um</w:t>
      </w:r>
      <w:r w:rsidRPr="003E305A">
        <w:t>a resposta unânime</w:t>
      </w:r>
      <w:r w:rsidR="00F82B86">
        <w:t>:</w:t>
      </w:r>
      <w:r w:rsidRPr="003E305A">
        <w:t xml:space="preserve"> «Somos contra Carl Schmitt!». Mas von Salomon, o elitista radical, que apreciava Schmitt e detestava a plebeização racial da política, pretendeu saber mais. «E porquê?». «É que nós não queremos nenhum Estado!». Eterna juventude </w:t>
      </w:r>
      <w:r w:rsidR="00D0130C">
        <w:t>—</w:t>
      </w:r>
      <w:r w:rsidRPr="003E305A">
        <w:t xml:space="preserve"> e na narrativa </w:t>
      </w:r>
      <w:r w:rsidR="00593C5E">
        <w:t xml:space="preserve">von </w:t>
      </w:r>
      <w:r w:rsidRPr="003E305A">
        <w:t>Salomon fing</w:t>
      </w:r>
      <w:r>
        <w:t>iu</w:t>
      </w:r>
      <w:r w:rsidRPr="003E305A">
        <w:t xml:space="preserve"> que se entusiasma</w:t>
      </w:r>
      <w:r>
        <w:t>va</w:t>
      </w:r>
      <w:r w:rsidRPr="003E305A">
        <w:t xml:space="preserve"> </w:t>
      </w:r>
      <w:r w:rsidR="00D0130C">
        <w:t>—</w:t>
      </w:r>
      <w:r w:rsidRPr="003E305A">
        <w:t xml:space="preserve"> seria talvez a revolução, a anarquia. «O que querem, então?». «A comunidade do povo, evidentemente!»</w:t>
      </w:r>
      <w:r w:rsidRPr="003E305A">
        <w:rPr>
          <w:rStyle w:val="Refdenotaderodap"/>
        </w:rPr>
        <w:footnoteReference w:id="150"/>
      </w:r>
      <w:r w:rsidRPr="003E305A">
        <w:t xml:space="preserve">. </w:t>
      </w:r>
    </w:p>
    <w:p w:rsidR="003D5150" w:rsidRDefault="00321E01" w:rsidP="00321E01">
      <w:r>
        <w:t xml:space="preserve">O totalitarismo, </w:t>
      </w:r>
      <w:r w:rsidRPr="003E305A">
        <w:t>tal como se encontrava na obra de Schmitt, equivalia à tese de que todas as contradições sociais podiam ser sintetizadas na unidade superior do Estado</w:t>
      </w:r>
      <w:r w:rsidR="00A26B6E">
        <w:rPr>
          <w:rStyle w:val="Refdenotaderodap"/>
        </w:rPr>
        <w:footnoteReference w:id="151"/>
      </w:r>
      <w:r w:rsidRPr="003E305A">
        <w:t xml:space="preserve">. Mas Hitler e Rosenberg deram um passo em frente e converteram o Estado totalitário num racismo totalitário, em que a síntese das contradições sociais se deveria ao exclusivismo nórdico. </w:t>
      </w:r>
      <w:r w:rsidR="0060744D">
        <w:t>«O Estado não é mais do que uma das formas de organização da vida racial», afirmou o Führer em 15 de Setembro de 1935 no c</w:t>
      </w:r>
      <w:r w:rsidR="007F0FF7">
        <w:t>ongresso do NSDAP em Nuremberg</w:t>
      </w:r>
      <w:r w:rsidR="00AB66E4">
        <w:t>a</w:t>
      </w:r>
      <w:r w:rsidR="00AB66E4">
        <w:rPr>
          <w:rStyle w:val="Refdenotaderodap"/>
        </w:rPr>
        <w:footnoteReference w:id="152"/>
      </w:r>
      <w:r w:rsidR="007F0FF7">
        <w:t xml:space="preserve">, aquele mesmo em que foi adoptado o grande conjunto de leis raciais. </w:t>
      </w:r>
      <w:r w:rsidRPr="003E305A">
        <w:t>Se a revolução social fora superada pela revolução rácica, então a hegemonia não cabia ao Estado, mas ao povo, entendido como raça</w:t>
      </w:r>
      <w:r w:rsidRPr="003E305A">
        <w:rPr>
          <w:rStyle w:val="Refdenotaderodap"/>
        </w:rPr>
        <w:footnoteReference w:id="153"/>
      </w:r>
      <w:r w:rsidRPr="003E305A">
        <w:t xml:space="preserve">. </w:t>
      </w:r>
      <w:r>
        <w:t xml:space="preserve">Por isso, </w:t>
      </w:r>
      <w:r w:rsidRPr="003E305A">
        <w:t xml:space="preserve">no final da década de 1930 </w:t>
      </w:r>
      <w:r>
        <w:t>o</w:t>
      </w:r>
      <w:r w:rsidRPr="003E305A">
        <w:t xml:space="preserve"> jurista italiano </w:t>
      </w:r>
      <w:r w:rsidRPr="00D9099D">
        <w:t xml:space="preserve">Carlo Costamagna </w:t>
      </w:r>
      <w:r w:rsidRPr="003E305A">
        <w:t>compar</w:t>
      </w:r>
      <w:r>
        <w:t>ou</w:t>
      </w:r>
      <w:r w:rsidRPr="003E305A">
        <w:t xml:space="preserve"> a função ocupada pelo conceito de Estado totalitário no fascismo de Mussolini </w:t>
      </w:r>
      <w:r w:rsidR="00901C98">
        <w:t xml:space="preserve">à </w:t>
      </w:r>
      <w:r w:rsidRPr="003E305A">
        <w:t>função ocupada pela noção de raça no nacional-socialismo hitleriano</w:t>
      </w:r>
      <w:r w:rsidRPr="003E305A">
        <w:rPr>
          <w:rStyle w:val="Refdenotaderodap"/>
        </w:rPr>
        <w:footnoteReference w:id="154"/>
      </w:r>
      <w:r w:rsidRPr="003E305A">
        <w:t xml:space="preserve">. </w:t>
      </w:r>
      <w:r>
        <w:t xml:space="preserve">Pela mesma época, </w:t>
      </w:r>
      <w:r w:rsidR="00AC7904">
        <w:t xml:space="preserve">o principal constitucionalista </w:t>
      </w:r>
      <w:r>
        <w:t>do Terceiro Reich, Ernst Rudolf Huber, considerou que ao contrário do Estado, que presupunha a existência de garantias individuais e de limites do poder, o Führer gozava de um poder ilimitado e discricionário, decorrente de uma visão do mundo baseada em critérios biológicos</w:t>
      </w:r>
      <w:r>
        <w:rPr>
          <w:rStyle w:val="Refdenotaderodap"/>
        </w:rPr>
        <w:footnoteReference w:id="155"/>
      </w:r>
      <w:r>
        <w:t xml:space="preserve">. </w:t>
      </w:r>
      <w:r w:rsidR="00A45AD9">
        <w:t xml:space="preserve">O </w:t>
      </w:r>
      <w:r w:rsidR="00706F7E">
        <w:t>título de Führer do Reich Germânico e do Povo, assumido a partir de Agosto de 1934, constituía, nas palavras de dois historiadores, «uma forma totalmente nova de autoridade»</w:t>
      </w:r>
      <w:r w:rsidR="00912EA0">
        <w:rPr>
          <w:rStyle w:val="Refdenotaderodap"/>
        </w:rPr>
        <w:footnoteReference w:id="156"/>
      </w:r>
      <w:r w:rsidR="00A45AD9">
        <w:t>,</w:t>
      </w:r>
      <w:r w:rsidR="00706F7E">
        <w:t xml:space="preserve"> </w:t>
      </w:r>
      <w:r w:rsidR="00A45AD9">
        <w:t xml:space="preserve">mas na verdade </w:t>
      </w:r>
      <w:r w:rsidR="004A1D29">
        <w:t xml:space="preserve">tratava-se de </w:t>
      </w:r>
      <w:r w:rsidR="00A45AD9">
        <w:t>estender a todo o país o mesmo tipo de poder de que Hitler gozava já no interior do NSDAP, após a reorganização do partido realizada em 1925</w:t>
      </w:r>
      <w:r w:rsidR="00A45AD9">
        <w:rPr>
          <w:rStyle w:val="Refdenotaderodap"/>
        </w:rPr>
        <w:footnoteReference w:id="157"/>
      </w:r>
      <w:r w:rsidR="00A45AD9">
        <w:t xml:space="preserve">. </w:t>
      </w:r>
      <w:r w:rsidR="0004175C">
        <w:t xml:space="preserve">Quando </w:t>
      </w:r>
      <w:r w:rsidR="004A1D29">
        <w:t>ele</w:t>
      </w:r>
      <w:r w:rsidR="00D5321B">
        <w:t xml:space="preserve">, em Abril de 1942, </w:t>
      </w:r>
      <w:r w:rsidR="00D5321B">
        <w:lastRenderedPageBreak/>
        <w:t>pediu ao Reichstag que lhe reconhecesse uma autoridade absoluta e livre de restrições</w:t>
      </w:r>
      <w:r w:rsidR="00754DF9">
        <w:t xml:space="preserve"> enquanto supremo juiz e fonte suprema da lei</w:t>
      </w:r>
      <w:r w:rsidR="002579FF">
        <w:rPr>
          <w:rStyle w:val="Refdenotaderodap"/>
        </w:rPr>
        <w:footnoteReference w:id="158"/>
      </w:r>
      <w:r w:rsidR="00D5321B">
        <w:t xml:space="preserve">, o valor deste gesto foi apenas simbólico, não só porque o Reichstag havia sido esvaziado de poderes mas porque </w:t>
      </w:r>
      <w:r w:rsidR="0056650C">
        <w:t xml:space="preserve">já </w:t>
      </w:r>
      <w:r w:rsidR="00D5321B">
        <w:t xml:space="preserve">era aquela a noção de autoridade implícita no título de Führer. </w:t>
      </w:r>
      <w:r w:rsidR="00B4763C">
        <w:t xml:space="preserve">«Além de Hitler como leader não existe nenhuma instituição suprema», </w:t>
      </w:r>
      <w:r w:rsidR="002723BA">
        <w:t>escreveu</w:t>
      </w:r>
      <w:r w:rsidR="00B4763C">
        <w:t xml:space="preserve"> Marcuse em 1943</w:t>
      </w:r>
      <w:r w:rsidR="00B4763C">
        <w:rPr>
          <w:rStyle w:val="Refdenotaderodap"/>
        </w:rPr>
        <w:footnoteReference w:id="159"/>
      </w:r>
      <w:r w:rsidR="00B4763C">
        <w:t xml:space="preserve">. </w:t>
      </w:r>
      <w:r w:rsidR="003513F2">
        <w:t xml:space="preserve">Só nesta perspectiva se compreendem a </w:t>
      </w:r>
      <w:r w:rsidR="00195D48">
        <w:t>est</w:t>
      </w:r>
      <w:r w:rsidR="002F6263">
        <w:t>r</w:t>
      </w:r>
      <w:r w:rsidR="00195D48">
        <w:t xml:space="preserve">utura peculiar das instituições políticas no Terceiro Reich, a sua conjugação aparentemente caótica, a sua pessoalização, que dificultam </w:t>
      </w:r>
      <w:r w:rsidR="003513F2">
        <w:t xml:space="preserve">ou impedem </w:t>
      </w:r>
      <w:r w:rsidR="00195D48">
        <w:t>a comparação com outros regimes</w:t>
      </w:r>
      <w:r w:rsidR="003513F2">
        <w:t xml:space="preserve">. </w:t>
      </w:r>
      <w:r w:rsidRPr="003E305A">
        <w:t>«A questão crucial na teoria jurídica nacional-socialista é a negação completa do carácter genérico do direito», observ</w:t>
      </w:r>
      <w:r w:rsidR="00701632">
        <w:t xml:space="preserve">ara já naquela época </w:t>
      </w:r>
      <w:r w:rsidRPr="003E305A">
        <w:t>um dos mais argutos comentadores. «Não pode, por conseguinte, existir separação de poderes. O poder do Estado constitui um todo indiviso e indivisível, englobado na categoria da “unidade do comando”. Não há duas pessoas nem dois casos a que se aplique a mesma regra. [...] A principal função do direito nacional-socialista consiste em conservar a existência racial. Por conseguinte, tem de destacar as diferenças biológicas e de negar a igualdade social ou jurídica e os direitos civis. [...] A autoridade do juiz hoje baseia-se nos ditames do Führer»</w:t>
      </w:r>
      <w:r w:rsidRPr="003E305A">
        <w:rPr>
          <w:rStyle w:val="Refdenotaderodap"/>
        </w:rPr>
        <w:footnoteReference w:id="160"/>
      </w:r>
      <w:r w:rsidRPr="003E305A">
        <w:t xml:space="preserve">. </w:t>
      </w:r>
    </w:p>
    <w:p w:rsidR="00ED218B" w:rsidRDefault="00321E01" w:rsidP="00321E01">
      <w:r w:rsidRPr="003E305A">
        <w:t>Carl Schmitt farejou os novos ventos e seguiu-lhes a pista, esforçando-se com certo custo por se adaptar às teorias que concebiam o Führer, enquanto perfeita emanação da raça, como fonte exclusiva do direito</w:t>
      </w:r>
      <w:r w:rsidRPr="003E305A">
        <w:rPr>
          <w:rStyle w:val="Refdenotaderodap"/>
        </w:rPr>
        <w:footnoteReference w:id="161"/>
      </w:r>
      <w:r w:rsidRPr="003E305A">
        <w:t>. Mas Schmitt ficou para trás, ou de lado, quando a dinâmica do fascismo alemão superou o Estado através da raça. «Os juristas naciona</w:t>
      </w:r>
      <w:r w:rsidR="00907E4E">
        <w:t>l</w:t>
      </w:r>
      <w:r w:rsidRPr="003E305A">
        <w:t>-socialistas mais inovadores, Reinhard Höhn e Gottfried Neesse, recusam o próprio conceito de Estado e as suas ideias são partilhadas por muita gente</w:t>
      </w:r>
      <w:r w:rsidR="00676CDF">
        <w:t xml:space="preserve">», continuou aquele </w:t>
      </w:r>
      <w:r w:rsidR="00676CDF" w:rsidRPr="003E305A">
        <w:t>comentador</w:t>
      </w:r>
      <w:r w:rsidR="00676CDF">
        <w:t xml:space="preserve"> arguto</w:t>
      </w:r>
      <w:r w:rsidRPr="003E305A">
        <w:t xml:space="preserve">. </w:t>
      </w:r>
      <w:r w:rsidR="00676CDF">
        <w:t>«</w:t>
      </w:r>
      <w:r w:rsidRPr="003E305A">
        <w:t xml:space="preserve">Ambos recusam a noção de personalidade do Estado como sendo uma mera invenção liberal, pois, dizem eles, se se aceitar o conceito de Estado, aqueles que exercerem o poder não serão mais do que seus órgãos. Segundo eles, o poder político na Alemanha reside no Führer, que não é um órgão do Estado, mas </w:t>
      </w:r>
      <w:r w:rsidRPr="003E305A">
        <w:rPr>
          <w:i/>
        </w:rPr>
        <w:t>é</w:t>
      </w:r>
      <w:r w:rsidRPr="003E305A">
        <w:t xml:space="preserve"> a comunidade, e que não age como seu órgão, mas como sua personificação»</w:t>
      </w:r>
      <w:r w:rsidRPr="003E305A">
        <w:rPr>
          <w:rStyle w:val="Refdenotaderodap"/>
        </w:rPr>
        <w:footnoteReference w:id="162"/>
      </w:r>
      <w:r w:rsidRPr="003E305A">
        <w:t xml:space="preserve">. </w:t>
      </w:r>
      <w:r w:rsidR="00514685">
        <w:lastRenderedPageBreak/>
        <w:t xml:space="preserve">O que haveria, afinal, seria o conjunto dos «camaradas de raça» e, acima deles e emanando deles, o Führer. </w:t>
      </w:r>
      <w:r w:rsidRPr="003E305A">
        <w:t xml:space="preserve">Enquanto Carl Schmitt considerava que o povo e o Estado estavam unidos, mas sem se fundirem, o misticismo jurídico </w:t>
      </w:r>
      <w:r w:rsidR="000878D5">
        <w:t>hitleriano</w:t>
      </w:r>
      <w:r w:rsidRPr="003E305A">
        <w:t xml:space="preserve"> identificava a raça com o Führer, a tal ponto que Hitler, ao decretar, procederia como inspirado intérprete da raça</w:t>
      </w:r>
      <w:r w:rsidRPr="003E305A">
        <w:rPr>
          <w:rStyle w:val="Refdenotaderodap"/>
        </w:rPr>
        <w:footnoteReference w:id="163"/>
      </w:r>
      <w:r w:rsidR="003D5150">
        <w:t xml:space="preserve"> </w:t>
      </w:r>
      <w:r w:rsidR="00012CEA">
        <w:t>ou, como enunciou Huber, «o poder político é concedido ao Führer enquanto executor da vontade comum da nação»</w:t>
      </w:r>
      <w:r w:rsidR="00012CEA">
        <w:rPr>
          <w:rStyle w:val="Refdenotaderodap"/>
        </w:rPr>
        <w:footnoteReference w:id="164"/>
      </w:r>
      <w:r w:rsidR="00012CEA">
        <w:t xml:space="preserve">. </w:t>
      </w:r>
      <w:r w:rsidRPr="003E305A">
        <w:t xml:space="preserve">Nas palavras de Hans Frank, </w:t>
      </w:r>
      <w:r w:rsidR="00270619" w:rsidRPr="003E305A">
        <w:t xml:space="preserve">figura política de destaque </w:t>
      </w:r>
      <w:r w:rsidR="00270619">
        <w:t xml:space="preserve">e </w:t>
      </w:r>
      <w:r w:rsidRPr="003E305A">
        <w:t xml:space="preserve">um dos expoentes jurídicos do regime, </w:t>
      </w:r>
      <w:r w:rsidR="00653446">
        <w:t>que até Agosto de 1942 foi chefe dos Juristas Nacional-Socialistas e presidente da Academia de Direito Alemão</w:t>
      </w:r>
      <w:r w:rsidRPr="003E305A">
        <w:t>, «todo o poder político da raça alemã converge para o Führer e encontra-se nas suas mãos. Por conseguinte, todo o direito emana dele»</w:t>
      </w:r>
      <w:r w:rsidRPr="003E305A">
        <w:rPr>
          <w:rStyle w:val="Refdenotaderodap"/>
        </w:rPr>
        <w:footnoteReference w:id="165"/>
      </w:r>
      <w:r w:rsidRPr="003E305A">
        <w:t xml:space="preserve">. </w:t>
      </w:r>
      <w:r w:rsidR="00AC7904">
        <w:t xml:space="preserve">Se </w:t>
      </w:r>
      <w:r w:rsidR="00355898">
        <w:t xml:space="preserve">na edição de 1937 de </w:t>
      </w:r>
      <w:r w:rsidR="00355898" w:rsidRPr="00355898">
        <w:rPr>
          <w:i/>
        </w:rPr>
        <w:t>O Mito do Século XX</w:t>
      </w:r>
      <w:r w:rsidR="00355898">
        <w:t xml:space="preserve"> </w:t>
      </w:r>
      <w:r w:rsidR="00AC7904">
        <w:t>Rosenberg escreve</w:t>
      </w:r>
      <w:r w:rsidR="00E51830">
        <w:t>ra</w:t>
      </w:r>
      <w:r w:rsidR="00AC7904">
        <w:t xml:space="preserve"> que </w:t>
      </w:r>
      <w:r w:rsidR="008D5ADE" w:rsidRPr="003E305A">
        <w:t xml:space="preserve">«o Estado não constitui um fim em si, mas </w:t>
      </w:r>
      <w:r w:rsidR="008D5ADE">
        <w:t xml:space="preserve">é </w:t>
      </w:r>
      <w:r w:rsidR="008D5ADE" w:rsidRPr="003E305A">
        <w:t xml:space="preserve">apenas um </w:t>
      </w:r>
      <w:r w:rsidR="008D5ADE">
        <w:t xml:space="preserve">dos vários </w:t>
      </w:r>
      <w:r w:rsidR="008D5ADE" w:rsidRPr="003E305A">
        <w:t>meio</w:t>
      </w:r>
      <w:r w:rsidR="008D5ADE">
        <w:t>s</w:t>
      </w:r>
      <w:r w:rsidR="008D5ADE" w:rsidRPr="003E305A">
        <w:t xml:space="preserve"> de preservação do povo»</w:t>
      </w:r>
      <w:r w:rsidR="00AC7904" w:rsidRPr="003E305A">
        <w:rPr>
          <w:rStyle w:val="Refdenotaderodap"/>
        </w:rPr>
        <w:footnoteReference w:id="166"/>
      </w:r>
      <w:r w:rsidR="00AC7904">
        <w:t xml:space="preserve">, Frank pôde dizer </w:t>
      </w:r>
      <w:r w:rsidR="00355898">
        <w:t xml:space="preserve">no ano seguinte </w:t>
      </w:r>
      <w:r w:rsidR="00AC7904">
        <w:t>que «graças à sua actividade, o Führer garante a exist</w:t>
      </w:r>
      <w:r w:rsidR="008334C6">
        <w:t>ê</w:t>
      </w:r>
      <w:r w:rsidR="00AC7904">
        <w:t>ncia do seu povo»</w:t>
      </w:r>
      <w:r w:rsidR="008334C6">
        <w:rPr>
          <w:rStyle w:val="Refdenotaderodap"/>
        </w:rPr>
        <w:footnoteReference w:id="167"/>
      </w:r>
      <w:r w:rsidR="00AC7904">
        <w:t xml:space="preserve">, o que significa que Estado e Führer </w:t>
      </w:r>
      <w:r w:rsidR="00676CDF">
        <w:t xml:space="preserve">se </w:t>
      </w:r>
      <w:r w:rsidR="00926877">
        <w:t xml:space="preserve">haviam </w:t>
      </w:r>
      <w:r w:rsidR="00E51830">
        <w:t>confundi</w:t>
      </w:r>
      <w:r w:rsidR="00676CDF">
        <w:t>do</w:t>
      </w:r>
      <w:r w:rsidR="00AC7904">
        <w:t xml:space="preserve">. </w:t>
      </w:r>
      <w:r w:rsidR="007A18DF">
        <w:t>«A posição d</w:t>
      </w:r>
      <w:r w:rsidR="00926877">
        <w:t>e</w:t>
      </w:r>
      <w:r w:rsidR="007A18DF">
        <w:t xml:space="preserve"> Führer combina em si todo o poder soberano do Reich», definiu Huber em 1939; «todo o poder público, no </w:t>
      </w:r>
      <w:r w:rsidR="00AB77AA">
        <w:t xml:space="preserve">Estado </w:t>
      </w:r>
      <w:r w:rsidR="007A18DF">
        <w:t>tal como no movimento, decorre do poder do Führer. Se quisermos definir correctamente o poder político no Reich racial, não devemos falar de “poder de Estado” mas de “poder do Führer”»</w:t>
      </w:r>
      <w:r w:rsidR="00496D3A">
        <w:rPr>
          <w:rStyle w:val="Refdenotaderodap"/>
        </w:rPr>
        <w:footnoteReference w:id="168"/>
      </w:r>
      <w:r w:rsidR="007A18DF">
        <w:t xml:space="preserve">. </w:t>
      </w:r>
      <w:r w:rsidR="000B629E" w:rsidRPr="003E305A">
        <w:t>Como Frank escreve</w:t>
      </w:r>
      <w:r w:rsidR="000B629E">
        <w:t>u</w:t>
      </w:r>
      <w:r w:rsidR="000B629E" w:rsidRPr="003E305A">
        <w:t xml:space="preserve"> sinteticamente num artigo publicado no diário do partido em Maio de 1936: «A nossa Constituição é a vontade do Führer»</w:t>
      </w:r>
      <w:r w:rsidR="000B629E" w:rsidRPr="003E305A">
        <w:rPr>
          <w:rStyle w:val="Refdenotaderodap"/>
        </w:rPr>
        <w:footnoteReference w:id="169"/>
      </w:r>
      <w:r w:rsidR="000B629E" w:rsidRPr="003E305A">
        <w:t xml:space="preserve">. </w:t>
      </w:r>
      <w:r w:rsidR="00676CDF">
        <w:t xml:space="preserve">Já </w:t>
      </w:r>
      <w:r w:rsidR="00676CDF" w:rsidRPr="003E305A">
        <w:t xml:space="preserve">Göring </w:t>
      </w:r>
      <w:r w:rsidR="00676CDF">
        <w:t xml:space="preserve">havia </w:t>
      </w:r>
      <w:r w:rsidR="00676CDF" w:rsidRPr="003E305A">
        <w:t>declar</w:t>
      </w:r>
      <w:r w:rsidR="00676CDF">
        <w:t>ado</w:t>
      </w:r>
      <w:r w:rsidR="00472F56">
        <w:t>,</w:t>
      </w:r>
      <w:r w:rsidR="00676CDF" w:rsidRPr="003E305A">
        <w:t xml:space="preserve"> com </w:t>
      </w:r>
      <w:r w:rsidR="003B659D">
        <w:t xml:space="preserve">a sua usual </w:t>
      </w:r>
      <w:r w:rsidR="00676CDF" w:rsidRPr="003E305A">
        <w:t>brutalidade</w:t>
      </w:r>
      <w:r w:rsidR="00472F56">
        <w:t>,</w:t>
      </w:r>
      <w:r w:rsidR="00676CDF" w:rsidRPr="003E305A">
        <w:t xml:space="preserve"> em Julho de 1934: «A lei e a vontade do Führer são uma e a mesma coisa»</w:t>
      </w:r>
      <w:r w:rsidR="00676CDF" w:rsidRPr="003E305A">
        <w:rPr>
          <w:rStyle w:val="Refdenotaderodap"/>
        </w:rPr>
        <w:footnoteReference w:id="170"/>
      </w:r>
      <w:r w:rsidR="00676CDF" w:rsidRPr="003E305A">
        <w:t xml:space="preserve">. </w:t>
      </w:r>
      <w:r w:rsidR="00676CDF">
        <w:t>No cimo da hierarquia judiciária oficial, o ministro da Justiça, Franz Gürtner, apesar de pertencer à corrente conservadora, também reconheceu em 1940 que a vontade expressa do Führer era criadora de lei</w:t>
      </w:r>
      <w:r w:rsidR="00676CDF">
        <w:rPr>
          <w:rStyle w:val="Refdenotaderodap"/>
        </w:rPr>
        <w:footnoteReference w:id="171"/>
      </w:r>
      <w:r w:rsidR="00676CDF">
        <w:t xml:space="preserve">. </w:t>
      </w:r>
      <w:r w:rsidR="0063624B">
        <w:t>Nem sequer faltou o verniz filosófico, e Heidegger, nomeado reitor da Universidade de Freiburg, anunciou aos estudantes</w:t>
      </w:r>
      <w:r w:rsidR="000B629E" w:rsidRPr="000B629E">
        <w:t xml:space="preserve"> </w:t>
      </w:r>
      <w:r w:rsidR="000B629E">
        <w:t>em Novembro de 1933</w:t>
      </w:r>
      <w:r w:rsidR="0063624B">
        <w:t>: «As vossas vidas não ser</w:t>
      </w:r>
      <w:r w:rsidR="00B43E8B">
        <w:t>ão</w:t>
      </w:r>
      <w:r w:rsidR="0063624B">
        <w:t xml:space="preserve"> mais regidas por dogmas e ideias! </w:t>
      </w:r>
      <w:r w:rsidR="007749D5">
        <w:t>O Führer, ele e só ele, é a realidade presente e futura da Alemanha e a sua lei»</w:t>
      </w:r>
      <w:r w:rsidR="00B43E8B">
        <w:rPr>
          <w:rStyle w:val="Refdenotaderodap"/>
        </w:rPr>
        <w:footnoteReference w:id="172"/>
      </w:r>
      <w:r w:rsidR="007749D5">
        <w:t xml:space="preserve">. </w:t>
      </w:r>
    </w:p>
    <w:p w:rsidR="00321E01" w:rsidRPr="002002EB" w:rsidRDefault="00F97104" w:rsidP="00321E01">
      <w:r>
        <w:lastRenderedPageBreak/>
        <w:t xml:space="preserve">Aqueles </w:t>
      </w:r>
      <w:r w:rsidR="00847686">
        <w:t>juristas reatavam</w:t>
      </w:r>
      <w:r w:rsidR="00AB77AA">
        <w:t xml:space="preserve"> as concepções de Savigny, para quem </w:t>
      </w:r>
      <w:r w:rsidR="00AB77AA" w:rsidRPr="003E305A">
        <w:t xml:space="preserve">o fundamento do direito se encontrava no povo e a função dos </w:t>
      </w:r>
      <w:r w:rsidR="00847686">
        <w:t>legisladores</w:t>
      </w:r>
      <w:r w:rsidR="00AB77AA" w:rsidRPr="003E305A">
        <w:t xml:space="preserve"> consistia</w:t>
      </w:r>
      <w:r w:rsidR="00AB77AA">
        <w:t>,</w:t>
      </w:r>
      <w:r w:rsidR="00AB77AA" w:rsidRPr="003E305A">
        <w:t xml:space="preserve"> não em criar leis</w:t>
      </w:r>
      <w:r w:rsidR="00AB77AA">
        <w:t>,</w:t>
      </w:r>
      <w:r w:rsidR="00AB77AA" w:rsidRPr="003E305A">
        <w:t xml:space="preserve"> mas em formalizar </w:t>
      </w:r>
      <w:r w:rsidR="00AB77AA">
        <w:t xml:space="preserve">leis </w:t>
      </w:r>
      <w:r w:rsidR="00AB77AA" w:rsidRPr="003E305A">
        <w:t>estabelecidas já consuetudinariamente</w:t>
      </w:r>
      <w:r w:rsidR="005E5284">
        <w:t>, e parece-me que esta</w:t>
      </w:r>
      <w:r w:rsidR="00847686">
        <w:t>s</w:t>
      </w:r>
      <w:r w:rsidR="005E5284">
        <w:t xml:space="preserve"> </w:t>
      </w:r>
      <w:r w:rsidR="00847686">
        <w:t xml:space="preserve">raízes foram aceites </w:t>
      </w:r>
      <w:r w:rsidR="005E5284">
        <w:t xml:space="preserve">por Frank ao </w:t>
      </w:r>
      <w:r w:rsidR="006F08D2">
        <w:t>declarar</w:t>
      </w:r>
      <w:r w:rsidR="005E5284">
        <w:t xml:space="preserve"> que «a Lei Constitucional Germânica produziu o mais elevado ponto de vista org</w:t>
      </w:r>
      <w:r w:rsidR="00847686">
        <w:t>â</w:t>
      </w:r>
      <w:r w:rsidR="005E5284">
        <w:t>nico que a história jurídica pode oferecer»</w:t>
      </w:r>
      <w:r w:rsidR="00346F58">
        <w:rPr>
          <w:rStyle w:val="Refdenotaderodap"/>
        </w:rPr>
        <w:footnoteReference w:id="173"/>
      </w:r>
      <w:r w:rsidR="005E5284">
        <w:t>.</w:t>
      </w:r>
      <w:r w:rsidR="00AB77AA" w:rsidRPr="003E305A">
        <w:t xml:space="preserve"> </w:t>
      </w:r>
      <w:r w:rsidR="00AB77AA">
        <w:t xml:space="preserve">Mas enquanto Savigny entendera o povo como </w:t>
      </w:r>
      <w:r w:rsidR="00AB77AA" w:rsidRPr="003E305A">
        <w:t xml:space="preserve">comunidade cultural, </w:t>
      </w:r>
      <w:r w:rsidR="00AB77AA">
        <w:t xml:space="preserve">os nacionais-socialistas entendiam-no como comunidade rácica. </w:t>
      </w:r>
      <w:r w:rsidR="00ED218B">
        <w:t xml:space="preserve">«A própria lei nada mais é do que a expressão da ordem comunitária em que o povo vive e que decorre do Führer», definiu Huber. «A lei do Führer concretiza os princípios não escritos da vida comunitária da raça. É, portanto, impossível avaliar as leis do Führer consoante um conceito </w:t>
      </w:r>
      <w:r w:rsidR="00F67975">
        <w:t xml:space="preserve">superior </w:t>
      </w:r>
      <w:r w:rsidR="00ED218B">
        <w:t>de lei, porque qualquer lei do Führer é uma expressão directa deste conceito racial d</w:t>
      </w:r>
      <w:r w:rsidR="00F67975">
        <w:t>e</w:t>
      </w:r>
      <w:r w:rsidR="00ED218B">
        <w:t xml:space="preserve"> lei»</w:t>
      </w:r>
      <w:r w:rsidR="00CE0286">
        <w:rPr>
          <w:rStyle w:val="Refdenotaderodap"/>
        </w:rPr>
        <w:footnoteReference w:id="174"/>
      </w:r>
      <w:r w:rsidR="00ED218B">
        <w:t xml:space="preserve">. </w:t>
      </w:r>
      <w:r w:rsidR="00CE0286" w:rsidRPr="00E43E32">
        <w:t xml:space="preserve">Passara-se da história para a mística do sangue. </w:t>
      </w:r>
      <w:r w:rsidR="00064BDA" w:rsidRPr="002002EB">
        <w:t>Como escreveu Rosenberg, «</w:t>
      </w:r>
      <w:r w:rsidR="002002EB" w:rsidRPr="002002EB">
        <w:t xml:space="preserve">o direito </w:t>
      </w:r>
      <w:r w:rsidR="00064BDA" w:rsidRPr="002002EB">
        <w:t xml:space="preserve">e a política </w:t>
      </w:r>
      <w:r w:rsidR="002002EB" w:rsidRPr="002002EB">
        <w:t xml:space="preserve">mais não são do que </w:t>
      </w:r>
      <w:r w:rsidR="00064BDA" w:rsidRPr="002002EB">
        <w:t xml:space="preserve">duas expressões </w:t>
      </w:r>
      <w:r w:rsidR="002002EB">
        <w:t xml:space="preserve">diferentes </w:t>
      </w:r>
      <w:r w:rsidR="00064BDA" w:rsidRPr="002002EB">
        <w:t xml:space="preserve">da mesma vontade que está ao serviço do nosso </w:t>
      </w:r>
      <w:r w:rsidR="002002EB">
        <w:t xml:space="preserve">supremo </w:t>
      </w:r>
      <w:r w:rsidR="00064BDA" w:rsidRPr="002002EB">
        <w:t>valor racial»</w:t>
      </w:r>
      <w:r w:rsidR="00FE6611">
        <w:rPr>
          <w:rStyle w:val="Refdenotaderodap"/>
        </w:rPr>
        <w:footnoteReference w:id="175"/>
      </w:r>
      <w:r w:rsidR="00064BDA" w:rsidRPr="002002EB">
        <w:t xml:space="preserve">. </w:t>
      </w:r>
    </w:p>
    <w:p w:rsidR="00321E01" w:rsidRPr="003E305A" w:rsidRDefault="00321E01" w:rsidP="00321E01">
      <w:r w:rsidRPr="003E305A">
        <w:t xml:space="preserve">Vista a questão desta maneira, a liquidação dos chefes das SA </w:t>
      </w:r>
      <w:r w:rsidR="00F97104">
        <w:t xml:space="preserve">e </w:t>
      </w:r>
      <w:r w:rsidR="00F97104" w:rsidRPr="003E305A">
        <w:t xml:space="preserve">de Gregor Strasser </w:t>
      </w:r>
      <w:r w:rsidRPr="003E305A">
        <w:t>foi inevitável</w:t>
      </w:r>
      <w:r w:rsidR="00D14492">
        <w:t xml:space="preserve">, e entre </w:t>
      </w:r>
      <w:r w:rsidR="00CD5612">
        <w:t xml:space="preserve">os cientistas que </w:t>
      </w:r>
      <w:r w:rsidR="00D14492">
        <w:t xml:space="preserve">os acompanhavam na versão abrangente do racismo </w:t>
      </w:r>
      <w:r w:rsidR="00CD5612">
        <w:t>Merkenschlager foi encerrado num campo de concentração e Saller viu-se proibido de ensinar</w:t>
      </w:r>
      <w:r w:rsidR="00CD5612">
        <w:rPr>
          <w:rStyle w:val="Refdenotaderodap"/>
        </w:rPr>
        <w:footnoteReference w:id="176"/>
      </w:r>
      <w:r w:rsidR="00CD5612">
        <w:t xml:space="preserve">. </w:t>
      </w:r>
      <w:r w:rsidRPr="003E305A">
        <w:t>Não esqueçamos que Hitler não era um conservador e promete</w:t>
      </w:r>
      <w:r w:rsidR="007C3BD2">
        <w:t>ra</w:t>
      </w:r>
      <w:r w:rsidRPr="003E305A">
        <w:t xml:space="preserve"> restaurar a ordem com métodos revolucionários. Ou seja, na acepção literal dos termos, operou uma contra-revolução, procedendo a uma revolução no interior da ordem. Ele e os seus adeptos propunham-se renovar os membros da</w:t>
      </w:r>
      <w:r w:rsidR="00F97104">
        <w:t xml:space="preserve"> elite</w:t>
      </w:r>
      <w:r w:rsidRPr="003E305A">
        <w:t xml:space="preserve">, revigorando-a com o sangue da raça nórdica. </w:t>
      </w:r>
      <w:r>
        <w:t xml:space="preserve">Cabia ao </w:t>
      </w:r>
      <w:r w:rsidRPr="003E305A">
        <w:t>Führer impedir que a revolta social comprometesse a revolução rácica. Em Dezembro de 1934, seis meses depois do expurgo, um debate entre cientistas no âmbito do NSDAP confirmou o triunfo dos promotores da raça nórdica e condenou aqueles que defendiam um processo amplo de assimilação racial</w:t>
      </w:r>
      <w:r w:rsidRPr="003E305A">
        <w:rPr>
          <w:rStyle w:val="Refdenotaderodap"/>
        </w:rPr>
        <w:footnoteReference w:id="177"/>
      </w:r>
      <w:r w:rsidRPr="003E305A">
        <w:t>. Neste contexto afigura-se irresistível a ascensão do Reichsführer</w:t>
      </w:r>
      <w:r w:rsidR="00390EAA">
        <w:t>-SS</w:t>
      </w:r>
      <w:r w:rsidRPr="003E305A">
        <w:t xml:space="preserve"> Heinrich Himmler, o racista nórdico puro, que durante o primeiro ano e meio do novo regime se mantivera silencioso, </w:t>
      </w:r>
      <w:r w:rsidRPr="003E305A">
        <w:lastRenderedPageBreak/>
        <w:t xml:space="preserve">indiferente ao conteúdo social da disputa entre a «revolução conservadora» e a «segunda revolução» populista. </w:t>
      </w:r>
      <w:r w:rsidR="005B296A">
        <w:t xml:space="preserve">Na sua discussão de ruptura com Otto Strasser, em Maio de 1930, </w:t>
      </w:r>
      <w:r w:rsidRPr="003E305A">
        <w:t>Hitler declarara</w:t>
      </w:r>
      <w:r w:rsidR="005B296A">
        <w:t>-lhe</w:t>
      </w:r>
      <w:r w:rsidRPr="003E305A">
        <w:t xml:space="preserve"> que à revolução social, a revolução da piedade, se opunha a única verdadeira revolução, a revolução rácica, «a selecção operada numa nova </w:t>
      </w:r>
      <w:r w:rsidR="005B296A">
        <w:t>classe</w:t>
      </w:r>
      <w:r w:rsidRPr="003E305A">
        <w:t xml:space="preserve"> de Senhores, de homens que não se deixam</w:t>
      </w:r>
      <w:r w:rsidR="005B296A">
        <w:t xml:space="preserve">, como você, </w:t>
      </w:r>
      <w:r w:rsidRPr="003E305A">
        <w:t>guiar pela moral da piedade»</w:t>
      </w:r>
      <w:r w:rsidRPr="003E305A">
        <w:rPr>
          <w:rStyle w:val="Refdenotaderodap"/>
        </w:rPr>
        <w:footnoteReference w:id="178"/>
      </w:r>
      <w:r w:rsidRPr="003E305A">
        <w:t xml:space="preserve">. Eram esses os SS. </w:t>
      </w:r>
    </w:p>
    <w:p w:rsidR="00321E01" w:rsidRPr="003E305A" w:rsidRDefault="00321E01" w:rsidP="003F04F9">
      <w:pPr>
        <w:keepNext/>
        <w:spacing w:before="720" w:after="360"/>
        <w:ind w:firstLine="0"/>
        <w:jc w:val="center"/>
        <w:rPr>
          <w:b/>
          <w:sz w:val="28"/>
        </w:rPr>
      </w:pPr>
      <w:r>
        <w:rPr>
          <w:b/>
          <w:sz w:val="28"/>
        </w:rPr>
        <w:t>3</w:t>
      </w:r>
      <w:r w:rsidRPr="003E305A">
        <w:rPr>
          <w:b/>
          <w:sz w:val="28"/>
        </w:rPr>
        <w:t xml:space="preserve">. </w:t>
      </w:r>
      <w:r>
        <w:rPr>
          <w:b/>
          <w:sz w:val="28"/>
        </w:rPr>
        <w:t>Raça de senhores</w:t>
      </w:r>
    </w:p>
    <w:p w:rsidR="00321E01" w:rsidRPr="003E305A" w:rsidRDefault="00321E01" w:rsidP="00321E01">
      <w:r w:rsidRPr="003E305A">
        <w:t xml:space="preserve">Parece-me indubitável a influência exercida sobre </w:t>
      </w:r>
      <w:r w:rsidR="00630B3A">
        <w:t xml:space="preserve">a formação </w:t>
      </w:r>
      <w:r w:rsidRPr="003E305A">
        <w:t>dos SS pela obra de Houston Stewart Chamberlain. Em matéria racial, Chamberlain havia adoptado as perspectivas de Darwin e de Francis Galton</w:t>
      </w:r>
      <w:r w:rsidRPr="003E305A">
        <w:rPr>
          <w:rStyle w:val="Refdenotaderodap"/>
        </w:rPr>
        <w:footnoteReference w:id="179"/>
      </w:r>
      <w:r w:rsidRPr="003E305A">
        <w:t>, defendendo que as raças não eram um dado originário e resultavam de um processo de formação histórico e, por conseguinte, constituíam um fenómeno plástico, susceptível não só de degenerescência mas ainda de desenvolvimento e melhoramento</w:t>
      </w:r>
      <w:r w:rsidRPr="003E305A">
        <w:rPr>
          <w:rStyle w:val="Refdenotaderodap"/>
        </w:rPr>
        <w:footnoteReference w:id="180"/>
      </w:r>
      <w:r w:rsidRPr="003E305A">
        <w:t xml:space="preserve">. Sem deixar de se pronunciar contra o racismo abrangente e insistindo sempre no fundamento estritamente biológico da cultura, Chamberlain propusera no entanto para a raça superior medidas de acasalamento que não se limitassem à endogamia e recorressem, dentro de limites, à mistura de sangues. Para ele, as «cinco leis da natureza» que regiam a formação das «raças nobres» eram, em primeiro lugar, «a existência de uma matéria-prima de excelente qualidade». Afastando como especulativas quaisquer reflexões acerca da origem desta matéria-prima biológica, Chamberlain limitara-se a afirmar a necessidade da sua presença. A segunda lei supunha «um regime endógeno prolongado». A terceira lei, operando no interior da endogenia, consistia na selecção que, tendo como modelo a selecção artificial executada nas plantas e nos animais, separaria os elementos a reproduzir </w:t>
      </w:r>
      <w:r w:rsidR="008842E8">
        <w:t>d</w:t>
      </w:r>
      <w:r w:rsidRPr="003E305A">
        <w:t xml:space="preserve">aqueles que deviam ser eliminados. Na definição da quarta lei, Chamberlain sustentara que «a formação de qualquer raça extraordinária é inevitavelmente precedida por uma mistura de sangue». De início, afirmara ele, existia uma multiplicidade de variedades, individualizadas a partir de uma origem comum, e depois estes grupos cruzavam-se entre si ao longo do tempo. Era onde se produzia a melhor mistura que a população começava a mostrar-se mais dotada. Entre os meios pelos quais se obtêm as raças </w:t>
      </w:r>
      <w:r w:rsidRPr="003E305A">
        <w:lastRenderedPageBreak/>
        <w:t xml:space="preserve">puras, escrevera Chamberlain, «nunca deixarei de insistir na necessidade, ou pelo menos na utilidade, das misturas de sangue. [...] na minha opinião, ao desprezarem precisamente a importante lei das misturas os defensores da raça prejudicaram a própria causa que defendem. Caíram no erro que consiste em postular a “raça pura” em si, o que é um conceito místico [...] Nem a história nem a biologia experimental se pronunciam </w:t>
      </w:r>
      <w:r>
        <w:t>a</w:t>
      </w:r>
      <w:r w:rsidRPr="003E305A">
        <w:t xml:space="preserve"> favor de tal quimera». Seria necessário, porém, que estes cruzamentos ocorressem no interior de um limite biológico definido de maneira clara, senão provocariam apenas a degenerescência. Era esta a quinta e última lei, que impedia a doutrina de Chamberlain de se confundir com o racismo abrangente</w:t>
      </w:r>
      <w:r w:rsidRPr="003E305A">
        <w:rPr>
          <w:rStyle w:val="Refdenotaderodap"/>
        </w:rPr>
        <w:footnoteReference w:id="181"/>
      </w:r>
      <w:r w:rsidRPr="003E305A">
        <w:t>. Aliás, ele vira no equilíbrio entre a selecção endógena e o cruzamento de sangues uma das especificidades da raça que denominava germânica. «Não é apenas a pureza que deve ter</w:t>
      </w:r>
      <w:r w:rsidR="008842E8">
        <w:t>-se</w:t>
      </w:r>
      <w:r w:rsidRPr="003E305A">
        <w:t xml:space="preserve"> em conta na raça germânica [...] mas também a extrema variedade das suas formas. A história universal não nos oferece outro exemplo de um tal polimorfismo»</w:t>
      </w:r>
      <w:r w:rsidRPr="003E305A">
        <w:rPr>
          <w:rStyle w:val="Refdenotaderodap"/>
        </w:rPr>
        <w:footnoteReference w:id="182"/>
      </w:r>
      <w:r w:rsidRPr="003E305A">
        <w:t xml:space="preserve">. </w:t>
      </w:r>
    </w:p>
    <w:p w:rsidR="00BB0A90" w:rsidRPr="00D017DF" w:rsidRDefault="00321E01" w:rsidP="00321E01">
      <w:r w:rsidRPr="003E305A">
        <w:t xml:space="preserve">Com estas cinco leis Chamberlain antecipou os termos gerais da política racial dos SS, embora não nos detalhes técnicos mais abjectos, porque parou à beira de admitir a viabilidade de uma experiência biológica deste tipo. </w:t>
      </w:r>
      <w:r w:rsidR="002442E4">
        <w:t>Porém</w:t>
      </w:r>
      <w:r w:rsidRPr="003E305A">
        <w:t>, depois de ter reafirmado, em crítica a Gobineau, que nunca houvera raças originariamente puras e que se entre os animais a raça só se aperfeiçoa através de cruzamentos rigorosamente controlados o mesmo deveria suceder entre os humanos</w:t>
      </w:r>
      <w:r w:rsidRPr="003E305A">
        <w:rPr>
          <w:rStyle w:val="Refdenotaderodap"/>
        </w:rPr>
        <w:footnoteReference w:id="183"/>
      </w:r>
      <w:r w:rsidRPr="003E305A">
        <w:t>, Chamberlain observara que «é quase sempre a nação, enquanto edifício político, a criar as condições necessárias para a formação das raças»</w:t>
      </w:r>
      <w:r w:rsidRPr="003E305A">
        <w:rPr>
          <w:rStyle w:val="Refdenotaderodap"/>
        </w:rPr>
        <w:footnoteReference w:id="184"/>
      </w:r>
      <w:r w:rsidRPr="003E305A">
        <w:t>, tanto assim que a Roma imperial soçobrou no caos étnico e na decadência civilizacional por não ter assumido a estrutura de nação</w:t>
      </w:r>
      <w:r w:rsidRPr="003E305A">
        <w:rPr>
          <w:rStyle w:val="Refdenotaderodap"/>
        </w:rPr>
        <w:footnoteReference w:id="185"/>
      </w:r>
      <w:r w:rsidRPr="003E305A">
        <w:t xml:space="preserve">. A relação entre a execução de um projecto de selecção racial e a criação de instituições políticas ficara, portanto, indicada </w:t>
      </w:r>
      <w:r>
        <w:t xml:space="preserve">com </w:t>
      </w:r>
      <w:r w:rsidRPr="003E305A">
        <w:t>clar</w:t>
      </w:r>
      <w:r>
        <w:t>eza</w:t>
      </w:r>
      <w:r w:rsidRPr="003E305A">
        <w:t>. Mas fora precisamente aqui que Chamberlain estacara, perante a incapacidade de conceber uma organização política tal que pudesse sustentar uma experiência rácica completa. «Não nos é possível confinar um certo número de seres humanos e sujeitá-los a experiências ao longo de várias gerações!»</w:t>
      </w:r>
      <w:r w:rsidRPr="003E305A">
        <w:rPr>
          <w:rStyle w:val="Refdenotaderodap"/>
        </w:rPr>
        <w:footnoteReference w:id="186"/>
      </w:r>
      <w:r w:rsidRPr="003E305A">
        <w:t xml:space="preserve">. Ele não imaginara </w:t>
      </w:r>
      <w:r w:rsidR="00832217">
        <w:t>—</w:t>
      </w:r>
      <w:r w:rsidRPr="003E305A">
        <w:t xml:space="preserve"> quem imaginaria? </w:t>
      </w:r>
      <w:r w:rsidR="00832217">
        <w:t>—</w:t>
      </w:r>
      <w:r w:rsidRPr="003E305A">
        <w:t xml:space="preserve"> que viesse a ser criada uma instituição capaz de controlar um número </w:t>
      </w:r>
      <w:r w:rsidR="003C102F">
        <w:t>abundantíssimo</w:t>
      </w:r>
      <w:r w:rsidRPr="003E305A">
        <w:t xml:space="preserve"> de seres humanos e de </w:t>
      </w:r>
      <w:r>
        <w:t xml:space="preserve">encetar </w:t>
      </w:r>
      <w:r w:rsidRPr="003E305A">
        <w:t xml:space="preserve">a experiência biológica num âmbito continental. </w:t>
      </w:r>
      <w:r w:rsidR="005908CD">
        <w:t xml:space="preserve">É certo que numa obra publicada em 1905 </w:t>
      </w:r>
      <w:r w:rsidR="005908CD" w:rsidRPr="00BB0A90">
        <w:t xml:space="preserve">Lanz von Liebenfels </w:t>
      </w:r>
      <w:r w:rsidR="005908CD">
        <w:t>antecip</w:t>
      </w:r>
      <w:r w:rsidR="00C1222A">
        <w:t>ou</w:t>
      </w:r>
      <w:r w:rsidR="005908CD">
        <w:t xml:space="preserve"> aquele programa e, </w:t>
      </w:r>
      <w:r w:rsidR="00BB0A90">
        <w:t>depois de anuncia</w:t>
      </w:r>
      <w:r w:rsidR="005908CD">
        <w:t>r</w:t>
      </w:r>
      <w:r w:rsidR="00BB0A90">
        <w:t xml:space="preserve"> que «temos </w:t>
      </w:r>
      <w:r w:rsidR="003824A1">
        <w:t>enfim</w:t>
      </w:r>
      <w:r w:rsidR="00BB0A90">
        <w:t xml:space="preserve"> de começar a “procriar humanos”», </w:t>
      </w:r>
      <w:r w:rsidR="00CC5DC6">
        <w:t>evoc</w:t>
      </w:r>
      <w:r w:rsidR="00C1222A">
        <w:t>ou</w:t>
      </w:r>
      <w:r w:rsidR="00CC5DC6">
        <w:t xml:space="preserve"> o </w:t>
      </w:r>
      <w:r w:rsidR="00CC5DC6">
        <w:lastRenderedPageBreak/>
        <w:t xml:space="preserve">«êxito surpreendente» da experiência levada a cabo </w:t>
      </w:r>
      <w:r w:rsidR="00894CC2">
        <w:t xml:space="preserve">por um proprietário de terras russo. </w:t>
      </w:r>
      <w:r w:rsidR="00894CC2" w:rsidRPr="00894CC2">
        <w:t>«Logo na segunda geração obte</w:t>
      </w:r>
      <w:r w:rsidR="00C1222A">
        <w:t>ve</w:t>
      </w:r>
      <w:r w:rsidR="00894CC2" w:rsidRPr="00894CC2">
        <w:t xml:space="preserve"> pessoas de uma beleza praticamente div</w:t>
      </w:r>
      <w:r w:rsidR="00894CC2">
        <w:t xml:space="preserve">ina. </w:t>
      </w:r>
      <w:r w:rsidR="00894CC2" w:rsidRPr="00894CC2">
        <w:t>É claro que este exemplo diz apenas r</w:t>
      </w:r>
      <w:r w:rsidR="00EC0D13">
        <w:t>e</w:t>
      </w:r>
      <w:r w:rsidR="00894CC2" w:rsidRPr="00894CC2">
        <w:t xml:space="preserve">speito a </w:t>
      </w:r>
      <w:r w:rsidR="00F227CA">
        <w:t xml:space="preserve">uma matéria-prima </w:t>
      </w:r>
      <w:r w:rsidR="00894CC2" w:rsidRPr="00894CC2">
        <w:t>eslav</w:t>
      </w:r>
      <w:r w:rsidR="00F227CA">
        <w:t>a</w:t>
      </w:r>
      <w:r w:rsidR="00894CC2" w:rsidRPr="00894CC2">
        <w:t>.</w:t>
      </w:r>
      <w:r w:rsidR="00894CC2">
        <w:t xml:space="preserve"> </w:t>
      </w:r>
      <w:r w:rsidR="00894CC2" w:rsidRPr="00A07404">
        <w:t>Que raça conseguiríamos procriar a partir dos nossos frisões!»</w:t>
      </w:r>
      <w:r w:rsidR="005908CD">
        <w:rPr>
          <w:rStyle w:val="Refdenotaderodap"/>
        </w:rPr>
        <w:footnoteReference w:id="187"/>
      </w:r>
      <w:r w:rsidR="00894CC2" w:rsidRPr="00A07404">
        <w:t xml:space="preserve">. </w:t>
      </w:r>
      <w:r w:rsidR="003C102F">
        <w:t>Para completar o quadro, Lanz propôs também a criação de uma nova raça de escravos, destinada a executar trabalhos físicos para os quais não existissem máquinas</w:t>
      </w:r>
      <w:r w:rsidR="003C102F">
        <w:rPr>
          <w:rStyle w:val="Refdenotaderodap"/>
        </w:rPr>
        <w:footnoteReference w:id="188"/>
      </w:r>
      <w:r w:rsidR="003C102F">
        <w:t xml:space="preserve">. </w:t>
      </w:r>
      <w:r w:rsidR="00D942D9" w:rsidRPr="00D942D9">
        <w:t xml:space="preserve">Mas o que aquele monge renegado </w:t>
      </w:r>
      <w:r w:rsidR="005908CD">
        <w:t xml:space="preserve">concebera no âmbito de </w:t>
      </w:r>
      <w:r w:rsidR="00D942D9" w:rsidRPr="00D942D9">
        <w:t>uma interpretaç</w:t>
      </w:r>
      <w:r w:rsidR="00D942D9">
        <w:t xml:space="preserve">ão histórica e teológica delirante, </w:t>
      </w:r>
      <w:r w:rsidR="00A7645F">
        <w:t xml:space="preserve">os nacionais-socialistas pretenderam realizar </w:t>
      </w:r>
      <w:r w:rsidR="005908CD">
        <w:t>mais prosaicamente</w:t>
      </w:r>
      <w:r w:rsidR="00A7645F">
        <w:t xml:space="preserve">. </w:t>
      </w:r>
    </w:p>
    <w:p w:rsidR="009075C9" w:rsidRDefault="00606812" w:rsidP="00321E01">
      <w:r w:rsidRPr="00904763">
        <w:t xml:space="preserve">Rosenberg </w:t>
      </w:r>
      <w:r w:rsidR="00252DDE">
        <w:t>exp</w:t>
      </w:r>
      <w:r w:rsidR="002442E4">
        <w:t>ôs</w:t>
      </w:r>
      <w:r w:rsidR="00252DDE">
        <w:t xml:space="preserve"> </w:t>
      </w:r>
      <w:r w:rsidRPr="00904763">
        <w:t>os termos doutrin</w:t>
      </w:r>
      <w:r w:rsidR="0046191C" w:rsidRPr="00904763">
        <w:t xml:space="preserve">ários do problema ao escrever, na sua obra maior, que «se um dia pudermos antever e criar nalgum </w:t>
      </w:r>
      <w:r w:rsidR="0062661B">
        <w:t>lugar</w:t>
      </w:r>
      <w:r w:rsidR="0046191C" w:rsidRPr="00904763">
        <w:t xml:space="preserve"> um novo, ainda que muito antigo, tipo de germano que, consciente do </w:t>
      </w:r>
      <w:r w:rsidR="00C33573">
        <w:t xml:space="preserve">seu </w:t>
      </w:r>
      <w:r w:rsidR="0046191C" w:rsidRPr="00904763">
        <w:t xml:space="preserve">espírito, da </w:t>
      </w:r>
      <w:r w:rsidR="00C33573">
        <w:t xml:space="preserve">sua </w:t>
      </w:r>
      <w:r w:rsidR="0046191C" w:rsidRPr="00904763">
        <w:t xml:space="preserve">raça e da </w:t>
      </w:r>
      <w:r w:rsidR="00C33573">
        <w:t xml:space="preserve">sua </w:t>
      </w:r>
      <w:r w:rsidR="0046191C" w:rsidRPr="00904763">
        <w:t xml:space="preserve">história, </w:t>
      </w:r>
      <w:r w:rsidR="001A0631" w:rsidRPr="00904763">
        <w:t xml:space="preserve">proclame sem hesitar </w:t>
      </w:r>
      <w:r w:rsidR="00B83F1B" w:rsidRPr="00904763">
        <w:t>o</w:t>
      </w:r>
      <w:r w:rsidR="001A0631" w:rsidRPr="00904763">
        <w:t>s antig</w:t>
      </w:r>
      <w:r w:rsidR="00B83F1B" w:rsidRPr="00904763">
        <w:t>o</w:t>
      </w:r>
      <w:r w:rsidR="001A0631" w:rsidRPr="00904763">
        <w:t>s, ainda que nov</w:t>
      </w:r>
      <w:r w:rsidR="00B83F1B" w:rsidRPr="00904763">
        <w:t>o</w:t>
      </w:r>
      <w:r w:rsidR="001A0631" w:rsidRPr="00904763">
        <w:t xml:space="preserve">s, </w:t>
      </w:r>
      <w:r w:rsidR="00B83F1B" w:rsidRPr="00904763">
        <w:t xml:space="preserve">valores, então reunir-se-ão em redor desse núcleo </w:t>
      </w:r>
      <w:r w:rsidR="0061459B" w:rsidRPr="00904763">
        <w:t xml:space="preserve">todos aqueles que </w:t>
      </w:r>
      <w:r w:rsidR="00252DDE">
        <w:t xml:space="preserve">andam </w:t>
      </w:r>
      <w:r w:rsidR="004622E2" w:rsidRPr="00904763">
        <w:t xml:space="preserve">agora </w:t>
      </w:r>
      <w:r w:rsidR="00252DDE">
        <w:t xml:space="preserve">aos </w:t>
      </w:r>
      <w:r w:rsidR="00904763" w:rsidRPr="00904763">
        <w:t>tropeç</w:t>
      </w:r>
      <w:r w:rsidR="00252DDE">
        <w:t>ões</w:t>
      </w:r>
      <w:r w:rsidR="00904763" w:rsidRPr="00904763">
        <w:t xml:space="preserve"> na escuridão, apesar de </w:t>
      </w:r>
      <w:r w:rsidR="00252DDE">
        <w:t xml:space="preserve">estarem </w:t>
      </w:r>
      <w:r w:rsidR="00904763" w:rsidRPr="00904763">
        <w:t xml:space="preserve">enraizados no velho solo </w:t>
      </w:r>
      <w:r w:rsidR="00F93BB3">
        <w:t>natal da Europa</w:t>
      </w:r>
      <w:r w:rsidR="00904763">
        <w:t>»</w:t>
      </w:r>
      <w:r w:rsidR="00F93BB3">
        <w:rPr>
          <w:rStyle w:val="Refdenotaderodap"/>
        </w:rPr>
        <w:footnoteReference w:id="189"/>
      </w:r>
      <w:r w:rsidR="00904763">
        <w:t xml:space="preserve">. </w:t>
      </w:r>
      <w:r w:rsidR="0062661B" w:rsidRPr="00C07F10">
        <w:t>O ideólogo do nacional-socialismo não ignora</w:t>
      </w:r>
      <w:r w:rsidR="00252DDE">
        <w:t>r</w:t>
      </w:r>
      <w:r w:rsidR="0062661B" w:rsidRPr="00C07F10">
        <w:t>a também os termos práticos</w:t>
      </w:r>
      <w:r w:rsidR="00252DDE">
        <w:t xml:space="preserve"> do problema</w:t>
      </w:r>
      <w:r w:rsidR="00E467AA">
        <w:t xml:space="preserve"> e </w:t>
      </w:r>
      <w:r w:rsidR="001E562E">
        <w:t xml:space="preserve">explicara </w:t>
      </w:r>
      <w:r w:rsidR="0062661B" w:rsidRPr="00C07F10">
        <w:t>que se tratava de aplicar uma «selecção consciente, guiada pela força d</w:t>
      </w:r>
      <w:r w:rsidR="00252DDE">
        <w:t>a</w:t>
      </w:r>
      <w:r w:rsidR="0062661B" w:rsidRPr="00C07F10">
        <w:t xml:space="preserve"> vontade»</w:t>
      </w:r>
      <w:r w:rsidR="00C07F10" w:rsidRPr="00C07F10">
        <w:t xml:space="preserve"> e que </w:t>
      </w:r>
      <w:r w:rsidR="00C07F10">
        <w:t>«uma liga de homens organizada conscientemente terá de levar a cabo est</w:t>
      </w:r>
      <w:r w:rsidR="003D0843">
        <w:t>a</w:t>
      </w:r>
      <w:r w:rsidR="00C07F10">
        <w:t xml:space="preserve"> </w:t>
      </w:r>
      <w:r w:rsidR="003D0843">
        <w:t>missão</w:t>
      </w:r>
      <w:r w:rsidR="00C07F10">
        <w:t>»</w:t>
      </w:r>
      <w:r w:rsidR="003D0843">
        <w:rPr>
          <w:rStyle w:val="Refdenotaderodap"/>
        </w:rPr>
        <w:footnoteReference w:id="190"/>
      </w:r>
      <w:r w:rsidR="00C07F10">
        <w:t xml:space="preserve">. </w:t>
      </w:r>
    </w:p>
    <w:p w:rsidR="00E7212E" w:rsidRPr="00CD5279" w:rsidRDefault="00547E46" w:rsidP="00321E01">
      <w:r w:rsidRPr="003D0843">
        <w:t xml:space="preserve">Coube aos chefes dos SS </w:t>
      </w:r>
      <w:r w:rsidR="00E459A1" w:rsidRPr="003D0843">
        <w:t>exec</w:t>
      </w:r>
      <w:r w:rsidR="00787D1D">
        <w:t>u</w:t>
      </w:r>
      <w:r w:rsidR="00E459A1" w:rsidRPr="003D0843">
        <w:t>tar</w:t>
      </w:r>
      <w:r w:rsidR="0067127E" w:rsidRPr="003D0843">
        <w:t xml:space="preserve"> </w:t>
      </w:r>
      <w:r w:rsidR="005805BE">
        <w:t>esse</w:t>
      </w:r>
      <w:r w:rsidRPr="003D0843">
        <w:t xml:space="preserve"> programa</w:t>
      </w:r>
      <w:r w:rsidR="000633C1">
        <w:t>,</w:t>
      </w:r>
      <w:r w:rsidR="0067127E" w:rsidRPr="003D0843">
        <w:t xml:space="preserve"> </w:t>
      </w:r>
      <w:r w:rsidR="00E33161">
        <w:t xml:space="preserve">com </w:t>
      </w:r>
      <w:r w:rsidR="0067127E" w:rsidRPr="003D0843">
        <w:t xml:space="preserve">critérios de recrutamento </w:t>
      </w:r>
      <w:r w:rsidR="00E33161">
        <w:t xml:space="preserve">que aplicaram </w:t>
      </w:r>
      <w:r w:rsidR="00321E01" w:rsidRPr="0037419A">
        <w:t xml:space="preserve">a conjugação entre a endogamia e a mistura limitada de sangues preconizada por Chamberlain. </w:t>
      </w:r>
      <w:r w:rsidR="00321E01" w:rsidRPr="003E305A">
        <w:t>Graças a uma selecção rigorosa, os SS formar</w:t>
      </w:r>
      <w:r w:rsidR="000633C1">
        <w:t>iam</w:t>
      </w:r>
      <w:r w:rsidR="00321E01" w:rsidRPr="003E305A">
        <w:t xml:space="preserve"> uma elite biológica, perpetuada através da escolha da esposa. </w:t>
      </w:r>
      <w:r w:rsidR="00E33161">
        <w:t xml:space="preserve">Além das características físicas requeridas, </w:t>
      </w:r>
      <w:r w:rsidR="00D47A40">
        <w:t xml:space="preserve">eram exigidos </w:t>
      </w:r>
      <w:r w:rsidR="005805BE">
        <w:t>aos candidatos</w:t>
      </w:r>
      <w:r w:rsidR="005805BE" w:rsidRPr="003E305A">
        <w:t xml:space="preserve"> </w:t>
      </w:r>
      <w:r w:rsidR="00E33161" w:rsidRPr="003E305A">
        <w:t>certificados genealógicos</w:t>
      </w:r>
      <w:r w:rsidR="00E33161">
        <w:t xml:space="preserve"> </w:t>
      </w:r>
      <w:r w:rsidR="00AA671C">
        <w:t xml:space="preserve">provando que não </w:t>
      </w:r>
      <w:r w:rsidR="00AA671C" w:rsidRPr="003E305A">
        <w:t>conta</w:t>
      </w:r>
      <w:r w:rsidR="00AA671C">
        <w:t>vam</w:t>
      </w:r>
      <w:r w:rsidR="00AA671C" w:rsidRPr="003E305A">
        <w:t xml:space="preserve"> antepassados judeus nem eslavos até pelo menos 1</w:t>
      </w:r>
      <w:r w:rsidR="00AA671C">
        <w:t>6</w:t>
      </w:r>
      <w:r w:rsidR="00AA671C" w:rsidRPr="003E305A">
        <w:t>50</w:t>
      </w:r>
      <w:r w:rsidR="00AA671C">
        <w:t>, ou seja, desde a Guerra dos Trinta Anos, quando muitos arquivos paroquiais haviam sido destruídos</w:t>
      </w:r>
      <w:r w:rsidR="00AA671C">
        <w:rPr>
          <w:rStyle w:val="Refdenotaderodap"/>
        </w:rPr>
        <w:footnoteReference w:id="191"/>
      </w:r>
      <w:r w:rsidR="009075C9">
        <w:t>.</w:t>
      </w:r>
      <w:r w:rsidR="00AA671C">
        <w:t xml:space="preserve"> </w:t>
      </w:r>
      <w:r w:rsidR="009075C9">
        <w:t xml:space="preserve">E </w:t>
      </w:r>
      <w:r w:rsidR="00AA671C" w:rsidRPr="003E305A">
        <w:t xml:space="preserve">no </w:t>
      </w:r>
      <w:r w:rsidR="00321E01" w:rsidRPr="003E305A">
        <w:t>último dia de 1931 Himmler</w:t>
      </w:r>
      <w:r w:rsidR="002502BE">
        <w:t>,</w:t>
      </w:r>
      <w:r w:rsidR="00321E01" w:rsidRPr="003E305A">
        <w:t xml:space="preserve"> </w:t>
      </w:r>
      <w:r w:rsidR="002502BE">
        <w:t xml:space="preserve">assistido por Darré, </w:t>
      </w:r>
      <w:r w:rsidR="00321E01" w:rsidRPr="003E305A">
        <w:t>emitiu um</w:t>
      </w:r>
      <w:r w:rsidR="00B11EFF">
        <w:t xml:space="preserve"> decreto </w:t>
      </w:r>
      <w:r w:rsidR="00321E01" w:rsidRPr="003E305A">
        <w:t>intern</w:t>
      </w:r>
      <w:r w:rsidR="00B11EFF">
        <w:t>o</w:t>
      </w:r>
      <w:r w:rsidR="002502BE">
        <w:t xml:space="preserve"> </w:t>
      </w:r>
      <w:r w:rsidR="00321E01" w:rsidRPr="003E305A">
        <w:t>destinad</w:t>
      </w:r>
      <w:r w:rsidR="00B11EFF">
        <w:t>o</w:t>
      </w:r>
      <w:r w:rsidR="00321E01" w:rsidRPr="003E305A">
        <w:t xml:space="preserve"> a orientar numa perspectiva nórdica os casamentos dos SS, </w:t>
      </w:r>
      <w:r w:rsidR="009C4023">
        <w:t xml:space="preserve">impondo às </w:t>
      </w:r>
      <w:r w:rsidR="00AA671C">
        <w:t>noivas a mesma pureza racial</w:t>
      </w:r>
      <w:r w:rsidR="00321E01" w:rsidRPr="003E305A">
        <w:rPr>
          <w:rStyle w:val="Refdenotaderodap"/>
        </w:rPr>
        <w:footnoteReference w:id="192"/>
      </w:r>
      <w:r w:rsidR="00321E01" w:rsidRPr="003E305A">
        <w:t xml:space="preserve">. </w:t>
      </w:r>
      <w:r w:rsidR="00B11EFF">
        <w:t xml:space="preserve">«Os SS são uma união dos germanos de </w:t>
      </w:r>
      <w:r w:rsidR="00B11EFF">
        <w:lastRenderedPageBreak/>
        <w:t>características nórdicas», definia o primeiro artigo desse decreto</w:t>
      </w:r>
      <w:r w:rsidR="00B11EFF">
        <w:rPr>
          <w:rStyle w:val="Refdenotaderodap"/>
        </w:rPr>
        <w:footnoteReference w:id="193"/>
      </w:r>
      <w:r w:rsidR="00B11EFF">
        <w:t xml:space="preserve">. </w:t>
      </w:r>
      <w:r w:rsidR="00321E01" w:rsidRPr="003E305A">
        <w:t xml:space="preserve">A liquidação da ala populista do nacional-socialismo, na passagem de Junho para Julho de 1934, permitiu a Himmler prosseguir em grande escala a edificação </w:t>
      </w:r>
      <w:r w:rsidR="00D47A40">
        <w:t xml:space="preserve">da elite </w:t>
      </w:r>
      <w:r w:rsidR="00321E01" w:rsidRPr="003E305A">
        <w:t>racia</w:t>
      </w:r>
      <w:r w:rsidR="00D47A40">
        <w:t>l</w:t>
      </w:r>
      <w:r w:rsidR="00321E01" w:rsidRPr="003E305A">
        <w:t xml:space="preserve"> do Reich. Em seguida</w:t>
      </w:r>
      <w:r w:rsidR="00F631AE">
        <w:t>,</w:t>
      </w:r>
      <w:r w:rsidR="00321E01" w:rsidRPr="003E305A">
        <w:t xml:space="preserve"> a Lei para a Protecção do Sangue Alemão e da Honra Alemã</w:t>
      </w:r>
      <w:r w:rsidR="000B5533">
        <w:rPr>
          <w:rStyle w:val="Refdenotaderodap"/>
        </w:rPr>
        <w:footnoteReference w:id="194"/>
      </w:r>
      <w:r w:rsidR="00321E01" w:rsidRPr="003E305A">
        <w:t xml:space="preserve">, apresentada ao Reichstag por ocasião do congresso do partido de Setembro de 1935 e incluída no conjunto jurídico conhecido como Leis de Nuremberga, pretendeu preservar da contaminação o povo germânico, fundando </w:t>
      </w:r>
      <w:r w:rsidR="000633C1">
        <w:t xml:space="preserve">uma base </w:t>
      </w:r>
      <w:r w:rsidR="00321E01" w:rsidRPr="003E305A">
        <w:t>racia</w:t>
      </w:r>
      <w:r w:rsidR="000633C1">
        <w:t>l</w:t>
      </w:r>
      <w:r w:rsidR="00321E01" w:rsidRPr="003E305A">
        <w:t xml:space="preserve"> sólid</w:t>
      </w:r>
      <w:r w:rsidR="000633C1">
        <w:t>a</w:t>
      </w:r>
      <w:r w:rsidR="00321E01" w:rsidRPr="003E305A">
        <w:t xml:space="preserve"> para o domínio da elite nórdica. </w:t>
      </w:r>
      <w:r w:rsidR="00D81B73">
        <w:t xml:space="preserve">Finalmente, </w:t>
      </w:r>
      <w:r w:rsidR="00EC3528">
        <w:t xml:space="preserve">no quadro de uma instituição </w:t>
      </w:r>
      <w:r w:rsidR="00AE504C">
        <w:t>criada</w:t>
      </w:r>
      <w:r w:rsidR="00EC3528">
        <w:t xml:space="preserve"> </w:t>
      </w:r>
      <w:r w:rsidR="008A4522">
        <w:t xml:space="preserve">em Dezembro </w:t>
      </w:r>
      <w:r w:rsidR="00F631AE">
        <w:t>daquele</w:t>
      </w:r>
      <w:r w:rsidR="00E96932">
        <w:t xml:space="preserve"> ano</w:t>
      </w:r>
      <w:r w:rsidR="00EC3528">
        <w:t xml:space="preserve"> e destinada a facilitar a procriação de filhos pelos SS dentro e fora do matrimónio</w:t>
      </w:r>
      <w:r w:rsidR="008A4522">
        <w:t xml:space="preserve">, </w:t>
      </w:r>
      <w:r w:rsidR="00EC3528">
        <w:t xml:space="preserve">Himmler lançou </w:t>
      </w:r>
      <w:r w:rsidR="00CB08AF">
        <w:t xml:space="preserve">em Outubro de 1939 </w:t>
      </w:r>
      <w:r w:rsidR="008A4522">
        <w:t xml:space="preserve">um programa que </w:t>
      </w:r>
      <w:r w:rsidR="00CB08AF">
        <w:t xml:space="preserve">fomentou a </w:t>
      </w:r>
      <w:r w:rsidR="005247D2">
        <w:t>copulação</w:t>
      </w:r>
      <w:r w:rsidR="001D1DE6">
        <w:t>,</w:t>
      </w:r>
      <w:r w:rsidR="005247D2">
        <w:t xml:space="preserve"> </w:t>
      </w:r>
      <w:r w:rsidR="001D1DE6">
        <w:t xml:space="preserve">exterior ao casamento, </w:t>
      </w:r>
      <w:r w:rsidR="00CB08AF">
        <w:t xml:space="preserve">entre os SS e mulheres </w:t>
      </w:r>
      <w:r w:rsidR="005247D2">
        <w:t xml:space="preserve">de bom sangue, </w:t>
      </w:r>
      <w:r w:rsidR="00CB08AF">
        <w:t xml:space="preserve">para estimular a </w:t>
      </w:r>
      <w:r w:rsidR="001D4358">
        <w:t>reprodução</w:t>
      </w:r>
      <w:r w:rsidR="005247D2">
        <w:t xml:space="preserve"> </w:t>
      </w:r>
      <w:r w:rsidR="00CB08AF">
        <w:t xml:space="preserve">de uma raça de senhores, numa época em que a guerra </w:t>
      </w:r>
      <w:r w:rsidR="004B7650">
        <w:t xml:space="preserve">ia </w:t>
      </w:r>
      <w:r w:rsidR="00CB08AF">
        <w:t>dizima</w:t>
      </w:r>
      <w:r w:rsidR="004B7650">
        <w:t>r</w:t>
      </w:r>
      <w:r w:rsidR="00CB08AF">
        <w:t xml:space="preserve"> tantos deles</w:t>
      </w:r>
      <w:r w:rsidR="00E95DE4">
        <w:rPr>
          <w:rStyle w:val="Refdenotaderodap"/>
        </w:rPr>
        <w:footnoteReference w:id="195"/>
      </w:r>
      <w:r w:rsidR="00CB08AF">
        <w:t xml:space="preserve">. </w:t>
      </w:r>
      <w:r w:rsidR="00926E58">
        <w:t xml:space="preserve">Aliás, Himmler mostrava-se interessado em </w:t>
      </w:r>
      <w:r w:rsidR="00D47A40">
        <w:t>promover</w:t>
      </w:r>
      <w:r w:rsidR="00926E58">
        <w:t xml:space="preserve"> pequisas científicas </w:t>
      </w:r>
      <w:r w:rsidR="009C4023">
        <w:t>para</w:t>
      </w:r>
      <w:r w:rsidR="00926E58">
        <w:t xml:space="preserve"> prova</w:t>
      </w:r>
      <w:r w:rsidR="009C4023">
        <w:t>r</w:t>
      </w:r>
      <w:r w:rsidR="00926E58">
        <w:t xml:space="preserve"> que as crianças nascidas fora do matrimónio não eram geneticamente inferiores aos filhos legítimos</w:t>
      </w:r>
      <w:r w:rsidR="00926E58">
        <w:rPr>
          <w:rStyle w:val="Refdenotaderodap"/>
        </w:rPr>
        <w:footnoteReference w:id="196"/>
      </w:r>
      <w:r w:rsidR="00926E58">
        <w:t xml:space="preserve">. </w:t>
      </w:r>
      <w:r w:rsidR="003E6EF7">
        <w:t xml:space="preserve">Já </w:t>
      </w:r>
      <w:r w:rsidR="00333242">
        <w:t xml:space="preserve">em 1930 </w:t>
      </w:r>
      <w:r w:rsidR="003E6EF7">
        <w:t xml:space="preserve">Rosenberg </w:t>
      </w:r>
      <w:r w:rsidR="00557311">
        <w:t xml:space="preserve">propusera a aceitação </w:t>
      </w:r>
      <w:r w:rsidR="002F7360">
        <w:t xml:space="preserve">periódica </w:t>
      </w:r>
      <w:r w:rsidR="00557311">
        <w:t xml:space="preserve">da poligamia e a legitimação dos filhos de mães solteiras como forma de </w:t>
      </w:r>
      <w:r w:rsidR="00990E5E">
        <w:t>solucionar o défice demográfico da raça</w:t>
      </w:r>
      <w:r w:rsidR="00396B88">
        <w:rPr>
          <w:rStyle w:val="Refdenotaderodap"/>
        </w:rPr>
        <w:footnoteReference w:id="197"/>
      </w:r>
      <w:r w:rsidR="00990E5E">
        <w:t xml:space="preserve">. </w:t>
      </w:r>
      <w:r w:rsidR="00BE5500">
        <w:t xml:space="preserve">«É evidente que a procriação mais abundante tem de se dever a esta elite racial do povo alemão», afirmou Himmler </w:t>
      </w:r>
      <w:r w:rsidR="00926E58">
        <w:t>num</w:t>
      </w:r>
      <w:r w:rsidR="00BE5500">
        <w:t xml:space="preserve"> discurso em </w:t>
      </w:r>
      <w:r w:rsidR="008D34D6">
        <w:t>Posen</w:t>
      </w:r>
      <w:r w:rsidR="00BE5500">
        <w:t xml:space="preserve"> a 4 de Outubro de 1943</w:t>
      </w:r>
      <w:r w:rsidR="00BE5500">
        <w:rPr>
          <w:rStyle w:val="Refdenotaderodap"/>
        </w:rPr>
        <w:footnoteReference w:id="198"/>
      </w:r>
      <w:r w:rsidR="009D6F72">
        <w:t>,</w:t>
      </w:r>
      <w:r w:rsidR="00BE5500">
        <w:t xml:space="preserve"> </w:t>
      </w:r>
      <w:r w:rsidR="00AB324A">
        <w:t xml:space="preserve">e nos intermináveis monólogos com que brindava os comensais o Führer mostrou-se </w:t>
      </w:r>
      <w:r w:rsidR="009D6F72">
        <w:t xml:space="preserve">igualmente </w:t>
      </w:r>
      <w:r w:rsidR="00AB324A">
        <w:t xml:space="preserve">adepto </w:t>
      </w:r>
      <w:r w:rsidR="009D6F72">
        <w:t>de uma poligamia informal</w:t>
      </w:r>
      <w:r w:rsidR="009D6F72">
        <w:rPr>
          <w:rStyle w:val="Refdenotaderodap"/>
        </w:rPr>
        <w:footnoteReference w:id="199"/>
      </w:r>
      <w:r w:rsidR="009D6F72">
        <w:t xml:space="preserve">. </w:t>
      </w:r>
      <w:r w:rsidR="00242D89">
        <w:t xml:space="preserve">Em suma, </w:t>
      </w:r>
      <w:r w:rsidR="00242D89" w:rsidRPr="003E305A">
        <w:t xml:space="preserve">os </w:t>
      </w:r>
      <w:r w:rsidR="00321E01" w:rsidRPr="003E305A">
        <w:t>germanos estavam destinados a deter, enquanto conjunto, a hegemonia sobre os demais povos, e no seu interior a supremacia caberia naturalmente aos SS, enquanto escol biologicamente puro</w:t>
      </w:r>
      <w:r w:rsidR="00321E01" w:rsidRPr="003E305A">
        <w:rPr>
          <w:rStyle w:val="Refdenotaderodap"/>
        </w:rPr>
        <w:footnoteReference w:id="200"/>
      </w:r>
      <w:r w:rsidR="00321E01" w:rsidRPr="003E305A">
        <w:t xml:space="preserve">. </w:t>
      </w:r>
      <w:r w:rsidR="007650CD">
        <w:t>«Os SS têm de se transformar de uma guarda de protecção pessoal numa guarda da nação», anunci</w:t>
      </w:r>
      <w:r w:rsidR="00F12BAF">
        <w:t>ara</w:t>
      </w:r>
      <w:r w:rsidR="007650CD">
        <w:t xml:space="preserve"> Himmler</w:t>
      </w:r>
      <w:r w:rsidR="007D4A54">
        <w:t xml:space="preserve"> ainda no alvor do Terceiro Reich</w:t>
      </w:r>
      <w:r w:rsidR="007650CD">
        <w:t xml:space="preserve">, «uma guarda da Raça Nórdica a quem cabe dirigir um Povo de Senhores formado por 200 milhões de </w:t>
      </w:r>
      <w:r w:rsidR="007650CD">
        <w:lastRenderedPageBreak/>
        <w:t>germanos»</w:t>
      </w:r>
      <w:r w:rsidR="007D4A54">
        <w:rPr>
          <w:rStyle w:val="Refdenotaderodap"/>
        </w:rPr>
        <w:footnoteReference w:id="201"/>
      </w:r>
      <w:r w:rsidR="007650CD">
        <w:t xml:space="preserve">. </w:t>
      </w:r>
      <w:r w:rsidR="00321E01" w:rsidRPr="003E305A">
        <w:t xml:space="preserve">Os SS seriam, ao mesmo tempo, os chefes da raça nórdica e o repositório da preciosidade do seu sangue, e seriam uma coisa </w:t>
      </w:r>
      <w:r w:rsidR="00321E01">
        <w:t>exactamente</w:t>
      </w:r>
      <w:r w:rsidR="00321E01" w:rsidRPr="003E305A">
        <w:t xml:space="preserve"> por serem a outra. </w:t>
      </w:r>
      <w:r w:rsidR="00321E01" w:rsidRPr="008250CC">
        <w:t>O racismo fundava um elitismo</w:t>
      </w:r>
      <w:r w:rsidR="00CC0253">
        <w:rPr>
          <w:rStyle w:val="Refdenotaderodap"/>
        </w:rPr>
        <w:footnoteReference w:id="202"/>
      </w:r>
      <w:r w:rsidR="00321E01" w:rsidRPr="008250CC">
        <w:t xml:space="preserve">. </w:t>
      </w:r>
      <w:r w:rsidR="006E7F4C" w:rsidRPr="00802CA0">
        <w:t xml:space="preserve">«Não tenho a mínima dúvida, apesar do cepticismo de alguns», disse o Führer a quem o rodeava, «que dentro de mais ou menos cem anos </w:t>
      </w:r>
      <w:r w:rsidR="00802CA0" w:rsidRPr="00802CA0">
        <w:t>toda a elite germânica será um produto dos SS — porque só os SS praticam a selecç</w:t>
      </w:r>
      <w:r w:rsidR="00802CA0">
        <w:t>ão racial»</w:t>
      </w:r>
      <w:r w:rsidR="00CD5279">
        <w:rPr>
          <w:rStyle w:val="Refdenotaderodap"/>
        </w:rPr>
        <w:footnoteReference w:id="203"/>
      </w:r>
      <w:r w:rsidR="00802CA0">
        <w:t xml:space="preserve">. </w:t>
      </w:r>
    </w:p>
    <w:p w:rsidR="00321E01" w:rsidRPr="003E305A" w:rsidRDefault="00E7212E" w:rsidP="00321E01">
      <w:r>
        <w:t xml:space="preserve">A </w:t>
      </w:r>
      <w:r w:rsidR="00F24446" w:rsidRPr="00E110F1">
        <w:t>Reichswehr</w:t>
      </w:r>
      <w:r w:rsidR="00F24446">
        <w:t xml:space="preserve"> </w:t>
      </w:r>
      <w:r w:rsidR="0033364F">
        <w:t>iludira-se</w:t>
      </w:r>
      <w:r>
        <w:t xml:space="preserve"> </w:t>
      </w:r>
      <w:r w:rsidR="0033364F">
        <w:t xml:space="preserve">ao julgar </w:t>
      </w:r>
      <w:r>
        <w:t xml:space="preserve">que seria a única </w:t>
      </w:r>
      <w:r w:rsidR="0033364F">
        <w:t xml:space="preserve">beneficiária </w:t>
      </w:r>
      <w:r w:rsidR="008D00D1">
        <w:t>d</w:t>
      </w:r>
      <w:r>
        <w:t>a liquidação das SA</w:t>
      </w:r>
      <w:r w:rsidR="0033364F">
        <w:t>,</w:t>
      </w:r>
      <w:r>
        <w:t xml:space="preserve"> </w:t>
      </w:r>
      <w:r w:rsidR="00420326">
        <w:t xml:space="preserve">quando </w:t>
      </w:r>
      <w:r>
        <w:t>apoi</w:t>
      </w:r>
      <w:r w:rsidR="0033364F">
        <w:t>ara</w:t>
      </w:r>
      <w:r>
        <w:t xml:space="preserve"> logisticamente a acção e fornece</w:t>
      </w:r>
      <w:r w:rsidR="0033364F">
        <w:t>ra</w:t>
      </w:r>
      <w:r>
        <w:t xml:space="preserve"> armas às unidades SS que se encarregaram das prisões e execuções</w:t>
      </w:r>
      <w:r w:rsidR="00634CC8">
        <w:rPr>
          <w:rStyle w:val="Refdenotaderodap"/>
        </w:rPr>
        <w:footnoteReference w:id="204"/>
      </w:r>
      <w:r>
        <w:t xml:space="preserve">. </w:t>
      </w:r>
      <w:r w:rsidR="00A57DFE">
        <w:t xml:space="preserve">Mas no próprio dia do expurgo sangrento o Führer decretou que a sua guarda pessoal SS fosse transformada num regimento independente da </w:t>
      </w:r>
      <w:r w:rsidR="00F24446" w:rsidRPr="00E110F1">
        <w:t>Reichswehr</w:t>
      </w:r>
      <w:r w:rsidR="00F24446">
        <w:t xml:space="preserve"> </w:t>
      </w:r>
      <w:r w:rsidR="00A57DFE">
        <w:t xml:space="preserve">e dotado de </w:t>
      </w:r>
      <w:r w:rsidR="00B313CD">
        <w:t>equip</w:t>
      </w:r>
      <w:r w:rsidR="00DE6CE5">
        <w:t>a</w:t>
      </w:r>
      <w:r w:rsidR="00B313CD">
        <w:t>mento</w:t>
      </w:r>
      <w:r w:rsidR="00A57DFE">
        <w:t xml:space="preserve"> militar</w:t>
      </w:r>
      <w:r w:rsidR="00DE6CE5">
        <w:rPr>
          <w:rStyle w:val="Refdenotaderodap"/>
        </w:rPr>
        <w:footnoteReference w:id="205"/>
      </w:r>
      <w:r w:rsidR="00A57DFE">
        <w:t xml:space="preserve">. </w:t>
      </w:r>
      <w:r w:rsidR="00DE6CE5">
        <w:t xml:space="preserve">A </w:t>
      </w:r>
      <w:r w:rsidR="00F24446" w:rsidRPr="00E110F1">
        <w:t>Reichswehr</w:t>
      </w:r>
      <w:r w:rsidR="00F24446">
        <w:t xml:space="preserve"> </w:t>
      </w:r>
      <w:r w:rsidR="00DE6CE5">
        <w:t>perd</w:t>
      </w:r>
      <w:r w:rsidR="0033364F">
        <w:t>i</w:t>
      </w:r>
      <w:r w:rsidR="00DE6CE5">
        <w:t xml:space="preserve">a assim o exclusivo </w:t>
      </w:r>
      <w:r w:rsidR="0033364F">
        <w:t xml:space="preserve">no </w:t>
      </w:r>
      <w:r w:rsidR="0056519C">
        <w:t xml:space="preserve">exacto </w:t>
      </w:r>
      <w:r w:rsidR="0033364F">
        <w:t xml:space="preserve">momento em </w:t>
      </w:r>
      <w:r w:rsidR="003C6BE5">
        <w:t xml:space="preserve">que </w:t>
      </w:r>
      <w:r w:rsidR="0033364F">
        <w:t xml:space="preserve">via afastada a ameaça das SA, </w:t>
      </w:r>
      <w:r w:rsidR="00DE6CE5">
        <w:t>e os SS ocupar</w:t>
      </w:r>
      <w:r w:rsidR="00FC7285">
        <w:t>am</w:t>
      </w:r>
      <w:r w:rsidR="00DE6CE5">
        <w:t xml:space="preserve"> </w:t>
      </w:r>
      <w:r w:rsidR="006F5DAD">
        <w:t xml:space="preserve">um espaço militar e político </w:t>
      </w:r>
      <w:r w:rsidR="00A30A01">
        <w:t>crescente</w:t>
      </w:r>
      <w:r w:rsidR="00DE6CE5">
        <w:t xml:space="preserve">. </w:t>
      </w:r>
      <w:r w:rsidR="00321E01" w:rsidRPr="003E305A">
        <w:t>Constituindo desde Julho de 1934 a única milícia armada do NSDAP</w:t>
      </w:r>
      <w:r w:rsidR="003B2C6A">
        <w:t>,</w:t>
      </w:r>
      <w:r w:rsidR="00321E01" w:rsidRPr="003E305A">
        <w:t xml:space="preserve"> dispondo de um arsenal cada vez mais bem abastecido</w:t>
      </w:r>
      <w:r w:rsidR="003B2C6A">
        <w:t xml:space="preserve"> e passando a gozar formalmente de uma independência relativamente </w:t>
      </w:r>
      <w:r w:rsidR="00875812">
        <w:t>às</w:t>
      </w:r>
      <w:r w:rsidR="003B2C6A">
        <w:t xml:space="preserve"> SA que já antes tinham na prática</w:t>
      </w:r>
      <w:r w:rsidR="00321E01" w:rsidRPr="003E305A">
        <w:t>, os SS tornaram-se a orga</w:t>
      </w:r>
      <w:r w:rsidR="003B2C6A">
        <w:t xml:space="preserve">nização exclusiva da elite </w:t>
      </w:r>
      <w:r w:rsidR="003878B6">
        <w:t>nacional-socialista</w:t>
      </w:r>
      <w:r w:rsidR="00321E01" w:rsidRPr="003E305A">
        <w:t xml:space="preserve"> e em Junho de 1936 Himmler obteve o comando da totalidade do aparelho policial. Bastaram aos SS dois anos par</w:t>
      </w:r>
      <w:r w:rsidR="00E42C82">
        <w:t xml:space="preserve">a se situarem no topo do Reich, uma ascensão facilitada pelo facto de o governo ter praticamente deixado de cumprir funções </w:t>
      </w:r>
      <w:r w:rsidR="008D00D1">
        <w:t>centralizadoras</w:t>
      </w:r>
      <w:r w:rsidR="00E42C82">
        <w:t>. Se o conselho de ministros ainda se reunira doze vezes em 1935, as suas reuniões reduziram-se a qu</w:t>
      </w:r>
      <w:r w:rsidR="00A76763">
        <w:t>a</w:t>
      </w:r>
      <w:r w:rsidR="00E42C82">
        <w:t>tro em 1936 e sete em 1937, e não voltou a reunir-se depois de Fevereiro de 1938</w:t>
      </w:r>
      <w:r w:rsidR="00A76763">
        <w:rPr>
          <w:rStyle w:val="Refdenotaderodap"/>
        </w:rPr>
        <w:footnoteReference w:id="206"/>
      </w:r>
      <w:r w:rsidR="00E42C82">
        <w:t xml:space="preserve">. </w:t>
      </w:r>
    </w:p>
    <w:p w:rsidR="007B2A3D" w:rsidRDefault="002F22DB" w:rsidP="00321E01">
      <w:r w:rsidRPr="004A3385">
        <w:t xml:space="preserve">«A ordem aristocrática germânica terá de ser </w:t>
      </w:r>
      <w:r w:rsidR="004D3CC0">
        <w:t>constituída</w:t>
      </w:r>
      <w:r w:rsidRPr="004A3385">
        <w:t xml:space="preserve">, em primeiro lugar, </w:t>
      </w:r>
      <w:r w:rsidR="004D3CC0">
        <w:t>por</w:t>
      </w:r>
      <w:r w:rsidRPr="004A3385">
        <w:t xml:space="preserve"> camponeses e </w:t>
      </w:r>
      <w:r w:rsidR="00C26B16">
        <w:t>por</w:t>
      </w:r>
      <w:r w:rsidRPr="004A3385">
        <w:t xml:space="preserve"> guerreiros, porque é nestas profissões que </w:t>
      </w:r>
      <w:r w:rsidR="004A3385" w:rsidRPr="004A3385">
        <w:t xml:space="preserve">uma </w:t>
      </w:r>
      <w:r w:rsidR="004D3CC0">
        <w:t>verdadeira</w:t>
      </w:r>
      <w:r w:rsidR="004A3385" w:rsidRPr="004A3385">
        <w:t xml:space="preserve"> sa</w:t>
      </w:r>
      <w:r w:rsidR="004A3385">
        <w:t xml:space="preserve">úde física é melhor preservada», escreveu Rosenberg. </w:t>
      </w:r>
      <w:r w:rsidR="004A3385" w:rsidRPr="00E43E32">
        <w:t>«</w:t>
      </w:r>
      <w:r w:rsidR="00947E64" w:rsidRPr="00E43E32">
        <w:t xml:space="preserve">É mais fácil </w:t>
      </w:r>
      <w:r w:rsidR="00712962" w:rsidRPr="00E43E32">
        <w:t xml:space="preserve">estabelecer assim a base para </w:t>
      </w:r>
      <w:r w:rsidR="004D3CC0">
        <w:t>a procriação de</w:t>
      </w:r>
      <w:r w:rsidR="00712962" w:rsidRPr="00E43E32">
        <w:t xml:space="preserve"> descendentes saudáveis. </w:t>
      </w:r>
      <w:r w:rsidR="00135839" w:rsidRPr="00F2710A">
        <w:t xml:space="preserve">Terá de se proceder com mais </w:t>
      </w:r>
      <w:r w:rsidR="007A6CF1" w:rsidRPr="00F2710A">
        <w:t>prudência</w:t>
      </w:r>
      <w:r w:rsidR="00135839" w:rsidRPr="00F2710A">
        <w:t xml:space="preserve"> </w:t>
      </w:r>
      <w:r w:rsidR="00E43E32" w:rsidRPr="00F2710A">
        <w:t xml:space="preserve">quanto à nobilitação de artistas, académicos e políticos, por mais importantes que sejam </w:t>
      </w:r>
      <w:r w:rsidR="00B65E31" w:rsidRPr="00F2710A">
        <w:t xml:space="preserve">as suas </w:t>
      </w:r>
      <w:r w:rsidR="00B65E31" w:rsidRPr="00F2710A">
        <w:lastRenderedPageBreak/>
        <w:t>excelentes realizações»</w:t>
      </w:r>
      <w:r w:rsidR="00264694">
        <w:rPr>
          <w:rStyle w:val="Refdenotaderodap"/>
        </w:rPr>
        <w:footnoteReference w:id="207"/>
      </w:r>
      <w:r w:rsidR="00135095" w:rsidRPr="00F2710A">
        <w:t>.</w:t>
      </w:r>
      <w:r w:rsidR="00B65E31" w:rsidRPr="00F2710A">
        <w:t xml:space="preserve"> </w:t>
      </w:r>
      <w:r w:rsidR="006E2386" w:rsidRPr="002C33F6">
        <w:t xml:space="preserve">Já Hitler, em </w:t>
      </w:r>
      <w:r w:rsidR="006E2386" w:rsidRPr="002C33F6">
        <w:rPr>
          <w:i/>
        </w:rPr>
        <w:t>Mein Kampf,</w:t>
      </w:r>
      <w:r w:rsidR="006E2386" w:rsidRPr="002C33F6">
        <w:t xml:space="preserve"> considerara o campesinato como o sustentáculo da raça</w:t>
      </w:r>
      <w:r w:rsidR="006E2386" w:rsidRPr="002C33F6">
        <w:rPr>
          <w:vertAlign w:val="superscript"/>
        </w:rPr>
        <w:footnoteReference w:id="208"/>
      </w:r>
      <w:r w:rsidR="00E27E01">
        <w:t xml:space="preserve"> e enquanto chanceler continuou a defender a mesma opinião</w:t>
      </w:r>
      <w:r w:rsidR="00E27E01">
        <w:rPr>
          <w:rStyle w:val="Refdenotaderodap"/>
        </w:rPr>
        <w:footnoteReference w:id="209"/>
      </w:r>
      <w:r w:rsidR="006E2386">
        <w:t>.</w:t>
      </w:r>
      <w:r w:rsidR="006E2386" w:rsidRPr="002C33F6">
        <w:t xml:space="preserve"> </w:t>
      </w:r>
      <w:r w:rsidR="006E2386" w:rsidRPr="006E2386">
        <w:t>Inicialmente</w:t>
      </w:r>
      <w:r w:rsidR="006E2386">
        <w:t>,</w:t>
      </w:r>
      <w:r w:rsidR="006E2386" w:rsidRPr="006E2386">
        <w:t xml:space="preserve"> com </w:t>
      </w:r>
      <w:r w:rsidR="00135095" w:rsidRPr="006E2386">
        <w:t xml:space="preserve">efeito, foi </w:t>
      </w:r>
      <w:r w:rsidR="00321E01" w:rsidRPr="006E2386">
        <w:t>sobretudo no campesinato que os SS pretenderam encontrar recrutas, segundo a orientação estipulada por Walt</w:t>
      </w:r>
      <w:r w:rsidR="00DF11EE" w:rsidRPr="006E2386">
        <w:t>h</w:t>
      </w:r>
      <w:r w:rsidR="00321E01" w:rsidRPr="006E2386">
        <w:t>er Darré</w:t>
      </w:r>
      <w:r w:rsidR="00F4077B">
        <w:t xml:space="preserve">, para quem os camponeses seriam o repositório mais puro </w:t>
      </w:r>
      <w:r w:rsidR="00D83E70">
        <w:t xml:space="preserve">e homogéneo </w:t>
      </w:r>
      <w:r w:rsidR="00F4077B">
        <w:t>do elemento nórdico</w:t>
      </w:r>
      <w:r w:rsidR="00321E01" w:rsidRPr="003E305A">
        <w:rPr>
          <w:rStyle w:val="Refdenotaderodap"/>
        </w:rPr>
        <w:footnoteReference w:id="210"/>
      </w:r>
      <w:r w:rsidR="004B38A2">
        <w:t>.</w:t>
      </w:r>
      <w:r w:rsidR="00321E01" w:rsidRPr="006E2386">
        <w:t xml:space="preserve"> </w:t>
      </w:r>
      <w:r w:rsidR="004B38A2" w:rsidRPr="006E2386">
        <w:t xml:space="preserve">Amigo </w:t>
      </w:r>
      <w:r w:rsidR="00321E01" w:rsidRPr="006E2386">
        <w:t>íntimo de Rosenberg</w:t>
      </w:r>
      <w:r w:rsidR="00321E01" w:rsidRPr="002C33F6">
        <w:rPr>
          <w:vertAlign w:val="superscript"/>
        </w:rPr>
        <w:footnoteReference w:id="211"/>
      </w:r>
      <w:r w:rsidR="00195B7D">
        <w:t xml:space="preserve"> e </w:t>
      </w:r>
      <w:r w:rsidR="00195B7D" w:rsidRPr="002C33F6">
        <w:t>filia</w:t>
      </w:r>
      <w:r w:rsidR="00195B7D">
        <w:t>do</w:t>
      </w:r>
      <w:r w:rsidR="00195B7D" w:rsidRPr="002C33F6">
        <w:t xml:space="preserve"> </w:t>
      </w:r>
      <w:r w:rsidR="00321E01" w:rsidRPr="002C33F6">
        <w:t xml:space="preserve">no partido </w:t>
      </w:r>
      <w:r w:rsidR="00321E01" w:rsidRPr="000E1563">
        <w:t>em 1930</w:t>
      </w:r>
      <w:r w:rsidR="00135095">
        <w:t>,</w:t>
      </w:r>
      <w:r w:rsidR="00321E01" w:rsidRPr="000E1563">
        <w:t xml:space="preserve"> </w:t>
      </w:r>
      <w:r w:rsidR="00135095" w:rsidRPr="002C33F6">
        <w:t xml:space="preserve">Darré </w:t>
      </w:r>
      <w:r w:rsidR="00321E01" w:rsidRPr="002C33F6">
        <w:t>fora nomeado conselheiro de Hitler para as questões agr</w:t>
      </w:r>
      <w:r w:rsidR="006E2386">
        <w:t>árias</w:t>
      </w:r>
      <w:r w:rsidR="00321E01" w:rsidRPr="002C33F6">
        <w:rPr>
          <w:vertAlign w:val="superscript"/>
        </w:rPr>
        <w:footnoteReference w:id="212"/>
      </w:r>
      <w:r w:rsidR="00195B7D">
        <w:t>.</w:t>
      </w:r>
      <w:r w:rsidR="00321E01" w:rsidRPr="002C33F6">
        <w:t xml:space="preserve"> </w:t>
      </w:r>
      <w:r w:rsidR="007B2A3D" w:rsidRPr="002C33F6">
        <w:t xml:space="preserve">Nessa </w:t>
      </w:r>
      <w:r w:rsidR="00321E01" w:rsidRPr="002C33F6">
        <w:t xml:space="preserve">época era muito estreita a </w:t>
      </w:r>
      <w:r w:rsidR="00E80399">
        <w:t xml:space="preserve">sua </w:t>
      </w:r>
      <w:r w:rsidR="00321E01" w:rsidRPr="002C33F6">
        <w:t xml:space="preserve">colaboração </w:t>
      </w:r>
      <w:r w:rsidR="00E80399">
        <w:t xml:space="preserve">com </w:t>
      </w:r>
      <w:r w:rsidR="00546994">
        <w:t xml:space="preserve">o </w:t>
      </w:r>
      <w:r w:rsidR="00546994" w:rsidRPr="002C33F6">
        <w:t>Reichsführer</w:t>
      </w:r>
      <w:r w:rsidR="00390EAA">
        <w:t>-SS</w:t>
      </w:r>
      <w:r w:rsidR="00546994" w:rsidRPr="002C33F6">
        <w:t xml:space="preserve"> </w:t>
      </w:r>
      <w:r w:rsidR="00321E01" w:rsidRPr="002C33F6">
        <w:t>Himmler</w:t>
      </w:r>
      <w:r w:rsidR="001D07B0">
        <w:rPr>
          <w:rStyle w:val="Refdenotaderodap"/>
        </w:rPr>
        <w:footnoteReference w:id="213"/>
      </w:r>
      <w:r w:rsidR="007B2A3D">
        <w:t xml:space="preserve"> e, promovido </w:t>
      </w:r>
      <w:r w:rsidR="00E80399">
        <w:t xml:space="preserve">a </w:t>
      </w:r>
      <w:r w:rsidR="00E173CE">
        <w:t>SS-</w:t>
      </w:r>
      <w:r w:rsidR="00321E01" w:rsidRPr="002C33F6">
        <w:t>Obergruppenführer</w:t>
      </w:r>
      <w:r w:rsidR="00E80399">
        <w:t>,</w:t>
      </w:r>
      <w:r w:rsidR="00321E01" w:rsidRPr="002C33F6">
        <w:t xml:space="preserve"> Darré</w:t>
      </w:r>
      <w:r w:rsidR="00E80399">
        <w:t xml:space="preserve"> </w:t>
      </w:r>
      <w:r w:rsidR="00321E01" w:rsidRPr="002C33F6">
        <w:t xml:space="preserve">ficou encarregado </w:t>
      </w:r>
      <w:r w:rsidR="00E80399" w:rsidRPr="002C33F6">
        <w:t xml:space="preserve">desde o final de 1931 </w:t>
      </w:r>
      <w:r w:rsidR="00321E01" w:rsidRPr="002C33F6">
        <w:t>do Departamento Central de Raça e Colonização dos SS</w:t>
      </w:r>
      <w:r w:rsidR="00E455D2">
        <w:t>, criado em grande medida graças aos seus esforços</w:t>
      </w:r>
      <w:r w:rsidR="00E455D2">
        <w:rPr>
          <w:rStyle w:val="Refdenotaderodap"/>
        </w:rPr>
        <w:footnoteReference w:id="214"/>
      </w:r>
      <w:r w:rsidR="00321E01" w:rsidRPr="002C33F6">
        <w:t xml:space="preserve">. Em seguida, desde o Verão de 1933 até 1942, </w:t>
      </w:r>
      <w:r w:rsidR="00321E01">
        <w:t>foi</w:t>
      </w:r>
      <w:r w:rsidR="00321E01" w:rsidRPr="002C33F6">
        <w:t xml:space="preserve"> Führer dos Camponeses do Reich e ministro dos Abastecimentos e da Agricultura. </w:t>
      </w:r>
      <w:r w:rsidR="007D4E97">
        <w:t xml:space="preserve">A </w:t>
      </w:r>
      <w:r w:rsidR="001D07B0">
        <w:t xml:space="preserve">sua </w:t>
      </w:r>
      <w:r w:rsidR="007D4E97">
        <w:t>ascensão foi tanto mais significativa quanto constituiu uma peça da liquidação política de Hugenberg</w:t>
      </w:r>
      <w:r w:rsidR="005409B5">
        <w:t>,</w:t>
      </w:r>
      <w:r w:rsidR="007D4E97">
        <w:t xml:space="preserve"> </w:t>
      </w:r>
      <w:r w:rsidR="005409B5">
        <w:t xml:space="preserve">que até </w:t>
      </w:r>
      <w:r w:rsidR="009166FF">
        <w:t xml:space="preserve">Junho de 1933 </w:t>
      </w:r>
      <w:r w:rsidR="005409B5">
        <w:t xml:space="preserve">havia acumulado a pasta da Agricultura com a da </w:t>
      </w:r>
      <w:r w:rsidR="009166FF">
        <w:t xml:space="preserve">Economia. </w:t>
      </w:r>
      <w:r w:rsidR="0090068C">
        <w:t xml:space="preserve">As relações de Darré com Himmler </w:t>
      </w:r>
      <w:r w:rsidR="001D4300">
        <w:t>eram</w:t>
      </w:r>
      <w:r w:rsidR="0090068C">
        <w:t xml:space="preserve"> estreitas, e </w:t>
      </w:r>
      <w:r w:rsidR="001D4300">
        <w:t xml:space="preserve">eram sistemáticas as filiações cruzadas </w:t>
      </w:r>
      <w:r w:rsidR="0090068C">
        <w:t xml:space="preserve">entre </w:t>
      </w:r>
      <w:r w:rsidR="001D4300">
        <w:t xml:space="preserve">os SS e </w:t>
      </w:r>
      <w:r w:rsidR="00491229">
        <w:t xml:space="preserve">os funcionários </w:t>
      </w:r>
      <w:r w:rsidR="0090068C">
        <w:t>do</w:t>
      </w:r>
      <w:r w:rsidR="00491229">
        <w:t xml:space="preserve"> Mi</w:t>
      </w:r>
      <w:r w:rsidR="008802EE">
        <w:t>n</w:t>
      </w:r>
      <w:r w:rsidR="00491229">
        <w:t xml:space="preserve">istério </w:t>
      </w:r>
      <w:r w:rsidR="0090068C" w:rsidRPr="002C33F6">
        <w:t xml:space="preserve">dos Abastecimentos e </w:t>
      </w:r>
      <w:r w:rsidR="0090068C">
        <w:t>da Agricultura</w:t>
      </w:r>
      <w:r w:rsidR="00491229">
        <w:t xml:space="preserve">, como já desde 1931 o haviam sido </w:t>
      </w:r>
      <w:r w:rsidR="001D4300">
        <w:t>relativamente a</w:t>
      </w:r>
      <w:r w:rsidR="00491229">
        <w:t>o Departamento Agrícola do NSDAP</w:t>
      </w:r>
      <w:r w:rsidR="008802EE">
        <w:rPr>
          <w:rStyle w:val="Refdenotaderodap"/>
        </w:rPr>
        <w:footnoteReference w:id="215"/>
      </w:r>
      <w:r w:rsidR="00491229">
        <w:t xml:space="preserve">. </w:t>
      </w:r>
    </w:p>
    <w:p w:rsidR="00321E01" w:rsidRDefault="00321E01" w:rsidP="00321E01">
      <w:r w:rsidRPr="002C33F6">
        <w:t>Segundo Darré, a população estável e sedentária que compunha o mundo agrário fora o elemento fundador da raça nórdica e continuava a fornecer-lhe o esteio mais sólido e duradouro, em contacto orgânico com a terra, regada pelo sangue dos antepassados e inspiradora de realismo e sãs virtudes. Os camponeses e os proprietários rurais, entre quem teriam outrora surgido os guerreiros e os nobres, seriam ainda a força vital da raça nórdica e deles haveria de renascer a nobreza de sangue, fortalecendo-se a nova raça de senhores</w:t>
      </w:r>
      <w:r w:rsidRPr="002C33F6">
        <w:rPr>
          <w:vertAlign w:val="superscript"/>
        </w:rPr>
        <w:footnoteReference w:id="216"/>
      </w:r>
      <w:r w:rsidRPr="002C33F6">
        <w:t xml:space="preserve">. </w:t>
      </w:r>
      <w:r w:rsidR="00F24446">
        <w:t xml:space="preserve">Com efeito, os dirigentes da organização </w:t>
      </w:r>
      <w:r w:rsidR="00451B1C">
        <w:t xml:space="preserve">destinada a regular a produção e comercialização de produtos agrícolas </w:t>
      </w:r>
      <w:r w:rsidR="00457BF7">
        <w:t>incluíam</w:t>
      </w:r>
      <w:r w:rsidR="00F24446">
        <w:t xml:space="preserve"> poucos nomes da velha nobreza agrária prussiana, os Junkers, sendo a </w:t>
      </w:r>
      <w:r w:rsidR="00F24446">
        <w:lastRenderedPageBreak/>
        <w:t>maioria constituída por burocratas e pela nova elite camponesa</w:t>
      </w:r>
      <w:r w:rsidR="00F24446">
        <w:rPr>
          <w:rStyle w:val="Refdenotaderodap"/>
        </w:rPr>
        <w:footnoteReference w:id="217"/>
      </w:r>
      <w:r w:rsidR="00F24446">
        <w:t xml:space="preserve">. </w:t>
      </w:r>
      <w:r w:rsidRPr="002C33F6">
        <w:t>«Tal como a classe camponesa alemã é a fonte inesgotável do germanismo, devendo por isso beneficiar de um tratamento especial», teria declarado Darré a um grupo restrito de dirigentes do partido no Verão de 1932, «será também necessário garantir a segurança perpétua da nova nobreza e defendê-la da degenerescência, submetendo-a às leis mais estritas da selecção biológica e ligando-a à terra de maneira muito especial. [...] Desde o início do novo sistema que os membros da classe dirigente do partido que ainda não tiverem vínculos rurais deverão assumir a direcção de uma “fazenda da nova nobreza”, convertida em propriedade familiar hereditária. Daí em diante os chefes políticos do movimento deverão ser escolhidos unicamente entre os membros desta nobreza, instrumentos seleccionados do domínio mundial alemão»</w:t>
      </w:r>
      <w:r w:rsidRPr="002C33F6">
        <w:rPr>
          <w:vertAlign w:val="superscript"/>
        </w:rPr>
        <w:footnoteReference w:id="218"/>
      </w:r>
      <w:r w:rsidRPr="002C33F6">
        <w:t xml:space="preserve">. </w:t>
      </w:r>
      <w:r w:rsidR="00086DB2">
        <w:t xml:space="preserve">E se a lei </w:t>
      </w:r>
      <w:r w:rsidR="007A4309">
        <w:t xml:space="preserve">veio a </w:t>
      </w:r>
      <w:r w:rsidR="00086DB2">
        <w:t>exclu</w:t>
      </w:r>
      <w:r w:rsidR="007A4309">
        <w:t>ir</w:t>
      </w:r>
      <w:r w:rsidR="00086DB2">
        <w:t xml:space="preserve"> daquelas propriedades os judeus e os negros</w:t>
      </w:r>
      <w:r w:rsidR="00086DB2">
        <w:rPr>
          <w:rStyle w:val="Refdenotaderodap"/>
        </w:rPr>
        <w:footnoteReference w:id="219"/>
      </w:r>
      <w:r w:rsidR="00086DB2">
        <w:t xml:space="preserve">, não era porque eles estivessem disseminados no campesinato alemão, mas apenas para frisar a relação íntima dessas fazendas com o suporte racial. </w:t>
      </w:r>
      <w:r w:rsidRPr="002C33F6">
        <w:t xml:space="preserve">O tema </w:t>
      </w:r>
      <w:r w:rsidR="00086DB2">
        <w:t xml:space="preserve">das terras hereditárias e da preservação dos camponeses </w:t>
      </w:r>
      <w:r>
        <w:t xml:space="preserve">não </w:t>
      </w:r>
      <w:r w:rsidRPr="002C33F6">
        <w:t>era exclusivamente germânico</w:t>
      </w:r>
      <w:r>
        <w:t>,</w:t>
      </w:r>
      <w:r w:rsidRPr="002C33F6">
        <w:t xml:space="preserve"> mas Darré converte</w:t>
      </w:r>
      <w:r w:rsidR="004C50AF">
        <w:t>u</w:t>
      </w:r>
      <w:r w:rsidRPr="002C33F6">
        <w:t xml:space="preserve"> numa estratégia racial o que para outros constituía apenas a</w:t>
      </w:r>
      <w:r w:rsidR="004C50AF">
        <w:t xml:space="preserve"> resolução de um dilema social e Rosenberg acompanhou-o nessa </w:t>
      </w:r>
      <w:r w:rsidR="004C50AF" w:rsidRPr="00F159F8">
        <w:t>vis</w:t>
      </w:r>
      <w:r w:rsidR="004C50AF">
        <w:t>ão ruralizante e arcaica, em que os campos se articulariam com pequenas cidades</w:t>
      </w:r>
      <w:r w:rsidR="004C50AF">
        <w:rPr>
          <w:rStyle w:val="Refdenotaderodap"/>
        </w:rPr>
        <w:footnoteReference w:id="220"/>
      </w:r>
      <w:r w:rsidR="004C50AF">
        <w:t xml:space="preserve">. </w:t>
      </w:r>
    </w:p>
    <w:p w:rsidR="00321E01" w:rsidRPr="003E305A" w:rsidRDefault="00321E01" w:rsidP="00321E01">
      <w:r>
        <w:t>Himmler, ainda para mais sendo agrónomo</w:t>
      </w:r>
      <w:r w:rsidRPr="00B2526B">
        <w:t xml:space="preserve"> </w:t>
      </w:r>
      <w:r>
        <w:t xml:space="preserve">e </w:t>
      </w:r>
      <w:r w:rsidRPr="00C24C4B">
        <w:t>membro do Conselho dos Camponeses do Reich</w:t>
      </w:r>
      <w:r>
        <w:t xml:space="preserve">, partilhou a mesma opinião </w:t>
      </w:r>
      <w:r w:rsidRPr="00C24C4B">
        <w:t>e também ele se julgava «pelos antepassados, pelo sangue e pelo temperamento um camponês»</w:t>
      </w:r>
      <w:r w:rsidRPr="00C24C4B">
        <w:rPr>
          <w:vertAlign w:val="superscript"/>
        </w:rPr>
        <w:footnoteReference w:id="221"/>
      </w:r>
      <w:r w:rsidRPr="00C24C4B">
        <w:t xml:space="preserve">. </w:t>
      </w:r>
      <w:r w:rsidRPr="003E305A">
        <w:t>«A concepção de sangue defendida pelos SS está indissoluvelmente ligada à crença no valor do solo e no seu carácter sagrado», afirm</w:t>
      </w:r>
      <w:r>
        <w:t>ou</w:t>
      </w:r>
      <w:r w:rsidRPr="003E305A">
        <w:t xml:space="preserve"> Himmler em 1936</w:t>
      </w:r>
      <w:r w:rsidRPr="003E305A">
        <w:rPr>
          <w:rStyle w:val="Refdenotaderodap"/>
        </w:rPr>
        <w:footnoteReference w:id="222"/>
      </w:r>
      <w:r w:rsidR="00ED46D3">
        <w:t>, e uma directiva dos SS datando de 3 de Abril de 1937 estipulou</w:t>
      </w:r>
      <w:r w:rsidR="000243B3">
        <w:t xml:space="preserve"> que «a excelência rácica dos SS só pode ser perpetuada se eles tiverem raízes no campesinato»</w:t>
      </w:r>
      <w:r w:rsidR="00FF7EC6">
        <w:rPr>
          <w:rStyle w:val="Refdenotaderodap"/>
        </w:rPr>
        <w:footnoteReference w:id="223"/>
      </w:r>
      <w:r w:rsidR="000243B3">
        <w:t xml:space="preserve">. </w:t>
      </w:r>
      <w:r w:rsidRPr="003E305A">
        <w:t xml:space="preserve">Todavia, </w:t>
      </w:r>
      <w:r w:rsidR="00DA2648">
        <w:t>a partir de 1936 as relações entre o Reichsführer</w:t>
      </w:r>
      <w:r w:rsidR="00390EAA">
        <w:t>-SS</w:t>
      </w:r>
      <w:r w:rsidR="00DA2648">
        <w:t xml:space="preserve"> e o Führer dos </w:t>
      </w:r>
      <w:r w:rsidR="00411E42">
        <w:t xml:space="preserve">Camponeses </w:t>
      </w:r>
      <w:r w:rsidR="00DA2648">
        <w:t>do Reich esfriaram progressivamente</w:t>
      </w:r>
      <w:r w:rsidR="00ED6995">
        <w:rPr>
          <w:rStyle w:val="Refdenotaderodap"/>
        </w:rPr>
        <w:footnoteReference w:id="224"/>
      </w:r>
      <w:r w:rsidR="00DA2648">
        <w:t xml:space="preserve">. </w:t>
      </w:r>
      <w:r w:rsidR="003B4D1D">
        <w:t xml:space="preserve">O </w:t>
      </w:r>
      <w:r w:rsidR="00FD59C8">
        <w:t>objectivo a longo prazo de Darré</w:t>
      </w:r>
      <w:r w:rsidR="003B4D1D">
        <w:t xml:space="preserve"> </w:t>
      </w:r>
      <w:r w:rsidR="00FD59C8">
        <w:t>era a formação gradual de um Estado camponês no interior do próprio Estado, de modo a que progressivamente o campo conquistasse a cidade</w:t>
      </w:r>
      <w:r w:rsidR="00FD59C8">
        <w:rPr>
          <w:rStyle w:val="Refdenotaderodap"/>
        </w:rPr>
        <w:footnoteReference w:id="225"/>
      </w:r>
      <w:r w:rsidR="00FD59C8">
        <w:t xml:space="preserve">. </w:t>
      </w:r>
      <w:r w:rsidR="003B4D1D">
        <w:t>Entr</w:t>
      </w:r>
      <w:r w:rsidR="00D7620C">
        <w:t>e</w:t>
      </w:r>
      <w:r w:rsidR="003B4D1D">
        <w:t xml:space="preserve">tanto, </w:t>
      </w:r>
      <w:r w:rsidR="0016574F">
        <w:t xml:space="preserve">Himmler </w:t>
      </w:r>
      <w:r w:rsidRPr="003E305A">
        <w:t>começa</w:t>
      </w:r>
      <w:r>
        <w:t>ra</w:t>
      </w:r>
      <w:r w:rsidRPr="003E305A">
        <w:t xml:space="preserve"> a interessar-se pelo recrutamento dos principais empresários, dos principais gestores, dos membros mais proeminentes das profissões </w:t>
      </w:r>
      <w:r w:rsidRPr="003E305A">
        <w:lastRenderedPageBreak/>
        <w:t>liberais</w:t>
      </w:r>
      <w:r w:rsidRPr="003E305A">
        <w:rPr>
          <w:rStyle w:val="Refdenotaderodap"/>
        </w:rPr>
        <w:footnoteReference w:id="226"/>
      </w:r>
      <w:r>
        <w:t>.</w:t>
      </w:r>
      <w:r w:rsidRPr="003E305A">
        <w:t xml:space="preserve"> </w:t>
      </w:r>
      <w:r w:rsidR="007C48E4">
        <w:t>«Quem tinha dinheiro ou um grau académico ia para os SS», lembrou com amargura um dos SA derrotados em Junho-Julho de 1934</w:t>
      </w:r>
      <w:r w:rsidR="007C48E4">
        <w:rPr>
          <w:rStyle w:val="Refdenotaderodap"/>
        </w:rPr>
        <w:footnoteReference w:id="227"/>
      </w:r>
      <w:r w:rsidR="007C48E4">
        <w:t xml:space="preserve">. </w:t>
      </w:r>
      <w:r w:rsidR="00B0571C" w:rsidRPr="003E305A">
        <w:t xml:space="preserve">E como as normas de recrutamento dos SS constituíam elas mesmas um processo de depuração racial, </w:t>
      </w:r>
      <w:r w:rsidR="00B0571C">
        <w:t xml:space="preserve">não </w:t>
      </w:r>
      <w:r w:rsidR="00B0571C" w:rsidRPr="003E305A">
        <w:t xml:space="preserve">seria </w:t>
      </w:r>
      <w:r w:rsidR="00B0571C">
        <w:t>possível</w:t>
      </w:r>
      <w:r w:rsidR="00B0571C" w:rsidRPr="003E305A">
        <w:t xml:space="preserve"> escamotear indefinidamente a contradição entre o quadro de selecção arcaico e rural defendido por </w:t>
      </w:r>
      <w:r w:rsidR="00573955" w:rsidRPr="003E305A">
        <w:t xml:space="preserve">Darré </w:t>
      </w:r>
      <w:r w:rsidR="00573955">
        <w:t xml:space="preserve">e </w:t>
      </w:r>
      <w:r w:rsidR="00B0571C">
        <w:t xml:space="preserve">Rosenberg </w:t>
      </w:r>
      <w:r w:rsidR="00B0571C" w:rsidRPr="003E305A">
        <w:t xml:space="preserve">e o quadro moderno e urbano </w:t>
      </w:r>
      <w:r w:rsidR="00B0571C">
        <w:t xml:space="preserve">em </w:t>
      </w:r>
      <w:r w:rsidR="00B0571C" w:rsidRPr="003E305A">
        <w:t xml:space="preserve">que Himmler passara a </w:t>
      </w:r>
      <w:r w:rsidR="00B0571C">
        <w:t>empenhar-se</w:t>
      </w:r>
      <w:r w:rsidR="00C36465">
        <w:t>,</w:t>
      </w:r>
      <w:r w:rsidR="00B0571C" w:rsidRPr="003E305A">
        <w:t xml:space="preserve"> </w:t>
      </w:r>
      <w:r w:rsidR="00C36465">
        <w:t>a tal ponto que a percentagem de chefes SS nascidos e criados nas grandes cidades era consideravelmente superior à percentagem correspondente na população em geral</w:t>
      </w:r>
      <w:r w:rsidR="00F36359">
        <w:t xml:space="preserve"> e os de origem camponesa estavam especialmente sub-representados</w:t>
      </w:r>
      <w:r w:rsidR="00C36465">
        <w:rPr>
          <w:rStyle w:val="Refdenotaderodap"/>
        </w:rPr>
        <w:footnoteReference w:id="228"/>
      </w:r>
      <w:r w:rsidR="00C36465">
        <w:t xml:space="preserve">. </w:t>
      </w:r>
      <w:r w:rsidR="00E15BAC">
        <w:t xml:space="preserve">Assim, </w:t>
      </w:r>
      <w:r w:rsidR="00A83D0C" w:rsidRPr="003E305A">
        <w:t xml:space="preserve">os </w:t>
      </w:r>
      <w:r w:rsidRPr="003E305A">
        <w:t xml:space="preserve">interesses específicos da tecnocracia SS, sobretudo quando adquiriu o domínio absoluto </w:t>
      </w:r>
      <w:r w:rsidR="00573955">
        <w:t xml:space="preserve">sobre a </w:t>
      </w:r>
      <w:r w:rsidR="00573955" w:rsidRPr="003E305A">
        <w:t xml:space="preserve">colonização </w:t>
      </w:r>
      <w:r w:rsidR="00573955">
        <w:t>d</w:t>
      </w:r>
      <w:r w:rsidRPr="003E305A">
        <w:t xml:space="preserve">os territórios conquistados a </w:t>
      </w:r>
      <w:r w:rsidR="009F6645" w:rsidRPr="003E305A">
        <w:t xml:space="preserve">Leste </w:t>
      </w:r>
      <w:r w:rsidRPr="003E305A">
        <w:t xml:space="preserve">do continente, </w:t>
      </w:r>
      <w:r w:rsidR="002D70A4" w:rsidRPr="003E305A">
        <w:t>compromete</w:t>
      </w:r>
      <w:r w:rsidR="002D70A4">
        <w:t>ram</w:t>
      </w:r>
      <w:r w:rsidR="002D70A4" w:rsidRPr="003E305A">
        <w:t xml:space="preserve"> a antiga convergência de pontos de vista entre Himmler e Darré </w:t>
      </w:r>
      <w:r w:rsidR="002D70A4">
        <w:t xml:space="preserve">e </w:t>
      </w:r>
      <w:r w:rsidRPr="003E305A">
        <w:t>deram azo a conflitos sérios</w:t>
      </w:r>
      <w:r w:rsidR="008A6175">
        <w:t>,</w:t>
      </w:r>
      <w:r w:rsidRPr="003E305A">
        <w:t xml:space="preserve"> precipita</w:t>
      </w:r>
      <w:r w:rsidR="008A6175">
        <w:t>ndo</w:t>
      </w:r>
      <w:r w:rsidRPr="003E305A">
        <w:t xml:space="preserve"> para o plano prático hostilidades que até então haviam podido disfarçar-se em termos ideológicos,. </w:t>
      </w:r>
      <w:r>
        <w:t xml:space="preserve">Pelo menos, </w:t>
      </w:r>
      <w:r w:rsidRPr="003E305A">
        <w:t xml:space="preserve">com os dados de que disponho, é </w:t>
      </w:r>
      <w:r>
        <w:t>desta maneira</w:t>
      </w:r>
      <w:r w:rsidRPr="003E305A">
        <w:t xml:space="preserve"> que interpreto um</w:t>
      </w:r>
      <w:r>
        <w:t>a</w:t>
      </w:r>
      <w:r w:rsidRPr="003E305A">
        <w:t xml:space="preserve"> </w:t>
      </w:r>
      <w:r>
        <w:t xml:space="preserve">questão </w:t>
      </w:r>
      <w:r w:rsidRPr="003E305A">
        <w:t>ainda controvers</w:t>
      </w:r>
      <w:r>
        <w:t>a</w:t>
      </w:r>
      <w:r w:rsidRPr="003E305A">
        <w:rPr>
          <w:rStyle w:val="Refdenotaderodap"/>
        </w:rPr>
        <w:footnoteReference w:id="229"/>
      </w:r>
      <w:r w:rsidRPr="003E305A">
        <w:t xml:space="preserve">. </w:t>
      </w:r>
      <w:r w:rsidR="0087380A">
        <w:t xml:space="preserve">Vendo a sua influência declinar a partir de 1936 no interior do </w:t>
      </w:r>
      <w:r w:rsidR="0087380A">
        <w:lastRenderedPageBreak/>
        <w:t xml:space="preserve">próprio Ministério da Agricultura, Darré </w:t>
      </w:r>
      <w:r w:rsidR="00ED05DD">
        <w:t xml:space="preserve">acabou por ser demitido da posição de ministro em 1942, </w:t>
      </w:r>
      <w:r w:rsidR="009C4C2D">
        <w:t>t</w:t>
      </w:r>
      <w:r w:rsidR="00ED05DD">
        <w:t xml:space="preserve">endo </w:t>
      </w:r>
      <w:r w:rsidR="009C4C2D">
        <w:t xml:space="preserve">já sido </w:t>
      </w:r>
      <w:r w:rsidRPr="003E305A">
        <w:t xml:space="preserve">substituído </w:t>
      </w:r>
      <w:r w:rsidR="008E299B">
        <w:t xml:space="preserve">em 1938 </w:t>
      </w:r>
      <w:r w:rsidRPr="003E305A">
        <w:t>na chefia do Departamento de Raça e Colonização dos SS</w:t>
      </w:r>
      <w:r w:rsidRPr="003E305A">
        <w:rPr>
          <w:rStyle w:val="Refdenotaderodap"/>
        </w:rPr>
        <w:footnoteReference w:id="230"/>
      </w:r>
      <w:r w:rsidRPr="003E305A">
        <w:t xml:space="preserve">. </w:t>
      </w:r>
      <w:r w:rsidR="00E96E75" w:rsidRPr="003E305A">
        <w:t>A preservação racial dos camponeses nunca deix</w:t>
      </w:r>
      <w:r w:rsidR="00E96E75">
        <w:t>ou</w:t>
      </w:r>
      <w:r w:rsidR="00E96E75" w:rsidRPr="003E305A">
        <w:t xml:space="preserve"> de ser defendida</w:t>
      </w:r>
      <w:r w:rsidR="00E96E75">
        <w:t xml:space="preserve"> e em 1942 o Führer insisti</w:t>
      </w:r>
      <w:r w:rsidR="005D5DD2">
        <w:t>ra</w:t>
      </w:r>
      <w:r w:rsidR="00E96E75">
        <w:t xml:space="preserve"> que </w:t>
      </w:r>
      <w:r w:rsidR="00A00B75">
        <w:t xml:space="preserve">«é uma grande tragédia quando uma nação deixa de contar com o </w:t>
      </w:r>
      <w:r w:rsidR="00601565">
        <w:t xml:space="preserve">sólido </w:t>
      </w:r>
      <w:r w:rsidR="00A00B75">
        <w:t>alicerce do seu campesinato»</w:t>
      </w:r>
      <w:r w:rsidR="00601565">
        <w:rPr>
          <w:rStyle w:val="Refdenotaderodap"/>
        </w:rPr>
        <w:footnoteReference w:id="231"/>
      </w:r>
      <w:r w:rsidR="00A00B75">
        <w:t xml:space="preserve">. </w:t>
      </w:r>
      <w:r w:rsidR="0048355E">
        <w:t xml:space="preserve">Mas </w:t>
      </w:r>
      <w:r w:rsidR="00573955">
        <w:t>em 1943, evocando a sua amizade com Backe, o substituto de Darré, Himmler atribuiu aos «SS em conjunto com os camponeses» o dever de colonizar os territórios de Leste</w:t>
      </w:r>
      <w:r w:rsidR="00573955">
        <w:rPr>
          <w:rStyle w:val="Refdenotaderodap"/>
        </w:rPr>
        <w:footnoteReference w:id="232"/>
      </w:r>
      <w:r w:rsidR="00573955">
        <w:t xml:space="preserve">. Os </w:t>
      </w:r>
      <w:r w:rsidR="0048355E">
        <w:t xml:space="preserve">camponeses e os SS haviam passado a </w:t>
      </w:r>
      <w:r w:rsidR="003E087A">
        <w:t>ser</w:t>
      </w:r>
      <w:r w:rsidR="0048355E">
        <w:t xml:space="preserve"> duas entidades distintas, e </w:t>
      </w:r>
      <w:r w:rsidRPr="003E305A">
        <w:t>os SS viram-se confirmados como a instituição em que se concentra</w:t>
      </w:r>
      <w:r>
        <w:t>vam</w:t>
      </w:r>
      <w:r w:rsidRPr="003E305A">
        <w:t xml:space="preserve"> os esforços para depura</w:t>
      </w:r>
      <w:r>
        <w:t>r</w:t>
      </w:r>
      <w:r w:rsidRPr="003E305A">
        <w:t xml:space="preserve"> o sangue nórdico e </w:t>
      </w:r>
      <w:r w:rsidR="002A04B7">
        <w:t xml:space="preserve">lhe </w:t>
      </w:r>
      <w:r w:rsidRPr="003E305A">
        <w:t xml:space="preserve">garantir a hegemonia. </w:t>
      </w:r>
    </w:p>
    <w:p w:rsidR="00C86C06" w:rsidRDefault="00321E01" w:rsidP="00321E01">
      <w:r w:rsidRPr="003E305A">
        <w:t xml:space="preserve">Himmler </w:t>
      </w:r>
      <w:r>
        <w:t>pôde</w:t>
      </w:r>
      <w:r w:rsidRPr="003E305A">
        <w:t xml:space="preserve"> assim </w:t>
      </w:r>
      <w:r>
        <w:t xml:space="preserve">proceder a </w:t>
      </w:r>
      <w:r w:rsidRPr="003E305A">
        <w:t>uma colossal experiência biológica. Se considerarmos que os 100 ou 200 homens que constituíam a totalidade dos efectivos dos SS em 1926, ou os quase 300 de 1929, eram já 2.000 em 1930, 10.000 em 1931 e ultrapassavam 50.000 por ocasião da tomada do poder, subindo o seu número de 210.00 em 1936 para 350.000 em 1939 e 432.000 no ano seguinte</w:t>
      </w:r>
      <w:r w:rsidRPr="003E305A">
        <w:rPr>
          <w:rStyle w:val="Refdenotaderodap"/>
        </w:rPr>
        <w:footnoteReference w:id="233"/>
      </w:r>
      <w:r w:rsidRPr="003E305A">
        <w:t>, e que pelos Waffen</w:t>
      </w:r>
      <w:r w:rsidR="00E173CE">
        <w:t>-</w:t>
      </w:r>
      <w:r w:rsidRPr="003E305A">
        <w:t>SS, as forças armadas da milícia negra, haviam passado 750.000 homens no Verão de 1942, atingindo-se os 900.000 no final da guerra</w:t>
      </w:r>
      <w:r w:rsidRPr="003E305A">
        <w:rPr>
          <w:rStyle w:val="Refdenotaderodap"/>
        </w:rPr>
        <w:footnoteReference w:id="234"/>
      </w:r>
      <w:r w:rsidRPr="003E305A">
        <w:t xml:space="preserve">, </w:t>
      </w:r>
      <w:r w:rsidR="00270A9D">
        <w:t xml:space="preserve">se somarmos tudo isto </w:t>
      </w:r>
      <w:r w:rsidRPr="003E305A">
        <w:t xml:space="preserve">podemos ter uma ideia das dimensões alcançadas pelo programa de selecção </w:t>
      </w:r>
      <w:r>
        <w:t>racial</w:t>
      </w:r>
      <w:r w:rsidRPr="003E305A">
        <w:t xml:space="preserve">. </w:t>
      </w:r>
      <w:r w:rsidR="002E33E0">
        <w:t>O discurso de Himmler em Julho de 1942</w:t>
      </w:r>
      <w:r w:rsidR="00173B61">
        <w:t xml:space="preserve"> à Divisão Das Reich</w:t>
      </w:r>
      <w:r w:rsidR="002E33E0">
        <w:t xml:space="preserve">, explicando que eram </w:t>
      </w:r>
      <w:r w:rsidR="00F526E7">
        <w:t xml:space="preserve">eles </w:t>
      </w:r>
      <w:r w:rsidR="002E33E0">
        <w:t xml:space="preserve">e não a Wehrmacht quem prosseguia a guerra </w:t>
      </w:r>
      <w:r w:rsidR="00E77E8A">
        <w:t>racial contra os judeus e os eslavos</w:t>
      </w:r>
      <w:r w:rsidR="002E33E0">
        <w:t xml:space="preserve">, </w:t>
      </w:r>
      <w:r w:rsidR="002E33E0">
        <w:lastRenderedPageBreak/>
        <w:t xml:space="preserve">deixou claro que a criação de uma raça de senhores </w:t>
      </w:r>
      <w:r w:rsidR="00A646B8">
        <w:t xml:space="preserve">incluía </w:t>
      </w:r>
      <w:r w:rsidR="00F526E7">
        <w:t>os Waffen</w:t>
      </w:r>
      <w:r w:rsidR="00E173CE">
        <w:t>-</w:t>
      </w:r>
      <w:r w:rsidR="00F526E7">
        <w:t>SS</w:t>
      </w:r>
      <w:r w:rsidR="00A646B8">
        <w:t xml:space="preserve">. </w:t>
      </w:r>
      <w:r w:rsidR="00E77E8A">
        <w:t xml:space="preserve">«Depois de uma década de educação racial, nós, a totalidade dos </w:t>
      </w:r>
      <w:r w:rsidR="00173B61">
        <w:t xml:space="preserve">membros dos </w:t>
      </w:r>
      <w:r w:rsidR="00E77E8A">
        <w:t xml:space="preserve">SS, entrámos nesta guerra como </w:t>
      </w:r>
      <w:r w:rsidR="00173B61">
        <w:t xml:space="preserve">inabaláveis </w:t>
      </w:r>
      <w:r w:rsidR="00E77E8A">
        <w:t xml:space="preserve">defensores </w:t>
      </w:r>
      <w:r w:rsidR="00F511D2">
        <w:t>do nosso povo germânico»</w:t>
      </w:r>
      <w:r w:rsidR="0025444E">
        <w:rPr>
          <w:rStyle w:val="Refdenotaderodap"/>
        </w:rPr>
        <w:footnoteReference w:id="235"/>
      </w:r>
      <w:r w:rsidR="00F511D2">
        <w:t xml:space="preserve">. </w:t>
      </w:r>
      <w:r w:rsidR="00A86407">
        <w:t xml:space="preserve">Aliás, durante a guerra os SS propriamente ditos perderam muita da sua importância, </w:t>
      </w:r>
      <w:r w:rsidR="00D4049A">
        <w:t>em benefício dos Waffen</w:t>
      </w:r>
      <w:r w:rsidR="00E173CE">
        <w:t>-</w:t>
      </w:r>
      <w:r w:rsidR="00D4049A">
        <w:t>SS</w:t>
      </w:r>
      <w:r w:rsidR="00D4049A">
        <w:rPr>
          <w:rStyle w:val="Refdenotaderodap"/>
        </w:rPr>
        <w:footnoteReference w:id="236"/>
      </w:r>
      <w:r w:rsidR="00D4049A">
        <w:t xml:space="preserve">. </w:t>
      </w:r>
    </w:p>
    <w:p w:rsidR="00321E01" w:rsidRPr="003E305A" w:rsidRDefault="00321E01" w:rsidP="00321E01">
      <w:r w:rsidRPr="003E305A">
        <w:t xml:space="preserve">Mas </w:t>
      </w:r>
      <w:r>
        <w:t>o Führer</w:t>
      </w:r>
      <w:r w:rsidRPr="003E305A">
        <w:t xml:space="preserve"> não era nacionalista. </w:t>
      </w:r>
      <w:r w:rsidR="00E379B1">
        <w:t xml:space="preserve">Decerto não houve fascismo que não tivesse sido gerado pelo eco do nacionalismo no interior do movimento operário, mas </w:t>
      </w:r>
      <w:r w:rsidR="00B6660E">
        <w:t xml:space="preserve">a partir daí </w:t>
      </w:r>
      <w:r w:rsidR="00E379B1">
        <w:t xml:space="preserve">o racismo hitleriano desenvolveu-se até atingir o plano supranacional. </w:t>
      </w:r>
      <w:r w:rsidRPr="003E305A">
        <w:t xml:space="preserve">O predomínio dos nórdicos sobre os demais elementos germânicos afirmar-se-ia num quadro europeu e não estritamente alemão. </w:t>
      </w:r>
      <w:r w:rsidR="000A2A99">
        <w:t xml:space="preserve">De certa forma, o exclusivismo e a territorialidade característicos das nações aplicam-se igualmente ao domínio de uma raça, mas </w:t>
      </w:r>
      <w:r w:rsidR="002E4CB7">
        <w:t xml:space="preserve">os princípios formadores e o enquadramento político são diferentes e </w:t>
      </w:r>
      <w:r w:rsidR="004C3CB0">
        <w:t xml:space="preserve">os SS </w:t>
      </w:r>
      <w:r w:rsidR="0045124A">
        <w:t xml:space="preserve">ultrapassaram </w:t>
      </w:r>
      <w:r w:rsidR="002374D0">
        <w:t xml:space="preserve">a imaginação de </w:t>
      </w:r>
      <w:r w:rsidR="004C3CB0">
        <w:t>Chamberlain</w:t>
      </w:r>
      <w:r w:rsidR="00A17511">
        <w:t>,</w:t>
      </w:r>
      <w:r w:rsidR="004C3CB0">
        <w:t xml:space="preserve"> </w:t>
      </w:r>
      <w:r w:rsidR="00A17511">
        <w:t xml:space="preserve">que havia considerado </w:t>
      </w:r>
      <w:r w:rsidR="00A17511" w:rsidRPr="003E305A">
        <w:t>que «é quase sempre a nação, enquanto edifício político, a criar as condições necessárias para a formação das raças»</w:t>
      </w:r>
      <w:r w:rsidR="00A17511" w:rsidRPr="003E305A">
        <w:rPr>
          <w:rStyle w:val="Refdenotaderodap"/>
        </w:rPr>
        <w:footnoteReference w:id="237"/>
      </w:r>
      <w:r w:rsidR="00A17511">
        <w:t xml:space="preserve">. </w:t>
      </w:r>
      <w:r w:rsidR="002E3081">
        <w:t xml:space="preserve">Ora, </w:t>
      </w:r>
      <w:r w:rsidR="002374D0">
        <w:t>a</w:t>
      </w:r>
      <w:r w:rsidR="0053034B" w:rsidRPr="0057185F">
        <w:t xml:space="preserve"> redução do plano racial ao </w:t>
      </w:r>
      <w:r w:rsidR="00675997">
        <w:t>âmbito</w:t>
      </w:r>
      <w:r w:rsidR="0053034B" w:rsidRPr="0057185F">
        <w:t xml:space="preserve"> nacional fora </w:t>
      </w:r>
      <w:r w:rsidR="0053034B">
        <w:t xml:space="preserve">já </w:t>
      </w:r>
      <w:r w:rsidR="00675997">
        <w:t xml:space="preserve">severamente </w:t>
      </w:r>
      <w:r w:rsidR="0053034B" w:rsidRPr="0057185F">
        <w:t>criticada nos Estados Unidos por Lothrop Stoddard</w:t>
      </w:r>
      <w:r w:rsidR="0053034B">
        <w:t>,</w:t>
      </w:r>
      <w:r w:rsidR="0053034B" w:rsidRPr="0057185F">
        <w:t xml:space="preserve"> que exprobr</w:t>
      </w:r>
      <w:r w:rsidR="0053034B">
        <w:t>ara</w:t>
      </w:r>
      <w:r w:rsidR="0053034B" w:rsidRPr="0057185F">
        <w:t xml:space="preserve"> Chamberlain por </w:t>
      </w:r>
      <w:r w:rsidR="0053034B">
        <w:t>pretende</w:t>
      </w:r>
      <w:r w:rsidR="0053034B" w:rsidRPr="0057185F">
        <w:t>r</w:t>
      </w:r>
      <w:r w:rsidR="0053034B">
        <w:t xml:space="preserve"> restringir os nórdicos ao quadro germânico e imagina</w:t>
      </w:r>
      <w:r w:rsidR="0053034B" w:rsidRPr="0057185F">
        <w:t>r</w:t>
      </w:r>
      <w:r w:rsidR="0053034B">
        <w:t xml:space="preserve"> que praticamente todos os germanos </w:t>
      </w:r>
      <w:r w:rsidR="0053034B" w:rsidRPr="0057185F">
        <w:t xml:space="preserve">seriam </w:t>
      </w:r>
      <w:r w:rsidR="0053034B">
        <w:t xml:space="preserve">nórdicos. </w:t>
      </w:r>
      <w:r w:rsidR="0053034B" w:rsidRPr="00F86715">
        <w:t>«[…] os pangermanistas pensavam em termos de n</w:t>
      </w:r>
      <w:r w:rsidR="00675997">
        <w:t>acionalidade em vez de raça</w:t>
      </w:r>
      <w:r w:rsidR="0053034B" w:rsidRPr="00F86715">
        <w:t xml:space="preserve"> e rec</w:t>
      </w:r>
      <w:r w:rsidR="0053034B">
        <w:t>o</w:t>
      </w:r>
      <w:r w:rsidR="0053034B" w:rsidRPr="00F86715">
        <w:t>rriam a argumentos pseudo-raciais como camufalgem para objectivos fundamentalmente pol</w:t>
      </w:r>
      <w:r w:rsidR="0053034B" w:rsidRPr="0057185F">
        <w:t>íticos», escreve</w:t>
      </w:r>
      <w:r w:rsidR="004D5E37">
        <w:t>ra</w:t>
      </w:r>
      <w:r w:rsidR="0053034B" w:rsidRPr="0057185F">
        <w:t xml:space="preserve"> </w:t>
      </w:r>
      <w:r w:rsidR="0053034B">
        <w:t>aquele</w:t>
      </w:r>
      <w:r w:rsidR="0053034B" w:rsidRPr="0057185F">
        <w:t xml:space="preserve"> eugenista e racista norte-americano, e acrescent</w:t>
      </w:r>
      <w:r w:rsidR="004D5E37">
        <w:t>ara</w:t>
      </w:r>
      <w:r w:rsidR="0053034B" w:rsidRPr="0057185F">
        <w:t xml:space="preserve"> que «a esmagadora maioria dos nórdicos vive fora da Alemanha, encontrando-se principalmente na Escandinávia, nos países anglo-saxónicos, no norte da França, na Holanda e na Rússia báltica»</w:t>
      </w:r>
      <w:r w:rsidR="004D5E37">
        <w:rPr>
          <w:rStyle w:val="Refdenotaderodap"/>
        </w:rPr>
        <w:footnoteReference w:id="238"/>
      </w:r>
      <w:r w:rsidR="004D5E37">
        <w:t>.</w:t>
      </w:r>
      <w:r w:rsidR="0053034B" w:rsidRPr="0057185F">
        <w:t xml:space="preserve"> </w:t>
      </w:r>
      <w:r w:rsidR="0053034B" w:rsidRPr="00675997">
        <w:t xml:space="preserve">Foi isto que os nacionais-socialistas </w:t>
      </w:r>
      <w:r w:rsidR="00F578BB">
        <w:t>se propuseram</w:t>
      </w:r>
      <w:r w:rsidR="0053034B" w:rsidRPr="00675997">
        <w:t xml:space="preserve"> realizar. </w:t>
      </w:r>
      <w:r w:rsidR="00590943">
        <w:t xml:space="preserve">«Desde que estejam estabelecidas </w:t>
      </w:r>
      <w:r w:rsidR="00353A45">
        <w:t xml:space="preserve">as </w:t>
      </w:r>
      <w:r w:rsidR="00590943">
        <w:t xml:space="preserve">condições de pureza racial, não tem nenhuma importância se alguém é nativo de uma região ou de outra, se vem da Noruega ou da Áustria», disse </w:t>
      </w:r>
      <w:r w:rsidR="00353A45">
        <w:t>o Führer</w:t>
      </w:r>
      <w:r w:rsidR="00590943">
        <w:t xml:space="preserve"> no final de 1941</w:t>
      </w:r>
      <w:r w:rsidR="006864D0">
        <w:rPr>
          <w:rStyle w:val="Refdenotaderodap"/>
        </w:rPr>
        <w:footnoteReference w:id="239"/>
      </w:r>
      <w:r w:rsidR="00BB5B60">
        <w:t>,</w:t>
      </w:r>
      <w:r w:rsidR="00590943">
        <w:t xml:space="preserve"> </w:t>
      </w:r>
      <w:r w:rsidR="00E13481">
        <w:t xml:space="preserve">e explicou melhor alguns meses </w:t>
      </w:r>
      <w:r w:rsidR="00BB5B60">
        <w:t>depois</w:t>
      </w:r>
      <w:r w:rsidR="00E13481">
        <w:t>: «[...] ao falarmos com os germanos do noroeste e do norte</w:t>
      </w:r>
      <w:r w:rsidR="00BB5B60">
        <w:t xml:space="preserve"> [da Europa]</w:t>
      </w:r>
      <w:r w:rsidR="00E13481">
        <w:t xml:space="preserve">, </w:t>
      </w:r>
      <w:r w:rsidR="007F5492">
        <w:t>devemos deixar sempre claro que o que estamos a edificar é o Reic</w:t>
      </w:r>
      <w:r w:rsidR="00BB5B60">
        <w:t>h</w:t>
      </w:r>
      <w:r w:rsidR="007F5492">
        <w:t xml:space="preserve"> Germânico, ou simplesmente o Reich, sendo a Alemanha somente a sua força mais poderosa, tanto sob o ponto de vista ideológico como militar. </w:t>
      </w:r>
      <w:r w:rsidR="00DA18C3" w:rsidRPr="00BB5B60">
        <w:t>[…] já não é apropriado edificar o Reich Germânico com o estandarte da velha Alemanha»</w:t>
      </w:r>
      <w:r w:rsidR="00BB5B60">
        <w:rPr>
          <w:rStyle w:val="Refdenotaderodap"/>
          <w:lang w:val="en-US"/>
        </w:rPr>
        <w:footnoteReference w:id="240"/>
      </w:r>
      <w:r w:rsidR="00DA18C3" w:rsidRPr="00BB5B60">
        <w:t xml:space="preserve">. </w:t>
      </w:r>
      <w:r w:rsidRPr="00BB5B60">
        <w:t xml:space="preserve">«A ideia de nação foi esvaziada de qualquer substância», </w:t>
      </w:r>
      <w:r w:rsidR="00590943" w:rsidRPr="00BB5B60">
        <w:t xml:space="preserve">havia ele confidenciado </w:t>
      </w:r>
      <w:r w:rsidRPr="00BB5B60">
        <w:t xml:space="preserve">àquele que era então ainda o chefe nacional-socialista do Senado de Danzig. </w:t>
      </w:r>
      <w:r w:rsidRPr="00E96E75">
        <w:t xml:space="preserve">«É uma noção de que deveremos prescindir. Substitui-la-emos </w:t>
      </w:r>
      <w:r w:rsidRPr="00E96E75">
        <w:lastRenderedPageBreak/>
        <w:t>por um princípio novo, o da raça. [...] Não se tratará mais da conc</w:t>
      </w:r>
      <w:r w:rsidRPr="003E305A">
        <w:t>orrência entre nações, mas da luta entre raças [...] Partindo do princípio da nação, a França levou a sua grande revolução além das suas fronteiras. Com a noção de raça, o nacional-socialismo levará a sua revolução até ao estabelecimento de uma ordem nova no mundo»</w:t>
      </w:r>
      <w:r w:rsidRPr="003E305A">
        <w:rPr>
          <w:rStyle w:val="Refdenotaderodap"/>
        </w:rPr>
        <w:footnoteReference w:id="241"/>
      </w:r>
      <w:r w:rsidRPr="003E305A">
        <w:t xml:space="preserve">. </w:t>
      </w:r>
      <w:r w:rsidR="000F027E" w:rsidRPr="003E305A">
        <w:t xml:space="preserve">Mediante </w:t>
      </w:r>
      <w:r w:rsidRPr="003E305A">
        <w:t>um decreto promulga</w:t>
      </w:r>
      <w:r>
        <w:t xml:space="preserve">do </w:t>
      </w:r>
      <w:r w:rsidRPr="003E305A">
        <w:t>em Agosto de 1941 Hitler proibiu o emprego da expressão «raça alemã», que tendia a sacrificar a ideia de raça ao princípio arcaico de nacionalidade</w:t>
      </w:r>
      <w:r w:rsidRPr="003E305A">
        <w:rPr>
          <w:rStyle w:val="Refdenotaderodap"/>
        </w:rPr>
        <w:footnoteReference w:id="242"/>
      </w:r>
      <w:r w:rsidRPr="003E305A">
        <w:t>. Por isso os Waffen</w:t>
      </w:r>
      <w:r w:rsidR="00E173CE">
        <w:t>-</w:t>
      </w:r>
      <w:r w:rsidRPr="003E305A">
        <w:t xml:space="preserve">SS, além de recrutarem elementos de comunidades germânicas sediadas fora do Reich, aceitavam </w:t>
      </w:r>
      <w:r w:rsidR="00DC2F12" w:rsidRPr="003E305A">
        <w:t xml:space="preserve">também </w:t>
      </w:r>
      <w:r w:rsidRPr="003E305A">
        <w:t>componentes não-germânicos da raça nórdica e até gente de outras raças, turcos, árabes e indianos, desde que fossem consideradas marciais e aparentadas com os nórdicos. «Dos novecentos mil homens que passaram pelos Waffen</w:t>
      </w:r>
      <w:r w:rsidR="00E173CE">
        <w:t>-</w:t>
      </w:r>
      <w:r w:rsidRPr="003E305A">
        <w:t>SS (incluindo todas as baixas)», indic</w:t>
      </w:r>
      <w:r>
        <w:t>ou</w:t>
      </w:r>
      <w:r w:rsidRPr="003E305A">
        <w:t xml:space="preserve"> um historiador, «menos de metade eram alemães originários do Reich»</w:t>
      </w:r>
      <w:r w:rsidRPr="003E305A">
        <w:rPr>
          <w:rStyle w:val="Refdenotaderodap"/>
        </w:rPr>
        <w:footnoteReference w:id="243"/>
      </w:r>
      <w:r w:rsidRPr="003E305A">
        <w:t xml:space="preserve">. </w:t>
      </w:r>
      <w:r w:rsidR="006E77C5">
        <w:t xml:space="preserve">É entre </w:t>
      </w:r>
      <w:r w:rsidR="00D32528">
        <w:t>os jovens oficiais dos SS</w:t>
      </w:r>
      <w:r w:rsidR="006E77C5">
        <w:t xml:space="preserve">, observou </w:t>
      </w:r>
      <w:r w:rsidR="00DD62B6">
        <w:t>o</w:t>
      </w:r>
      <w:r w:rsidR="006E77C5">
        <w:t xml:space="preserve"> fascista francês </w:t>
      </w:r>
      <w:r w:rsidR="00DD62B6">
        <w:t>Lucien Rebatet</w:t>
      </w:r>
      <w:r w:rsidR="006E77C5">
        <w:t xml:space="preserve">, «que encontro os nacionais-socialistas </w:t>
      </w:r>
      <w:r w:rsidR="00B07CA9">
        <w:t xml:space="preserve">mais emancipados do pangermanismo, mais </w:t>
      </w:r>
      <w:r w:rsidR="00BC1C0A">
        <w:t>cônscios</w:t>
      </w:r>
      <w:r w:rsidR="00B07CA9">
        <w:t xml:space="preserve"> da missão europeia do fascismo»</w:t>
      </w:r>
      <w:r w:rsidR="00BC1C0A">
        <w:rPr>
          <w:rStyle w:val="Refdenotaderodap"/>
        </w:rPr>
        <w:footnoteReference w:id="244"/>
      </w:r>
      <w:r w:rsidR="00B07CA9">
        <w:t xml:space="preserve">. </w:t>
      </w:r>
    </w:p>
    <w:p w:rsidR="00321E01" w:rsidRPr="003E305A" w:rsidRDefault="00321E01" w:rsidP="00321E01">
      <w:r w:rsidRPr="00333242">
        <w:t xml:space="preserve">Himmler pretendia </w:t>
      </w:r>
      <w:r w:rsidR="00465878">
        <w:t xml:space="preserve">assim </w:t>
      </w:r>
      <w:r w:rsidRPr="00333242">
        <w:t>gerar uma nova elite, que substituísse a degenerada nobreza tradicional e alia</w:t>
      </w:r>
      <w:r w:rsidR="00D02E1B">
        <w:t>sse</w:t>
      </w:r>
      <w:r w:rsidRPr="00333242">
        <w:t xml:space="preserve"> a rudeza do plebeu à altivez aristocrática. </w:t>
      </w:r>
      <w:r w:rsidR="00F00A55" w:rsidRPr="005805BE">
        <w:rPr>
          <w:iCs/>
        </w:rPr>
        <w:t>Marc Augier, fascista francês que pertenceu aos Waffen</w:t>
      </w:r>
      <w:r w:rsidR="00E173CE">
        <w:rPr>
          <w:iCs/>
        </w:rPr>
        <w:t>-</w:t>
      </w:r>
      <w:r w:rsidR="00F00A55" w:rsidRPr="005805BE">
        <w:rPr>
          <w:iCs/>
        </w:rPr>
        <w:t>SS, considerou que eles «procuram moldar homens libertos do velho nacionalismo, reuni-los numa casta determinada exclusivamente pela raça e pela coragem, nova nobreza popular destinada a substituir a antiga»</w:t>
      </w:r>
      <w:r w:rsidR="00F00A55">
        <w:rPr>
          <w:rStyle w:val="Refdenotaderodap"/>
          <w:iCs/>
        </w:rPr>
        <w:footnoteReference w:id="245"/>
      </w:r>
      <w:r w:rsidR="00F00A55">
        <w:rPr>
          <w:iCs/>
        </w:rPr>
        <w:t xml:space="preserve">. </w:t>
      </w:r>
      <w:r w:rsidR="007D64E1" w:rsidRPr="00AD0D8B">
        <w:t xml:space="preserve">Apesar de tudo o que se </w:t>
      </w:r>
      <w:r w:rsidR="006F752B">
        <w:t>assevera</w:t>
      </w:r>
      <w:r w:rsidR="007537D0">
        <w:t xml:space="preserve"> </w:t>
      </w:r>
      <w:r w:rsidR="007D64E1" w:rsidRPr="00AD0D8B">
        <w:t>sobre a</w:t>
      </w:r>
      <w:r w:rsidR="007537D0">
        <w:t xml:space="preserve"> antipatia </w:t>
      </w:r>
      <w:r w:rsidR="00F00A55">
        <w:t xml:space="preserve">de Himmler </w:t>
      </w:r>
      <w:r w:rsidR="007537D0">
        <w:t xml:space="preserve">por </w:t>
      </w:r>
      <w:r w:rsidR="007D64E1" w:rsidRPr="00AD0D8B">
        <w:t>Rosenberg</w:t>
      </w:r>
      <w:r w:rsidR="00F00A55">
        <w:rPr>
          <w:rStyle w:val="Refdenotaderodap"/>
        </w:rPr>
        <w:footnoteReference w:id="246"/>
      </w:r>
      <w:r w:rsidR="007D64E1" w:rsidRPr="00AD0D8B">
        <w:t xml:space="preserve"> </w:t>
      </w:r>
      <w:r w:rsidR="009B4FF1">
        <w:t xml:space="preserve">e </w:t>
      </w:r>
      <w:r w:rsidR="00A510EC">
        <w:t>a</w:t>
      </w:r>
      <w:r w:rsidR="009B4FF1">
        <w:t xml:space="preserve">pesar de nas </w:t>
      </w:r>
      <w:r w:rsidR="00317B94">
        <w:t xml:space="preserve">suas </w:t>
      </w:r>
      <w:r w:rsidR="006F752B">
        <w:t>derradeiras</w:t>
      </w:r>
      <w:r w:rsidR="009B4FF1">
        <w:t xml:space="preserve"> páginas Rosenberg não ter poupado </w:t>
      </w:r>
      <w:r w:rsidR="00AB05B5">
        <w:t>as recriminações endereçadas</w:t>
      </w:r>
      <w:r w:rsidR="009B4FF1">
        <w:t xml:space="preserve"> a Himmler</w:t>
      </w:r>
      <w:r w:rsidR="00A510EC">
        <w:rPr>
          <w:rStyle w:val="Refdenotaderodap"/>
        </w:rPr>
        <w:footnoteReference w:id="247"/>
      </w:r>
      <w:r w:rsidR="009B4FF1">
        <w:t xml:space="preserve">, o certo é que </w:t>
      </w:r>
      <w:r w:rsidR="00496000">
        <w:t xml:space="preserve">mesmo </w:t>
      </w:r>
      <w:r w:rsidR="00D02E1B">
        <w:t xml:space="preserve">então ele </w:t>
      </w:r>
      <w:r w:rsidR="00317B94">
        <w:t>escreveu</w:t>
      </w:r>
      <w:r w:rsidR="00A510EC">
        <w:t>: «As nossas ideias eram paralelas»</w:t>
      </w:r>
      <w:r w:rsidR="00A510EC">
        <w:rPr>
          <w:rStyle w:val="Refdenotaderodap"/>
        </w:rPr>
        <w:footnoteReference w:id="248"/>
      </w:r>
      <w:r w:rsidR="00A510EC">
        <w:t xml:space="preserve">. As </w:t>
      </w:r>
      <w:r w:rsidR="005E5216">
        <w:t xml:space="preserve">linhas mestras do </w:t>
      </w:r>
      <w:r w:rsidR="007D64E1" w:rsidRPr="00AD0D8B">
        <w:t xml:space="preserve">projecto </w:t>
      </w:r>
      <w:r w:rsidR="00096C87">
        <w:t>do Rei</w:t>
      </w:r>
      <w:r w:rsidR="00A510EC">
        <w:t>chsführer</w:t>
      </w:r>
      <w:r w:rsidR="00096C87">
        <w:t>-</w:t>
      </w:r>
      <w:r w:rsidR="00A510EC">
        <w:t xml:space="preserve">SS </w:t>
      </w:r>
      <w:r w:rsidR="007D64E1" w:rsidRPr="00AD0D8B">
        <w:t>não diferia</w:t>
      </w:r>
      <w:r w:rsidR="005E5216">
        <w:t>m</w:t>
      </w:r>
      <w:r w:rsidR="007D64E1" w:rsidRPr="00AD0D8B">
        <w:t xml:space="preserve"> </w:t>
      </w:r>
      <w:r w:rsidR="005E5216">
        <w:t xml:space="preserve">das </w:t>
      </w:r>
      <w:r w:rsidR="007D64E1" w:rsidRPr="00AD0D8B">
        <w:t>que havia</w:t>
      </w:r>
      <w:r w:rsidR="005E5216">
        <w:t>m</w:t>
      </w:r>
      <w:r w:rsidR="007D64E1" w:rsidRPr="00AD0D8B">
        <w:t xml:space="preserve"> já sido traçad</w:t>
      </w:r>
      <w:r w:rsidR="005E5216">
        <w:t>as</w:t>
      </w:r>
      <w:r w:rsidR="007D64E1" w:rsidRPr="00AD0D8B">
        <w:t xml:space="preserve"> </w:t>
      </w:r>
      <w:r w:rsidR="000B6B25">
        <w:t xml:space="preserve">em 1930 </w:t>
      </w:r>
      <w:r w:rsidR="007D64E1" w:rsidRPr="00AD0D8B">
        <w:t>pelo filósofo do nacional-socialismo</w:t>
      </w:r>
      <w:r w:rsidR="001475D9">
        <w:t>:</w:t>
      </w:r>
      <w:r w:rsidR="007D64E1" w:rsidRPr="00AD0D8B">
        <w:t xml:space="preserve"> </w:t>
      </w:r>
      <w:r w:rsidR="00691554" w:rsidRPr="00EA615A">
        <w:t xml:space="preserve">«Nos planos espiritual, político e militar terão sido </w:t>
      </w:r>
      <w:r w:rsidR="00EA615A" w:rsidRPr="00EA615A">
        <w:t>cavados os alicerces para o aparecimento de uma nova aristocracia.</w:t>
      </w:r>
      <w:r w:rsidR="00EA615A">
        <w:t xml:space="preserve"> </w:t>
      </w:r>
      <w:r w:rsidR="006A7F4A" w:rsidRPr="006A7F4A">
        <w:t xml:space="preserve">Ver-se-á que, por uma necessidade íntima, </w:t>
      </w:r>
      <w:r w:rsidR="0065279A" w:rsidRPr="006A7F4A">
        <w:t xml:space="preserve">80% </w:t>
      </w:r>
      <w:r w:rsidR="0065279A">
        <w:t>d</w:t>
      </w:r>
      <w:r w:rsidR="006A7F4A" w:rsidRPr="006A7F4A">
        <w:t>estes homens serão</w:t>
      </w:r>
      <w:r w:rsidR="0065279A">
        <w:t xml:space="preserve"> </w:t>
      </w:r>
      <w:r w:rsidR="0065279A" w:rsidRPr="006A7F4A">
        <w:lastRenderedPageBreak/>
        <w:t>n</w:t>
      </w:r>
      <w:r w:rsidR="0065279A">
        <w:t xml:space="preserve">órdicos </w:t>
      </w:r>
      <w:r w:rsidR="006A7F4A" w:rsidRPr="006A7F4A">
        <w:t>na apar</w:t>
      </w:r>
      <w:r w:rsidR="00D34B1C">
        <w:t>ê</w:t>
      </w:r>
      <w:r w:rsidR="006A7F4A" w:rsidRPr="006A7F4A">
        <w:t>ncia física</w:t>
      </w:r>
      <w:r w:rsidR="006A7F4A">
        <w:t xml:space="preserve">. </w:t>
      </w:r>
      <w:r w:rsidR="00822FFF" w:rsidRPr="00822FFF">
        <w:t xml:space="preserve">[…] A nova aristocracia sê-lo-á </w:t>
      </w:r>
      <w:r w:rsidR="00E70A55">
        <w:t xml:space="preserve">tanto </w:t>
      </w:r>
      <w:r w:rsidR="00822FFF" w:rsidRPr="00822FFF">
        <w:t xml:space="preserve">pelo sangue </w:t>
      </w:r>
      <w:r w:rsidR="00E70A55">
        <w:t xml:space="preserve">como </w:t>
      </w:r>
      <w:r w:rsidR="00822FFF" w:rsidRPr="00822FFF">
        <w:t>pelas realizações.</w:t>
      </w:r>
      <w:r w:rsidR="00822FFF">
        <w:t xml:space="preserve"> </w:t>
      </w:r>
      <w:r w:rsidR="00822FFF" w:rsidRPr="000E5276">
        <w:t xml:space="preserve">Passará </w:t>
      </w:r>
      <w:r w:rsidR="000C200E">
        <w:t>de</w:t>
      </w:r>
      <w:r w:rsidR="00822FFF" w:rsidRPr="000E5276">
        <w:t xml:space="preserve"> pais para filhos, mas extinguir-se-á se o filho </w:t>
      </w:r>
      <w:r w:rsidR="000E5276" w:rsidRPr="000E5276">
        <w:t xml:space="preserve">cometer delitos que </w:t>
      </w:r>
      <w:r w:rsidR="00503861">
        <w:t xml:space="preserve">lhe </w:t>
      </w:r>
      <w:r w:rsidR="000E5276" w:rsidRPr="000E5276">
        <w:t>comprometam a honra»</w:t>
      </w:r>
      <w:r w:rsidR="009D474D">
        <w:rPr>
          <w:rStyle w:val="Refdenotaderodap"/>
        </w:rPr>
        <w:footnoteReference w:id="249"/>
      </w:r>
      <w:r w:rsidR="000E5276" w:rsidRPr="000E5276">
        <w:t>.</w:t>
      </w:r>
      <w:r w:rsidR="000E5276">
        <w:t xml:space="preserve"> </w:t>
      </w:r>
      <w:r w:rsidR="000C200E">
        <w:t xml:space="preserve">Será criada </w:t>
      </w:r>
      <w:r w:rsidR="00AD0D8B" w:rsidRPr="00E04ABC">
        <w:t xml:space="preserve">deste modo, anunciara </w:t>
      </w:r>
      <w:r w:rsidR="00AD0D8B" w:rsidRPr="00E04ABC">
        <w:rPr>
          <w:i/>
        </w:rPr>
        <w:t>O Mito do Século XX,</w:t>
      </w:r>
      <w:r w:rsidR="00AD0D8B" w:rsidRPr="00E04ABC">
        <w:t xml:space="preserve"> </w:t>
      </w:r>
      <w:r w:rsidR="00ED007A" w:rsidRPr="00E04ABC">
        <w:t xml:space="preserve">«uma liga de homens, chamemos-lhe uma </w:t>
      </w:r>
      <w:r w:rsidR="0049433E" w:rsidRPr="00E04ABC">
        <w:t>Ordem Germânica</w:t>
      </w:r>
      <w:r w:rsidR="00ED007A" w:rsidRPr="00E04ABC">
        <w:t xml:space="preserve">, formada por personalidades </w:t>
      </w:r>
      <w:r w:rsidR="0066420E">
        <w:t xml:space="preserve">que tiveram uma </w:t>
      </w:r>
      <w:r w:rsidR="00BF43A5">
        <w:t>participação</w:t>
      </w:r>
      <w:r w:rsidR="0066420E">
        <w:t xml:space="preserve"> decisiva no renascimento </w:t>
      </w:r>
      <w:r w:rsidR="004D04EA">
        <w:t xml:space="preserve">do povo germânico. </w:t>
      </w:r>
      <w:r w:rsidR="008013D0" w:rsidRPr="001D21D5">
        <w:t xml:space="preserve">Os membros desta </w:t>
      </w:r>
      <w:r w:rsidR="0049433E" w:rsidRPr="001D21D5">
        <w:t xml:space="preserve">Ordem Germânica </w:t>
      </w:r>
      <w:r w:rsidR="001D21D5" w:rsidRPr="001D21D5">
        <w:t>serão nomeados pelo primeiro chefe de Estado após a fundação do novo Reich, que os escolher</w:t>
      </w:r>
      <w:r w:rsidR="001D21D5">
        <w:t>á em todas as camadas d</w:t>
      </w:r>
      <w:r w:rsidR="00BF43A5">
        <w:t>o povo</w:t>
      </w:r>
      <w:r w:rsidR="001D21D5">
        <w:t xml:space="preserve">. </w:t>
      </w:r>
      <w:r w:rsidR="00966552" w:rsidRPr="00966552">
        <w:t xml:space="preserve">A condição </w:t>
      </w:r>
      <w:r w:rsidR="00DB5937">
        <w:t>indispensável</w:t>
      </w:r>
      <w:r w:rsidR="00966552" w:rsidRPr="00966552">
        <w:t xml:space="preserve"> </w:t>
      </w:r>
      <w:r w:rsidR="00DB5937">
        <w:t>é ter</w:t>
      </w:r>
      <w:r w:rsidR="00A02E00">
        <w:t>em</w:t>
      </w:r>
      <w:r w:rsidR="00DB5937">
        <w:t xml:space="preserve"> prestado bons serviços ao povo, </w:t>
      </w:r>
      <w:r w:rsidR="00966552" w:rsidRPr="00966552">
        <w:t xml:space="preserve">qualquer </w:t>
      </w:r>
      <w:r w:rsidR="00DB5937">
        <w:t xml:space="preserve">que seja a </w:t>
      </w:r>
      <w:r w:rsidR="00966552" w:rsidRPr="00966552">
        <w:t>área.</w:t>
      </w:r>
      <w:r w:rsidR="00966552">
        <w:t xml:space="preserve"> </w:t>
      </w:r>
      <w:r w:rsidR="00966552" w:rsidRPr="00BA24AF">
        <w:t xml:space="preserve">Deste modo, o conselho da </w:t>
      </w:r>
      <w:r w:rsidR="0049433E" w:rsidRPr="00BA24AF">
        <w:t xml:space="preserve">Ordem Germânica </w:t>
      </w:r>
      <w:r w:rsidR="00966552" w:rsidRPr="00BA24AF">
        <w:t xml:space="preserve">será renovado por novas nomeações </w:t>
      </w:r>
      <w:r w:rsidR="0055256F">
        <w:t>à</w:t>
      </w:r>
      <w:r w:rsidR="00BA29FD">
        <w:t xml:space="preserve"> </w:t>
      </w:r>
      <w:r w:rsidR="00966552" w:rsidRPr="00BA24AF">
        <w:t xml:space="preserve">morte </w:t>
      </w:r>
      <w:r w:rsidR="0055256F">
        <w:t xml:space="preserve">de cada um </w:t>
      </w:r>
      <w:r w:rsidR="00966552" w:rsidRPr="00BA24AF">
        <w:t>d</w:t>
      </w:r>
      <w:r w:rsidR="00BA29FD">
        <w:t>os seus</w:t>
      </w:r>
      <w:r w:rsidR="00966552" w:rsidRPr="00BA24AF">
        <w:t xml:space="preserve"> membros. </w:t>
      </w:r>
      <w:r w:rsidR="00D91D72" w:rsidRPr="00F77DDA">
        <w:t xml:space="preserve">O supremo chefe de Estado […] </w:t>
      </w:r>
      <w:r w:rsidR="0049433E" w:rsidRPr="00F77DDA">
        <w:t>determina o seu sucessor para o conselho dirigente da Ordem Germâni</w:t>
      </w:r>
      <w:r w:rsidR="00BA24AF" w:rsidRPr="00F77DDA">
        <w:t>c</w:t>
      </w:r>
      <w:r w:rsidR="0049433E" w:rsidRPr="00F77DDA">
        <w:t>a</w:t>
      </w:r>
      <w:r w:rsidR="00F77DDA" w:rsidRPr="00F77DDA">
        <w:t>.</w:t>
      </w:r>
      <w:r w:rsidR="00F77DDA">
        <w:t xml:space="preserve"> </w:t>
      </w:r>
      <w:r w:rsidR="00F77DDA" w:rsidRPr="00B840D5">
        <w:t xml:space="preserve">[…] Assim, as forças do conselho da Ordem Germânica </w:t>
      </w:r>
      <w:r w:rsidR="00F26484" w:rsidRPr="00B840D5">
        <w:t xml:space="preserve">ao serviço </w:t>
      </w:r>
      <w:r w:rsidR="00F26484">
        <w:t xml:space="preserve">do povo </w:t>
      </w:r>
      <w:r w:rsidR="00B840D5" w:rsidRPr="00B840D5">
        <w:t>provirão de todas as camadas da nação, as</w:t>
      </w:r>
      <w:r w:rsidR="000771F9">
        <w:t>c</w:t>
      </w:r>
      <w:r w:rsidR="00B840D5" w:rsidRPr="00B840D5">
        <w:t xml:space="preserve">endendo através das associações </w:t>
      </w:r>
      <w:r w:rsidR="00F70EF1">
        <w:t xml:space="preserve">municipais </w:t>
      </w:r>
      <w:r w:rsidR="00B840D5" w:rsidRPr="00B840D5">
        <w:t xml:space="preserve">e </w:t>
      </w:r>
      <w:r w:rsidR="00F70EF1">
        <w:t>distritais</w:t>
      </w:r>
      <w:r w:rsidR="00B840D5" w:rsidRPr="00B840D5">
        <w:t>, sempre com a condiç</w:t>
      </w:r>
      <w:r w:rsidR="00B840D5">
        <w:t xml:space="preserve">ão </w:t>
      </w:r>
      <w:r w:rsidR="00774B3B">
        <w:t>de realizações pessoa</w:t>
      </w:r>
      <w:r w:rsidR="004E2839">
        <w:t>i</w:t>
      </w:r>
      <w:r w:rsidR="00774B3B">
        <w:t xml:space="preserve">s de grande mérito. </w:t>
      </w:r>
      <w:r w:rsidR="009E594D" w:rsidRPr="003854D8">
        <w:t>A ligação entre povo e chefia é assim mantida»</w:t>
      </w:r>
      <w:r w:rsidR="00B7670C">
        <w:rPr>
          <w:rStyle w:val="Refdenotaderodap"/>
          <w:lang w:val="en-US"/>
        </w:rPr>
        <w:footnoteReference w:id="250"/>
      </w:r>
      <w:r w:rsidR="009E594D" w:rsidRPr="003854D8">
        <w:t xml:space="preserve">. </w:t>
      </w:r>
      <w:r w:rsidR="00CF4210" w:rsidRPr="00B7670C">
        <w:t xml:space="preserve">Foi um projecto deste tipo que Himmler implementou. </w:t>
      </w:r>
      <w:r w:rsidR="003616A5">
        <w:t>No seu discurso em Posen em 4 de Outubro de 1943 o Reichsführer</w:t>
      </w:r>
      <w:r w:rsidR="00390EAA">
        <w:t>-SS</w:t>
      </w:r>
      <w:r w:rsidR="003616A5">
        <w:t xml:space="preserve"> previu que «dentro de vinte a trinta anos devemos ser realmente capazes de fornecer a toda a Europa a classe dirigente»</w:t>
      </w:r>
      <w:r w:rsidR="003616A5">
        <w:rPr>
          <w:rStyle w:val="Refdenotaderodap"/>
        </w:rPr>
        <w:footnoteReference w:id="251"/>
      </w:r>
      <w:r w:rsidR="003616A5">
        <w:t xml:space="preserve">. Mas interessava-lhe sobretudo pensar a longo prazo. </w:t>
      </w:r>
      <w:r w:rsidRPr="003E305A">
        <w:t>«Temos de ir criando progressivamente, e estamos já a criar, uma oficialidade guerreira que será cada vez mais apta, e este será um labor de gerações e de séculos», escrev</w:t>
      </w:r>
      <w:r>
        <w:t>eu</w:t>
      </w:r>
      <w:r w:rsidRPr="003E305A">
        <w:t xml:space="preserve"> ele dois anos antes de iniciada a guerra. «Essa oficialidade tem de se identificar cada vez mais com o espírito dos SS, uma organização [...] que foi criada como uma Ordem baseada no sangue, promovendo deliberadamente a família, e que tem de ser desenvolvida ao longo de séculos, talvez até ao longo de milénios»</w:t>
      </w:r>
      <w:r w:rsidRPr="003E305A">
        <w:rPr>
          <w:rStyle w:val="Refdenotaderodap"/>
        </w:rPr>
        <w:footnoteReference w:id="252"/>
      </w:r>
      <w:r w:rsidRPr="003E305A">
        <w:t>. A nova elite seria ao mesmo tempo uma raça, conferindo a intemporalidade do sangue ao que sem isso não ultrapassaria os limites efémeros de uma conjuntura social. «Desde início que o primeiro princípio dos SS foi o seguinte: os problemas do dia-a-dia não nos interessam», recordou Himmler numa conferência pronunciada em Janeiro de 1937</w:t>
      </w:r>
      <w:r w:rsidRPr="003E305A">
        <w:rPr>
          <w:rStyle w:val="Refdenotaderodap"/>
        </w:rPr>
        <w:footnoteReference w:id="253"/>
      </w:r>
      <w:r w:rsidRPr="003E305A">
        <w:t xml:space="preserve">. </w:t>
      </w:r>
      <w:r w:rsidR="001475D9">
        <w:t xml:space="preserve">Um artigo da </w:t>
      </w:r>
      <w:r w:rsidR="00972012">
        <w:t xml:space="preserve">revista </w:t>
      </w:r>
      <w:r w:rsidR="00972012" w:rsidRPr="00203197">
        <w:rPr>
          <w:i/>
        </w:rPr>
        <w:t>SS Leitheft</w:t>
      </w:r>
      <w:r w:rsidR="00972012">
        <w:t xml:space="preserve"> </w:t>
      </w:r>
      <w:r w:rsidR="0052235B">
        <w:t xml:space="preserve">de Maio de 1944, </w:t>
      </w:r>
      <w:r w:rsidR="00D97439">
        <w:t xml:space="preserve">escrito quando as cidades do Reich estavam </w:t>
      </w:r>
      <w:r w:rsidR="001475D9">
        <w:t xml:space="preserve">bombardeadas e os monumentos de uma cultura destruídos, concluiu: «As catedrais </w:t>
      </w:r>
      <w:r w:rsidR="00972012">
        <w:t>caíram;</w:t>
      </w:r>
      <w:r w:rsidR="001475D9">
        <w:t xml:space="preserve"> </w:t>
      </w:r>
      <w:r w:rsidR="00972012">
        <w:t xml:space="preserve">a </w:t>
      </w:r>
      <w:r w:rsidR="001475D9">
        <w:t xml:space="preserve">sua </w:t>
      </w:r>
      <w:r w:rsidR="0052235B">
        <w:t>medida</w:t>
      </w:r>
      <w:r w:rsidR="00972012">
        <w:t xml:space="preserve"> sagrada continua</w:t>
      </w:r>
      <w:r w:rsidR="001475D9">
        <w:t xml:space="preserve"> a viver, indestrutíve</w:t>
      </w:r>
      <w:r w:rsidR="00972012">
        <w:t>l</w:t>
      </w:r>
      <w:r w:rsidR="001475D9">
        <w:t xml:space="preserve">, no nosso sangue. </w:t>
      </w:r>
      <w:r w:rsidR="00972012">
        <w:t xml:space="preserve">Assim, </w:t>
      </w:r>
      <w:r w:rsidR="001475D9">
        <w:t xml:space="preserve">estamos livres para a luta e estaremos mais tarde </w:t>
      </w:r>
      <w:r w:rsidR="001475D9">
        <w:lastRenderedPageBreak/>
        <w:t xml:space="preserve">livres, </w:t>
      </w:r>
      <w:r w:rsidR="0052235B">
        <w:t xml:space="preserve">em conformidade </w:t>
      </w:r>
      <w:r w:rsidR="001475D9">
        <w:t xml:space="preserve">com a </w:t>
      </w:r>
      <w:r w:rsidR="0052235B">
        <w:t>medida</w:t>
      </w:r>
      <w:r w:rsidR="00A4233B">
        <w:t xml:space="preserve"> </w:t>
      </w:r>
      <w:r w:rsidR="001475D9">
        <w:t>eterna, para construir as novas ci</w:t>
      </w:r>
      <w:r w:rsidR="00A4233B">
        <w:t>d</w:t>
      </w:r>
      <w:r w:rsidR="001475D9">
        <w:t>adelas de um novo tempo»</w:t>
      </w:r>
      <w:r w:rsidR="00D97439">
        <w:rPr>
          <w:rStyle w:val="Refdenotaderodap"/>
        </w:rPr>
        <w:footnoteReference w:id="254"/>
      </w:r>
      <w:r w:rsidR="001475D9">
        <w:t>. Se</w:t>
      </w:r>
      <w:r w:rsidR="00B3457B">
        <w:t xml:space="preserve"> esquecermos </w:t>
      </w:r>
      <w:r w:rsidR="001475D9">
        <w:t>que o sangue era considerado uma categ</w:t>
      </w:r>
      <w:r w:rsidR="00AB7FD3">
        <w:t>o</w:t>
      </w:r>
      <w:r w:rsidR="001475D9">
        <w:t xml:space="preserve">ria perene, tanto biológica como espiritual, </w:t>
      </w:r>
      <w:r w:rsidR="00B3457B">
        <w:t xml:space="preserve">escapar-nos-á </w:t>
      </w:r>
      <w:r w:rsidR="001475D9">
        <w:t xml:space="preserve">a </w:t>
      </w:r>
      <w:r w:rsidR="00441D54">
        <w:t>perspectiva</w:t>
      </w:r>
      <w:r w:rsidR="001475D9">
        <w:t xml:space="preserve"> da política nacional-socialista. </w:t>
      </w:r>
      <w:r w:rsidRPr="003E305A">
        <w:t xml:space="preserve">Alheios às contingências tácticas e situando-se além do horizonte imediato, os SS apresentavam-se como a encarnação rácica do futuro. Nesta </w:t>
      </w:r>
      <w:r w:rsidR="00B3457B">
        <w:t>metafísica</w:t>
      </w:r>
      <w:r w:rsidRPr="003E305A">
        <w:t xml:space="preserve"> havia de assentar o Reich dos Mil Anos. </w:t>
      </w:r>
    </w:p>
    <w:p w:rsidR="00321E01" w:rsidRPr="003E305A" w:rsidRDefault="00321E01" w:rsidP="00321E01">
      <w:r w:rsidRPr="003E305A">
        <w:t xml:space="preserve">O sistema destinado a seleccionar os novos elementos da elite teria </w:t>
      </w:r>
      <w:r w:rsidR="0007196C">
        <w:t>na</w:t>
      </w:r>
      <w:r w:rsidRPr="003E305A">
        <w:t xml:space="preserve"> base as Escolas Adolf Hitler, exterior</w:t>
      </w:r>
      <w:r>
        <w:t>es</w:t>
      </w:r>
      <w:r w:rsidRPr="003E305A">
        <w:t xml:space="preserve"> às instituições educacionais comuns </w:t>
      </w:r>
      <w:r>
        <w:t xml:space="preserve">e </w:t>
      </w:r>
      <w:r w:rsidRPr="003E305A">
        <w:t>fundadas em 1936 no âmbito da Juventude Hitleriana</w:t>
      </w:r>
      <w:r w:rsidRPr="003E305A">
        <w:rPr>
          <w:rStyle w:val="Refdenotaderodap"/>
        </w:rPr>
        <w:footnoteReference w:id="255"/>
      </w:r>
      <w:r w:rsidRPr="003E305A">
        <w:t xml:space="preserve">. Escolhiam-se entre os jovens de doze anos de idade aqueles que pareciam mais promissores, e depois de seis anos de disciplina e treinamento intensivo e de uma passagem pelas universidades eles podiam ocupar os postos directivos no partido e nos serviços públicos. </w:t>
      </w:r>
      <w:r w:rsidR="0007196C">
        <w:t>O manual de Abril de 1942 do Serviço de Doutrinação da Juventude Hitleriana definiu claramente a orientação geopolítica: «[...] o âmago da nossa história germânica é um movimento de Oeste para Leste [...] o Führer está a prosseguir e completar esta missão histórica da nossa nação»</w:t>
      </w:r>
      <w:r w:rsidR="0007196C">
        <w:rPr>
          <w:rStyle w:val="Refdenotaderodap"/>
        </w:rPr>
        <w:footnoteReference w:id="256"/>
      </w:r>
      <w:r w:rsidR="0007196C">
        <w:t xml:space="preserve">. </w:t>
      </w:r>
      <w:r w:rsidRPr="003E305A">
        <w:t xml:space="preserve">O escalão intermédio </w:t>
      </w:r>
      <w:r w:rsidR="0007196C">
        <w:t>da</w:t>
      </w:r>
      <w:r w:rsidRPr="003E305A">
        <w:t xml:space="preserve"> hierarquia educacional seria constituído pelos Institutos de Formação Política Nacional, criados em 1933 e entregues três anos depois à supervisão exclusiva dos SS, que se inspiravam nos métodos seguidos pelas antigas academias militares prussianas. </w:t>
      </w:r>
      <w:r w:rsidR="00F6059E">
        <w:t xml:space="preserve">No começo da guerra Hitler e Himmler tencionavam estabelecer alguns destes </w:t>
      </w:r>
      <w:r w:rsidR="00B4625F">
        <w:t xml:space="preserve">Institutos </w:t>
      </w:r>
      <w:r w:rsidR="00903210">
        <w:t>nos</w:t>
      </w:r>
      <w:r w:rsidR="00F6059E">
        <w:t xml:space="preserve"> países nórdicos ocupados pelas forças armadas do Reich</w:t>
      </w:r>
      <w:r w:rsidR="00903210">
        <w:t xml:space="preserve"> —</w:t>
      </w:r>
      <w:r w:rsidR="00F6059E">
        <w:t xml:space="preserve"> </w:t>
      </w:r>
      <w:r w:rsidR="00D75F12">
        <w:t>a Holanda, a Dinamarca e a Noruega</w:t>
      </w:r>
      <w:r w:rsidR="00903210">
        <w:t xml:space="preserve"> —</w:t>
      </w:r>
      <w:r w:rsidR="00D75F12">
        <w:t xml:space="preserve"> </w:t>
      </w:r>
      <w:r w:rsidR="00F6059E">
        <w:t xml:space="preserve">de modo a </w:t>
      </w:r>
      <w:r w:rsidR="00FA02D9">
        <w:t xml:space="preserve">atrair </w:t>
      </w:r>
      <w:r w:rsidR="00D75F12">
        <w:t>as elites des</w:t>
      </w:r>
      <w:r w:rsidR="00903210">
        <w:t>t</w:t>
      </w:r>
      <w:r w:rsidR="00D75F12">
        <w:t xml:space="preserve">es países </w:t>
      </w:r>
      <w:r w:rsidR="00FA02D9">
        <w:t>para os objectivos geopolíticos do nacional-socialismo</w:t>
      </w:r>
      <w:r w:rsidR="00AC7C5A">
        <w:rPr>
          <w:rStyle w:val="Refdenotaderodap"/>
        </w:rPr>
        <w:footnoteReference w:id="257"/>
      </w:r>
      <w:r w:rsidR="00FA02D9">
        <w:t xml:space="preserve">. </w:t>
      </w:r>
      <w:r w:rsidRPr="003E305A">
        <w:t xml:space="preserve">No topo do sistema criar-se-iam os quatro Castelos da Ordem, em referência ao que fora a Ordem Teutónica, a expressão mais aguerrida e homogénea das migrações germânicas para </w:t>
      </w:r>
      <w:r w:rsidR="009F6645" w:rsidRPr="003E305A">
        <w:t>Leste</w:t>
      </w:r>
      <w:r w:rsidRPr="003E305A">
        <w:t>, desde o século XIII até ao século XV. O mito das ordens guerreiras e monásticas e das suas virtudes pedagógicas no racismo fora já invocado durante a primeira guerra mundial por Otger Gräff</w:t>
      </w:r>
      <w:r w:rsidRPr="003E305A">
        <w:rPr>
          <w:rStyle w:val="Refdenotaderodap"/>
        </w:rPr>
        <w:footnoteReference w:id="258"/>
      </w:r>
      <w:r w:rsidRPr="003E305A">
        <w:t xml:space="preserve"> e antes disso, muito mais estranhamente, pelo Novo Templo, sociedade esotérica e racista de Viena comandada pelo </w:t>
      </w:r>
      <w:r w:rsidR="00690DEE">
        <w:t>extravagante</w:t>
      </w:r>
      <w:r w:rsidRPr="003E305A">
        <w:t xml:space="preserve"> Lanz von Liebenfels, que contara com a adesão de um personagem célebre como August Strindberg e interessara um Hitler jovem, </w:t>
      </w:r>
      <w:r w:rsidR="00690DEE">
        <w:t>faminto</w:t>
      </w:r>
      <w:r w:rsidRPr="003E305A">
        <w:t xml:space="preserve"> e desconhecido</w:t>
      </w:r>
      <w:r w:rsidRPr="003E305A">
        <w:rPr>
          <w:rStyle w:val="Refdenotaderodap"/>
        </w:rPr>
        <w:footnoteReference w:id="259"/>
      </w:r>
      <w:r w:rsidRPr="003E305A">
        <w:t xml:space="preserve">. Alguns anos mais tarde, ao ditar </w:t>
      </w:r>
      <w:r w:rsidRPr="003E305A">
        <w:rPr>
          <w:i/>
        </w:rPr>
        <w:t xml:space="preserve">Mein </w:t>
      </w:r>
      <w:r w:rsidRPr="003E305A">
        <w:rPr>
          <w:i/>
        </w:rPr>
        <w:lastRenderedPageBreak/>
        <w:t>Kampf,</w:t>
      </w:r>
      <w:r w:rsidRPr="003E305A">
        <w:t xml:space="preserve"> o futuro Führer propusera-se trilhar de novo o caminho dos Cavaleiros Teutónicos</w:t>
      </w:r>
      <w:r w:rsidRPr="003E305A">
        <w:rPr>
          <w:rStyle w:val="Refdenotaderodap"/>
        </w:rPr>
        <w:footnoteReference w:id="260"/>
      </w:r>
      <w:r w:rsidRPr="003E305A">
        <w:t xml:space="preserve"> e agora que a tomada do poder lhe permitia confundir na prática os seus delírios individuais com o imperialismo colectivo, seria naqueles quatro Castelos que havia de receber instrução e treinamento a elite da elite, recrutada entre os que tinham obtido as melhores classificações nos dois escalões anteriores e preparada para ocupar os lugares de chefia no enorme aparelho </w:t>
      </w:r>
      <w:r w:rsidR="00A055EA">
        <w:t xml:space="preserve">racial, mas também </w:t>
      </w:r>
      <w:r w:rsidRPr="003E305A">
        <w:t>administrativo, político e económico</w:t>
      </w:r>
      <w:r w:rsidR="00A055EA">
        <w:t>,</w:t>
      </w:r>
      <w:r w:rsidRPr="003E305A">
        <w:t xml:space="preserve"> constituído pelos SS. </w:t>
      </w:r>
    </w:p>
    <w:p w:rsidR="00321E01" w:rsidRPr="003E305A" w:rsidRDefault="00321E01" w:rsidP="00321E01">
      <w:r w:rsidRPr="003E305A">
        <w:t xml:space="preserve">«Nos meus “Burgos” da Ordem», </w:t>
      </w:r>
      <w:r w:rsidR="00DE70BA">
        <w:t xml:space="preserve">teria </w:t>
      </w:r>
      <w:r w:rsidRPr="003E305A">
        <w:t>anunci</w:t>
      </w:r>
      <w:r w:rsidR="00DE70BA">
        <w:t>ado</w:t>
      </w:r>
      <w:r w:rsidRPr="003E305A">
        <w:t xml:space="preserve"> Hitler, «formaremos uma juventude perante a qual o mundo há-de tremer. Uma juventude violenta, imperiosa, intrépida, cruel. [...] Quero que ela tenha a força e a beleza das jovens feras. [...] É assim que purificarei a raça dos seus milhares de anos de domesticação e de obediência»</w:t>
      </w:r>
      <w:r w:rsidRPr="003E305A">
        <w:rPr>
          <w:rStyle w:val="Refdenotaderodap"/>
        </w:rPr>
        <w:footnoteReference w:id="261"/>
      </w:r>
      <w:r w:rsidRPr="003E305A">
        <w:t xml:space="preserve">. Até nos termos empregues, era esta a lição </w:t>
      </w:r>
      <w:r w:rsidR="00E47A68">
        <w:t>de N</w:t>
      </w:r>
      <w:r w:rsidRPr="003E305A">
        <w:t>ietzsch</w:t>
      </w:r>
      <w:r w:rsidR="00E47A68">
        <w:t>e</w:t>
      </w:r>
      <w:r w:rsidRPr="003E305A">
        <w:t>. E no tom do mago que treme perante as suas próprias encantações</w:t>
      </w:r>
      <w:r w:rsidR="00E47A68">
        <w:t>,</w:t>
      </w:r>
      <w:r w:rsidRPr="003E305A">
        <w:t xml:space="preserve"> Hitler </w:t>
      </w:r>
      <w:r>
        <w:t xml:space="preserve">teria </w:t>
      </w:r>
      <w:r w:rsidRPr="003E305A">
        <w:t>confidenci</w:t>
      </w:r>
      <w:r>
        <w:t>ado</w:t>
      </w:r>
      <w:r w:rsidRPr="003E305A">
        <w:t>: «Vou dizer-lhe um segredo. Eu vi o homem novo. Ele é intrépido e cruel. Ao vê-lo, tive medo»</w:t>
      </w:r>
      <w:r w:rsidRPr="003E305A">
        <w:rPr>
          <w:rStyle w:val="Refdenotaderodap"/>
        </w:rPr>
        <w:footnoteReference w:id="262"/>
      </w:r>
      <w:r w:rsidRPr="003E305A">
        <w:t>. Para fabricar este «Homem-Deus», este super-homem não só espiritual mas também biológico</w:t>
      </w:r>
      <w:r w:rsidRPr="003E305A">
        <w:rPr>
          <w:rStyle w:val="Refdenotaderodap"/>
        </w:rPr>
        <w:footnoteReference w:id="263"/>
      </w:r>
      <w:r w:rsidRPr="003E305A">
        <w:t xml:space="preserve">, seria necessário passar por cada um dos quatro Castelos, o primeiro devotado ao ensino da doutrina racista e de outros aspectos do </w:t>
      </w:r>
      <w:r w:rsidR="003878B6">
        <w:t>nacional-socialismo</w:t>
      </w:r>
      <w:r w:rsidRPr="003E305A">
        <w:t xml:space="preserve">, o segundo destinado sobretudo ao adestramento físico, o terceiro dedicado às questões políticas e militares. Finalmente, atingir-se-ia o quarto Castelo, em Marienburgo, na própria fortaleza que havia outrora servido de sede à Ordem Teutónica. Aí o ensino concentrar-se-ia na necessidade de prosseguir a expansão para </w:t>
      </w:r>
      <w:r w:rsidR="009F6645" w:rsidRPr="003E305A">
        <w:t>Leste</w:t>
      </w:r>
      <w:r w:rsidRPr="003E305A">
        <w:t xml:space="preserve">, e nesta perspectiva seriam abordados os problemas rácicos, políticos e militares. </w:t>
      </w:r>
      <w:r w:rsidR="0092534A">
        <w:t xml:space="preserve">Se Hitler considerava </w:t>
      </w:r>
      <w:r w:rsidR="00ED1420">
        <w:t xml:space="preserve">as questões </w:t>
      </w:r>
      <w:r w:rsidR="0092534A">
        <w:t>económic</w:t>
      </w:r>
      <w:r w:rsidR="00ED1420">
        <w:t>a</w:t>
      </w:r>
      <w:r w:rsidR="0092534A">
        <w:t xml:space="preserve">s em termos, não de aumento da produtividade, mas de dilatação territorial e se os espaços a colonizar não eram os africanos, então a constituição do Terceiro Reich teria como corolário a expansão para </w:t>
      </w:r>
      <w:r w:rsidR="00664FC7">
        <w:t xml:space="preserve">a Europa de </w:t>
      </w:r>
      <w:r w:rsidR="00A4001C">
        <w:t>Leste</w:t>
      </w:r>
      <w:r w:rsidR="0092534A">
        <w:t xml:space="preserve">. </w:t>
      </w:r>
      <w:r w:rsidRPr="003E305A">
        <w:t>O domínio exercido sobre os eslavos</w:t>
      </w:r>
      <w:r w:rsidR="005709CD">
        <w:t xml:space="preserve"> </w:t>
      </w:r>
      <w:r w:rsidRPr="003E305A">
        <w:t xml:space="preserve">não foi um aspecto secundário do nacional-socialismo ou uma consequência fortuita das campanhas militares. Foi a própria razão de ser </w:t>
      </w:r>
      <w:r w:rsidR="005709CD">
        <w:t>d</w:t>
      </w:r>
      <w:r w:rsidR="00664671" w:rsidRPr="003E305A">
        <w:t>o regime hitleriano e</w:t>
      </w:r>
      <w:r w:rsidR="00836DD1">
        <w:t>,</w:t>
      </w:r>
      <w:r w:rsidR="00664671" w:rsidRPr="003E305A">
        <w:t xml:space="preserve"> com ele</w:t>
      </w:r>
      <w:r w:rsidR="00836DD1">
        <w:t>,</w:t>
      </w:r>
      <w:r w:rsidR="00664671" w:rsidRPr="003E305A">
        <w:t xml:space="preserve"> </w:t>
      </w:r>
      <w:r w:rsidRPr="003E305A">
        <w:t>dos SS. «[...] é no carácter anti-russo do nazismo que encontramos o verdadeiro significado dos SS [...]»</w:t>
      </w:r>
      <w:r w:rsidRPr="003E305A">
        <w:rPr>
          <w:rStyle w:val="Refdenotaderodap"/>
        </w:rPr>
        <w:footnoteReference w:id="264"/>
      </w:r>
      <w:r w:rsidRPr="003E305A">
        <w:t xml:space="preserve">. Ao colocar a expansão para </w:t>
      </w:r>
      <w:r w:rsidR="009F6645" w:rsidRPr="003E305A">
        <w:t xml:space="preserve">Leste </w:t>
      </w:r>
      <w:r w:rsidRPr="003E305A">
        <w:t>como o tema a que, no fim de um longo treinamento e de sucessivas selecções, chegariam aqueles que haviam de constituir o vértice da nova elite biológica, Hitler desvend</w:t>
      </w:r>
      <w:r>
        <w:t>ou</w:t>
      </w:r>
      <w:r w:rsidRPr="003E305A">
        <w:t xml:space="preserve"> o seu eixo estratégico principal. </w:t>
      </w:r>
      <w:r w:rsidR="009265F5">
        <w:t>«O sangue é a nossa fronteira», anunciou um órgão dos SS em Março de 1936</w:t>
      </w:r>
      <w:r w:rsidR="009265F5">
        <w:rPr>
          <w:rStyle w:val="Refdenotaderodap"/>
        </w:rPr>
        <w:footnoteReference w:id="265"/>
      </w:r>
      <w:r w:rsidR="009265F5">
        <w:t xml:space="preserve">. </w:t>
      </w:r>
      <w:r w:rsidR="00D91E01">
        <w:t>Finalmente,</w:t>
      </w:r>
      <w:r w:rsidR="00073073">
        <w:t xml:space="preserve"> nos monólogos no </w:t>
      </w:r>
      <w:r w:rsidR="00313456" w:rsidRPr="00313456">
        <w:t>bunker</w:t>
      </w:r>
      <w:r w:rsidR="00313456">
        <w:t xml:space="preserve"> </w:t>
      </w:r>
      <w:r w:rsidR="00073073">
        <w:t xml:space="preserve">em Berlim, quando recordava a sua vida aos que estavam encerrados com </w:t>
      </w:r>
      <w:r w:rsidR="00073073">
        <w:lastRenderedPageBreak/>
        <w:t xml:space="preserve">ele, Hitler apresentou ainda a guerra contra os russos como o </w:t>
      </w:r>
      <w:r w:rsidR="00E47A68">
        <w:t>horizonte</w:t>
      </w:r>
      <w:r w:rsidR="00073073">
        <w:t xml:space="preserve"> de toda a sua política</w:t>
      </w:r>
      <w:r w:rsidR="00073073">
        <w:rPr>
          <w:rStyle w:val="Refdenotaderodap"/>
        </w:rPr>
        <w:footnoteReference w:id="266"/>
      </w:r>
      <w:r w:rsidR="00073073">
        <w:t xml:space="preserve">. </w:t>
      </w:r>
      <w:r w:rsidR="00D91E01">
        <w:t xml:space="preserve">E a derradeira mensagem que assinou, na véspera do suicídio, dirigida ao marechal Keitel, termina com as palavras: </w:t>
      </w:r>
      <w:r w:rsidR="009057B2">
        <w:t>«O objectivo deve continuar a ser a conquista de território no Leste para o povo germânico»</w:t>
      </w:r>
      <w:r w:rsidR="009057B2">
        <w:rPr>
          <w:rStyle w:val="Refdenotaderodap"/>
        </w:rPr>
        <w:footnoteReference w:id="267"/>
      </w:r>
      <w:r w:rsidR="009057B2">
        <w:t xml:space="preserve">. </w:t>
      </w:r>
    </w:p>
    <w:p w:rsidR="00321E01" w:rsidRPr="003E305A" w:rsidRDefault="00321E01" w:rsidP="003F04F9">
      <w:pPr>
        <w:keepNext/>
        <w:spacing w:before="720" w:after="360"/>
        <w:ind w:firstLine="0"/>
        <w:jc w:val="center"/>
        <w:rPr>
          <w:b/>
          <w:sz w:val="28"/>
        </w:rPr>
      </w:pPr>
      <w:r>
        <w:rPr>
          <w:b/>
          <w:sz w:val="28"/>
        </w:rPr>
        <w:t>4</w:t>
      </w:r>
      <w:r w:rsidRPr="003E305A">
        <w:rPr>
          <w:b/>
          <w:sz w:val="28"/>
        </w:rPr>
        <w:t xml:space="preserve">. </w:t>
      </w:r>
      <w:r>
        <w:rPr>
          <w:b/>
          <w:sz w:val="28"/>
        </w:rPr>
        <w:t>Sub-homens</w:t>
      </w:r>
    </w:p>
    <w:p w:rsidR="00CE1A24" w:rsidRDefault="00CE1A24" w:rsidP="00CE1A24">
      <w:pPr>
        <w:keepNext/>
        <w:spacing w:before="240" w:after="120"/>
        <w:ind w:firstLine="0"/>
        <w:jc w:val="center"/>
      </w:pPr>
      <w:r>
        <w:rPr>
          <w:b/>
          <w:sz w:val="28"/>
          <w:szCs w:val="28"/>
        </w:rPr>
        <w:t>1</w:t>
      </w:r>
    </w:p>
    <w:p w:rsidR="00392D4F" w:rsidRDefault="00321E01" w:rsidP="00321E01">
      <w:r w:rsidRPr="003E305A">
        <w:t xml:space="preserve">Na imaginação de Hitler e dos seus fiéis, as terras eslavas eram povoadas pelos </w:t>
      </w:r>
      <w:r w:rsidRPr="003E305A">
        <w:rPr>
          <w:i/>
        </w:rPr>
        <w:t>Untermenschen,</w:t>
      </w:r>
      <w:r w:rsidRPr="003E305A">
        <w:t xml:space="preserve"> sub-homens</w:t>
      </w:r>
      <w:r w:rsidR="000F255D" w:rsidRPr="003E305A">
        <w:rPr>
          <w:rStyle w:val="Refdenotaderodap"/>
        </w:rPr>
        <w:footnoteReference w:id="268"/>
      </w:r>
      <w:r w:rsidRPr="003E305A">
        <w:t xml:space="preserve">, selvagens bestiais e ferozes, incapazes de cultura, ou seja, desprovidos da capacidade de se organizarem na forma de Estados. </w:t>
      </w:r>
      <w:r w:rsidR="00403F8E">
        <w:t xml:space="preserve">Os nacionais-socialistas não se celebrizaram pela precisão terminológica e por vezes a noção de sub-humanidade abrangia todos os que eram considerados inferiores aos nórdicos, mas uso aqui o termo apenas naquela que foi a sua acepção principal. Segundo os </w:t>
      </w:r>
      <w:r w:rsidR="00CE1A24">
        <w:t>hitlerianos</w:t>
      </w:r>
      <w:r w:rsidR="00403F8E">
        <w:t>,</w:t>
      </w:r>
      <w:r w:rsidR="00CE1A24">
        <w:t xml:space="preserve"> </w:t>
      </w:r>
      <w:r w:rsidR="00392D4F" w:rsidRPr="003E305A">
        <w:t>a inferioridade rácica dos eslavos impedia</w:t>
      </w:r>
      <w:r w:rsidR="00403F8E">
        <w:t>-os</w:t>
      </w:r>
      <w:r w:rsidR="00392D4F" w:rsidRPr="003E305A">
        <w:t xml:space="preserve"> de assumir formas estatais próprias</w:t>
      </w:r>
      <w:r w:rsidR="00392D4F" w:rsidRPr="003E305A">
        <w:rPr>
          <w:rStyle w:val="Refdenotaderodap"/>
        </w:rPr>
        <w:footnoteReference w:id="269"/>
      </w:r>
      <w:r w:rsidR="00392D4F" w:rsidRPr="003E305A">
        <w:t xml:space="preserve">, </w:t>
      </w:r>
      <w:r w:rsidR="008A4372" w:rsidRPr="003E305A">
        <w:t xml:space="preserve">o </w:t>
      </w:r>
      <w:r w:rsidR="00CE1A24">
        <w:t xml:space="preserve">que </w:t>
      </w:r>
      <w:r w:rsidR="008A4372" w:rsidRPr="003E305A">
        <w:t>explica que o partido fascista fundado em Maio de 1931 por russ</w:t>
      </w:r>
      <w:r w:rsidR="009B3481">
        <w:t>os</w:t>
      </w:r>
      <w:r w:rsidR="008A4372" w:rsidRPr="003E305A">
        <w:t xml:space="preserve"> </w:t>
      </w:r>
      <w:r w:rsidR="00CA4ED1">
        <w:t>exilados</w:t>
      </w:r>
      <w:r w:rsidR="008A4372" w:rsidRPr="003E305A">
        <w:t xml:space="preserve"> na Manchúria tivesse adoptado o modelo mussoliniano, apesar de ser fanaticamente anti-semita e identificar o bolchevismo com o judaísmo. Antes do começo da segunda guerra mundial parece que este partido, ao mesmo tempo que propunha a aliança da sonhada Rússia fascista com o Japão e com o Reich, tentara convencer os dirigentes naciona</w:t>
      </w:r>
      <w:r w:rsidR="008A4372">
        <w:t>l</w:t>
      </w:r>
      <w:r w:rsidR="008A4372" w:rsidRPr="003E305A">
        <w:t>-socialistas a prescindirem da hostilidade aos eslavos</w:t>
      </w:r>
      <w:r w:rsidR="001707C9">
        <w:t>.</w:t>
      </w:r>
      <w:r w:rsidR="008A4372" w:rsidRPr="003E305A">
        <w:t xml:space="preserve"> </w:t>
      </w:r>
      <w:r w:rsidR="001707C9">
        <w:t xml:space="preserve">Mas </w:t>
      </w:r>
      <w:r w:rsidR="001707C9" w:rsidRPr="003E305A">
        <w:t xml:space="preserve">nem sequer para congraçar </w:t>
      </w:r>
      <w:r w:rsidR="00526E06">
        <w:t xml:space="preserve">os fascistas </w:t>
      </w:r>
      <w:r w:rsidR="001707C9" w:rsidRPr="003E305A">
        <w:t>russ</w:t>
      </w:r>
      <w:r w:rsidR="00526E06">
        <w:t>os</w:t>
      </w:r>
      <w:r w:rsidR="001707C9" w:rsidRPr="003E305A">
        <w:t xml:space="preserve"> o Führer abriu uma excepção ao</w:t>
      </w:r>
      <w:r w:rsidR="001707C9">
        <w:t>s</w:t>
      </w:r>
      <w:r w:rsidR="001707C9" w:rsidRPr="003E305A">
        <w:t xml:space="preserve"> seu</w:t>
      </w:r>
      <w:r w:rsidR="001707C9">
        <w:t>s</w:t>
      </w:r>
      <w:r w:rsidR="001707C9" w:rsidRPr="003E305A">
        <w:t xml:space="preserve"> </w:t>
      </w:r>
      <w:r w:rsidR="001707C9">
        <w:t>preconceitos</w:t>
      </w:r>
      <w:r w:rsidR="001707C9" w:rsidRPr="003E305A">
        <w:t xml:space="preserve"> e foi em vão que o departamento de política estrangeira do NSDAP lhe sugeriu em 1936 a difusão de </w:t>
      </w:r>
      <w:r w:rsidR="001707C9" w:rsidRPr="003E305A">
        <w:rPr>
          <w:i/>
        </w:rPr>
        <w:t>Mein Kampf</w:t>
      </w:r>
      <w:r w:rsidR="001707C9" w:rsidRPr="003E305A">
        <w:t xml:space="preserve"> em língua russa</w:t>
      </w:r>
      <w:r w:rsidR="001707C9">
        <w:t>,</w:t>
      </w:r>
      <w:r w:rsidR="001707C9" w:rsidRPr="003E305A">
        <w:t xml:space="preserve"> com um prefácio declarando que as passagens hostis aos </w:t>
      </w:r>
      <w:r w:rsidR="001707C9" w:rsidRPr="003E305A">
        <w:lastRenderedPageBreak/>
        <w:t>eslavos haviam perdido a actualidade</w:t>
      </w:r>
      <w:r w:rsidR="001707C9" w:rsidRPr="003E305A">
        <w:rPr>
          <w:rStyle w:val="Refdenotaderodap"/>
        </w:rPr>
        <w:footnoteReference w:id="270"/>
      </w:r>
      <w:r w:rsidR="001707C9" w:rsidRPr="003E305A">
        <w:t xml:space="preserve">. </w:t>
      </w:r>
      <w:r w:rsidR="001707C9">
        <w:t>Assim, e</w:t>
      </w:r>
      <w:r w:rsidR="001707C9" w:rsidRPr="003E305A">
        <w:t xml:space="preserve">mbora </w:t>
      </w:r>
      <w:r w:rsidR="001707C9">
        <w:t xml:space="preserve">o partido fascista russo </w:t>
      </w:r>
      <w:r w:rsidR="008A4372" w:rsidRPr="003E305A">
        <w:t xml:space="preserve">assinalasse a sua presença na emigração política em numerosos países, incluindo a Alemanha, </w:t>
      </w:r>
      <w:r w:rsidR="001707C9">
        <w:t xml:space="preserve">ele </w:t>
      </w:r>
      <w:r w:rsidR="00CE1A24">
        <w:t xml:space="preserve">teve </w:t>
      </w:r>
      <w:r w:rsidR="008A4372" w:rsidRPr="003E305A">
        <w:t xml:space="preserve">até ao final da guerra </w:t>
      </w:r>
      <w:r w:rsidR="00CE1A24">
        <w:t xml:space="preserve">de se manter </w:t>
      </w:r>
      <w:r w:rsidR="008A4372" w:rsidRPr="003E305A">
        <w:t>sob a protecção, nem sempre entusiástica, dos militares nipónicos</w:t>
      </w:r>
      <w:r w:rsidR="008A4372" w:rsidRPr="003E305A">
        <w:rPr>
          <w:rStyle w:val="Refdenotaderodap"/>
        </w:rPr>
        <w:footnoteReference w:id="271"/>
      </w:r>
      <w:r w:rsidR="008A4372" w:rsidRPr="003E305A">
        <w:t>.</w:t>
      </w:r>
      <w:r w:rsidR="00E4478D">
        <w:t xml:space="preserve"> Por igual </w:t>
      </w:r>
      <w:r w:rsidR="00392D4F" w:rsidRPr="003E305A">
        <w:t xml:space="preserve">motivo </w:t>
      </w:r>
      <w:r w:rsidR="001E5C1E">
        <w:t>foi</w:t>
      </w:r>
      <w:r w:rsidR="00392D4F" w:rsidRPr="003E305A">
        <w:t xml:space="preserve"> proibida</w:t>
      </w:r>
      <w:r w:rsidR="00392D4F">
        <w:t>,</w:t>
      </w:r>
      <w:r w:rsidR="00392D4F" w:rsidRPr="003E305A">
        <w:t xml:space="preserve"> </w:t>
      </w:r>
      <w:r w:rsidR="00392D4F">
        <w:t xml:space="preserve">nos territórios ocupados </w:t>
      </w:r>
      <w:r w:rsidR="001E5C1E">
        <w:t xml:space="preserve">no Leste </w:t>
      </w:r>
      <w:r w:rsidR="00F871E5">
        <w:t>desde</w:t>
      </w:r>
      <w:r w:rsidR="00392D4F">
        <w:t xml:space="preserve"> Setembro de 1939, </w:t>
      </w:r>
      <w:r w:rsidR="00392D4F" w:rsidRPr="003E305A">
        <w:t>não só a criação de partidos, mesmo de direita</w:t>
      </w:r>
      <w:r w:rsidR="009B3481">
        <w:t xml:space="preserve"> ou fascistas</w:t>
      </w:r>
      <w:r w:rsidR="00392D4F" w:rsidRPr="003E305A">
        <w:t xml:space="preserve">, como também a difusão das teses </w:t>
      </w:r>
      <w:r w:rsidR="00CE1A24">
        <w:t>nacional-socialistas</w:t>
      </w:r>
      <w:r w:rsidR="00392D4F" w:rsidRPr="003E305A">
        <w:t xml:space="preserve">, já que </w:t>
      </w:r>
      <w:r w:rsidR="00CD016A">
        <w:t xml:space="preserve">os </w:t>
      </w:r>
      <w:r w:rsidR="00392D4F">
        <w:t>eslav</w:t>
      </w:r>
      <w:r w:rsidR="00CD016A">
        <w:t>os</w:t>
      </w:r>
      <w:r w:rsidR="00392D4F">
        <w:t xml:space="preserve"> </w:t>
      </w:r>
      <w:r w:rsidR="00392D4F" w:rsidRPr="003E305A">
        <w:t>seria</w:t>
      </w:r>
      <w:r w:rsidR="00CD016A">
        <w:t>m</w:t>
      </w:r>
      <w:r w:rsidR="00392D4F" w:rsidRPr="003E305A">
        <w:t xml:space="preserve"> biologicamente incapaz</w:t>
      </w:r>
      <w:r w:rsidR="00CD016A">
        <w:t>es</w:t>
      </w:r>
      <w:r w:rsidR="00392D4F" w:rsidRPr="003E305A">
        <w:t xml:space="preserve"> de apreender </w:t>
      </w:r>
      <w:r w:rsidR="00CD016A">
        <w:t xml:space="preserve">essas </w:t>
      </w:r>
      <w:r w:rsidR="00392D4F" w:rsidRPr="003E305A">
        <w:t>noções</w:t>
      </w:r>
      <w:r w:rsidR="00392D4F" w:rsidRPr="003E305A">
        <w:rPr>
          <w:rStyle w:val="Refdenotaderodap"/>
        </w:rPr>
        <w:footnoteReference w:id="272"/>
      </w:r>
      <w:r w:rsidR="00CD016A">
        <w:t>,</w:t>
      </w:r>
      <w:r w:rsidR="00392D4F" w:rsidRPr="003E305A">
        <w:t xml:space="preserve"> </w:t>
      </w:r>
      <w:r w:rsidR="00CD016A">
        <w:t xml:space="preserve">a tal ponto que </w:t>
      </w:r>
      <w:r w:rsidR="009B3481">
        <w:t xml:space="preserve">até </w:t>
      </w:r>
      <w:r w:rsidR="001E5C1E">
        <w:t xml:space="preserve">a </w:t>
      </w:r>
      <w:r w:rsidR="00392D4F">
        <w:t xml:space="preserve">saudação </w:t>
      </w:r>
      <w:r w:rsidR="00392D4F" w:rsidRPr="006B11A5">
        <w:rPr>
          <w:i/>
        </w:rPr>
        <w:t>Heil Hitler!</w:t>
      </w:r>
      <w:r w:rsidR="00392D4F">
        <w:t xml:space="preserve"> </w:t>
      </w:r>
      <w:r w:rsidR="001E5C1E">
        <w:t xml:space="preserve">ficou interdita </w:t>
      </w:r>
      <w:r w:rsidR="00E102BD">
        <w:t xml:space="preserve">à </w:t>
      </w:r>
      <w:r w:rsidR="00392D4F">
        <w:t>população conquistada</w:t>
      </w:r>
      <w:r w:rsidR="00392D4F">
        <w:rPr>
          <w:rStyle w:val="Refdenotaderodap"/>
        </w:rPr>
        <w:footnoteReference w:id="273"/>
      </w:r>
      <w:r w:rsidR="00392D4F">
        <w:t xml:space="preserve">. </w:t>
      </w:r>
    </w:p>
    <w:p w:rsidR="00321E01" w:rsidRPr="003E305A" w:rsidRDefault="00321E01" w:rsidP="00321E01">
      <w:r w:rsidRPr="00945B1A">
        <w:t xml:space="preserve">Durante a guerra </w:t>
      </w:r>
      <w:r w:rsidR="00E236CD">
        <w:t>no</w:t>
      </w:r>
      <w:r w:rsidRPr="00945B1A">
        <w:t xml:space="preserve"> </w:t>
      </w:r>
      <w:r w:rsidR="00A4001C" w:rsidRPr="00945B1A">
        <w:t>Leste</w:t>
      </w:r>
      <w:r w:rsidRPr="00945B1A">
        <w:t>, um panfleto publicado pelo quartel-ge</w:t>
      </w:r>
      <w:r w:rsidR="00F36614">
        <w:t>ne</w:t>
      </w:r>
      <w:r w:rsidRPr="00945B1A">
        <w:t xml:space="preserve">ral SS </w:t>
      </w:r>
      <w:r>
        <w:t>explicou</w:t>
      </w:r>
      <w:r w:rsidRPr="00945B1A">
        <w:t xml:space="preserve">: </w:t>
      </w:r>
      <w:r>
        <w:t xml:space="preserve">«O sub-homem, essa criatura da natureza, com mãos, pés e uma espécie de cérebro, criatura que parece pertencer à espécie humana e, apesar disso, é completamente diferente. É uma criatura horrível, um rudimento de homem, com traços semelhantes aos dos humanos </w:t>
      </w:r>
      <w:r w:rsidR="00924A6D">
        <w:t>—</w:t>
      </w:r>
      <w:r>
        <w:t xml:space="preserve"> mas que pela alma se coloca abaixo do animal. No interior dessa criatura existe um caos de paixões selvagens, sem domínio de si mesmo; uma incrível vontade de destruição; os apetites mais primitivos; uma infâmia despudorada. Sub-homem e nada mais!... Nunca o sub-homem respeitou a paz, nunca acatou o sossego... Para se manter, precisa de lodaçais, do inferno e não do sol»</w:t>
      </w:r>
      <w:r>
        <w:rPr>
          <w:rStyle w:val="Refdenotaderodap"/>
        </w:rPr>
        <w:footnoteReference w:id="274"/>
      </w:r>
      <w:r>
        <w:t>. C</w:t>
      </w:r>
      <w:r w:rsidRPr="003E305A">
        <w:t>omo Goebbels confidenciou ao seu diário, os russos «não são gente, mas um amontoado de animais»</w:t>
      </w:r>
      <w:r w:rsidRPr="003E305A">
        <w:rPr>
          <w:rStyle w:val="Refdenotaderodap"/>
        </w:rPr>
        <w:footnoteReference w:id="275"/>
      </w:r>
      <w:r w:rsidRPr="003E305A">
        <w:t xml:space="preserve">. </w:t>
      </w:r>
    </w:p>
    <w:p w:rsidR="00CB3A68" w:rsidRDefault="00321E01" w:rsidP="00321E01">
      <w:r w:rsidRPr="003E305A">
        <w:t xml:space="preserve">Gregor Strasser e os seus adeptos, ecoando a política externa do nacional-bolchevismo, </w:t>
      </w:r>
      <w:r w:rsidR="00924A6D">
        <w:t xml:space="preserve">haviam </w:t>
      </w:r>
      <w:r w:rsidRPr="003E305A">
        <w:t>defend</w:t>
      </w:r>
      <w:r w:rsidR="00924A6D">
        <w:t>ido</w:t>
      </w:r>
      <w:r w:rsidRPr="003E305A">
        <w:t xml:space="preserve"> uma orientação diplomática favorável à União Soviética</w:t>
      </w:r>
      <w:r>
        <w:t xml:space="preserve"> e</w:t>
      </w:r>
      <w:r w:rsidR="004B6752">
        <w:t xml:space="preserve"> </w:t>
      </w:r>
      <w:r>
        <w:t xml:space="preserve">não </w:t>
      </w:r>
      <w:r w:rsidRPr="003E305A">
        <w:t>adoptar</w:t>
      </w:r>
      <w:r>
        <w:t>a</w:t>
      </w:r>
      <w:r w:rsidRPr="003E305A">
        <w:t>m uma atitude antieslava. Pelo contrário, os promotores do racismo nórdico postula</w:t>
      </w:r>
      <w:r>
        <w:t>r</w:t>
      </w:r>
      <w:r w:rsidRPr="003E305A">
        <w:t>am a inferioridade dos eslavos e deduzi</w:t>
      </w:r>
      <w:r>
        <w:t>r</w:t>
      </w:r>
      <w:r w:rsidRPr="003E305A">
        <w:t xml:space="preserve">am a partir daí a política exterior. </w:t>
      </w:r>
      <w:r w:rsidR="00924A6D" w:rsidRPr="003E305A">
        <w:t xml:space="preserve">Parece que até </w:t>
      </w:r>
      <w:r w:rsidR="00924A6D">
        <w:t xml:space="preserve">aos primeiros anos da década de 1920 </w:t>
      </w:r>
      <w:r w:rsidR="00924A6D" w:rsidRPr="003E305A">
        <w:t>Hitler teria aceitado a eventualidade de uma aliança com a Rússia</w:t>
      </w:r>
      <w:r w:rsidR="00924A6D">
        <w:t xml:space="preserve"> e que só a influência de Rosenberg e de outros bálticos o </w:t>
      </w:r>
      <w:r w:rsidR="00481BF7">
        <w:t>fizera</w:t>
      </w:r>
      <w:r w:rsidR="00924A6D">
        <w:t xml:space="preserve"> mudar de atitude</w:t>
      </w:r>
      <w:r w:rsidR="00924A6D">
        <w:rPr>
          <w:rStyle w:val="Refdenotaderodap"/>
        </w:rPr>
        <w:footnoteReference w:id="276"/>
      </w:r>
      <w:r w:rsidR="00924A6D">
        <w:t xml:space="preserve">. Seja como for, </w:t>
      </w:r>
      <w:r w:rsidR="00924A6D" w:rsidRPr="003E305A">
        <w:t xml:space="preserve">desde </w:t>
      </w:r>
      <w:r w:rsidRPr="003E305A">
        <w:t xml:space="preserve">cedo que uma estratégia antieslava, agressivamente expansionista, constituiu o objectivo central </w:t>
      </w:r>
      <w:r w:rsidRPr="003E305A">
        <w:lastRenderedPageBreak/>
        <w:t>de Hitler. Para is</w:t>
      </w:r>
      <w:r>
        <w:t>t</w:t>
      </w:r>
      <w:r w:rsidRPr="003E305A">
        <w:t xml:space="preserve">o </w:t>
      </w:r>
      <w:r w:rsidR="00924A6D">
        <w:t>s</w:t>
      </w:r>
      <w:r w:rsidRPr="003E305A">
        <w:t>er</w:t>
      </w:r>
      <w:r w:rsidR="00924A6D">
        <w:t>i</w:t>
      </w:r>
      <w:r w:rsidRPr="003E305A">
        <w:t xml:space="preserve">a necessário proteger a retaguarda, eliminando a França, cuja degenerescência racial </w:t>
      </w:r>
      <w:r w:rsidR="00924A6D">
        <w:t>era</w:t>
      </w:r>
      <w:r w:rsidRPr="003E305A">
        <w:t xml:space="preserve"> irrecuperável. Os franceses, preveni</w:t>
      </w:r>
      <w:r>
        <w:t>u</w:t>
      </w:r>
      <w:r w:rsidRPr="003E305A">
        <w:t xml:space="preserve"> </w:t>
      </w:r>
      <w:r w:rsidRPr="003E305A">
        <w:rPr>
          <w:i/>
        </w:rPr>
        <w:t>Mein Kampf,</w:t>
      </w:r>
      <w:r w:rsidRPr="003E305A">
        <w:t xml:space="preserve"> «que quanto ao essencial estão cada vez mais convertidos num povo de pretos, representam, devido às suas relações com os objectivos judaicos de domínio mundial, um perigo durável para a existência da raça branca na Europa»</w:t>
      </w:r>
      <w:r w:rsidRPr="003E305A">
        <w:rPr>
          <w:rStyle w:val="Refdenotaderodap"/>
        </w:rPr>
        <w:footnoteReference w:id="277"/>
      </w:r>
      <w:r w:rsidRPr="003E305A">
        <w:t>. O corolário da diplomacia antifrancesa seria uma dupla aliança, com a Itália, por ser um Estado fascista, e com a Grã-Bretanha, que estaria também interessada no esmagamento da França e, além disso, soubera preservar o sangue nórdico</w:t>
      </w:r>
      <w:r w:rsidRPr="003E305A">
        <w:rPr>
          <w:rStyle w:val="Refdenotaderodap"/>
        </w:rPr>
        <w:footnoteReference w:id="278"/>
      </w:r>
      <w:r w:rsidRPr="003E305A">
        <w:t>. Fazer a paz com os britânicos foi uma das preocupações principais do Führer a partir de Setembro de 1939 e nesta perspectiva a expedição de Rudolf Hess parece menos lunática</w:t>
      </w:r>
      <w:r w:rsidR="00840B12">
        <w:rPr>
          <w:rStyle w:val="Refdenotaderodap"/>
        </w:rPr>
        <w:footnoteReference w:id="279"/>
      </w:r>
      <w:r w:rsidRPr="003E305A">
        <w:t xml:space="preserve"> e afiguram-se menos </w:t>
      </w:r>
      <w:r w:rsidRPr="003E305A">
        <w:lastRenderedPageBreak/>
        <w:t>mirabolantes os contactos estabelecidos com o ex-monarca inglês, Eduardo, duque de Windsor</w:t>
      </w:r>
      <w:r w:rsidRPr="003E305A">
        <w:rPr>
          <w:rStyle w:val="Refdenotaderodap"/>
        </w:rPr>
        <w:footnoteReference w:id="280"/>
      </w:r>
      <w:r w:rsidRPr="003E305A">
        <w:t xml:space="preserve">. Mas toda a actividade diplomática e bélica a </w:t>
      </w:r>
      <w:r w:rsidR="00A60C54" w:rsidRPr="003E305A">
        <w:t xml:space="preserve">Ocidente </w:t>
      </w:r>
      <w:r w:rsidRPr="003E305A">
        <w:t xml:space="preserve">destinar-se-ia apenas a permitir as conquistas territoriais no </w:t>
      </w:r>
      <w:r w:rsidR="009F6645" w:rsidRPr="003E305A">
        <w:t>Leste</w:t>
      </w:r>
      <w:r w:rsidRPr="003E305A">
        <w:t xml:space="preserve">, a expensas dos eslavos e nomeadamente da Polónia e da Rússia. Hitler pretendia que os únicos resultados positivos da política externa germânica durante mil anos haviam consistido </w:t>
      </w:r>
      <w:r w:rsidR="00E236CD">
        <w:t xml:space="preserve">no avanço </w:t>
      </w:r>
      <w:r w:rsidRPr="003E305A">
        <w:t xml:space="preserve">para </w:t>
      </w:r>
      <w:r w:rsidR="009F6645" w:rsidRPr="003E305A">
        <w:t>Leste</w:t>
      </w:r>
      <w:r w:rsidRPr="003E305A">
        <w:t xml:space="preserve">, e a preservação da raça nórdica exigia que se </w:t>
      </w:r>
      <w:r w:rsidR="00E236CD">
        <w:t>prosseguisse</w:t>
      </w:r>
      <w:r w:rsidRPr="003E305A">
        <w:t xml:space="preserve"> de novo na mesma direcção e se ocupassem espaços ainda mais amplos</w:t>
      </w:r>
      <w:r w:rsidRPr="003E305A">
        <w:rPr>
          <w:rStyle w:val="Refdenotaderodap"/>
        </w:rPr>
        <w:footnoteReference w:id="281"/>
      </w:r>
      <w:r w:rsidRPr="003E305A">
        <w:t xml:space="preserve">. «Talvez eu não possa evitar a aliança com a Rússia», </w:t>
      </w:r>
      <w:r>
        <w:t xml:space="preserve">teria </w:t>
      </w:r>
      <w:r w:rsidR="008B329E">
        <w:t>o Führer</w:t>
      </w:r>
      <w:r>
        <w:t xml:space="preserve"> </w:t>
      </w:r>
      <w:r w:rsidRPr="003E305A">
        <w:t>confidencia</w:t>
      </w:r>
      <w:r>
        <w:t>do</w:t>
      </w:r>
      <w:r w:rsidRPr="003E305A">
        <w:t xml:space="preserve"> em 1934. «Mas reservo esta possibilidade como o meu último trunfo. [...] E se algum dia jogar a cartada russa, nada me impedirá de mudar mais uma vez de posições e de a atacar logo que tiver atingido os meus objectivos no Ocidente. [...] A nossa missão é impedir que a estepe russa alastre pela Europa. Nada poderá impedir o combate decisivo entre o espírito alemão e o espírito pan-eslavista, entre a raça e a massa. [...] É necessário que a hierarquia dos senhores subjugue a multiplicidade dos escravos»</w:t>
      </w:r>
      <w:r w:rsidRPr="003E305A">
        <w:rPr>
          <w:rStyle w:val="Refdenotaderodap"/>
        </w:rPr>
        <w:footnoteReference w:id="282"/>
      </w:r>
      <w:r w:rsidRPr="003E305A">
        <w:t xml:space="preserve">. </w:t>
      </w:r>
      <w:r w:rsidR="008B329E" w:rsidRPr="003E305A">
        <w:t xml:space="preserve">Em 11 de Agosto de 1939, enquanto Ribbentrop e Molotov se afadigavam a negociar os tratados que </w:t>
      </w:r>
      <w:r w:rsidR="008B329E">
        <w:t xml:space="preserve">dentro de poucos dias </w:t>
      </w:r>
      <w:r w:rsidR="008B329E" w:rsidRPr="003E305A">
        <w:t xml:space="preserve">iriam ser assinados, </w:t>
      </w:r>
      <w:r w:rsidR="008B329E">
        <w:t>o Führer</w:t>
      </w:r>
      <w:r w:rsidR="008B329E" w:rsidRPr="003E305A">
        <w:t xml:space="preserve"> declar</w:t>
      </w:r>
      <w:r w:rsidR="008B329E">
        <w:t>ou</w:t>
      </w:r>
      <w:r w:rsidR="008B329E" w:rsidRPr="003E305A">
        <w:t xml:space="preserve"> a um representante da Sociedade das Nações: «Todas as minhas acções se dirigem </w:t>
      </w:r>
      <w:r w:rsidR="008B329E" w:rsidRPr="003E305A">
        <w:lastRenderedPageBreak/>
        <w:t>contra a Rússia. Se o Ocidente for demasiado obtuso e demasiado cego para compreendê-lo, ver-me-ei obrigado a chegar a um acordo com os russos, a vencer o Ocidente e, depois de o ter derrotado, a virar-me com todas as forças contra a União Soviética»</w:t>
      </w:r>
      <w:r w:rsidR="008B329E" w:rsidRPr="003E305A">
        <w:rPr>
          <w:rStyle w:val="Refdenotaderodap"/>
        </w:rPr>
        <w:footnoteReference w:id="283"/>
      </w:r>
      <w:r w:rsidR="008B329E" w:rsidRPr="003E305A">
        <w:t xml:space="preserve">. </w:t>
      </w:r>
      <w:r w:rsidR="008B329E">
        <w:t xml:space="preserve">E em </w:t>
      </w:r>
      <w:r w:rsidR="00302C3A">
        <w:t xml:space="preserve">23 de </w:t>
      </w:r>
      <w:r w:rsidR="00F2522B">
        <w:t xml:space="preserve">Novembro </w:t>
      </w:r>
      <w:r w:rsidR="008B329E">
        <w:t>desse ano</w:t>
      </w:r>
      <w:r w:rsidR="00F2522B">
        <w:t xml:space="preserve">, num discurso perante duzentas altas patentes das forças armadas, </w:t>
      </w:r>
      <w:r w:rsidR="00CB3A68">
        <w:t xml:space="preserve">o Führer </w:t>
      </w:r>
      <w:r w:rsidR="00F2522B">
        <w:t xml:space="preserve">afirmou que quando destroçara a Checoslováquia e estabelecera o Protectorado da Boémia e Morávia ainda não decidira se </w:t>
      </w:r>
      <w:r w:rsidR="00BD5F15">
        <w:t xml:space="preserve">em seguida </w:t>
      </w:r>
      <w:r w:rsidR="00F2522B">
        <w:t xml:space="preserve">atacaria primeiro a leste </w:t>
      </w:r>
      <w:r w:rsidR="00D82921">
        <w:t xml:space="preserve">e depois </w:t>
      </w:r>
      <w:r w:rsidR="00F2522B">
        <w:t>a oeste</w:t>
      </w:r>
      <w:r w:rsidR="00D82921">
        <w:t xml:space="preserve"> ou inversamente</w:t>
      </w:r>
      <w:r w:rsidR="00D82921">
        <w:rPr>
          <w:rStyle w:val="Refdenotaderodap"/>
        </w:rPr>
        <w:footnoteReference w:id="284"/>
      </w:r>
      <w:r w:rsidR="00F2522B">
        <w:t xml:space="preserve">. </w:t>
      </w:r>
      <w:r w:rsidRPr="003E305A">
        <w:t xml:space="preserve">O programa da guerra encontrava-se </w:t>
      </w:r>
      <w:r w:rsidR="00775EB9" w:rsidRPr="003E305A">
        <w:t xml:space="preserve">enunciado </w:t>
      </w:r>
      <w:r w:rsidR="00F82562">
        <w:t xml:space="preserve">desde há muito </w:t>
      </w:r>
      <w:r w:rsidRPr="003E305A">
        <w:t xml:space="preserve">e a aliança com os soviéticos, em vez de indicar qualquer oscilação da estratégia de Hitler, constituiu um passo táctico indispensável ao prosseguimento do seu objectivo último, a expansão para </w:t>
      </w:r>
      <w:r w:rsidR="009F6645" w:rsidRPr="003E305A">
        <w:t>Leste</w:t>
      </w:r>
      <w:r w:rsidRPr="003E305A">
        <w:rPr>
          <w:rStyle w:val="Refdenotaderodap"/>
        </w:rPr>
        <w:footnoteReference w:id="285"/>
      </w:r>
      <w:r w:rsidRPr="003E305A">
        <w:t xml:space="preserve">. </w:t>
      </w:r>
    </w:p>
    <w:p w:rsidR="00321E01" w:rsidRDefault="00877A14" w:rsidP="00321E01">
      <w:r>
        <w:t xml:space="preserve">Mal haviam passado dez </w:t>
      </w:r>
      <w:r w:rsidR="0055402F">
        <w:t xml:space="preserve">dias </w:t>
      </w:r>
      <w:r>
        <w:t xml:space="preserve">sobre </w:t>
      </w:r>
      <w:r w:rsidR="0055402F">
        <w:t xml:space="preserve">o início da campanha contra a Polónia, o Führer convocou alguns dos principais comandos militares e preveniu-os de que «nenhum tratado ou pacto pode garantir de maneira segura uma neutralidade duradoura da </w:t>
      </w:r>
      <w:r w:rsidR="00E46E6B">
        <w:t>Rússia</w:t>
      </w:r>
      <w:r w:rsidR="0055402F">
        <w:t xml:space="preserve"> </w:t>
      </w:r>
      <w:r w:rsidR="00E46E6B">
        <w:t>soviética</w:t>
      </w:r>
      <w:r w:rsidR="0055402F">
        <w:t>»</w:t>
      </w:r>
      <w:r>
        <w:rPr>
          <w:rStyle w:val="Refdenotaderodap"/>
        </w:rPr>
        <w:footnoteReference w:id="286"/>
      </w:r>
      <w:r w:rsidR="0055402F">
        <w:t xml:space="preserve">. </w:t>
      </w:r>
      <w:r w:rsidR="004E29C7">
        <w:t xml:space="preserve">Em </w:t>
      </w:r>
      <w:r w:rsidR="00BD395D">
        <w:t xml:space="preserve">21 </w:t>
      </w:r>
      <w:r w:rsidR="005225D4">
        <w:t>de Outubro de 19</w:t>
      </w:r>
      <w:r w:rsidR="00BD395D">
        <w:t>3</w:t>
      </w:r>
      <w:r w:rsidR="005225D4">
        <w:t>9, num discurso secreto proferi</w:t>
      </w:r>
      <w:r w:rsidR="00BD395D">
        <w:t>do</w:t>
      </w:r>
      <w:r w:rsidR="005225D4">
        <w:t xml:space="preserve"> perante altos dirigentes do NSDAP, Hitler explicou que depois de ter derrotado a França e a Grã-Bretanha se voltaria contra a Rússia</w:t>
      </w:r>
      <w:r w:rsidR="00A03DEB">
        <w:rPr>
          <w:rStyle w:val="Refdenotaderodap"/>
        </w:rPr>
        <w:footnoteReference w:id="287"/>
      </w:r>
      <w:r w:rsidR="00302C3A">
        <w:t>.</w:t>
      </w:r>
      <w:r w:rsidR="004E29C7">
        <w:t xml:space="preserve"> </w:t>
      </w:r>
      <w:r w:rsidR="00302C3A">
        <w:t xml:space="preserve">«Só nos poderemos opor à Rússia quando tivermos as mãos livres a ocidente», </w:t>
      </w:r>
      <w:r w:rsidR="00A233C3">
        <w:t>disse</w:t>
      </w:r>
      <w:r w:rsidR="00302C3A">
        <w:t xml:space="preserve"> o Führer no referido discurso às duzentas altas patentes em 23 de Novembro de 1939</w:t>
      </w:r>
      <w:r w:rsidR="00CE72FB">
        <w:rPr>
          <w:rStyle w:val="Refdenotaderodap"/>
        </w:rPr>
        <w:footnoteReference w:id="288"/>
      </w:r>
      <w:r w:rsidR="00CE72FB">
        <w:t>,</w:t>
      </w:r>
      <w:r w:rsidR="00302C3A">
        <w:t xml:space="preserve"> </w:t>
      </w:r>
      <w:r w:rsidR="004E29C7">
        <w:t xml:space="preserve">e logo após a evaquação de Dunkerque, quando julgava que a Grã-Bretanha estava compelida a negociar a paz, </w:t>
      </w:r>
      <w:r w:rsidR="007E3753">
        <w:t xml:space="preserve">ele declarou ao </w:t>
      </w:r>
      <w:r w:rsidR="00886F16">
        <w:t xml:space="preserve">ainda </w:t>
      </w:r>
      <w:r w:rsidR="007E3753">
        <w:t>general von Rundstedt que podia preparar-se para «ajustar contas com o bolchevismo»</w:t>
      </w:r>
      <w:r w:rsidR="00DE781F">
        <w:rPr>
          <w:rStyle w:val="Refdenotaderodap"/>
        </w:rPr>
        <w:footnoteReference w:id="289"/>
      </w:r>
      <w:r w:rsidR="007E3753">
        <w:t xml:space="preserve">. </w:t>
      </w:r>
      <w:r w:rsidR="00321E01" w:rsidRPr="003E305A">
        <w:t xml:space="preserve">Tanto nas suas manobras diplomáticas como na estratégia guerreira, o eixo da política externa hitleriana teve uma inquebrantável consistência. </w:t>
      </w:r>
      <w:r w:rsidR="00321E01" w:rsidRPr="003E305A">
        <w:lastRenderedPageBreak/>
        <w:t xml:space="preserve">«[...] a conquista da Rússia, o extermínio dos eslavos, a colonização do </w:t>
      </w:r>
      <w:r w:rsidR="009F6645" w:rsidRPr="003E305A">
        <w:t>Leste</w:t>
      </w:r>
      <w:r w:rsidR="00321E01" w:rsidRPr="003E305A">
        <w:t xml:space="preserve"> </w:t>
      </w:r>
      <w:r w:rsidR="004F15C5">
        <w:t>—</w:t>
      </w:r>
      <w:r w:rsidR="00321E01" w:rsidRPr="003E305A">
        <w:t xml:space="preserve"> era esta a verdadeira mensagem do nazismo», resum</w:t>
      </w:r>
      <w:r w:rsidR="00321E01">
        <w:t>iu</w:t>
      </w:r>
      <w:r w:rsidR="00321E01" w:rsidRPr="003E305A">
        <w:t xml:space="preserve"> um historiador. «É essencial recordar o significado fundamentalmente anti-russo do nacional-socialismo. O racismo quer dizer a supremacia dos alemães sobre os eslavos, [...] o princípio da “raça dos senhores” exige a escravização da população eslava sobrevivente»</w:t>
      </w:r>
      <w:r w:rsidR="00321E01" w:rsidRPr="003E305A">
        <w:rPr>
          <w:rStyle w:val="Refdenotaderodap"/>
        </w:rPr>
        <w:footnoteReference w:id="290"/>
      </w:r>
      <w:r w:rsidR="00321E01" w:rsidRPr="003E305A">
        <w:t xml:space="preserve">. </w:t>
      </w:r>
      <w:r w:rsidR="00FE1602">
        <w:t xml:space="preserve">E outro historiador observou que «a noção de </w:t>
      </w:r>
      <w:r w:rsidR="00FE1602" w:rsidRPr="00E50EAC">
        <w:rPr>
          <w:i/>
        </w:rPr>
        <w:t>Rassenkampf,</w:t>
      </w:r>
      <w:r w:rsidR="00FE1602">
        <w:t xml:space="preserve"> ou “guerra racial”, deu à campanha na Rússia um carácter sem precedentes»</w:t>
      </w:r>
      <w:r w:rsidR="004A0961">
        <w:rPr>
          <w:rStyle w:val="Refdenotaderodap"/>
        </w:rPr>
        <w:footnoteReference w:id="291"/>
      </w:r>
      <w:r w:rsidR="00FE1602">
        <w:t xml:space="preserve">. </w:t>
      </w:r>
      <w:r w:rsidR="00153F06">
        <w:t>Tratava-se, dissera o Führer a</w:t>
      </w:r>
      <w:r w:rsidR="008E582C">
        <w:t>o</w:t>
      </w:r>
      <w:r w:rsidR="00153F06">
        <w:t xml:space="preserve"> </w:t>
      </w:r>
      <w:r w:rsidR="008E582C">
        <w:t xml:space="preserve">chefe do </w:t>
      </w:r>
      <w:r w:rsidR="00D97C92">
        <w:t>Supremo</w:t>
      </w:r>
      <w:r w:rsidR="00346863">
        <w:t xml:space="preserve"> </w:t>
      </w:r>
      <w:r w:rsidR="008E582C">
        <w:t xml:space="preserve">Comando da Wehrmacht, marechal </w:t>
      </w:r>
      <w:r w:rsidR="00153F06">
        <w:t>Keitel</w:t>
      </w:r>
      <w:r w:rsidR="008E582C">
        <w:t>,</w:t>
      </w:r>
      <w:r w:rsidR="00153F06">
        <w:t xml:space="preserve"> em Outubro de 1939</w:t>
      </w:r>
      <w:r w:rsidR="008C23F0">
        <w:t>,</w:t>
      </w:r>
      <w:r w:rsidR="00153F06">
        <w:t xml:space="preserve"> a respeito da ocupação da Polónia, de «uma dura luta étnica, que não permite nenhumas restrições legais»</w:t>
      </w:r>
      <w:r w:rsidR="00065240">
        <w:rPr>
          <w:rStyle w:val="Refdenotaderodap"/>
        </w:rPr>
        <w:footnoteReference w:id="292"/>
      </w:r>
      <w:r w:rsidR="00153F06">
        <w:t xml:space="preserve">. </w:t>
      </w:r>
    </w:p>
    <w:p w:rsidR="00577C74" w:rsidRPr="00577C74" w:rsidRDefault="00577C74" w:rsidP="00577C74">
      <w:r w:rsidRPr="00577C74">
        <w:t xml:space="preserve">A impreparação logística com que a Wehrmacht se lançou </w:t>
      </w:r>
      <w:r w:rsidR="00E54994">
        <w:t xml:space="preserve">contra a </w:t>
      </w:r>
      <w:r w:rsidRPr="00577C74">
        <w:t xml:space="preserve">União Soviética, que numerosos autores atribuem às deficiências do Führer enquanto estratega e </w:t>
      </w:r>
      <w:r w:rsidR="00E54994">
        <w:t xml:space="preserve">à sua ignorância </w:t>
      </w:r>
      <w:r w:rsidRPr="00577C74">
        <w:t xml:space="preserve">de certas exigências práticas, deveu-se </w:t>
      </w:r>
      <w:r w:rsidR="00E54994">
        <w:t xml:space="preserve">apenas </w:t>
      </w:r>
      <w:r w:rsidRPr="00577C74">
        <w:t xml:space="preserve">a uma mitologia racial que supunha que os </w:t>
      </w:r>
      <w:r w:rsidRPr="00577C74">
        <w:rPr>
          <w:i/>
        </w:rPr>
        <w:t>Untermenschen</w:t>
      </w:r>
      <w:r w:rsidRPr="00577C74">
        <w:t xml:space="preserve"> seriam incapazes de resistir</w:t>
      </w:r>
      <w:r w:rsidR="001A02A4">
        <w:rPr>
          <w:rStyle w:val="Refdenotaderodap"/>
        </w:rPr>
        <w:footnoteReference w:id="293"/>
      </w:r>
      <w:r w:rsidRPr="00577C74">
        <w:t>. «Os russos haviam sido relegados para o nível de um povo inferior e impotente», observou um historiador, «cujo exército reflectiria as suas incapacidades»</w:t>
      </w:r>
      <w:r w:rsidRPr="00577C74">
        <w:rPr>
          <w:vertAlign w:val="superscript"/>
        </w:rPr>
        <w:footnoteReference w:id="294"/>
      </w:r>
      <w:r w:rsidRPr="00577C74">
        <w:t>. Ora, Hitler estudara a obra de Clausewitz</w:t>
      </w:r>
      <w:r w:rsidRPr="00577C74">
        <w:rPr>
          <w:vertAlign w:val="superscript"/>
        </w:rPr>
        <w:footnoteReference w:id="295"/>
      </w:r>
      <w:r w:rsidRPr="00577C74">
        <w:t xml:space="preserve"> e devia saber, portanto, que estrategicamente «a defesa é uma forma de luta mais forte do que o ataque»</w:t>
      </w:r>
      <w:r w:rsidRPr="00577C74">
        <w:rPr>
          <w:vertAlign w:val="superscript"/>
        </w:rPr>
        <w:footnoteReference w:id="296"/>
      </w:r>
      <w:r w:rsidRPr="00577C74">
        <w:t xml:space="preserve">, mesmo </w:t>
      </w:r>
      <w:r w:rsidRPr="00577C74">
        <w:rPr>
          <w:i/>
        </w:rPr>
        <w:t>«intrinsecamente mais forte»</w:t>
      </w:r>
      <w:r w:rsidRPr="00577C74">
        <w:rPr>
          <w:vertAlign w:val="superscript"/>
        </w:rPr>
        <w:footnoteReference w:id="297"/>
      </w:r>
      <w:r w:rsidRPr="00577C74">
        <w:t>, assim como não ignorava que um avanço rápido num percurso longo dificulta o abastecimento das forças atacantes e torna vulneráveis as suas linhas de comunicação</w:t>
      </w:r>
      <w:r w:rsidRPr="00577C74">
        <w:rPr>
          <w:vertAlign w:val="superscript"/>
        </w:rPr>
        <w:footnoteReference w:id="298"/>
      </w:r>
      <w:r w:rsidRPr="00577C74">
        <w:t>. Apesar dis</w:t>
      </w:r>
      <w:r w:rsidR="00482249">
        <w:t>t</w:t>
      </w:r>
      <w:r w:rsidRPr="00577C74">
        <w:t>o, na campanha contra a União Soviética ele agiu da maneira contrária, tanto mais que Clausewitz explicara que, se a defensiva é vantajosa para quem está na defesa, para quem está no ataque ela é um mal necessário</w:t>
      </w:r>
      <w:r w:rsidRPr="00577C74">
        <w:rPr>
          <w:vertAlign w:val="superscript"/>
        </w:rPr>
        <w:footnoteReference w:id="299"/>
      </w:r>
      <w:r w:rsidRPr="00577C74">
        <w:t xml:space="preserve">. «Clausewitz encontrou </w:t>
      </w:r>
      <w:r w:rsidRPr="00577C74">
        <w:lastRenderedPageBreak/>
        <w:t>confirmação nos acontecimentos de 1941-4, numa escala que ele mal teria podido sonhar», comentou um especialista</w:t>
      </w:r>
      <w:r w:rsidRPr="00577C74">
        <w:rPr>
          <w:vertAlign w:val="superscript"/>
        </w:rPr>
        <w:footnoteReference w:id="300"/>
      </w:r>
      <w:r w:rsidRPr="00577C74">
        <w:t>. Todavia, Hitler foi inteiramente fiel ao preceito de Clausewitz de que a guerra é «uma continuação das relações políticas, prosseguida por outros meios»</w:t>
      </w:r>
      <w:r w:rsidRPr="00577C74">
        <w:rPr>
          <w:vertAlign w:val="superscript"/>
        </w:rPr>
        <w:footnoteReference w:id="301"/>
      </w:r>
      <w:r w:rsidRPr="00577C74">
        <w:t>, ela «é apenas um ramo da actividade política» e «em nenhum sentido ela é autónoma»</w:t>
      </w:r>
      <w:r w:rsidRPr="00577C74">
        <w:rPr>
          <w:vertAlign w:val="superscript"/>
        </w:rPr>
        <w:footnoteReference w:id="302"/>
      </w:r>
      <w:r w:rsidRPr="00577C74">
        <w:t xml:space="preserve">. </w:t>
      </w:r>
      <w:r w:rsidR="00F22E92">
        <w:t>Mas a fidelidade a es</w:t>
      </w:r>
      <w:r w:rsidR="00E54994">
        <w:t>t</w:t>
      </w:r>
      <w:r w:rsidR="00F22E92">
        <w:t xml:space="preserve">e preceito </w:t>
      </w:r>
      <w:r w:rsidR="0057785D">
        <w:t>implicou</w:t>
      </w:r>
      <w:r w:rsidR="00F22E92">
        <w:t xml:space="preserve"> a catástrofe, porque </w:t>
      </w:r>
      <w:r w:rsidRPr="00577C74">
        <w:t xml:space="preserve">a Wehrmacht foi encarregada de executar no seu plano próprio a mesma política racista que antes fora prosseguida só no plano político. Assim, os erros funestos que </w:t>
      </w:r>
      <w:r w:rsidR="00F22E92">
        <w:t>se repetiram</w:t>
      </w:r>
      <w:r w:rsidR="00684611">
        <w:t xml:space="preserve"> até </w:t>
      </w:r>
      <w:r w:rsidR="00F22E92">
        <w:t xml:space="preserve">ao colapso </w:t>
      </w:r>
      <w:r w:rsidRPr="00577C74">
        <w:t>final não se deveram a falhas na estratégia militar mas à falta de fundamento do pressuposto básico da política do Terceiro Reich</w:t>
      </w:r>
      <w:r w:rsidR="00F22E92">
        <w:t xml:space="preserve">, de que o inimigo do Leste </w:t>
      </w:r>
      <w:r w:rsidR="00E52F92">
        <w:t>s</w:t>
      </w:r>
      <w:r w:rsidR="00F22E92">
        <w:t>er</w:t>
      </w:r>
      <w:r w:rsidR="00E52F92">
        <w:t>i</w:t>
      </w:r>
      <w:r w:rsidR="00F22E92">
        <w:t>a sub-humano</w:t>
      </w:r>
      <w:r w:rsidRPr="00577C74">
        <w:t xml:space="preserve">. </w:t>
      </w:r>
      <w:r w:rsidR="00F22E92" w:rsidRPr="00577C74">
        <w:t xml:space="preserve">Ainda </w:t>
      </w:r>
      <w:r w:rsidRPr="00577C74">
        <w:t>aqui Clausewitz teve razão quando indicou, referindo-se aos russos em 1812, que «frequentemente se atinge a máxima força no coração do próprio país, quando fica esgotado o poder ofensivo do inimigo e a defensiva pode então converter-se, com enorme energia, numa ofensiva»</w:t>
      </w:r>
      <w:r w:rsidRPr="00577C74">
        <w:rPr>
          <w:vertAlign w:val="superscript"/>
        </w:rPr>
        <w:footnoteReference w:id="303"/>
      </w:r>
      <w:r w:rsidRPr="00577C74">
        <w:t>.</w:t>
      </w:r>
      <w:r w:rsidR="00A02B6B">
        <w:t xml:space="preserve"> </w:t>
      </w:r>
    </w:p>
    <w:p w:rsidR="00E2183A" w:rsidRDefault="00A02B6B" w:rsidP="00321E01">
      <w:r w:rsidRPr="00A02B6B">
        <w:t xml:space="preserve">A facilidade com que a </w:t>
      </w:r>
      <w:r w:rsidRPr="00A02B6B">
        <w:rPr>
          <w:i/>
        </w:rPr>
        <w:t>Blitzkrieg</w:t>
      </w:r>
      <w:r w:rsidRPr="00A02B6B">
        <w:t xml:space="preserve"> dera cabo das forças armadas polacas serviu a Hitler como uma confirmação suplementar dos seus preconceitos antieslavos</w:t>
      </w:r>
      <w:r w:rsidR="00161F3E">
        <w:t>.</w:t>
      </w:r>
      <w:r w:rsidRPr="00A02B6B">
        <w:t xml:space="preserve"> </w:t>
      </w:r>
      <w:r w:rsidR="00161F3E">
        <w:t xml:space="preserve">A directiva de 18 de Dezembro de 1940, incluída no conjunto de medidas preparatórias do ataque contra a União Soviética, previa que se tratasse de </w:t>
      </w:r>
      <w:r w:rsidR="00FE6249">
        <w:t>«</w:t>
      </w:r>
      <w:r w:rsidR="00161F3E">
        <w:t>uma campanha rápida»</w:t>
      </w:r>
      <w:r w:rsidR="00161F3E">
        <w:rPr>
          <w:rStyle w:val="Refdenotaderodap"/>
        </w:rPr>
        <w:footnoteReference w:id="304"/>
      </w:r>
      <w:r w:rsidR="00161F3E">
        <w:t xml:space="preserve"> </w:t>
      </w:r>
      <w:r w:rsidRPr="00A02B6B">
        <w:t xml:space="preserve">e no próprio dia em que </w:t>
      </w:r>
      <w:r w:rsidR="00161F3E">
        <w:t>def</w:t>
      </w:r>
      <w:r w:rsidR="00FE6249">
        <w:t>l</w:t>
      </w:r>
      <w:r w:rsidR="00161F3E">
        <w:t xml:space="preserve">agraram as hostilidades </w:t>
      </w:r>
      <w:r w:rsidRPr="00A02B6B">
        <w:t>Goebbels declarou aos seus subordinados do Ministério da Propaganda: «O Führer diz que isto só há-de durar quatro meses. Mas agora eu digo-vos: só há-de durar oito semanas. Porque na mesma medida em que o conteúdo íntimo do nacional-socialismo é muito superior ao do comunismo, ele também demonstrará a sua superioridade no campo de batalha no mais breve prazo possível»</w:t>
      </w:r>
      <w:r w:rsidRPr="00A02B6B">
        <w:rPr>
          <w:vertAlign w:val="superscript"/>
          <w:lang w:val="en-US"/>
        </w:rPr>
        <w:footnoteReference w:id="305"/>
      </w:r>
      <w:r w:rsidRPr="00A02B6B">
        <w:t xml:space="preserve">. </w:t>
      </w:r>
      <w:r w:rsidR="00E7037D">
        <w:t>Com efeito, pouco antes do começo do Inverno de 1941 foram dadas ordens para diminuir a produção de bens militares, já que se esperava o colapso iminente do Exército Vermelho</w:t>
      </w:r>
      <w:r w:rsidR="00E7037D">
        <w:rPr>
          <w:rStyle w:val="Refdenotaderodap"/>
        </w:rPr>
        <w:footnoteReference w:id="306"/>
      </w:r>
      <w:r w:rsidR="00E7037D">
        <w:t xml:space="preserve">. </w:t>
      </w:r>
      <w:r w:rsidRPr="00A02B6B">
        <w:t xml:space="preserve">Mas </w:t>
      </w:r>
      <w:r w:rsidR="00FC4C03">
        <w:t>a</w:t>
      </w:r>
      <w:r w:rsidR="00E7037D">
        <w:t xml:space="preserve">s forças armadas </w:t>
      </w:r>
      <w:r w:rsidRPr="00A02B6B">
        <w:t>da Polónia estivera</w:t>
      </w:r>
      <w:r w:rsidR="00E7037D">
        <w:t>m</w:t>
      </w:r>
      <w:r w:rsidRPr="00A02B6B">
        <w:t xml:space="preserve"> vocacionad</w:t>
      </w:r>
      <w:r w:rsidR="00E7037D">
        <w:t>as</w:t>
      </w:r>
      <w:r w:rsidRPr="00A02B6B">
        <w:t xml:space="preserve"> para a repressão interna e não para a guerra contra inimigos exteriores e o regime político </w:t>
      </w:r>
      <w:r w:rsidR="00E7037D">
        <w:t xml:space="preserve">daquele país </w:t>
      </w:r>
      <w:r w:rsidRPr="00A02B6B">
        <w:t>fora minado por contradições muito profundas, o que não sucedia na União Soviética. Uma campanha militar concebida para aniquilar a sub-humanidade deparou, afinal, com seres verdadeiramente humanos</w:t>
      </w:r>
      <w:r w:rsidR="00E4614B">
        <w:t xml:space="preserve">, que em vez de serem incapazes </w:t>
      </w:r>
      <w:r w:rsidR="00E4614B" w:rsidRPr="003E305A">
        <w:t>de se organizar na forma de Estados</w:t>
      </w:r>
      <w:r w:rsidR="00E4614B">
        <w:t xml:space="preserve"> estavam enquadrados por um poder político mais centralizado e </w:t>
      </w:r>
      <w:r w:rsidR="00E4614B">
        <w:lastRenderedPageBreak/>
        <w:t>com maior capacidade de planificação do que o Terceiro Reich</w:t>
      </w:r>
      <w:r w:rsidR="00D91F7F">
        <w:t>, conseguindo uma maior quantidade de produção bélica e com qualidade superior</w:t>
      </w:r>
      <w:r w:rsidR="00975CCF">
        <w:rPr>
          <w:rStyle w:val="Refdenotaderodap"/>
        </w:rPr>
        <w:footnoteReference w:id="307"/>
      </w:r>
      <w:r w:rsidR="00E4614B">
        <w:t xml:space="preserve">. </w:t>
      </w:r>
      <w:r w:rsidRPr="00A02B6B">
        <w:t>«A força decrescente do ataque», prevenira Clausewitz, «é uma das principais preocupações do estratega»</w:t>
      </w:r>
      <w:r w:rsidRPr="00A02B6B">
        <w:rPr>
          <w:vertAlign w:val="superscript"/>
        </w:rPr>
        <w:footnoteReference w:id="308"/>
      </w:r>
      <w:r w:rsidRPr="00A02B6B">
        <w:t xml:space="preserve">. Travado o ímpeto </w:t>
      </w:r>
      <w:r w:rsidR="00C86821">
        <w:t>inicial</w:t>
      </w:r>
      <w:r w:rsidRPr="00A02B6B">
        <w:t>, quanto mais a guerra se prolongasse, mais o tempo correria a favor da defesa</w:t>
      </w:r>
      <w:r w:rsidRPr="00A02B6B">
        <w:rPr>
          <w:vertAlign w:val="superscript"/>
        </w:rPr>
        <w:footnoteReference w:id="309"/>
      </w:r>
      <w:r w:rsidRPr="00A02B6B">
        <w:t>, ou seja, a favor do lado que já detinha a superioridade estratégica. «O tempo», escreveu ele, «é menos favorável ao vencedor do que ao vencido»</w:t>
      </w:r>
      <w:r w:rsidRPr="00A02B6B">
        <w:rPr>
          <w:vertAlign w:val="superscript"/>
        </w:rPr>
        <w:footnoteReference w:id="310"/>
      </w:r>
      <w:r w:rsidRPr="00A02B6B">
        <w:t xml:space="preserve">. Logo no Inverno de 1941 os generais </w:t>
      </w:r>
      <w:r w:rsidR="00BF4B79">
        <w:t>do Reich</w:t>
      </w:r>
      <w:r w:rsidRPr="00A02B6B">
        <w:t xml:space="preserve"> compreenderam aquilo que um ano mais tarde, após o cerco do Sexto Exército frente a Stalingrado, ficaria claro para todos, excepto os que não quisessem ver</w:t>
      </w:r>
      <w:r w:rsidR="000C72AE">
        <w:rPr>
          <w:rStyle w:val="Refdenotaderodap"/>
        </w:rPr>
        <w:footnoteReference w:id="311"/>
      </w:r>
      <w:r w:rsidRPr="00A02B6B">
        <w:t xml:space="preserve">. </w:t>
      </w:r>
      <w:r w:rsidR="00CC413D">
        <w:t>Numa carta enviada à família em Dezembro de 1941 um general alemão escrev</w:t>
      </w:r>
      <w:r w:rsidR="00BF4B79">
        <w:t>eu</w:t>
      </w:r>
      <w:r w:rsidR="00CC413D">
        <w:t xml:space="preserve"> que «estamos aqui a lutar pura e simplesmente pela nossa vida, em cada dia e a cada hora, contra um inimigo que em todos os aspectos é muito superior»</w:t>
      </w:r>
      <w:r w:rsidR="00CC413D">
        <w:rPr>
          <w:rStyle w:val="Refdenotaderodap"/>
        </w:rPr>
        <w:footnoteReference w:id="312"/>
      </w:r>
      <w:r w:rsidR="00CC413D">
        <w:t xml:space="preserve">. </w:t>
      </w:r>
      <w:r w:rsidR="00BF4B79">
        <w:t>J</w:t>
      </w:r>
      <w:r w:rsidRPr="00A02B6B">
        <w:t xml:space="preserve">á em 6 de Agosto </w:t>
      </w:r>
      <w:r w:rsidR="00BF4B79">
        <w:t xml:space="preserve">de 1941 </w:t>
      </w:r>
      <w:r w:rsidR="003946F1">
        <w:t>um relatório do Serviço de Segurança dos SS de Leipzig inform</w:t>
      </w:r>
      <w:r w:rsidR="002534BD">
        <w:t>ara</w:t>
      </w:r>
      <w:r w:rsidR="003946F1">
        <w:t xml:space="preserve"> que a população não contava que a resistência militar soviética fosse tão </w:t>
      </w:r>
      <w:r w:rsidR="00143D2A">
        <w:t>resoluta</w:t>
      </w:r>
      <w:r w:rsidR="00143D2A">
        <w:rPr>
          <w:rStyle w:val="Refdenotaderodap"/>
        </w:rPr>
        <w:footnoteReference w:id="313"/>
      </w:r>
      <w:r w:rsidR="003946F1">
        <w:t xml:space="preserve">. </w:t>
      </w:r>
      <w:r w:rsidR="00143D2A">
        <w:t xml:space="preserve">De então em diante, </w:t>
      </w:r>
      <w:r w:rsidR="00326F8A">
        <w:t>sucessivos</w:t>
      </w:r>
      <w:r w:rsidR="007474E2">
        <w:t xml:space="preserve"> relatórios do Serviço de Segurança dos SS</w:t>
      </w:r>
      <w:r w:rsidR="005C7736">
        <w:t>,</w:t>
      </w:r>
      <w:r w:rsidR="007474E2">
        <w:t xml:space="preserve"> </w:t>
      </w:r>
      <w:r w:rsidR="000B38D6">
        <w:t xml:space="preserve">do NSDAP </w:t>
      </w:r>
      <w:r w:rsidR="005C7736">
        <w:t xml:space="preserve">e de autoridades judiciárias </w:t>
      </w:r>
      <w:r w:rsidR="007B4C2F">
        <w:t>avisaram</w:t>
      </w:r>
      <w:r w:rsidR="000B38D6">
        <w:t xml:space="preserve"> que estava a tornar-se corrente entre a população a ideia de que os jornais e a rádio haviam mentido ao anunciarem </w:t>
      </w:r>
      <w:r w:rsidR="00F3406B">
        <w:t>que a guerra a Leste seria rápida</w:t>
      </w:r>
      <w:r w:rsidR="00A16957">
        <w:t xml:space="preserve">, já que todos percebiam que </w:t>
      </w:r>
      <w:r w:rsidR="00F3406B">
        <w:t xml:space="preserve">a </w:t>
      </w:r>
      <w:r w:rsidR="00BF4B79">
        <w:t xml:space="preserve">URSS </w:t>
      </w:r>
      <w:r w:rsidR="00A16957">
        <w:t xml:space="preserve">não </w:t>
      </w:r>
      <w:r w:rsidR="00817F42">
        <w:t xml:space="preserve">estava a desintegrar-se </w:t>
      </w:r>
      <w:r w:rsidR="00A16957">
        <w:t xml:space="preserve">nem </w:t>
      </w:r>
      <w:r w:rsidR="00F3406B">
        <w:t xml:space="preserve">o Exército Vermelho </w:t>
      </w:r>
      <w:r w:rsidR="00A16957">
        <w:t xml:space="preserve">era desprovido de </w:t>
      </w:r>
      <w:r w:rsidR="00F3406B">
        <w:t xml:space="preserve">capacidade </w:t>
      </w:r>
      <w:r w:rsidR="00B537F1">
        <w:t xml:space="preserve">material e humana </w:t>
      </w:r>
      <w:r w:rsidR="00F3406B">
        <w:t>de resistência</w:t>
      </w:r>
      <w:r w:rsidR="00A16957">
        <w:rPr>
          <w:rStyle w:val="Refdenotaderodap"/>
        </w:rPr>
        <w:footnoteReference w:id="314"/>
      </w:r>
      <w:r w:rsidR="00F3406B">
        <w:t xml:space="preserve">. </w:t>
      </w:r>
      <w:r w:rsidR="00A16957">
        <w:t xml:space="preserve">Mas neste </w:t>
      </w:r>
      <w:r w:rsidR="00F3406B">
        <w:t xml:space="preserve">caso, como em muitos outros, a opinião </w:t>
      </w:r>
      <w:r w:rsidR="00CB114F">
        <w:t xml:space="preserve">popular foi injusta, porque Hitler e Goebbels não </w:t>
      </w:r>
      <w:r w:rsidR="007949B0">
        <w:t>mentir</w:t>
      </w:r>
      <w:r w:rsidR="00A16957">
        <w:t>am</w:t>
      </w:r>
      <w:r w:rsidR="007949B0">
        <w:t xml:space="preserve"> deliberadamente</w:t>
      </w:r>
      <w:r w:rsidR="00A16957">
        <w:t xml:space="preserve"> e </w:t>
      </w:r>
      <w:r w:rsidR="007949B0">
        <w:t>enunciar</w:t>
      </w:r>
      <w:r w:rsidR="00A16957">
        <w:t>am</w:t>
      </w:r>
      <w:r w:rsidR="007949B0">
        <w:t xml:space="preserve"> as suas convicções íntimas. O problema é que, como tantas vezes sucede, a realidade desmentiu as convicções. </w:t>
      </w:r>
      <w:r w:rsidR="001E51EE">
        <w:t xml:space="preserve">«Na minha opinião», disse o Führer em </w:t>
      </w:r>
      <w:r w:rsidR="001E51EE" w:rsidRPr="000E2E60">
        <w:rPr>
          <w:iCs/>
        </w:rPr>
        <w:t>5 de Julho de 1942</w:t>
      </w:r>
      <w:r w:rsidR="001E51EE">
        <w:rPr>
          <w:iCs/>
        </w:rPr>
        <w:t xml:space="preserve">, </w:t>
      </w:r>
      <w:r w:rsidR="00C86821">
        <w:t>alguns</w:t>
      </w:r>
      <w:r w:rsidR="001E51EE">
        <w:t xml:space="preserve"> meses antes da sua catástrofe em Stalingrado, «que um povo inferior triunfe sobre o mais forte é uma negação das leis da natureza»</w:t>
      </w:r>
      <w:r w:rsidR="001E51EE">
        <w:rPr>
          <w:rStyle w:val="Refdenotaderodap"/>
        </w:rPr>
        <w:footnoteReference w:id="315"/>
      </w:r>
      <w:r w:rsidR="001E51EE">
        <w:t xml:space="preserve">. Dezoito dias depois </w:t>
      </w:r>
      <w:r w:rsidR="008750A5">
        <w:t xml:space="preserve">o </w:t>
      </w:r>
      <w:r w:rsidR="00E7162E" w:rsidRPr="003E305A">
        <w:t xml:space="preserve">general Franz Halder, que ocupava então o lugar de chefe do estado-maior do exército, </w:t>
      </w:r>
      <w:r w:rsidR="008750A5">
        <w:t xml:space="preserve">escreveu no seu diário que «a permanente subestimação do potencial inimigo está </w:t>
      </w:r>
      <w:r w:rsidR="00157B3B">
        <w:t>progressivamente</w:t>
      </w:r>
      <w:r w:rsidR="008750A5">
        <w:t xml:space="preserve"> a assumir uma forma grotesca e a tornar-se perigosa»</w:t>
      </w:r>
      <w:r w:rsidR="00E7162E">
        <w:rPr>
          <w:rStyle w:val="Refdenotaderodap"/>
        </w:rPr>
        <w:footnoteReference w:id="316"/>
      </w:r>
      <w:r w:rsidR="008750A5">
        <w:t xml:space="preserve">. </w:t>
      </w:r>
      <w:r w:rsidR="00A71F90">
        <w:t xml:space="preserve">Mas o que fazer, se a classificação dos eslavos como sub-humanidade </w:t>
      </w:r>
      <w:r w:rsidR="007168D8">
        <w:t>era</w:t>
      </w:r>
      <w:r w:rsidR="00A71F90">
        <w:t xml:space="preserve"> uma das pedras angulares da ideologia hitleriana? </w:t>
      </w:r>
    </w:p>
    <w:p w:rsidR="00321E01" w:rsidRPr="003E305A" w:rsidRDefault="00321E01" w:rsidP="00321E01">
      <w:r w:rsidRPr="003E305A">
        <w:lastRenderedPageBreak/>
        <w:t xml:space="preserve">É certo que Rosenberg, nomeado em Abril de 1941 comissário para o Controlo Central das Questões Relativas às Regiões do Leste Europeu e elevado em Julho a ministro </w:t>
      </w:r>
      <w:r w:rsidR="00920D34">
        <w:t xml:space="preserve">dos Territórios Ocupados de Leste, </w:t>
      </w:r>
      <w:r w:rsidRPr="003E305A">
        <w:t xml:space="preserve">propôs uma política diferente, mas fê-lo porque pretendia estimular as rivalidades étnicas </w:t>
      </w:r>
      <w:r w:rsidR="006B24F3">
        <w:t>e</w:t>
      </w:r>
      <w:r w:rsidRPr="003E305A">
        <w:t xml:space="preserve"> fragmentar a hegemonia exercida por Moscovo. O seu objectivo era facilitar a luta contra a massa dos russos e bielo-russos, e </w:t>
      </w:r>
      <w:r>
        <w:t xml:space="preserve">contava </w:t>
      </w:r>
      <w:r w:rsidRPr="003E305A">
        <w:t xml:space="preserve">para isso obter a colaboração de certas nacionalidades soviéticas periféricas, às quais atribuía uma identidade racial menos degradada do que a dos </w:t>
      </w:r>
      <w:r w:rsidRPr="003E305A">
        <w:rPr>
          <w:i/>
        </w:rPr>
        <w:t>Untermenschen</w:t>
      </w:r>
      <w:r w:rsidRPr="003E305A">
        <w:t xml:space="preserve">. </w:t>
      </w:r>
      <w:r w:rsidR="00F27054" w:rsidRPr="00F27054">
        <w:t xml:space="preserve">Já em </w:t>
      </w:r>
      <w:r w:rsidR="00F27054" w:rsidRPr="00F27054">
        <w:rPr>
          <w:i/>
        </w:rPr>
        <w:t>O Mito do Século XX</w:t>
      </w:r>
      <w:r w:rsidR="00F27054" w:rsidRPr="00F27054">
        <w:t xml:space="preserve"> Rosenberg considerara que «o sul da Ucr</w:t>
      </w:r>
      <w:r w:rsidR="00F27054">
        <w:t>ânia adopta uma acerba atitude defensiva contra a Grande Rússia</w:t>
      </w:r>
      <w:r w:rsidR="00981362">
        <w:t xml:space="preserve"> e, com uma população de sete milhões, constitui um grupo autónomo de </w:t>
      </w:r>
      <w:r w:rsidR="00C64DB6">
        <w:t>considerável</w:t>
      </w:r>
      <w:r w:rsidR="00981362">
        <w:t xml:space="preserve"> importância</w:t>
      </w:r>
      <w:r w:rsidR="00F27054">
        <w:t>»</w:t>
      </w:r>
      <w:r w:rsidR="00981362">
        <w:t xml:space="preserve">. </w:t>
      </w:r>
      <w:r w:rsidR="0030040A">
        <w:t xml:space="preserve">Partindo desta constatação, </w:t>
      </w:r>
      <w:r w:rsidR="00F27054">
        <w:t>preveniu que «</w:t>
      </w:r>
      <w:r w:rsidR="00F8765C">
        <w:t>não levar em consideração</w:t>
      </w:r>
      <w:r w:rsidR="007367BA">
        <w:t xml:space="preserve"> </w:t>
      </w:r>
      <w:r w:rsidR="00F27054">
        <w:t xml:space="preserve">todas estas correntes, com frequência </w:t>
      </w:r>
      <w:r w:rsidR="0030040A">
        <w:t xml:space="preserve">de </w:t>
      </w:r>
      <w:r w:rsidR="007367BA">
        <w:t>sangue muito diferente</w:t>
      </w:r>
      <w:r w:rsidR="00F27054">
        <w:t>, aplica</w:t>
      </w:r>
      <w:r w:rsidR="007367BA">
        <w:t>ndo</w:t>
      </w:r>
      <w:r w:rsidR="00F27054">
        <w:t>-lhes o</w:t>
      </w:r>
      <w:r w:rsidR="002929DF">
        <w:t>s</w:t>
      </w:r>
      <w:r w:rsidR="00F27054">
        <w:t xml:space="preserve"> termo</w:t>
      </w:r>
      <w:r w:rsidR="002929DF">
        <w:t>s</w:t>
      </w:r>
      <w:r w:rsidR="00F27054">
        <w:t xml:space="preserve"> simplista</w:t>
      </w:r>
      <w:r w:rsidR="002929DF">
        <w:t>s</w:t>
      </w:r>
      <w:r w:rsidR="00F27054">
        <w:t xml:space="preserve"> </w:t>
      </w:r>
      <w:r w:rsidR="00F27054" w:rsidRPr="007367BA">
        <w:rPr>
          <w:i/>
        </w:rPr>
        <w:t>esp</w:t>
      </w:r>
      <w:r w:rsidR="0030040A" w:rsidRPr="007367BA">
        <w:rPr>
          <w:i/>
        </w:rPr>
        <w:t>írito oriental</w:t>
      </w:r>
      <w:r w:rsidR="007367BA" w:rsidRPr="007367BA">
        <w:rPr>
          <w:i/>
        </w:rPr>
        <w:t>,</w:t>
      </w:r>
      <w:r w:rsidR="00F27054">
        <w:t xml:space="preserve"> e em seguida </w:t>
      </w:r>
      <w:r w:rsidR="00321AFE">
        <w:t xml:space="preserve">converter </w:t>
      </w:r>
      <w:r w:rsidR="00500D18">
        <w:t>em</w:t>
      </w:r>
      <w:r w:rsidR="00321AFE">
        <w:t xml:space="preserve"> </w:t>
      </w:r>
      <w:r w:rsidR="00500D18">
        <w:t xml:space="preserve">prática </w:t>
      </w:r>
      <w:r w:rsidR="00321AFE">
        <w:t>polític</w:t>
      </w:r>
      <w:r w:rsidR="00500D18">
        <w:t>a</w:t>
      </w:r>
      <w:r w:rsidR="00321AFE">
        <w:t xml:space="preserve"> </w:t>
      </w:r>
      <w:r w:rsidR="00B22D0F">
        <w:t>essa descriç</w:t>
      </w:r>
      <w:r w:rsidR="00F8765C">
        <w:t>ão</w:t>
      </w:r>
      <w:r w:rsidR="00B22D0F">
        <w:t xml:space="preserve"> sem vida </w:t>
      </w:r>
      <w:r w:rsidR="00500D18">
        <w:t>implicaria</w:t>
      </w:r>
      <w:r w:rsidR="00B22D0F">
        <w:t xml:space="preserve"> a destruição de </w:t>
      </w:r>
      <w:r w:rsidR="0030040A">
        <w:t>tod</w:t>
      </w:r>
      <w:r w:rsidR="00C25311">
        <w:t xml:space="preserve">as as tentativas </w:t>
      </w:r>
      <w:r w:rsidR="00640FC0">
        <w:t>orgânic</w:t>
      </w:r>
      <w:r w:rsidR="00C25311">
        <w:t>a</w:t>
      </w:r>
      <w:r w:rsidR="00640FC0">
        <w:t xml:space="preserve">s </w:t>
      </w:r>
      <w:r w:rsidR="0030040A">
        <w:t xml:space="preserve">de uma </w:t>
      </w:r>
      <w:r w:rsidR="00B22D0F">
        <w:t>política externa alem</w:t>
      </w:r>
      <w:r w:rsidR="00640FC0">
        <w:t>ã</w:t>
      </w:r>
      <w:r w:rsidR="00B22D0F">
        <w:t>»</w:t>
      </w:r>
      <w:r w:rsidR="00012612">
        <w:rPr>
          <w:rStyle w:val="Refdenotaderodap"/>
        </w:rPr>
        <w:footnoteReference w:id="317"/>
      </w:r>
      <w:r w:rsidR="00012612">
        <w:t>.</w:t>
      </w:r>
      <w:r w:rsidR="00B22D0F">
        <w:t xml:space="preserve"> </w:t>
      </w:r>
      <w:r w:rsidR="000C1701">
        <w:t xml:space="preserve">Esta orientação de Rosenberg </w:t>
      </w:r>
      <w:r w:rsidR="001E7C71">
        <w:t xml:space="preserve">inspirou em Outubro de 1942 </w:t>
      </w:r>
      <w:r w:rsidR="000C1701">
        <w:t xml:space="preserve">um </w:t>
      </w:r>
      <w:r w:rsidR="007168D8">
        <w:t xml:space="preserve">memorável </w:t>
      </w:r>
      <w:r w:rsidR="000C1701">
        <w:t xml:space="preserve">relatório secreto </w:t>
      </w:r>
      <w:r w:rsidR="001E7C71">
        <w:t>de</w:t>
      </w:r>
      <w:r w:rsidR="000C1701">
        <w:t xml:space="preserve"> um subordinado seu, Otto Bräutigam, chefe do Departamento Político Principal do Ministério </w:t>
      </w:r>
      <w:r w:rsidR="00920D34">
        <w:t>dos Territórios Ocupados de Leste</w:t>
      </w:r>
      <w:r w:rsidR="00DA5C1C">
        <w:t xml:space="preserve">, que enumerou as oportunidades perdidas de mobilizar a população soviética, nomeadamente </w:t>
      </w:r>
      <w:r w:rsidR="005020A3">
        <w:t xml:space="preserve">a báltica e a </w:t>
      </w:r>
      <w:r w:rsidR="00DA5C1C">
        <w:t>ucraniana, contra o regime comunista e o Exército Vermelho</w:t>
      </w:r>
      <w:r w:rsidR="00D17E2D">
        <w:t xml:space="preserve">. «De facto», </w:t>
      </w:r>
      <w:r w:rsidR="007D7D76">
        <w:t>lamentou</w:t>
      </w:r>
      <w:r w:rsidR="00D17E2D">
        <w:t xml:space="preserve"> Bräutigam, </w:t>
      </w:r>
      <w:r w:rsidR="009B6461">
        <w:t>«</w:t>
      </w:r>
      <w:r w:rsidR="00D17E2D">
        <w:t xml:space="preserve">fizemos com que seja muito fácil </w:t>
      </w:r>
      <w:r w:rsidR="00A70D1C">
        <w:t>para a</w:t>
      </w:r>
      <w:r w:rsidR="00D17E2D">
        <w:t xml:space="preserve"> propaganda soviética aumentar o ódio à Alemanha e ao sistema nacional-socialista»</w:t>
      </w:r>
      <w:r w:rsidR="00AE2F0D">
        <w:rPr>
          <w:rStyle w:val="Refdenotaderodap"/>
        </w:rPr>
        <w:footnoteReference w:id="318"/>
      </w:r>
      <w:r w:rsidR="004416B5">
        <w:t>.</w:t>
      </w:r>
      <w:r w:rsidR="00920D34">
        <w:t xml:space="preserve"> </w:t>
      </w:r>
      <w:r w:rsidRPr="003E305A">
        <w:t xml:space="preserve">Foi sobretudo acerca dos ucranianos que se travaram as polémicas mais acerbas, sustentando Rosenberg que entre eles era ainda significativa a presença do elemento nórdico, o que os diferenciaria da sub-humanidade eslava e os tornaria merecedores de um tratamento menos desfavorável, incluindo uma certa autonomia política. Contudo, o </w:t>
      </w:r>
      <w:r w:rsidR="00BE6423">
        <w:t>ideólogo</w:t>
      </w:r>
      <w:r w:rsidRPr="003E305A">
        <w:t xml:space="preserve"> oficial do </w:t>
      </w:r>
      <w:r w:rsidR="00BA30C2">
        <w:t>nacional-socialismo</w:t>
      </w:r>
      <w:r w:rsidRPr="003E305A">
        <w:t xml:space="preserve"> e os seus colaboradores permaneceram praticamente isolados na defesa destas posições. Conta</w:t>
      </w:r>
      <w:r>
        <w:t>r</w:t>
      </w:r>
      <w:r w:rsidRPr="003E305A">
        <w:t xml:space="preserve">am com </w:t>
      </w:r>
      <w:r>
        <w:t xml:space="preserve">o </w:t>
      </w:r>
      <w:r w:rsidRPr="003E305A">
        <w:t xml:space="preserve">apoio </w:t>
      </w:r>
      <w:r>
        <w:t xml:space="preserve">de </w:t>
      </w:r>
      <w:r w:rsidRPr="003E305A">
        <w:t xml:space="preserve">alguns meios da Wehrmacht e </w:t>
      </w:r>
      <w:r>
        <w:t xml:space="preserve">de </w:t>
      </w:r>
      <w:r w:rsidRPr="003E305A">
        <w:t xml:space="preserve">certos diplomatas, mas a autoridade política dos generais foi declinando progressivamente ao longo da guerra, até se extinguir na sequência do golpe de Estado frustrado de Julho de 1944, e o prestígio da velha diplomacia </w:t>
      </w:r>
      <w:r w:rsidR="00BA30C2">
        <w:t>tornara-se</w:t>
      </w:r>
      <w:r w:rsidRPr="003E305A">
        <w:t xml:space="preserve"> nulo. </w:t>
      </w:r>
      <w:r w:rsidR="00886F16">
        <w:t xml:space="preserve">Exceptuando o caso da Galícia ucraniana, uma província com tradições guerreiras, </w:t>
      </w:r>
      <w:r w:rsidR="007168D8" w:rsidRPr="003E305A">
        <w:t xml:space="preserve">nem Hitler </w:t>
      </w:r>
      <w:r w:rsidR="00886F16" w:rsidRPr="003E305A">
        <w:t xml:space="preserve">nem </w:t>
      </w:r>
      <w:r w:rsidRPr="003E305A">
        <w:t xml:space="preserve">os SS se mostraram dispostos a </w:t>
      </w:r>
      <w:r>
        <w:t>admitir</w:t>
      </w:r>
      <w:r w:rsidRPr="003E305A">
        <w:t xml:space="preserve"> a existência de </w:t>
      </w:r>
      <w:r>
        <w:t>diferenciaç</w:t>
      </w:r>
      <w:r w:rsidR="00D4324F">
        <w:t>ões</w:t>
      </w:r>
      <w:r w:rsidRPr="003E305A">
        <w:t xml:space="preserve"> racia</w:t>
      </w:r>
      <w:r w:rsidR="00D4324F">
        <w:t>is</w:t>
      </w:r>
      <w:r w:rsidRPr="003E305A">
        <w:t xml:space="preserve"> significativa</w:t>
      </w:r>
      <w:r w:rsidR="00D4324F">
        <w:t>s</w:t>
      </w:r>
      <w:r w:rsidRPr="003E305A">
        <w:t xml:space="preserve"> entre os eslavos. Apesar de todos os seus esforços, de então em diante Rosenberg não exerceu </w:t>
      </w:r>
      <w:r w:rsidR="00BA30C2">
        <w:t>nenhuma</w:t>
      </w:r>
      <w:r w:rsidRPr="003E305A">
        <w:t xml:space="preserve"> influência no decurso dos acontecimentos</w:t>
      </w:r>
      <w:r w:rsidRPr="003E305A">
        <w:rPr>
          <w:rStyle w:val="Refdenotaderodap"/>
        </w:rPr>
        <w:footnoteReference w:id="319"/>
      </w:r>
      <w:r w:rsidRPr="003E305A">
        <w:t xml:space="preserve">. </w:t>
      </w:r>
    </w:p>
    <w:p w:rsidR="00250C05" w:rsidRDefault="00250C05" w:rsidP="00250C05">
      <w:pPr>
        <w:keepNext/>
        <w:spacing w:before="240" w:after="120"/>
        <w:ind w:firstLine="0"/>
        <w:jc w:val="center"/>
      </w:pPr>
      <w:r>
        <w:rPr>
          <w:b/>
          <w:sz w:val="28"/>
          <w:szCs w:val="28"/>
        </w:rPr>
        <w:lastRenderedPageBreak/>
        <w:t>2</w:t>
      </w:r>
    </w:p>
    <w:p w:rsidR="00CA3ED1" w:rsidRDefault="00321E01" w:rsidP="00321E01">
      <w:r w:rsidRPr="003E305A">
        <w:t xml:space="preserve">Segundo a doutrina hitleriana, a massa dos sub-homens eslavos, supostamente desprovida de qualquer capacidade de organização política estável e alheia por isso à vocação construtora dos grandes Estados, seria incapaz de se revoltar, a não ser que a conduzisse uma elite. Para evitar tal risco, os </w:t>
      </w:r>
      <w:r w:rsidR="003878B6">
        <w:t xml:space="preserve">nacionais-socialistas </w:t>
      </w:r>
      <w:r>
        <w:t xml:space="preserve">decidiram </w:t>
      </w:r>
      <w:r w:rsidRPr="003E305A">
        <w:t>chacina</w:t>
      </w:r>
      <w:r>
        <w:t>r</w:t>
      </w:r>
      <w:r w:rsidRPr="003E305A">
        <w:t xml:space="preserve"> as classes dominantes eslavas</w:t>
      </w:r>
      <w:r w:rsidRPr="003E305A">
        <w:rPr>
          <w:rStyle w:val="Refdenotaderodap"/>
        </w:rPr>
        <w:footnoteReference w:id="320"/>
      </w:r>
      <w:r w:rsidRPr="003E305A">
        <w:t xml:space="preserve">. </w:t>
      </w:r>
      <w:r w:rsidR="003548B3">
        <w:t xml:space="preserve">A 7 de Setembro de 1939, mal </w:t>
      </w:r>
      <w:r w:rsidR="00070641">
        <w:t xml:space="preserve">a invasão da Polónia completara uma semana, o </w:t>
      </w:r>
      <w:r w:rsidR="00E173CE">
        <w:t>SS-</w:t>
      </w:r>
      <w:r w:rsidR="00070641">
        <w:t xml:space="preserve">Obergruppenführer Reinhard Heydrich, a segunda figura do aparelho repressivo, logo a seguir a Himmler, </w:t>
      </w:r>
      <w:r w:rsidR="001A4CD7">
        <w:t xml:space="preserve">deu instruções </w:t>
      </w:r>
      <w:r w:rsidR="003548B3">
        <w:t>aos recém</w:t>
      </w:r>
      <w:r w:rsidR="00AE7F7B">
        <w:t>-</w:t>
      </w:r>
      <w:r w:rsidR="003548B3">
        <w:t xml:space="preserve">criados </w:t>
      </w:r>
      <w:r w:rsidR="00AE7F7B" w:rsidRPr="003E305A">
        <w:t xml:space="preserve">Einsatzgruppen </w:t>
      </w:r>
      <w:r w:rsidR="001A4CD7">
        <w:t xml:space="preserve">para que a classe dominante polaca </w:t>
      </w:r>
      <w:r w:rsidR="00BD3C94">
        <w:t xml:space="preserve">fosse neutralizada e as classes inferiores </w:t>
      </w:r>
      <w:r w:rsidR="002D5C9B">
        <w:t>não recebessem mais do que a instrução elementar</w:t>
      </w:r>
      <w:r w:rsidR="00AE7F7B">
        <w:rPr>
          <w:rStyle w:val="Refdenotaderodap"/>
        </w:rPr>
        <w:footnoteReference w:id="321"/>
      </w:r>
      <w:r w:rsidR="002D5C9B">
        <w:t xml:space="preserve">. </w:t>
      </w:r>
      <w:r w:rsidR="00850C12">
        <w:t>«A nobreza, os padres e os judeus têm de ser mortos», explicou ele a um general dois dias depois</w:t>
      </w:r>
      <w:r w:rsidR="00CF14B1">
        <w:rPr>
          <w:rStyle w:val="Refdenotaderodap"/>
        </w:rPr>
        <w:footnoteReference w:id="322"/>
      </w:r>
      <w:r w:rsidR="00CF14B1">
        <w:t xml:space="preserve">, e ainda nesse mês </w:t>
      </w:r>
      <w:r w:rsidR="00B335CD">
        <w:t xml:space="preserve">pôde anunciar num relatório que «nos territórios ocupados já só existe um máximo de </w:t>
      </w:r>
      <w:r w:rsidR="00B22113">
        <w:t xml:space="preserve">três por cento </w:t>
      </w:r>
      <w:r w:rsidR="00B335CD">
        <w:t>das classes superiores polacas»</w:t>
      </w:r>
      <w:r w:rsidR="00B335CD">
        <w:rPr>
          <w:rStyle w:val="Refdenotaderodap"/>
        </w:rPr>
        <w:footnoteReference w:id="323"/>
      </w:r>
      <w:r w:rsidR="00E74A7B">
        <w:t>.</w:t>
      </w:r>
      <w:r w:rsidR="007F3C43">
        <w:t xml:space="preserve"> </w:t>
      </w:r>
      <w:r w:rsidR="00E74A7B">
        <w:t xml:space="preserve">Em 17 de Outubro de 1939 o Führer informou o marechal Keitel de que «tem de se impedir que a </w:t>
      </w:r>
      <w:r w:rsidR="00E74A7B" w:rsidRPr="00E74A7B">
        <w:rPr>
          <w:i/>
        </w:rPr>
        <w:t>intelligentsia</w:t>
      </w:r>
      <w:r w:rsidR="00E74A7B">
        <w:t xml:space="preserve"> polaca se constitua como classe dominante»</w:t>
      </w:r>
      <w:r w:rsidR="00E74A7B">
        <w:rPr>
          <w:rStyle w:val="Refdenotaderodap"/>
        </w:rPr>
        <w:footnoteReference w:id="324"/>
      </w:r>
      <w:r w:rsidR="00E74A7B">
        <w:t xml:space="preserve"> </w:t>
      </w:r>
      <w:r w:rsidR="007F3C43">
        <w:t xml:space="preserve">e em Dezembro desse ano, numa reunião com </w:t>
      </w:r>
      <w:r w:rsidR="007F3C43">
        <w:lastRenderedPageBreak/>
        <w:t>Goebbels, confirmou a necessidade de destruir a aristocracia polaca</w:t>
      </w:r>
      <w:r w:rsidR="007F3C43">
        <w:rPr>
          <w:rStyle w:val="Refdenotaderodap"/>
        </w:rPr>
        <w:footnoteReference w:id="325"/>
      </w:r>
      <w:r w:rsidR="007F3C43">
        <w:t xml:space="preserve">. </w:t>
      </w:r>
      <w:r w:rsidR="000B1FDE">
        <w:t>Não faltaram directivas neste sentido</w:t>
      </w:r>
      <w:r w:rsidR="000B1FDE">
        <w:rPr>
          <w:rStyle w:val="Refdenotaderodap"/>
        </w:rPr>
        <w:footnoteReference w:id="326"/>
      </w:r>
      <w:r w:rsidR="000B1FDE">
        <w:t xml:space="preserve">. </w:t>
      </w:r>
      <w:r w:rsidR="00BB38E5" w:rsidRPr="003E305A">
        <w:t>Cuidadosamente preparado por uma competentíssima burocracia, es</w:t>
      </w:r>
      <w:r w:rsidR="00DF4A9B">
        <w:t>s</w:t>
      </w:r>
      <w:r w:rsidR="00BB38E5" w:rsidRPr="003E305A">
        <w:t>e programa visou a eliminação da nobreza autóctone e do clero, e igualmente das novas classes dirigentes e da intelectualidade urbana</w:t>
      </w:r>
      <w:r w:rsidR="00BB38E5" w:rsidRPr="003E305A">
        <w:rPr>
          <w:rStyle w:val="Refdenotaderodap"/>
        </w:rPr>
        <w:footnoteReference w:id="327"/>
      </w:r>
      <w:r w:rsidR="00BB38E5" w:rsidRPr="003E305A">
        <w:t xml:space="preserve">. </w:t>
      </w:r>
      <w:r w:rsidR="00BB38E5">
        <w:t>Do mesmo modo decidira</w:t>
      </w:r>
      <w:r w:rsidR="00DF4A9B">
        <w:t xml:space="preserve">-se </w:t>
      </w:r>
      <w:r w:rsidR="00BB38E5">
        <w:t xml:space="preserve">impedir o aparecimento de novas elites. </w:t>
      </w:r>
      <w:r w:rsidR="00BB38E5" w:rsidRPr="003E305A">
        <w:t xml:space="preserve">Logo a 3 de Outubro de 1939, mal passara um mês sobre o começo da invasão da Polónia, Hans Frank, que em breve seria nomeado para dirigir a porção daquele país </w:t>
      </w:r>
      <w:r w:rsidR="00C766AA">
        <w:t xml:space="preserve">não anexada ao Reich e </w:t>
      </w:r>
      <w:r w:rsidR="00BB38E5" w:rsidRPr="003E305A">
        <w:t>conhecida pelo nome de Governo-Geral, inform</w:t>
      </w:r>
      <w:r w:rsidR="00BB38E5">
        <w:t>ou</w:t>
      </w:r>
      <w:r w:rsidR="00BB38E5" w:rsidRPr="003E305A">
        <w:t xml:space="preserve"> os chefes militares </w:t>
      </w:r>
      <w:r w:rsidR="00F21F03">
        <w:t xml:space="preserve">de </w:t>
      </w:r>
      <w:r w:rsidR="00BB38E5" w:rsidRPr="003E305A">
        <w:t xml:space="preserve">que, segundo ordens de Hitler, era necessário encerrar «todos os estabelecimentos educacionais, especialmente as escolas técnicas e profissionais, de maneira a evitar o desenvolvimento da nova </w:t>
      </w:r>
      <w:r w:rsidR="00BB38E5" w:rsidRPr="003E305A">
        <w:rPr>
          <w:i/>
        </w:rPr>
        <w:t>intelligentsia</w:t>
      </w:r>
      <w:r w:rsidR="00BB38E5" w:rsidRPr="003E305A">
        <w:t xml:space="preserve"> polaca»</w:t>
      </w:r>
      <w:r w:rsidR="00BB38E5" w:rsidRPr="003E305A">
        <w:rPr>
          <w:rStyle w:val="Refdenotaderodap"/>
        </w:rPr>
        <w:footnoteReference w:id="328"/>
      </w:r>
      <w:r w:rsidR="00BB38E5" w:rsidRPr="003E305A">
        <w:t xml:space="preserve">. </w:t>
      </w:r>
      <w:r w:rsidR="00055EFD">
        <w:t xml:space="preserve">Para que não houvesse confusões, Frank defeniu como </w:t>
      </w:r>
      <w:r w:rsidR="00055EFD" w:rsidRPr="00055EFD">
        <w:rPr>
          <w:i/>
        </w:rPr>
        <w:t>intelligentsia</w:t>
      </w:r>
      <w:r w:rsidR="00055EFD">
        <w:t xml:space="preserve"> os professores, membros do clero, médicos, dentistas, veterinários, oficiais das forças armadas, burocratas de escal</w:t>
      </w:r>
      <w:r w:rsidR="00CA40D3">
        <w:t xml:space="preserve">ão superior, grandes comerciantes, grandes proprietários fundiários, escritores, jornalistas e, em geral, </w:t>
      </w:r>
      <w:r w:rsidR="00A7110E">
        <w:t xml:space="preserve">as </w:t>
      </w:r>
      <w:r w:rsidR="00CA40D3">
        <w:t>pessoas com diplomas de estudos universitários e superiores</w:t>
      </w:r>
      <w:r w:rsidR="00CA40D3">
        <w:rPr>
          <w:rStyle w:val="Refdenotaderodap"/>
        </w:rPr>
        <w:footnoteReference w:id="329"/>
      </w:r>
      <w:r w:rsidR="00CA40D3">
        <w:t xml:space="preserve">. </w:t>
      </w:r>
      <w:r w:rsidR="00BB38E5" w:rsidRPr="003E305A">
        <w:t>E no final de Maio de 1940 Frank record</w:t>
      </w:r>
      <w:r w:rsidR="00BB38E5">
        <w:t>ou</w:t>
      </w:r>
      <w:r w:rsidR="00BB38E5" w:rsidRPr="003E305A">
        <w:t xml:space="preserve"> aos seus colaboradores na polícia que, consoante ordens recebidas do próprio Führer, «os homens capazes de exercer uma liderança na Polónia devem ser liquidados. Por sua vez, os seus seguidores [...] devem ser eliminados»</w:t>
      </w:r>
      <w:r w:rsidR="00BB38E5" w:rsidRPr="003E305A">
        <w:rPr>
          <w:rStyle w:val="Refdenotaderodap"/>
        </w:rPr>
        <w:footnoteReference w:id="330"/>
      </w:r>
      <w:r w:rsidR="00BB38E5" w:rsidRPr="003E305A">
        <w:t>. Calcula-se que desde Setembro de 1939 até Junho do ano seguinte tivessem sido executados cerca de 3.500 intelectuais e outros elementos das classes dominantes polacas</w:t>
      </w:r>
      <w:r w:rsidR="00BB38E5" w:rsidRPr="003E305A">
        <w:rPr>
          <w:rStyle w:val="Refdenotaderodap"/>
        </w:rPr>
        <w:footnoteReference w:id="331"/>
      </w:r>
      <w:r w:rsidR="00BB38E5" w:rsidRPr="003E305A">
        <w:t xml:space="preserve">. </w:t>
      </w:r>
      <w:r w:rsidR="000A0B28">
        <w:t xml:space="preserve">Só em Varsóvia, e até à insurreição de Julho de 1944, calcula-se que </w:t>
      </w:r>
      <w:r w:rsidR="0094273C">
        <w:t xml:space="preserve">fossem </w:t>
      </w:r>
      <w:r w:rsidR="000A0B28">
        <w:t xml:space="preserve">liquidados cerca de 10.000 membros da </w:t>
      </w:r>
      <w:r w:rsidR="000A0B28" w:rsidRPr="00046BA5">
        <w:rPr>
          <w:i/>
        </w:rPr>
        <w:t>intelligentsia</w:t>
      </w:r>
      <w:r w:rsidR="000A0B28">
        <w:rPr>
          <w:rStyle w:val="Refdenotaderodap"/>
        </w:rPr>
        <w:footnoteReference w:id="332"/>
      </w:r>
      <w:r w:rsidR="000A0B28">
        <w:t xml:space="preserve">. </w:t>
      </w:r>
    </w:p>
    <w:p w:rsidR="00321E01" w:rsidRPr="003E305A" w:rsidRDefault="007F3C43" w:rsidP="00321E01">
      <w:r>
        <w:t xml:space="preserve">O que estava a suceder às classes dominantes anunciava o </w:t>
      </w:r>
      <w:r w:rsidR="00E00B64">
        <w:t>destino d</w:t>
      </w:r>
      <w:r>
        <w:t xml:space="preserve">os trabalhadores. </w:t>
      </w:r>
      <w:r w:rsidR="00F21F03">
        <w:t xml:space="preserve">Em 17 de Outubro de 1939 o Führer </w:t>
      </w:r>
      <w:r w:rsidR="00F45CA9">
        <w:t>disse</w:t>
      </w:r>
      <w:r w:rsidR="00F21F03">
        <w:t xml:space="preserve"> </w:t>
      </w:r>
      <w:r w:rsidR="00F45CA9">
        <w:t>a</w:t>
      </w:r>
      <w:r w:rsidR="00F21F03">
        <w:t>o marechal Keitel que não cabia ao Reich dar à Polónia ocupada «uma base económica e financeira sólida»</w:t>
      </w:r>
      <w:r w:rsidR="00F45CA9">
        <w:t xml:space="preserve"> e </w:t>
      </w:r>
      <w:r w:rsidR="00450402">
        <w:t>que o território «servir-nos-á apenas como reservatório de força de trabalho»</w:t>
      </w:r>
      <w:r w:rsidR="00450402">
        <w:rPr>
          <w:rStyle w:val="Refdenotaderodap"/>
        </w:rPr>
        <w:footnoteReference w:id="333"/>
      </w:r>
      <w:r w:rsidR="00450402">
        <w:t xml:space="preserve">. No </w:t>
      </w:r>
      <w:r w:rsidR="00F45CA9">
        <w:t xml:space="preserve">dia seguinte </w:t>
      </w:r>
      <w:r w:rsidR="00321E01" w:rsidRPr="003E305A">
        <w:t>o general Halder, chefe do estado-maior do exército, resumi</w:t>
      </w:r>
      <w:r w:rsidR="00321E01">
        <w:t>u</w:t>
      </w:r>
      <w:r w:rsidR="00321E01" w:rsidRPr="003E305A">
        <w:t xml:space="preserve"> no seu diário uma conversa com o general Eduard Wagner, </w:t>
      </w:r>
      <w:r w:rsidR="00321E01" w:rsidRPr="003E305A">
        <w:lastRenderedPageBreak/>
        <w:t>quartel-mestre general, que acabara de receber directivas do Führer a respeito da campanha contra a Polónia</w:t>
      </w:r>
      <w:r w:rsidR="00E13C6C">
        <w:t>:</w:t>
      </w:r>
      <w:r w:rsidR="00321E01" w:rsidRPr="003E305A">
        <w:t xml:space="preserve"> «Não temos </w:t>
      </w:r>
      <w:r w:rsidR="00457383">
        <w:t>nenhuma</w:t>
      </w:r>
      <w:r w:rsidR="00321E01" w:rsidRPr="003E305A">
        <w:t xml:space="preserve"> intenção de reconstruir a Polónia. [...] deve impedir-se que a </w:t>
      </w:r>
      <w:r w:rsidR="00321E01" w:rsidRPr="003E305A">
        <w:rPr>
          <w:i/>
        </w:rPr>
        <w:t>intelligentsia</w:t>
      </w:r>
      <w:r w:rsidR="00321E01" w:rsidRPr="003E305A">
        <w:t xml:space="preserve"> polaca se estabeleça enquanto classe governante. Deve manter-se um baixo nível de vida. Escravos baratos. [...] Deve provocar-se uma desorganização total!»</w:t>
      </w:r>
      <w:r w:rsidR="00321E01" w:rsidRPr="003E305A">
        <w:rPr>
          <w:rStyle w:val="Refdenotaderodap"/>
        </w:rPr>
        <w:footnoteReference w:id="334"/>
      </w:r>
      <w:r w:rsidR="00321E01" w:rsidRPr="003E305A">
        <w:t>. Exactamente um ano depois Hitler insisti</w:t>
      </w:r>
      <w:r w:rsidR="00321E01">
        <w:t>u</w:t>
      </w:r>
      <w:r w:rsidR="00321E01" w:rsidRPr="003E305A">
        <w:t xml:space="preserve"> na decisão de criar um «enorme campo de trabalho polaco»</w:t>
      </w:r>
      <w:r w:rsidR="00321E01" w:rsidRPr="003E305A">
        <w:rPr>
          <w:rStyle w:val="Refdenotaderodap"/>
        </w:rPr>
        <w:footnoteReference w:id="335"/>
      </w:r>
      <w:r w:rsidR="00321E01" w:rsidRPr="003E305A">
        <w:t xml:space="preserve">. </w:t>
      </w:r>
      <w:r w:rsidR="008C4B75">
        <w:t xml:space="preserve">Nesta </w:t>
      </w:r>
      <w:r w:rsidR="00E92A01">
        <w:t xml:space="preserve">perspectiva </w:t>
      </w:r>
      <w:r w:rsidR="00321E01" w:rsidRPr="003E305A">
        <w:t xml:space="preserve">o governador-geral </w:t>
      </w:r>
      <w:r w:rsidR="00E92A01">
        <w:t>Frank explicou aos seus subordinados</w:t>
      </w:r>
      <w:r w:rsidR="00321E01" w:rsidRPr="003E305A">
        <w:t>: «Não é possível dar aos polacos o nível de vida dos alemães. Tem de haver uma diferença entre o nível de vida da raça dos senhores e o dos súbditos. Os polacos têm de reconhecer o limite das suas possibilidades de desenvolvimento. Em resposta ao meu pedido expresso, o Führer reafirmou que eles têm de respeitar as limitações que nós lhes impomos. Nenhum polaco poderá exercer funções superiores às de contramestre. Nenhum polaco poderá ter acesso a um grau de educação mais elevado»</w:t>
      </w:r>
      <w:r w:rsidR="00321E01" w:rsidRPr="003E305A">
        <w:rPr>
          <w:rStyle w:val="Refdenotaderodap"/>
        </w:rPr>
        <w:footnoteReference w:id="336"/>
      </w:r>
      <w:r w:rsidR="00321E01" w:rsidRPr="003E305A">
        <w:t xml:space="preserve">. As ordens dadas por Hitler às autoridades </w:t>
      </w:r>
      <w:r w:rsidR="008C4B75">
        <w:t>ocupantes d</w:t>
      </w:r>
      <w:r w:rsidR="00321E01" w:rsidRPr="003E305A">
        <w:t xml:space="preserve">a Polónia em 2 de Outubro de 1940 encontram-se num memorando devido a Bormann, fiel escrevinhador das </w:t>
      </w:r>
      <w:r w:rsidR="008C4B75">
        <w:t xml:space="preserve">suas </w:t>
      </w:r>
      <w:r w:rsidR="00321E01" w:rsidRPr="003E305A">
        <w:t>palavras</w:t>
      </w:r>
      <w:r w:rsidR="00457383">
        <w:t>:</w:t>
      </w:r>
      <w:r w:rsidR="00321E01" w:rsidRPr="003E305A">
        <w:t xml:space="preserve"> «Os polacos, em completa oposição ao que sucede com os nossos trabalhadores alemães, destinam-se especialmente a trabalhos pesados [...] está inteiramente posta de </w:t>
      </w:r>
      <w:r w:rsidR="002961A6">
        <w:t>lado</w:t>
      </w:r>
      <w:r w:rsidR="00321E01" w:rsidRPr="003E305A">
        <w:t xml:space="preserve"> qualquer ideia de melhorar a situação dos polacos. Pelo contrário, é necessário manter um baixo nível de vida na Polónia e não pode ser permitido que suba [...] Os polacos são preguiçosos e é necessário forçá-los a trabalhar [...] O Governo-Geral só deve servir para nos fornecer mão-de-obra não qualificada». Em seguida Hitler insistiu na necessidade de exterminar completamente a nobreza rural e a intelectualidade urbana, bem como de liquidar todos os membros do clero que não pregassem a estrita obediência ao ocupante. «Haverá um único senhor para os polacos </w:t>
      </w:r>
      <w:r w:rsidR="00457383">
        <w:t>—</w:t>
      </w:r>
      <w:r w:rsidR="00321E01" w:rsidRPr="003E305A">
        <w:t xml:space="preserve"> os alemães. Dois senhores, lado a lado, não podem e não devem existir»</w:t>
      </w:r>
      <w:r w:rsidR="00321E01" w:rsidRPr="003E305A">
        <w:rPr>
          <w:rStyle w:val="Refdenotaderodap"/>
        </w:rPr>
        <w:footnoteReference w:id="337"/>
      </w:r>
      <w:r w:rsidR="00321E01" w:rsidRPr="003E305A">
        <w:t xml:space="preserve">. </w:t>
      </w:r>
    </w:p>
    <w:p w:rsidR="00321E01" w:rsidRPr="00383F01" w:rsidRDefault="00321E01" w:rsidP="00321E01">
      <w:r w:rsidRPr="003E305A">
        <w:t xml:space="preserve">Tiveram o mesmo destino os restantes povos eslavos. Em Outubro de 1940 uma directiva secreta </w:t>
      </w:r>
      <w:r w:rsidR="00051899">
        <w:t xml:space="preserve">reproduzindo as decisões </w:t>
      </w:r>
      <w:r w:rsidRPr="003E305A">
        <w:t>do Führer estipul</w:t>
      </w:r>
      <w:r>
        <w:t>ou</w:t>
      </w:r>
      <w:r w:rsidRPr="003E305A">
        <w:t xml:space="preserve"> que metade da população do Protectorado da Boémia e Morávia, considerada de sangue mais puro, fosse progressivamente assimilada pelos colonos germânicos que haviam de se estabelecer no território, enquanto a outra metade, incluindo a maior parte dos intelectuais, seria expulsa ou de qualquer modo exterminada</w:t>
      </w:r>
      <w:r w:rsidRPr="003E305A">
        <w:rPr>
          <w:rStyle w:val="Refdenotaderodap"/>
        </w:rPr>
        <w:footnoteReference w:id="338"/>
      </w:r>
      <w:r w:rsidRPr="003E305A">
        <w:t xml:space="preserve">. </w:t>
      </w:r>
      <w:r w:rsidR="005A26FF">
        <w:t>Nesta perspectiva</w:t>
      </w:r>
      <w:r w:rsidR="00ED3430">
        <w:t xml:space="preserve">, e depois de iniciada a guerra contra a União Soviética, </w:t>
      </w:r>
      <w:r w:rsidRPr="003E305A">
        <w:t xml:space="preserve">Erich </w:t>
      </w:r>
      <w:r w:rsidRPr="003E305A">
        <w:lastRenderedPageBreak/>
        <w:t>Koch, comissário do Reich para a Ucrânia ocupada, defendeu a aniquilação dos intelectuais e das demais camadas cultas do país, no que foi apoiado por Himmler</w:t>
      </w:r>
      <w:r w:rsidRPr="003E305A">
        <w:rPr>
          <w:rStyle w:val="Refdenotaderodap"/>
        </w:rPr>
        <w:footnoteReference w:id="339"/>
      </w:r>
      <w:r w:rsidRPr="003E305A">
        <w:t>. Um dos seus subordinados vangloriar-se-ia mesmo de que «na minha zona, quem quer que dê mostras de inteligência será fuzilado»</w:t>
      </w:r>
      <w:r w:rsidRPr="003E305A">
        <w:rPr>
          <w:rStyle w:val="Refdenotaderodap"/>
        </w:rPr>
        <w:footnoteReference w:id="340"/>
      </w:r>
      <w:r w:rsidRPr="003E305A">
        <w:t xml:space="preserve">. Para evitar o reaparecimento de camadas sociais </w:t>
      </w:r>
      <w:r w:rsidR="002B73E8">
        <w:t>instruídas</w:t>
      </w:r>
      <w:r w:rsidRPr="003E305A">
        <w:t xml:space="preserve"> e manter os </w:t>
      </w:r>
      <w:r w:rsidRPr="003E305A">
        <w:rPr>
          <w:i/>
        </w:rPr>
        <w:t>Untermenschen</w:t>
      </w:r>
      <w:r w:rsidRPr="003E305A">
        <w:t xml:space="preserve"> no mais baixo nível cultural foram encerrados todos os estabelecimentos de ensino superior, médio e técnico no Governo-Geral e nos territórios soviéticos ocupados e</w:t>
      </w:r>
      <w:r w:rsidR="007B3F52">
        <w:t>,</w:t>
      </w:r>
      <w:r w:rsidRPr="003E305A">
        <w:t xml:space="preserve"> </w:t>
      </w:r>
      <w:r w:rsidR="007B3F52">
        <w:t>além de se terem pilhado e destruído bibliotecas</w:t>
      </w:r>
      <w:r w:rsidR="0010091B">
        <w:t xml:space="preserve"> e museus</w:t>
      </w:r>
      <w:r w:rsidR="007B3F52">
        <w:t xml:space="preserve">, </w:t>
      </w:r>
      <w:r w:rsidRPr="003E305A">
        <w:t>a instrução primária ficou reduzida a termos elementares</w:t>
      </w:r>
      <w:r w:rsidRPr="003E305A">
        <w:rPr>
          <w:rStyle w:val="Refdenotaderodap"/>
        </w:rPr>
        <w:footnoteReference w:id="341"/>
      </w:r>
      <w:r w:rsidRPr="003E305A">
        <w:t xml:space="preserve">. «Para a população não germânica de </w:t>
      </w:r>
      <w:r w:rsidR="00A4001C" w:rsidRPr="003E305A">
        <w:t>Leste</w:t>
      </w:r>
      <w:r w:rsidRPr="003E305A">
        <w:t>», explic</w:t>
      </w:r>
      <w:r>
        <w:t>ou</w:t>
      </w:r>
      <w:r w:rsidRPr="003E305A">
        <w:t xml:space="preserve"> Himmler em Maio de 1940, é suficiente «ensinar-lhes a contar até quinhentos, a escrever o nome, e que é vontade de Deus obedecerem aos alemães e serem honestos, trabalhadores e amáveis. Não considero necessário que saibam ler»</w:t>
      </w:r>
      <w:r w:rsidRPr="003E305A">
        <w:rPr>
          <w:rStyle w:val="Refdenotaderodap"/>
        </w:rPr>
        <w:footnoteReference w:id="342"/>
      </w:r>
      <w:r w:rsidRPr="003E305A">
        <w:t xml:space="preserve">. Entretanto, até ao final de 1942 as tropas húngaras tinham deportado a totalidade dos intelectuais e dos membros das profissões liberais nas regiões da Jugoslávia que ocupavam por conta do </w:t>
      </w:r>
      <w:r w:rsidR="003878B6">
        <w:t>Reich</w:t>
      </w:r>
      <w:r w:rsidRPr="003E305A">
        <w:rPr>
          <w:rStyle w:val="Refdenotaderodap"/>
        </w:rPr>
        <w:footnoteReference w:id="343"/>
      </w:r>
      <w:r w:rsidRPr="003E305A">
        <w:t>. Um plano tão consistente e aplicado de maneira tão metódica fora obrigatoriamente pensado desde há muitos anos. Sabe-se, com efeito, que já antes de 1933 Darré e Hitler haviam previsto a manutenção dos eslavos em situação de analfabetismo</w:t>
      </w:r>
      <w:r w:rsidRPr="003E305A">
        <w:rPr>
          <w:rStyle w:val="Refdenotaderodap"/>
        </w:rPr>
        <w:footnoteReference w:id="344"/>
      </w:r>
      <w:r w:rsidRPr="003E305A">
        <w:t xml:space="preserve">. Afinal, como o Führer confidenciou aos seus íntimos em </w:t>
      </w:r>
      <w:r w:rsidR="00C76C52">
        <w:t>Julho de 1941, «o nosso interesse é que o povo» dos territórios soviéticos conquistados «saiba apenas o suficiente para entender os sinais de trânsito»</w:t>
      </w:r>
      <w:r w:rsidR="001D7EE5">
        <w:rPr>
          <w:rStyle w:val="Refdenotaderodap"/>
        </w:rPr>
        <w:footnoteReference w:id="345"/>
      </w:r>
      <w:r w:rsidR="002B73E8">
        <w:t>.</w:t>
      </w:r>
      <w:r w:rsidR="00C76C52">
        <w:t xml:space="preserve"> </w:t>
      </w:r>
      <w:r w:rsidR="002B73E8">
        <w:t>Mas</w:t>
      </w:r>
      <w:r w:rsidR="00027D95">
        <w:t>,</w:t>
      </w:r>
      <w:r w:rsidR="00D25225">
        <w:t xml:space="preserve"> pensando melhor, reconheceu </w:t>
      </w:r>
      <w:r w:rsidR="006E385F">
        <w:t>um ano depois que «Jodl tem razão quando diz que são supérflu</w:t>
      </w:r>
      <w:r w:rsidR="000400AD">
        <w:t>a</w:t>
      </w:r>
      <w:r w:rsidR="006E385F">
        <w:t xml:space="preserve">s </w:t>
      </w:r>
      <w:r w:rsidR="000400AD">
        <w:t xml:space="preserve">as tabuletas </w:t>
      </w:r>
      <w:r w:rsidR="006E385F">
        <w:t>em ucraniano avisando “Cuidado com os Comb</w:t>
      </w:r>
      <w:r w:rsidR="00383F01">
        <w:t>o</w:t>
      </w:r>
      <w:r w:rsidR="006E385F">
        <w:t>ios”, pois o que importa se mais um ou dois nativos ficarem debaixo de um comb</w:t>
      </w:r>
      <w:r w:rsidR="00383F01">
        <w:t>o</w:t>
      </w:r>
      <w:r w:rsidR="006E385F">
        <w:t>io?»</w:t>
      </w:r>
      <w:r w:rsidR="007209BA">
        <w:rPr>
          <w:rStyle w:val="Refdenotaderodap"/>
        </w:rPr>
        <w:footnoteReference w:id="346"/>
      </w:r>
      <w:r w:rsidR="006E385F">
        <w:t xml:space="preserve">. </w:t>
      </w:r>
    </w:p>
    <w:p w:rsidR="00321E01" w:rsidRPr="003E305A" w:rsidRDefault="00321E01" w:rsidP="00321E01">
      <w:r w:rsidRPr="003E305A">
        <w:t xml:space="preserve">A liquidação de pessoas dos estratos dirigentes tradicionais não podia ser deixada a cargo dos generais, que permaneciam demasiado presos aos interesses conservadores. Foram </w:t>
      </w:r>
      <w:r w:rsidRPr="003E305A">
        <w:lastRenderedPageBreak/>
        <w:t xml:space="preserve">os SS quem levou a cabo este programa, e com ele deram um passo </w:t>
      </w:r>
      <w:r w:rsidR="00BF1A02">
        <w:t>adiante</w:t>
      </w:r>
      <w:r w:rsidRPr="003E305A">
        <w:t xml:space="preserve"> no processo de marginalização </w:t>
      </w:r>
      <w:r w:rsidR="00BD4FBD">
        <w:t>da Wehrmacht</w:t>
      </w:r>
      <w:r w:rsidRPr="003E305A">
        <w:t xml:space="preserve">, que no último ano da guerra </w:t>
      </w:r>
      <w:r w:rsidR="00207562">
        <w:t xml:space="preserve">os </w:t>
      </w:r>
      <w:r w:rsidRPr="003E305A">
        <w:t xml:space="preserve">levaria à obtenção do poder completo. Na </w:t>
      </w:r>
      <w:r>
        <w:t>mudança</w:t>
      </w:r>
      <w:r w:rsidRPr="003E305A">
        <w:t xml:space="preserve"> dos equilíbrios internos do </w:t>
      </w:r>
      <w:r w:rsidR="004C22A7">
        <w:t>Terceiro Reich</w:t>
      </w:r>
      <w:r w:rsidRPr="003E305A">
        <w:t>, a subjugação dos sub-homens e a hegemonia alcançada pelos SS estiveram indissoluvelmente ligadas. No começo de Outubro de 1939 Himmler foi nomeado comissário do Reich para o Reforço do Germanismo, um cargo que lhe atribu</w:t>
      </w:r>
      <w:r>
        <w:t>iu</w:t>
      </w:r>
      <w:r w:rsidRPr="003E305A">
        <w:t xml:space="preserve"> funções supraministeriais à escala continental. Do mesmo modo, ao ser lançada a campanha contra a União Soviética, quando as tropas </w:t>
      </w:r>
      <w:r w:rsidR="00F84BBE">
        <w:t>germânicas</w:t>
      </w:r>
      <w:r w:rsidRPr="003E305A">
        <w:t xml:space="preserve"> receberam ordens rigorosas para fuzilar todos os comissários comunistas, a confiança que Hitler tinha nos generais não era excessiva e concedeu a Himmler poderes repressivos e administrativos especiais para levar a cabo aquele extermínio</w:t>
      </w:r>
      <w:r w:rsidRPr="003E305A">
        <w:rPr>
          <w:rStyle w:val="Refdenotaderodap"/>
        </w:rPr>
        <w:footnoteReference w:id="347"/>
      </w:r>
      <w:r w:rsidRPr="003E305A">
        <w:t xml:space="preserve">. </w:t>
      </w:r>
    </w:p>
    <w:p w:rsidR="00321E01" w:rsidRPr="003E305A" w:rsidRDefault="00321E01" w:rsidP="00321E01">
      <w:r w:rsidRPr="003E305A">
        <w:t>Matar os milhares de pessoas pertencentes às classes dominantes era possível através do assassinato individual, do fuzilamento e do enforcamento. Mas o programa de desorganização social dos sub-homens era mais vasto e previa igualmente a eliminação de uma grande parte do outro elemento</w:t>
      </w:r>
      <w:r>
        <w:t xml:space="preserve"> moderno</w:t>
      </w:r>
      <w:r w:rsidRPr="003E305A">
        <w:t xml:space="preserve">, o operariado industrial. A esta escala a chacina devia ser </w:t>
      </w:r>
      <w:r w:rsidR="00284C01">
        <w:t>massiva</w:t>
      </w:r>
      <w:r w:rsidRPr="003E305A">
        <w:t xml:space="preserve">, e os </w:t>
      </w:r>
      <w:r w:rsidR="00083AAE">
        <w:t>nacionais-socialistas</w:t>
      </w:r>
      <w:r w:rsidRPr="003E305A">
        <w:t xml:space="preserve"> planificaram a morte pela fome de uma percentagem muito considerável da população urbana de </w:t>
      </w:r>
      <w:r w:rsidR="00A4001C" w:rsidRPr="003E305A">
        <w:t>Leste</w:t>
      </w:r>
      <w:r w:rsidRPr="003E305A">
        <w:t xml:space="preserve">. Aliás, já em 1932 e durante os primeiros anos de governo Hitler manifestara a intenção de despovoar os territórios eslavos para ocupá-los com colonos alemães, embora não se referisse então a um massacre colectivo e apenas enunciasse </w:t>
      </w:r>
      <w:r>
        <w:t>o</w:t>
      </w:r>
      <w:r w:rsidRPr="003E305A">
        <w:t xml:space="preserve"> projecto de emigração forçada de milhões de autóctones, completado por medidas destinadas a impedir a procriação daqueles que restassem nos países de origem</w:t>
      </w:r>
      <w:r w:rsidRPr="003E305A">
        <w:rPr>
          <w:rStyle w:val="Refdenotaderodap"/>
        </w:rPr>
        <w:footnoteReference w:id="348"/>
      </w:r>
      <w:r w:rsidRPr="003E305A">
        <w:t xml:space="preserve">. A guerra, todavia, forneceu condições propícias ao genocídio. Em Junho de 1941, dois dias antes de ser lançado o assalto contra a União Soviética, Rosenberg </w:t>
      </w:r>
      <w:r w:rsidR="00083AAE">
        <w:t xml:space="preserve">disse num </w:t>
      </w:r>
      <w:r w:rsidRPr="003E305A">
        <w:t>discurs</w:t>
      </w:r>
      <w:r w:rsidR="00083AAE">
        <w:t>o</w:t>
      </w:r>
      <w:r w:rsidRPr="003E305A">
        <w:t xml:space="preserve"> aos seus colaboradores mais próximos</w:t>
      </w:r>
      <w:r w:rsidR="00083AAE">
        <w:t>:</w:t>
      </w:r>
      <w:r w:rsidRPr="003E305A">
        <w:t xml:space="preserve"> «Obter alimentos para o povo alemão constitui a principal das prioridades que nos levam a reivindicar o </w:t>
      </w:r>
      <w:r w:rsidR="009F6645" w:rsidRPr="003E305A">
        <w:t>Leste</w:t>
      </w:r>
      <w:r w:rsidRPr="003E305A">
        <w:t xml:space="preserve">. Os territórios meridionais [da Rússia] devem servir [...] para alimentar o povo alemão. Não vemos </w:t>
      </w:r>
      <w:r w:rsidR="00083AAE">
        <w:t>nenhuma</w:t>
      </w:r>
      <w:r w:rsidRPr="003E305A">
        <w:t xml:space="preserve"> razão que nos obrigue a usar a produção desse território fértil para alimentar também o povo russo»</w:t>
      </w:r>
      <w:r w:rsidRPr="003E305A">
        <w:rPr>
          <w:rStyle w:val="Refdenotaderodap"/>
        </w:rPr>
        <w:footnoteReference w:id="349"/>
      </w:r>
      <w:r w:rsidRPr="003E305A">
        <w:t xml:space="preserve">. Mas Rosenberg foi afastado das altas esferas </w:t>
      </w:r>
      <w:r>
        <w:t xml:space="preserve">por </w:t>
      </w:r>
      <w:r w:rsidRPr="003E305A">
        <w:t>defende</w:t>
      </w:r>
      <w:r>
        <w:t>r</w:t>
      </w:r>
      <w:r w:rsidRPr="003E305A">
        <w:t xml:space="preserve"> uma atitude conciliatória </w:t>
      </w:r>
      <w:r w:rsidR="0019476C">
        <w:t>na Ucrânia</w:t>
      </w:r>
      <w:r w:rsidRPr="003E305A">
        <w:t xml:space="preserve">, que permitisse aos </w:t>
      </w:r>
      <w:r w:rsidR="00083AAE">
        <w:t>ocupantes</w:t>
      </w:r>
      <w:r w:rsidRPr="003E305A">
        <w:t xml:space="preserve"> encontrar aliados locais contra o Exército Vermelho. Outras vozes houve, mais autorizadas. Um memorando secreto onde se registaram as deliberações de uma reunião de secretários de Estado efectuada </w:t>
      </w:r>
      <w:r w:rsidRPr="003E305A">
        <w:lastRenderedPageBreak/>
        <w:t>a 2 de Maio de 1941 afirm</w:t>
      </w:r>
      <w:r w:rsidR="00083AAE">
        <w:t>ou</w:t>
      </w:r>
      <w:r w:rsidRPr="003E305A">
        <w:t xml:space="preserve"> com concisão: «Não há qualquer dúvida de que muitos milhões de pessoas morrerão de fome se tirarmos do país aquilo de que necessitamos»</w:t>
      </w:r>
      <w:r w:rsidRPr="003E305A">
        <w:rPr>
          <w:rStyle w:val="Refdenotaderodap"/>
        </w:rPr>
        <w:footnoteReference w:id="350"/>
      </w:r>
      <w:r w:rsidRPr="003E305A">
        <w:t xml:space="preserve">. Entretanto, Göring fora nomeado para superintender a exploração dos territórios que deviam ser conquistados à União Soviética, e em 23 de Maio, exactamente um mês antes de ter início a ofensiva a </w:t>
      </w:r>
      <w:r w:rsidR="009F6645" w:rsidRPr="003E305A">
        <w:t>leste</w:t>
      </w:r>
      <w:r w:rsidRPr="003E305A">
        <w:t>, uma directiva emanada dos seus serviços económicos estipul</w:t>
      </w:r>
      <w:r>
        <w:t>ou</w:t>
      </w:r>
      <w:r w:rsidRPr="003E305A">
        <w:t>: «É possível que a administração alemã naqueles territórios tente minorar as consequências da fome generalizada que terá indubitavelmente lugar e acelere o regresso a condições agrícolas primitivas. [...] Todavia, estas medidas não evitarão a fome. Muitas dezenas de milhões de pessoas nas áreas industriais tornar-se-ão supérfluas e morrerão ou terão de emigrar para a Sibéria. Qualquer tentativa de importar excedentes da zona dos solos negros para salvar aquela população de morrer de fome prejudicaria o abastecimento da Europa. Isto reduziria a capacidade de resistência da Alemanha na guerra e deixaria a Alemanha e a Europa com menos possibilidades de fazer face ao bloqueio. É necessário que isto seja clara e integralmente compreendido»</w:t>
      </w:r>
      <w:r w:rsidRPr="003E305A">
        <w:rPr>
          <w:rStyle w:val="Refdenotaderodap"/>
        </w:rPr>
        <w:footnoteReference w:id="351"/>
      </w:r>
      <w:r w:rsidRPr="003E305A">
        <w:t>. Himmler, por seu turno, declar</w:t>
      </w:r>
      <w:r>
        <w:t>ou</w:t>
      </w:r>
      <w:r w:rsidRPr="003E305A">
        <w:t xml:space="preserve"> nas vésperas do assalto à União Soviética que «a campanha russa tem por objectivo dizimar 30 milhões de eslavos»</w:t>
      </w:r>
      <w:r w:rsidRPr="003E305A">
        <w:rPr>
          <w:rStyle w:val="Refdenotaderodap"/>
        </w:rPr>
        <w:footnoteReference w:id="352"/>
      </w:r>
      <w:r w:rsidR="00F654B3">
        <w:t>,</w:t>
      </w:r>
      <w:r w:rsidRPr="003E305A">
        <w:t xml:space="preserve"> </w:t>
      </w:r>
      <w:r w:rsidR="00F654B3">
        <w:t>e também Herbert Backe, que na ocasião era já a principal figura no Ministério da Alimentação e Agricultura, calcul</w:t>
      </w:r>
      <w:r w:rsidR="00D0018B">
        <w:t>ou</w:t>
      </w:r>
      <w:r w:rsidR="00F654B3">
        <w:t xml:space="preserve"> entre vinte e trinta milhões a «população excedentária» da União Soviética</w:t>
      </w:r>
      <w:r w:rsidR="00F654B3">
        <w:rPr>
          <w:rStyle w:val="Refdenotaderodap"/>
        </w:rPr>
        <w:footnoteReference w:id="353"/>
      </w:r>
      <w:r w:rsidR="00F654B3">
        <w:t xml:space="preserve">. </w:t>
      </w:r>
      <w:r w:rsidRPr="003E305A">
        <w:t>Uma directiva emanada do Führer em 29 de Setembro de 1941, depois de estipular que Leningrado fosse inteiramente arrasada, explic</w:t>
      </w:r>
      <w:r>
        <w:t>ou</w:t>
      </w:r>
      <w:r w:rsidRPr="003E305A">
        <w:t xml:space="preserve"> que «o problema da sobrevivência da população e do seu abastecimento alimentar não pode e não deve ser resolvido por nós. Nesta guerra pela existência não temos interesse em conservar nem sequer parcialmente a população desta grande cidade»</w:t>
      </w:r>
      <w:r w:rsidRPr="003E305A">
        <w:rPr>
          <w:rStyle w:val="Refdenotaderodap"/>
        </w:rPr>
        <w:footnoteReference w:id="354"/>
      </w:r>
      <w:r w:rsidRPr="003E305A">
        <w:t xml:space="preserve">. </w:t>
      </w:r>
      <w:r w:rsidR="000D50FD">
        <w:t xml:space="preserve">Baseados nos interrogatórios de desertores e prisioneiros de guerra, os </w:t>
      </w:r>
      <w:r w:rsidR="000D50FD">
        <w:lastRenderedPageBreak/>
        <w:t>serviços de informação da Wehrmacht e dos SS seguiam atentamente os progressos da fome na cidade sitiada</w:t>
      </w:r>
      <w:r w:rsidR="000D50FD">
        <w:rPr>
          <w:rStyle w:val="Refdenotaderodap"/>
        </w:rPr>
        <w:footnoteReference w:id="355"/>
      </w:r>
      <w:r w:rsidR="000D50FD">
        <w:t xml:space="preserve">. </w:t>
      </w:r>
      <w:r w:rsidRPr="003E305A">
        <w:t>Outras metrópoles, como Moscovo</w:t>
      </w:r>
      <w:r w:rsidR="000D7BB5">
        <w:t>,</w:t>
      </w:r>
      <w:r w:rsidRPr="003E305A">
        <w:t xml:space="preserve"> </w:t>
      </w:r>
      <w:r w:rsidR="000D7BB5">
        <w:t xml:space="preserve">Kiev </w:t>
      </w:r>
      <w:r w:rsidRPr="003E305A">
        <w:t>e Varsóvia, destinavam-se a ser demolidas também, depois de se privar de alimentos os seus habitantes</w:t>
      </w:r>
      <w:r w:rsidRPr="003E305A">
        <w:rPr>
          <w:rStyle w:val="Refdenotaderodap"/>
        </w:rPr>
        <w:footnoteReference w:id="356"/>
      </w:r>
      <w:r w:rsidRPr="003E305A">
        <w:t xml:space="preserve">. </w:t>
      </w:r>
      <w:r w:rsidR="00AC6822">
        <w:t xml:space="preserve">Em 31 de Agosto de 1942 o </w:t>
      </w:r>
      <w:r w:rsidR="00E143E6" w:rsidRPr="003E305A">
        <w:t xml:space="preserve">chefe do estado-maior do exército, </w:t>
      </w:r>
      <w:r w:rsidR="00AC6822">
        <w:t>general Halder</w:t>
      </w:r>
      <w:r w:rsidR="00E143E6">
        <w:t>,</w:t>
      </w:r>
      <w:r w:rsidR="00AC6822">
        <w:t xml:space="preserve"> anotou no seu diário que o Führer tinha dado ordens para, logo que</w:t>
      </w:r>
      <w:r w:rsidR="001A18D7">
        <w:t xml:space="preserve"> estivesse completad</w:t>
      </w:r>
      <w:r w:rsidR="00B86966">
        <w:t>a a conquista de Stalingrado, fosse exterminada a totalidade da população masculina e expulsa a população feminina</w:t>
      </w:r>
      <w:r w:rsidR="00B86966">
        <w:rPr>
          <w:rStyle w:val="Refdenotaderodap"/>
        </w:rPr>
        <w:footnoteReference w:id="357"/>
      </w:r>
      <w:r w:rsidR="00B86966">
        <w:t xml:space="preserve">. </w:t>
      </w:r>
      <w:r w:rsidR="00C01AE1">
        <w:t>E o marechal Keitel</w:t>
      </w:r>
      <w:r w:rsidR="006B2E1A">
        <w:t>,</w:t>
      </w:r>
      <w:r w:rsidR="00C01AE1">
        <w:t xml:space="preserve"> </w:t>
      </w:r>
      <w:r w:rsidR="006B2E1A">
        <w:t xml:space="preserve">chefe do </w:t>
      </w:r>
      <w:r w:rsidR="00346863">
        <w:t xml:space="preserve">Alto </w:t>
      </w:r>
      <w:r w:rsidR="006B2E1A">
        <w:t xml:space="preserve">Comando das Forças Armadas, </w:t>
      </w:r>
      <w:r w:rsidR="00C01AE1">
        <w:t>consignou no seu diário, a 20 de Outubro de</w:t>
      </w:r>
      <w:r w:rsidR="00D56FD9">
        <w:t>sse ano</w:t>
      </w:r>
      <w:r w:rsidR="00C01AE1">
        <w:t xml:space="preserve">, que, segundo o Führer, vinte milhões de </w:t>
      </w:r>
      <w:r w:rsidR="006B2E1A">
        <w:t>russos</w:t>
      </w:r>
      <w:r w:rsidR="00C01AE1">
        <w:t xml:space="preserve"> estariam condenados a morrer de fome</w:t>
      </w:r>
      <w:r w:rsidR="00C01AE1">
        <w:rPr>
          <w:rStyle w:val="Refdenotaderodap"/>
        </w:rPr>
        <w:footnoteReference w:id="358"/>
      </w:r>
      <w:r w:rsidR="00C01AE1">
        <w:t xml:space="preserve">. </w:t>
      </w:r>
      <w:r w:rsidRPr="003E305A">
        <w:t>Entretanto, num âmbito mais imediato, deixa</w:t>
      </w:r>
      <w:r w:rsidR="006A0389">
        <w:t>r</w:t>
      </w:r>
      <w:r w:rsidRPr="003E305A">
        <w:t xml:space="preserve">am-se morrer de fome </w:t>
      </w:r>
      <w:r w:rsidR="004259B7">
        <w:t xml:space="preserve">talvez acima de </w:t>
      </w:r>
      <w:r w:rsidR="006A0389">
        <w:t xml:space="preserve">três </w:t>
      </w:r>
      <w:r w:rsidRPr="003E305A">
        <w:t>milhões de prisioneiros de guerra soviéticos</w:t>
      </w:r>
      <w:r w:rsidRPr="003E305A">
        <w:rPr>
          <w:rStyle w:val="Refdenotaderodap"/>
        </w:rPr>
        <w:footnoteReference w:id="359"/>
      </w:r>
      <w:r w:rsidRPr="003E305A">
        <w:t>. Em Outubro de 1941 Göring confidenci</w:t>
      </w:r>
      <w:r>
        <w:t>ou</w:t>
      </w:r>
      <w:r w:rsidRPr="003E305A">
        <w:t xml:space="preserve"> ao conde Ciano, genro de Mussolini e seu ministro dos Negócios Estrangeiros: «Nos campos de prisioneiros russos eles começaram a comer-se uns aos outros. Este ano entre vinte e trinta milhões de pessoas morrerão de fome na Rússia. Talvez seja bom que isto suceda, porque certas nações têm de ser dizimadas. Mas mesmo que o não fosse, nada se pode fazer para evitá-lo»</w:t>
      </w:r>
      <w:r w:rsidRPr="003E305A">
        <w:rPr>
          <w:rStyle w:val="Refdenotaderodap"/>
        </w:rPr>
        <w:footnoteReference w:id="360"/>
      </w:r>
      <w:r w:rsidRPr="003E305A">
        <w:t xml:space="preserve">. «É-me completamente indiferente o que possa suceder a um russo ou um checo», declarou Himmler exactamente dois anos mais tarde, num discurso proferido perante os altos comandos dos SS. «Só me interessa saber se os outros povos vivem na prosperidade ou se </w:t>
      </w:r>
      <w:r w:rsidR="00D071D0">
        <w:t xml:space="preserve">esticam o pernil </w:t>
      </w:r>
      <w:r w:rsidRPr="003E305A">
        <w:t>como animais na medida em que precisamos deles como escravos para a nossa cultura. O resto não me interessa»</w:t>
      </w:r>
      <w:r w:rsidRPr="003E305A">
        <w:rPr>
          <w:rStyle w:val="Refdenotaderodap"/>
        </w:rPr>
        <w:footnoteReference w:id="361"/>
      </w:r>
      <w:r w:rsidRPr="003E305A">
        <w:t>. Finalmente, para completar o programa de extermínio as autoridades naciona</w:t>
      </w:r>
      <w:r w:rsidR="00907E4E">
        <w:t>l</w:t>
      </w:r>
      <w:r w:rsidRPr="003E305A">
        <w:t xml:space="preserve">-socialistas tencionavam encerrar ou reduzir ao mínimo os hospitais e os serviços de saúde e vacinação e, em geral, destruir toda a infra-estrutura higiénica </w:t>
      </w:r>
      <w:r w:rsidRPr="003E305A">
        <w:lastRenderedPageBreak/>
        <w:t>e sanitária, de maneira a manter baixa ou mesmo negativa a taxa de reprodução demográfica da população eslava</w:t>
      </w:r>
      <w:r w:rsidRPr="003E305A">
        <w:rPr>
          <w:rStyle w:val="Refdenotaderodap"/>
        </w:rPr>
        <w:footnoteReference w:id="362"/>
      </w:r>
      <w:r w:rsidRPr="003E305A">
        <w:t xml:space="preserve">. </w:t>
      </w:r>
      <w:r w:rsidR="00292069">
        <w:t xml:space="preserve">Aliás, ambos os aspectos se conjugavam quando as rações </w:t>
      </w:r>
      <w:r w:rsidR="00083AAE">
        <w:t xml:space="preserve">diminutas atribuídas </w:t>
      </w:r>
      <w:r w:rsidR="00292069">
        <w:t>às crianças nos infantários eslavos asseguravam que elas haveriam de morrer de fome em poucos meses</w:t>
      </w:r>
      <w:r w:rsidR="00292069">
        <w:rPr>
          <w:rStyle w:val="Refdenotaderodap"/>
        </w:rPr>
        <w:footnoteReference w:id="363"/>
      </w:r>
      <w:r w:rsidR="00292069">
        <w:t xml:space="preserve">. </w:t>
      </w:r>
      <w:r w:rsidR="00FD73CA">
        <w:t>Em Agosto de 1942 escreveu Martin Bormann, dedicado intérprete das intenções do Führer: «Os eslavos devem trabalhar para nós. Aqueles de que não necessitarmos podem morrer. A fertilidade dos eslavos não é desejável»</w:t>
      </w:r>
      <w:r w:rsidR="00FD73CA">
        <w:rPr>
          <w:rStyle w:val="Refdenotaderodap"/>
        </w:rPr>
        <w:footnoteReference w:id="364"/>
      </w:r>
      <w:r w:rsidR="00FD73CA">
        <w:t xml:space="preserve">. </w:t>
      </w:r>
    </w:p>
    <w:p w:rsidR="00321E01" w:rsidRPr="003E305A" w:rsidRDefault="00321E01" w:rsidP="00321E01">
      <w:r w:rsidRPr="003E305A">
        <w:t xml:space="preserve">Os </w:t>
      </w:r>
      <w:r w:rsidR="00083AAE">
        <w:t>nacionais-socialistas</w:t>
      </w:r>
      <w:r w:rsidRPr="003E305A">
        <w:t xml:space="preserve"> esperavam que num prazo muito curto </w:t>
      </w:r>
      <w:r w:rsidR="00276422">
        <w:t>aquele</w:t>
      </w:r>
      <w:r w:rsidRPr="003E305A">
        <w:t xml:space="preserve"> conjunto de medidas, aplicado rigorosamente, privasse os sub-homens dos seus dirigentes naturais e do meio social em que </w:t>
      </w:r>
      <w:r w:rsidR="0087663F">
        <w:t xml:space="preserve">uma nova elite </w:t>
      </w:r>
      <w:r w:rsidR="00B86E54">
        <w:t>pudesse</w:t>
      </w:r>
      <w:r w:rsidRPr="003E305A">
        <w:t xml:space="preserve"> surgir. E como a presumida inferioridade biológica dos sub-homens os deixaria incapazes de se revoltarem sozinhos, </w:t>
      </w:r>
      <w:r w:rsidR="00002871">
        <w:t>ficaria</w:t>
      </w:r>
      <w:r w:rsidRPr="003E305A">
        <w:t xml:space="preserve"> instaurada a </w:t>
      </w:r>
      <w:r w:rsidR="009F6645" w:rsidRPr="003E305A">
        <w:t>Leste</w:t>
      </w:r>
      <w:r w:rsidRPr="003E305A">
        <w:t xml:space="preserve"> uma ordem sem falhas</w:t>
      </w:r>
      <w:r w:rsidR="00002871">
        <w:t xml:space="preserve"> e </w:t>
      </w:r>
      <w:r w:rsidRPr="003E305A">
        <w:t>os eslavos estariam irrevogavelmente reduzidos à sua condição de sub-humanidade</w:t>
      </w:r>
      <w:r w:rsidRPr="003E305A">
        <w:rPr>
          <w:rStyle w:val="Refdenotaderodap"/>
        </w:rPr>
        <w:footnoteReference w:id="365"/>
      </w:r>
      <w:r w:rsidRPr="003E305A">
        <w:t xml:space="preserve">. Em termos gerais, mas suficientemente claros e bastante precisos quanto às intenções últimas, esta estratégia fora já formulada em </w:t>
      </w:r>
      <w:r w:rsidRPr="003E305A">
        <w:rPr>
          <w:i/>
        </w:rPr>
        <w:t>Mein Kampf,</w:t>
      </w:r>
      <w:r w:rsidRPr="003E305A">
        <w:t xml:space="preserve"> onde se lê que a raça superior precisa de escravizar a raça inferior para criar as condições materiais e tecnológicas da sua supremacia e onde se encontra a antecipação do sistema usado para colonizar os territórios ocupados a </w:t>
      </w:r>
      <w:r w:rsidR="009F6645" w:rsidRPr="003E305A">
        <w:t>Leste</w:t>
      </w:r>
      <w:r w:rsidRPr="003E305A">
        <w:rPr>
          <w:rStyle w:val="Refdenotaderodap"/>
        </w:rPr>
        <w:footnoteReference w:id="366"/>
      </w:r>
      <w:r w:rsidRPr="003E305A">
        <w:t xml:space="preserve">. Uma vez mais, teriam os </w:t>
      </w:r>
      <w:r w:rsidR="002C354C">
        <w:t>nacionais-socialistas</w:t>
      </w:r>
      <w:r w:rsidRPr="003E305A">
        <w:t xml:space="preserve"> chegado a um metacapitalismo ou retrocedido até um pré-capitalismo revisto e corrigido pelo medievalismo romântico</w:t>
      </w:r>
      <w:r w:rsidR="00CE7905" w:rsidRPr="00A21ED7">
        <w:rPr>
          <w:vertAlign w:val="superscript"/>
        </w:rPr>
        <w:footnoteReference w:id="367"/>
      </w:r>
      <w:r w:rsidRPr="003E305A">
        <w:t xml:space="preserve">? </w:t>
      </w:r>
    </w:p>
    <w:p w:rsidR="00321E01" w:rsidRPr="003E305A" w:rsidRDefault="00321E01" w:rsidP="00321E01">
      <w:r w:rsidRPr="003E305A">
        <w:t xml:space="preserve">No espaço deixado livre pelas populações dizimadas ou esvaziado pela deslocação forçada dos autóctones, </w:t>
      </w:r>
      <w:r w:rsidR="00CE6CBD">
        <w:t xml:space="preserve">deviam </w:t>
      </w:r>
      <w:r w:rsidR="006F3EAD">
        <w:t>fixar</w:t>
      </w:r>
      <w:r w:rsidRPr="003E305A">
        <w:t xml:space="preserve">-se colonos de origem germânica vindos de uma diversidade de países. </w:t>
      </w:r>
      <w:r>
        <w:t xml:space="preserve">Para </w:t>
      </w:r>
      <w:r w:rsidRPr="003E305A">
        <w:t>explora</w:t>
      </w:r>
      <w:r>
        <w:t>rem</w:t>
      </w:r>
      <w:r w:rsidRPr="003E305A">
        <w:t xml:space="preserve"> os campos que lhes eram atribuídos, estes imigrantes beneficiaram das instalações, do equipamento e do gado confiscados aos antigos proprietários eslavos</w:t>
      </w:r>
      <w:r w:rsidRPr="003E305A">
        <w:rPr>
          <w:rStyle w:val="Refdenotaderodap"/>
        </w:rPr>
        <w:footnoteReference w:id="368"/>
      </w:r>
      <w:r w:rsidRPr="003E305A">
        <w:t xml:space="preserve">. De certo modo, a colonização das terras orientais estava na continuidade da </w:t>
      </w:r>
      <w:r w:rsidRPr="003E305A">
        <w:lastRenderedPageBreak/>
        <w:t>experiência ensaiada em 1919 pelo general von der Goltz, que tentara fundar nos países bálticos estabelecimentos agrícolas e militares onde se fixassem os soldados alemães desmobilizados. Mas a evolução dos acontecimentos impedira a realização deste projecto e</w:t>
      </w:r>
      <w:r w:rsidR="004F3F14">
        <w:t>, aliás,</w:t>
      </w:r>
      <w:r w:rsidRPr="003E305A">
        <w:t xml:space="preserve"> Goltz tivera a intenção de empregar essas forças para ajudar os russos brancos a restabelecerem o czarismo</w:t>
      </w:r>
      <w:r w:rsidRPr="003E305A">
        <w:rPr>
          <w:rStyle w:val="Refdenotaderodap"/>
        </w:rPr>
        <w:footnoteReference w:id="369"/>
      </w:r>
      <w:r w:rsidRPr="003E305A">
        <w:t xml:space="preserve">, enquanto os nacionais-socialistas, ofuscados pela sua mitologia racial, condenavam-se a não encontrar aliados a leste, e só inimigos. </w:t>
      </w:r>
      <w:r w:rsidR="00CF68B0">
        <w:t xml:space="preserve">«Os eslavos são uma massa de escravos natos, que sentem a necessidade de um senhor», </w:t>
      </w:r>
      <w:r w:rsidR="00B4460F">
        <w:t>resumiu</w:t>
      </w:r>
      <w:r w:rsidR="00CF68B0">
        <w:t xml:space="preserve"> Hitler</w:t>
      </w:r>
      <w:r w:rsidR="00A22DD6">
        <w:rPr>
          <w:rStyle w:val="Refdenotaderodap"/>
        </w:rPr>
        <w:footnoteReference w:id="370"/>
      </w:r>
      <w:r w:rsidR="00CF68B0">
        <w:t xml:space="preserve">. </w:t>
      </w:r>
      <w:r w:rsidRPr="003E305A">
        <w:t>Grande parte da população nativa sobrevivente foi enquadrada em habitats de tipo concentracionário e submetida a um regime de escravismo de Estado, para o qual o aparelho político-militar dos SS formou a ossatura repressiva e económica. Explic</w:t>
      </w:r>
      <w:r>
        <w:t>ou</w:t>
      </w:r>
      <w:r w:rsidRPr="003E305A">
        <w:t xml:space="preserve"> um historiador que «a submissão dos eslavos sobreviventes seria garantida por uma política de recolonização, inspirada pela noção de uma cadeia de povoações germânicas fortificadas, que se estendiam do Báltico até aos Cárpatos e eram guarnecidas por soldados-camponeses </w:t>
      </w:r>
      <w:r w:rsidRPr="003E305A">
        <w:rPr>
          <w:i/>
        </w:rPr>
        <w:t>(Wehrbauer),</w:t>
      </w:r>
      <w:r w:rsidRPr="003E305A">
        <w:t xml:space="preserve"> cuja função colonizadora não consistiria em levar a civilização para o </w:t>
      </w:r>
      <w:r w:rsidR="009F6645" w:rsidRPr="003E305A">
        <w:t>Leste</w:t>
      </w:r>
      <w:r w:rsidRPr="003E305A">
        <w:t>, mas em impedir definitivamente a civilização de renascer fora daquelas povoações»</w:t>
      </w:r>
      <w:r w:rsidRPr="003E305A">
        <w:rPr>
          <w:rStyle w:val="Refdenotaderodap"/>
        </w:rPr>
        <w:footnoteReference w:id="371"/>
      </w:r>
      <w:r w:rsidRPr="003E305A">
        <w:t>. Tal como Darré anunciara já em 1932, a missão da nova nobreza rácica saída do meio rural «além das fronteiras étnicas do país alemão, será a de servir de guarda pretoriana, formando senhores rigorosos, que hão-de impor o domínio alemão»</w:t>
      </w:r>
      <w:r w:rsidRPr="003E305A">
        <w:rPr>
          <w:rStyle w:val="Refdenotaderodap"/>
        </w:rPr>
        <w:footnoteReference w:id="372"/>
      </w:r>
      <w:r w:rsidRPr="003E305A">
        <w:t>. A 3 de Outubro de 1939 Hans Frank, nomeado a 12 desse mês governador-geral da Polónia ocupada, transmitiu aos chefes do exército as directivas do Führer</w:t>
      </w:r>
      <w:r w:rsidR="006F3EAD">
        <w:t>:</w:t>
      </w:r>
      <w:r w:rsidRPr="003E305A">
        <w:t xml:space="preserve"> «A Polónia será tratada como um território colonial. Os polacos serão os escravos do Grande Reich Alemão»</w:t>
      </w:r>
      <w:r w:rsidRPr="003E305A">
        <w:rPr>
          <w:rStyle w:val="Refdenotaderodap"/>
        </w:rPr>
        <w:footnoteReference w:id="373"/>
      </w:r>
      <w:r w:rsidRPr="003E305A">
        <w:t>. E no dia seguinte à nomeação confi</w:t>
      </w:r>
      <w:r>
        <w:t>ou</w:t>
      </w:r>
      <w:r w:rsidRPr="003E305A">
        <w:t xml:space="preserve"> ao seu diário: «Os polacos serão os escravos do Reich Alemão»</w:t>
      </w:r>
      <w:r w:rsidRPr="003E305A">
        <w:rPr>
          <w:rStyle w:val="Refdenotaderodap"/>
        </w:rPr>
        <w:footnoteReference w:id="374"/>
      </w:r>
      <w:r w:rsidRPr="003E305A">
        <w:t xml:space="preserve">. </w:t>
      </w:r>
      <w:r w:rsidR="00A836FC">
        <w:t>De resto</w:t>
      </w:r>
      <w:r w:rsidRPr="003E305A">
        <w:t>, para empregar as palavras usadas a propósito da União Soviética n</w:t>
      </w:r>
      <w:r w:rsidR="006F3EAD">
        <w:t>o</w:t>
      </w:r>
      <w:r w:rsidRPr="003E305A">
        <w:t xml:space="preserve"> relatório emanado em Maio de 1941 dos serviços económicos de Göring, os ocupantes </w:t>
      </w:r>
      <w:r w:rsidR="00B4460F">
        <w:t>nacional-socialistas</w:t>
      </w:r>
      <w:r w:rsidRPr="003E305A">
        <w:t xml:space="preserve"> usariam a fome generalizada «para acelerar o regresso a condições agrícolas primitivas»</w:t>
      </w:r>
      <w:r w:rsidRPr="003E305A">
        <w:rPr>
          <w:rStyle w:val="Refdenotaderodap"/>
        </w:rPr>
        <w:footnoteReference w:id="375"/>
      </w:r>
      <w:r w:rsidRPr="003E305A">
        <w:t xml:space="preserve"> </w:t>
      </w:r>
      <w:r w:rsidR="00B4460F" w:rsidRPr="003E305A">
        <w:t xml:space="preserve">e </w:t>
      </w:r>
      <w:r w:rsidRPr="003E305A">
        <w:t>os estabelecimentos industriais seriam desmantelados e enviado o material para a Alemanha</w:t>
      </w:r>
      <w:r w:rsidRPr="003E305A">
        <w:rPr>
          <w:rStyle w:val="Refdenotaderodap"/>
        </w:rPr>
        <w:footnoteReference w:id="376"/>
      </w:r>
      <w:r w:rsidRPr="003E305A">
        <w:t>. Escravos de Estado alimentados por uma agricultura arcaica, eis o lugar dos sub-homens na Nova Ordem europeia</w:t>
      </w:r>
      <w:r w:rsidRPr="003E305A">
        <w:rPr>
          <w:rStyle w:val="Refdenotaderodap"/>
        </w:rPr>
        <w:footnoteReference w:id="377"/>
      </w:r>
      <w:r w:rsidR="00B4460F">
        <w:t xml:space="preserve">. </w:t>
      </w:r>
    </w:p>
    <w:p w:rsidR="00321E01" w:rsidRPr="003E305A" w:rsidRDefault="00321E01" w:rsidP="00321E01">
      <w:r w:rsidRPr="003E305A">
        <w:lastRenderedPageBreak/>
        <w:t xml:space="preserve">Ao anunciar em 1932, a um círculo seleccionado de dirigentes do partido, os seus planos de colonização no </w:t>
      </w:r>
      <w:r w:rsidR="009F6645" w:rsidRPr="003E305A">
        <w:t>Leste</w:t>
      </w:r>
      <w:r w:rsidRPr="003E305A">
        <w:t>, o Führer referira «a classe dos estrangeiros submetidos pela conquista, a quem chamaremos com frieza os escravos modernos»</w:t>
      </w:r>
      <w:r w:rsidRPr="003E305A">
        <w:rPr>
          <w:rStyle w:val="Refdenotaderodap"/>
        </w:rPr>
        <w:footnoteReference w:id="378"/>
      </w:r>
      <w:r w:rsidRPr="003E305A">
        <w:t xml:space="preserve">. E pouco antes do começo da guerra, por exemplo no discurso de 23 de Maio de 1939 às chefias militares, a propósito da expansão para </w:t>
      </w:r>
      <w:r w:rsidR="009F6645" w:rsidRPr="003E305A">
        <w:t>Leste</w:t>
      </w:r>
      <w:r w:rsidRPr="003E305A">
        <w:t xml:space="preserve"> ele invocara a conveniência de empregar os eslavos como mão-de-obra forçada</w:t>
      </w:r>
      <w:r w:rsidRPr="003E305A">
        <w:rPr>
          <w:rStyle w:val="Refdenotaderodap"/>
        </w:rPr>
        <w:footnoteReference w:id="379"/>
      </w:r>
      <w:r w:rsidRPr="003E305A">
        <w:t xml:space="preserve">. Exactamente um mês mais tarde, na reunião do Conselho de Defesa do Reich, sob a presidência de Göring, quando se tratava de tomar disposições gerais para a preparação do conflito iminente, de novo </w:t>
      </w:r>
      <w:r>
        <w:t>foi</w:t>
      </w:r>
      <w:r w:rsidRPr="003E305A">
        <w:t xml:space="preserve"> encar</w:t>
      </w:r>
      <w:r>
        <w:t>ada</w:t>
      </w:r>
      <w:r w:rsidRPr="003E305A">
        <w:t xml:space="preserve"> a utilização compulsiva da força de trabalho eslava dos territórios ocupados, que nesta altura se resumiam ao Protectorado da Boémia e Morávia</w:t>
      </w:r>
      <w:r w:rsidRPr="003E305A">
        <w:rPr>
          <w:rStyle w:val="Refdenotaderodap"/>
        </w:rPr>
        <w:footnoteReference w:id="380"/>
      </w:r>
      <w:r w:rsidRPr="003E305A">
        <w:t xml:space="preserve">. Um enunciado completo do programa de escravização dos sub-homens encontra-se no discurso </w:t>
      </w:r>
      <w:r>
        <w:t>proferido</w:t>
      </w:r>
      <w:r w:rsidRPr="003E305A">
        <w:t xml:space="preserve"> por Himmler perante os altos comandos dos SS em </w:t>
      </w:r>
      <w:r w:rsidR="008D34D6">
        <w:t>Posen</w:t>
      </w:r>
      <w:r w:rsidRPr="003E305A">
        <w:t>, a 4 de Outubro de 1943, e que não teve então divulgação pública. «É-me completamente indiferente o que possa suceder a um russo ou um checo</w:t>
      </w:r>
      <w:r w:rsidR="00B4460F">
        <w:t>», ex</w:t>
      </w:r>
      <w:r w:rsidR="00E46A6F">
        <w:t>p</w:t>
      </w:r>
      <w:r w:rsidR="00B4460F">
        <w:t>licou ele</w:t>
      </w:r>
      <w:r w:rsidR="009A223A">
        <w:t>, e disse mais adiante:</w:t>
      </w:r>
      <w:r w:rsidRPr="003E305A">
        <w:t xml:space="preserve"> </w:t>
      </w:r>
      <w:r w:rsidR="00B4460F">
        <w:t>«</w:t>
      </w:r>
      <w:r w:rsidRPr="003E305A">
        <w:t xml:space="preserve">Só me interessa saber se os outros povos vivem na prosperidade ou se </w:t>
      </w:r>
      <w:r w:rsidR="00116EA9">
        <w:t xml:space="preserve">esticam o pernil </w:t>
      </w:r>
      <w:r w:rsidRPr="003E305A">
        <w:t>como animais na medida em que precisamos deles como escravos para a nossa cultura. O resto não me interessa. [...] A nossa preocupação, o nosso dever, é o nosso povo e o nosso sangue. [...] Podemos ser indiferentes a tudo o resto. Eu desejo que os SS adoptem esta atitude relativamente a todos os povos estrangeiros não-germânicos, especialmente os russos»</w:t>
      </w:r>
      <w:r w:rsidRPr="003E305A">
        <w:rPr>
          <w:rStyle w:val="Refdenotaderodap"/>
        </w:rPr>
        <w:footnoteReference w:id="381"/>
      </w:r>
      <w:r w:rsidRPr="003E305A">
        <w:t>. A submissão dos eslavos a um regime de escravismo de Estado foi o culminar da revolução nacional-socialista</w:t>
      </w:r>
      <w:r w:rsidR="00E46A6F">
        <w:t>,</w:t>
      </w:r>
      <w:r w:rsidR="00B4460F">
        <w:t xml:space="preserve"> e </w:t>
      </w:r>
      <w:r w:rsidR="00E46A6F">
        <w:t xml:space="preserve">já </w:t>
      </w:r>
      <w:r w:rsidR="00B4460F">
        <w:t xml:space="preserve">analisei os </w:t>
      </w:r>
      <w:r w:rsidR="004A5F70">
        <w:t xml:space="preserve">seus </w:t>
      </w:r>
      <w:r w:rsidR="00B4460F">
        <w:t xml:space="preserve">aspectos económicos </w:t>
      </w:r>
      <w:r w:rsidR="00E46A6F">
        <w:t>(no capítulo 4 da Parte 2)</w:t>
      </w:r>
      <w:r w:rsidR="00B4460F">
        <w:t xml:space="preserve">. </w:t>
      </w:r>
      <w:r w:rsidRPr="003E305A">
        <w:t xml:space="preserve">O programa racial de Hitler teria assim deixado obsoletas as ambições sociais dos irmãos Strasser. A perenidade da ordem resultaria de uma engenharia biológica e não de </w:t>
      </w:r>
      <w:r w:rsidR="00E46A6F">
        <w:t>qualquer</w:t>
      </w:r>
      <w:r w:rsidRPr="003E305A">
        <w:t xml:space="preserve"> arquitectura económica. </w:t>
      </w:r>
      <w:r w:rsidR="00B4460F" w:rsidRPr="003E305A">
        <w:t>Anula</w:t>
      </w:r>
      <w:r w:rsidR="00B4460F">
        <w:t>ndo</w:t>
      </w:r>
      <w:r w:rsidR="00B4460F" w:rsidRPr="003E305A">
        <w:t xml:space="preserve"> entre os eslavos todo o traço de organização própria</w:t>
      </w:r>
      <w:r w:rsidR="00B4460F">
        <w:t>,</w:t>
      </w:r>
      <w:r w:rsidR="00B4460F" w:rsidRPr="003E305A">
        <w:t xml:space="preserve"> o </w:t>
      </w:r>
      <w:r w:rsidRPr="003E305A">
        <w:t xml:space="preserve">racismo excludente </w:t>
      </w:r>
      <w:r w:rsidR="00B4460F">
        <w:t xml:space="preserve">pretendia </w:t>
      </w:r>
      <w:r w:rsidRPr="003E305A">
        <w:t xml:space="preserve">fundar nessa sociedade de grau zero o funcionamento das leis rácicas. </w:t>
      </w:r>
    </w:p>
    <w:p w:rsidR="007D54A4" w:rsidRDefault="007D54A4" w:rsidP="007D54A4">
      <w:pPr>
        <w:keepNext/>
        <w:spacing w:before="240" w:after="120"/>
        <w:ind w:firstLine="0"/>
        <w:jc w:val="center"/>
      </w:pPr>
      <w:r>
        <w:rPr>
          <w:b/>
          <w:sz w:val="28"/>
          <w:szCs w:val="28"/>
        </w:rPr>
        <w:t>3</w:t>
      </w:r>
    </w:p>
    <w:p w:rsidR="00321E01" w:rsidRPr="003E305A" w:rsidRDefault="00321E01" w:rsidP="00321E01">
      <w:r w:rsidRPr="003E305A">
        <w:t xml:space="preserve">Não há razão para </w:t>
      </w:r>
      <w:r w:rsidR="00354FE3">
        <w:t>supor</w:t>
      </w:r>
      <w:r>
        <w:t>,</w:t>
      </w:r>
      <w:r w:rsidRPr="003E305A">
        <w:t xml:space="preserve"> </w:t>
      </w:r>
      <w:r>
        <w:t xml:space="preserve">como fizeram alguns historiadores, </w:t>
      </w:r>
      <w:r w:rsidRPr="003E305A">
        <w:t xml:space="preserve">que as urgências do recrutamento militar tivessem levado </w:t>
      </w:r>
      <w:r w:rsidR="002A327D">
        <w:t xml:space="preserve">os SS </w:t>
      </w:r>
      <w:r w:rsidRPr="003E305A">
        <w:t xml:space="preserve">a </w:t>
      </w:r>
      <w:r w:rsidR="00B81341">
        <w:t xml:space="preserve">comprometer </w:t>
      </w:r>
      <w:r w:rsidRPr="003E305A">
        <w:t>a selecção racial</w:t>
      </w:r>
      <w:r w:rsidRPr="003E305A">
        <w:rPr>
          <w:rStyle w:val="Refdenotaderodap"/>
        </w:rPr>
        <w:footnoteReference w:id="382"/>
      </w:r>
      <w:r w:rsidRPr="003E305A">
        <w:t xml:space="preserve">. </w:t>
      </w:r>
      <w:r w:rsidR="0085515F">
        <w:t xml:space="preserve">É possível que </w:t>
      </w:r>
      <w:r w:rsidR="0085515F">
        <w:lastRenderedPageBreak/>
        <w:t>passa</w:t>
      </w:r>
      <w:r w:rsidR="009D2CCA">
        <w:t>ssem</w:t>
      </w:r>
      <w:r w:rsidR="0085515F">
        <w:t xml:space="preserve"> a ser aceites homens com óculos, com dentes cariados ou de baixa estatura que antes eram recusados, mas o critério racial permaneceu intocável</w:t>
      </w:r>
      <w:r w:rsidR="0085515F">
        <w:rPr>
          <w:rStyle w:val="Refdenotaderodap"/>
        </w:rPr>
        <w:footnoteReference w:id="383"/>
      </w:r>
      <w:r w:rsidR="0085515F">
        <w:t xml:space="preserve">. </w:t>
      </w:r>
      <w:r w:rsidRPr="003E305A">
        <w:t xml:space="preserve">A mitologia </w:t>
      </w:r>
      <w:r w:rsidR="00D57473">
        <w:t>nacional-socialista</w:t>
      </w:r>
      <w:r w:rsidRPr="003E305A">
        <w:t xml:space="preserve"> catalogava os croatas como arianos</w:t>
      </w:r>
      <w:r w:rsidRPr="003E305A">
        <w:rPr>
          <w:rStyle w:val="Refdenotaderodap"/>
        </w:rPr>
        <w:footnoteReference w:id="384"/>
      </w:r>
      <w:r w:rsidR="0074417D">
        <w:t xml:space="preserve"> e Hitler admitia que eles descendessem dos godos</w:t>
      </w:r>
      <w:r w:rsidR="0074417D">
        <w:rPr>
          <w:rStyle w:val="Refdenotaderodap"/>
        </w:rPr>
        <w:footnoteReference w:id="385"/>
      </w:r>
      <w:r w:rsidRPr="003E305A">
        <w:t xml:space="preserve">, </w:t>
      </w:r>
      <w:r>
        <w:t xml:space="preserve">o que </w:t>
      </w:r>
      <w:r w:rsidRPr="003E305A">
        <w:t>justifica a sua integração em várias divisões dos Waffen</w:t>
      </w:r>
      <w:r w:rsidR="00E173CE">
        <w:t>-</w:t>
      </w:r>
      <w:r w:rsidRPr="003E305A">
        <w:t>SS</w:t>
      </w:r>
      <w:r w:rsidR="0074417D">
        <w:t>. D</w:t>
      </w:r>
      <w:r w:rsidRPr="003E305A">
        <w:t xml:space="preserve">o mesmo modo puderam ser recrutados </w:t>
      </w:r>
      <w:r w:rsidR="007A5C80">
        <w:t xml:space="preserve">sessenta mil </w:t>
      </w:r>
      <w:r w:rsidRPr="003E305A">
        <w:t>muçulmanos do Cáucaso e dos Balcãs</w:t>
      </w:r>
      <w:r w:rsidR="007A5C80">
        <w:rPr>
          <w:rStyle w:val="Refdenotaderodap"/>
        </w:rPr>
        <w:footnoteReference w:id="386"/>
      </w:r>
      <w:r w:rsidRPr="003E305A">
        <w:t>, nomeadamente da Bósnia</w:t>
      </w:r>
      <w:r w:rsidRPr="003E305A">
        <w:rPr>
          <w:rStyle w:val="Refdenotaderodap"/>
        </w:rPr>
        <w:footnoteReference w:id="387"/>
      </w:r>
      <w:r w:rsidRPr="003E305A">
        <w:t xml:space="preserve"> e da Albânia</w:t>
      </w:r>
      <w:r w:rsidRPr="003E305A">
        <w:rPr>
          <w:rStyle w:val="Refdenotaderodap"/>
        </w:rPr>
        <w:footnoteReference w:id="388"/>
      </w:r>
      <w:r w:rsidRPr="003E305A">
        <w:t xml:space="preserve">, porque os </w:t>
      </w:r>
      <w:r w:rsidR="00354FE3">
        <w:t>nacionais-socialistas</w:t>
      </w:r>
      <w:r w:rsidRPr="003E305A">
        <w:t xml:space="preserve"> os incluíam na família dos povos turcos. Por muito estranho que nos pareça, Hitler supunha que eles fossem descendentes directos dos antigos godos, </w:t>
      </w:r>
      <w:r w:rsidR="00AF1968">
        <w:t>achando</w:t>
      </w:r>
      <w:r w:rsidRPr="003E305A">
        <w:t>-os dignos de confiança</w:t>
      </w:r>
      <w:r w:rsidRPr="003E305A">
        <w:rPr>
          <w:rStyle w:val="Refdenotaderodap"/>
        </w:rPr>
        <w:footnoteReference w:id="389"/>
      </w:r>
      <w:r w:rsidRPr="003E305A">
        <w:t xml:space="preserve">. </w:t>
      </w:r>
      <w:r w:rsidR="004956E0">
        <w:t>Aliás</w:t>
      </w:r>
      <w:r w:rsidR="00AF1968">
        <w:t>,</w:t>
      </w:r>
      <w:r w:rsidR="004956E0">
        <w:t xml:space="preserve"> </w:t>
      </w:r>
      <w:r w:rsidRPr="003E305A">
        <w:t>os muçulmanos eram tanto mais facilmente mobilizáveis quanto o nacional-socialismo contava com a simpatia do mufti de Jerusalém, Hadj Amin el-Husseini, refugiado no Reich desde 1941</w:t>
      </w:r>
      <w:r w:rsidR="00D57473" w:rsidRPr="008939F2">
        <w:rPr>
          <w:rStyle w:val="Refdenotaderodap"/>
        </w:rPr>
        <w:footnoteReference w:id="390"/>
      </w:r>
      <w:r w:rsidR="00FE50FD">
        <w:t>,</w:t>
      </w:r>
      <w:r w:rsidRPr="003E305A">
        <w:t xml:space="preserve"> </w:t>
      </w:r>
      <w:r w:rsidR="00FE50FD">
        <w:t>também ele racialmente insuspeito, já que o Führer o considerava «um homem com mais de um ariano entre os seus antepassados e que muito possivelmente descende do melhor sangue romano»</w:t>
      </w:r>
      <w:r w:rsidR="00FE50FD">
        <w:rPr>
          <w:rStyle w:val="Refdenotaderodap"/>
        </w:rPr>
        <w:footnoteReference w:id="391"/>
      </w:r>
      <w:r w:rsidR="00FE50FD">
        <w:t xml:space="preserve">. </w:t>
      </w:r>
      <w:r w:rsidRPr="003E305A">
        <w:t xml:space="preserve">Mas em países como a Sérvia e a Roménia, </w:t>
      </w:r>
      <w:r w:rsidR="00AF1968">
        <w:t>classificados como</w:t>
      </w:r>
      <w:r w:rsidRPr="003E305A">
        <w:t xml:space="preserve"> etnicamente inferiores, os Waffen</w:t>
      </w:r>
      <w:r w:rsidR="00E173CE">
        <w:t>-</w:t>
      </w:r>
      <w:r w:rsidRPr="003E305A">
        <w:t>SS interessaram-se exclusivamente pela população de origem germânica</w:t>
      </w:r>
      <w:r w:rsidRPr="003E305A">
        <w:rPr>
          <w:rStyle w:val="Refdenotaderodap"/>
        </w:rPr>
        <w:footnoteReference w:id="392"/>
      </w:r>
      <w:r w:rsidRPr="003E305A">
        <w:t xml:space="preserve">. </w:t>
      </w:r>
      <w:r w:rsidR="00E925C8">
        <w:t xml:space="preserve">Quanto aos </w:t>
      </w:r>
      <w:r w:rsidR="00E925C8" w:rsidRPr="003E305A">
        <w:t>ucranianos</w:t>
      </w:r>
      <w:r w:rsidR="00E925C8">
        <w:t>,</w:t>
      </w:r>
      <w:r w:rsidR="00E925C8" w:rsidRPr="003E305A">
        <w:t xml:space="preserve"> </w:t>
      </w:r>
      <w:r w:rsidR="00E925C8">
        <w:t xml:space="preserve">todos os </w:t>
      </w:r>
      <w:r w:rsidR="00E925C8" w:rsidRPr="003E305A">
        <w:t>alistados eram originários da Galícia, que havia tido tradições militar</w:t>
      </w:r>
      <w:r w:rsidR="00E925C8">
        <w:t>es</w:t>
      </w:r>
      <w:r w:rsidR="00E925C8" w:rsidRPr="003E305A">
        <w:t xml:space="preserve"> no império dos Habsburgos, e tanto Himmler como Bormann consideravam que os habitantes dessa </w:t>
      </w:r>
      <w:r w:rsidR="00E925C8">
        <w:t>província</w:t>
      </w:r>
      <w:r w:rsidR="00E925C8" w:rsidRPr="003E305A">
        <w:t xml:space="preserve"> </w:t>
      </w:r>
      <w:r w:rsidR="00E925C8">
        <w:t xml:space="preserve">se distinguiam </w:t>
      </w:r>
      <w:r w:rsidR="00E925C8" w:rsidRPr="003E305A">
        <w:t>etnicamente da restante população da Ucrânia</w:t>
      </w:r>
      <w:r w:rsidR="00E925C8" w:rsidRPr="003E305A">
        <w:rPr>
          <w:rStyle w:val="Refdenotaderodap"/>
        </w:rPr>
        <w:footnoteReference w:id="393"/>
      </w:r>
      <w:r w:rsidR="00E925C8" w:rsidRPr="003E305A">
        <w:t xml:space="preserve">. Além disso, como dos oitenta e dois mil homens que se apresentaram no primeiro mês só 33% foram aceites e só 16% </w:t>
      </w:r>
      <w:r w:rsidR="00E925C8" w:rsidRPr="003E305A">
        <w:lastRenderedPageBreak/>
        <w:t>foram chamados ao serviço no decurso do ano</w:t>
      </w:r>
      <w:r w:rsidR="00E925C8" w:rsidRPr="003E305A">
        <w:rPr>
          <w:rStyle w:val="Refdenotaderodap"/>
        </w:rPr>
        <w:footnoteReference w:id="394"/>
      </w:r>
      <w:r w:rsidR="00E925C8" w:rsidRPr="003E305A">
        <w:t xml:space="preserve">, verificamos que, apesar da necessidade de angariar novos combatentes, o crivo da selecção racial continuava apertado. </w:t>
      </w:r>
      <w:r w:rsidRPr="003E305A">
        <w:t xml:space="preserve">Mesmo a admissão de estónios e letões nas forças armadas dos SS não indica </w:t>
      </w:r>
      <w:r w:rsidR="00354FE3">
        <w:t>nenhum</w:t>
      </w:r>
      <w:r w:rsidRPr="003E305A">
        <w:t xml:space="preserve"> desvio da orientação traçada, porque os bálticos </w:t>
      </w:r>
      <w:r w:rsidR="000D2845">
        <w:t xml:space="preserve">não </w:t>
      </w:r>
      <w:r w:rsidR="00FC483F">
        <w:t xml:space="preserve">eram </w:t>
      </w:r>
      <w:r w:rsidR="000D2845">
        <w:t xml:space="preserve">confundidos com </w:t>
      </w:r>
      <w:r w:rsidRPr="003E305A">
        <w:t>os eslavos</w:t>
      </w:r>
      <w:r w:rsidRPr="000A736E">
        <w:rPr>
          <w:vertAlign w:val="superscript"/>
        </w:rPr>
        <w:footnoteReference w:id="395"/>
      </w:r>
      <w:r w:rsidRPr="003E305A">
        <w:t>. Os três países bálticos receberam um tratamento muito diferente dos países eslavos, os seus inte</w:t>
      </w:r>
      <w:r>
        <w:t>lectuais não foram exterminados</w:t>
      </w:r>
      <w:r w:rsidRPr="003E305A">
        <w:t xml:space="preserve"> e as escolas e universidades, depois de expurgadas politicamente, voltariam a funcionar, em vez de serem definitivamente encerradas, como se tencionava fazer entre os eslavos</w:t>
      </w:r>
      <w:r w:rsidRPr="003E305A">
        <w:rPr>
          <w:rStyle w:val="Refdenotaderodap"/>
        </w:rPr>
        <w:footnoteReference w:id="396"/>
      </w:r>
      <w:r w:rsidRPr="003E305A">
        <w:t>. Além disso, após várias hesitações uma reforma implementada em Fevereiro de 1943 admitiu que, dentro de certos limites, os autóctones dos países bálticos tivessem acesso à propriedade privada e se dedicassem a iniciativas económicas, e acabaram por ser dispensados do serviço de trabalho obrigatório</w:t>
      </w:r>
      <w:r w:rsidRPr="003E305A">
        <w:rPr>
          <w:rStyle w:val="Refdenotaderodap"/>
        </w:rPr>
        <w:footnoteReference w:id="397"/>
      </w:r>
      <w:r w:rsidRPr="003E305A">
        <w:t>. As autoridades naciona</w:t>
      </w:r>
      <w:r w:rsidR="00907E4E">
        <w:t>l</w:t>
      </w:r>
      <w:r w:rsidRPr="003E305A">
        <w:t>-socialistas propunham-se integrar os três países bálticos no Grande Reich, assimilando e germanizando a parte da população considerada de bom sangue e expulsando ou exterminando a restante</w:t>
      </w:r>
      <w:r w:rsidRPr="003E305A">
        <w:rPr>
          <w:rStyle w:val="Refdenotaderodap"/>
        </w:rPr>
        <w:footnoteReference w:id="398"/>
      </w:r>
      <w:r w:rsidRPr="003E305A">
        <w:t>. Rosenberg calcul</w:t>
      </w:r>
      <w:r w:rsidR="003802EA">
        <w:t>ou</w:t>
      </w:r>
      <w:r w:rsidRPr="003E305A">
        <w:t xml:space="preserve"> que mais de metade dos seus compatriotas da Estónia fosse de sangue nórdico, embora atribuísse aos habitantes da Letónia uma composição rácica menos privilegiada e colocasse em lugar ainda mais baixo a Lituânia, onde a maior parte da população teria de ser expulsa ou liquidada</w:t>
      </w:r>
      <w:r w:rsidRPr="003E305A">
        <w:rPr>
          <w:rStyle w:val="Refdenotaderodap"/>
        </w:rPr>
        <w:footnoteReference w:id="399"/>
      </w:r>
      <w:r w:rsidRPr="003E305A">
        <w:t xml:space="preserve">. </w:t>
      </w:r>
      <w:r>
        <w:t xml:space="preserve">Por isso </w:t>
      </w:r>
      <w:r w:rsidRPr="003E305A">
        <w:t>os lituanos não foram aceites nos corpos de exército dos SS</w:t>
      </w:r>
      <w:r w:rsidRPr="003E305A">
        <w:rPr>
          <w:rStyle w:val="Refdenotaderodap"/>
        </w:rPr>
        <w:footnoteReference w:id="400"/>
      </w:r>
      <w:r w:rsidRPr="003E305A">
        <w:t xml:space="preserve">. </w:t>
      </w:r>
      <w:r w:rsidR="00406E51">
        <w:t xml:space="preserve">Também </w:t>
      </w:r>
      <w:r w:rsidRPr="003E305A">
        <w:t>não devem confundir</w:t>
      </w:r>
      <w:r w:rsidR="00406E51">
        <w:t>-se</w:t>
      </w:r>
      <w:r w:rsidRPr="003E305A">
        <w:t xml:space="preserve"> as forças militares dos SS com </w:t>
      </w:r>
      <w:r w:rsidR="00C56D15">
        <w:t xml:space="preserve">as unidades auxiliares e </w:t>
      </w:r>
      <w:r w:rsidRPr="003E305A">
        <w:t xml:space="preserve">as unidades de polícia autóctones que os SS organizaram e que, embora </w:t>
      </w:r>
      <w:r w:rsidR="00406E51">
        <w:t>estivessem</w:t>
      </w:r>
      <w:r w:rsidRPr="003E305A">
        <w:t xml:space="preserve"> submetidas ao seu comando, gozavam de um estatuto muitíssimo inferior</w:t>
      </w:r>
      <w:r w:rsidRPr="003E305A">
        <w:rPr>
          <w:rStyle w:val="Refdenotaderodap"/>
        </w:rPr>
        <w:footnoteReference w:id="401"/>
      </w:r>
      <w:r w:rsidRPr="003E305A">
        <w:t xml:space="preserve">. É entre elas que encontro referência à participação </w:t>
      </w:r>
      <w:r w:rsidR="00C56D15">
        <w:t xml:space="preserve">de lituanos e </w:t>
      </w:r>
      <w:r w:rsidRPr="003E305A">
        <w:t xml:space="preserve">de eslavos originários da Boémia e Morávia, bem como da Sérvia e </w:t>
      </w:r>
      <w:r w:rsidRPr="003E305A">
        <w:lastRenderedPageBreak/>
        <w:t>dos territórios soviéticos ocupados</w:t>
      </w:r>
      <w:r w:rsidRPr="003E305A">
        <w:rPr>
          <w:rStyle w:val="Refdenotaderodap"/>
        </w:rPr>
        <w:footnoteReference w:id="402"/>
      </w:r>
      <w:r w:rsidRPr="003E305A">
        <w:t>, que estavam excluídos dos Waffen</w:t>
      </w:r>
      <w:r w:rsidR="00E173CE">
        <w:t>-</w:t>
      </w:r>
      <w:r w:rsidRPr="003E305A">
        <w:t>SS</w:t>
      </w:r>
      <w:r w:rsidR="00C56D15">
        <w:t>, e pelo menos em alguns casos era exigida uma certa configuração racial aos participantes naquelas unidades auxiliares</w:t>
      </w:r>
      <w:r w:rsidR="00C56D15">
        <w:rPr>
          <w:rStyle w:val="Refdenotaderodap"/>
        </w:rPr>
        <w:footnoteReference w:id="403"/>
      </w:r>
      <w:r w:rsidRPr="003E305A">
        <w:t xml:space="preserve">. </w:t>
      </w:r>
      <w:r w:rsidR="00F119EC">
        <w:t>O abandono dos critérios rígidos, quando ocorreu, deveu-se apenas aos caos administrativo nos últimos meses do Reich</w:t>
      </w:r>
      <w:r w:rsidR="00F119EC">
        <w:rPr>
          <w:rStyle w:val="Refdenotaderodap"/>
        </w:rPr>
        <w:footnoteReference w:id="404"/>
      </w:r>
      <w:r w:rsidR="00F119EC">
        <w:t xml:space="preserve">. </w:t>
      </w:r>
    </w:p>
    <w:p w:rsidR="003F29ED" w:rsidRDefault="00321E01" w:rsidP="00321E01">
      <w:r w:rsidRPr="003E305A">
        <w:t xml:space="preserve">Só </w:t>
      </w:r>
      <w:r>
        <w:t>conheço dois</w:t>
      </w:r>
      <w:r w:rsidRPr="003E305A">
        <w:t xml:space="preserve"> caso</w:t>
      </w:r>
      <w:r>
        <w:t>s</w:t>
      </w:r>
      <w:r w:rsidRPr="003E305A">
        <w:t xml:space="preserve"> verdadeiramente estranho</w:t>
      </w:r>
      <w:r>
        <w:t>s</w:t>
      </w:r>
      <w:r w:rsidR="006E196B">
        <w:t>, ou dois e meio</w:t>
      </w:r>
      <w:r w:rsidRPr="003E305A">
        <w:t xml:space="preserve">. </w:t>
      </w:r>
      <w:r>
        <w:t>Em 1940 Himmler, com o consentimento de Hitler, decidiu criar nos Waffen</w:t>
      </w:r>
      <w:r w:rsidR="00E173CE">
        <w:t>-</w:t>
      </w:r>
      <w:r>
        <w:t xml:space="preserve">SS um corpo especial, o </w:t>
      </w:r>
      <w:r w:rsidR="00330BAF">
        <w:t>SS-</w:t>
      </w:r>
      <w:r>
        <w:t xml:space="preserve">Sonderkommando, recrutado entre </w:t>
      </w:r>
      <w:r w:rsidRPr="00BF3D88">
        <w:t>presos condenados por caça furtiva</w:t>
      </w:r>
      <w:r w:rsidRPr="00BF796E">
        <w:rPr>
          <w:vertAlign w:val="superscript"/>
        </w:rPr>
        <w:footnoteReference w:id="405"/>
      </w:r>
      <w:r>
        <w:t>. Consoante uma</w:t>
      </w:r>
      <w:r w:rsidRPr="000A7167">
        <w:t xml:space="preserve"> indicação expressa </w:t>
      </w:r>
      <w:r>
        <w:t>do Führer, s</w:t>
      </w:r>
      <w:r w:rsidRPr="000A7167">
        <w:t>er</w:t>
      </w:r>
      <w:r>
        <w:t>i</w:t>
      </w:r>
      <w:r w:rsidRPr="000A7167">
        <w:t>a</w:t>
      </w:r>
      <w:r>
        <w:t xml:space="preserve"> </w:t>
      </w:r>
      <w:r w:rsidR="00406E51">
        <w:t xml:space="preserve">apenas </w:t>
      </w:r>
      <w:r w:rsidRPr="000A7167">
        <w:t>aceite</w:t>
      </w:r>
      <w:r>
        <w:t xml:space="preserve"> </w:t>
      </w:r>
      <w:r w:rsidRPr="000A7167">
        <w:t>que</w:t>
      </w:r>
      <w:r>
        <w:t>m</w:t>
      </w:r>
      <w:r w:rsidRPr="000A7167">
        <w:t xml:space="preserve"> tivesse usado armas de fogo</w:t>
      </w:r>
      <w:r>
        <w:t xml:space="preserve"> e </w:t>
      </w:r>
      <w:r w:rsidRPr="000A7167">
        <w:t>não armadilha</w:t>
      </w:r>
      <w:r>
        <w:t>s, rejeitando-se igualmente quem só tivesse cometido infracções ocasionais</w:t>
      </w:r>
      <w:r w:rsidRPr="00CE4DC7">
        <w:rPr>
          <w:vertAlign w:val="superscript"/>
        </w:rPr>
        <w:footnoteReference w:id="406"/>
      </w:r>
      <w:r>
        <w:t xml:space="preserve">. Talvez </w:t>
      </w:r>
      <w:r w:rsidRPr="00BC1F93">
        <w:t xml:space="preserve">inspirado pelo </w:t>
      </w:r>
      <w:r w:rsidRPr="00BC1F93">
        <w:rPr>
          <w:i/>
        </w:rPr>
        <w:t>Freischütz,</w:t>
      </w:r>
      <w:r w:rsidRPr="00BC1F93">
        <w:t xml:space="preserve"> </w:t>
      </w:r>
      <w:r>
        <w:t>Hitler envolvia numa certa aura os caçadores furtivos profissionais</w:t>
      </w:r>
      <w:r w:rsidR="00844934">
        <w:rPr>
          <w:rStyle w:val="Refdenotaderodap"/>
        </w:rPr>
        <w:footnoteReference w:id="407"/>
      </w:r>
      <w:r w:rsidR="0048271D">
        <w:t>.</w:t>
      </w:r>
      <w:r>
        <w:t xml:space="preserve"> </w:t>
      </w:r>
      <w:r w:rsidR="0048271D" w:rsidRPr="00C34B06">
        <w:t xml:space="preserve">«[...] as mulheres adoram os machos», sentenciou o Führer. </w:t>
      </w:r>
      <w:r w:rsidR="0048271D" w:rsidRPr="0048271D">
        <w:t>«As putas adoram os caçadores furtivos. Neste momento, na frente leste, eu preferia comandar num ataque uma secç</w:t>
      </w:r>
      <w:r w:rsidR="0048271D">
        <w:t xml:space="preserve">ão formada por caçadores furtivos do que uma secção formada pelos </w:t>
      </w:r>
      <w:r w:rsidR="00C2592F">
        <w:t>advogados</w:t>
      </w:r>
      <w:r w:rsidR="0048271D">
        <w:t xml:space="preserve"> que condenaram os caçadores»</w:t>
      </w:r>
      <w:r w:rsidR="00126549">
        <w:rPr>
          <w:rStyle w:val="Refdenotaderodap"/>
        </w:rPr>
        <w:footnoteReference w:id="408"/>
      </w:r>
      <w:r w:rsidR="0048271D">
        <w:t xml:space="preserve">. </w:t>
      </w:r>
      <w:r w:rsidR="005E55A2">
        <w:t xml:space="preserve">E </w:t>
      </w:r>
      <w:r w:rsidRPr="000A7167">
        <w:t xml:space="preserve">em Agosto de 1942, almoçando com Lammers e com o ministro da Justiça, </w:t>
      </w:r>
      <w:r w:rsidR="00EA6E16">
        <w:t xml:space="preserve">ele </w:t>
      </w:r>
      <w:r w:rsidRPr="000A7167">
        <w:t>defendeu que</w:t>
      </w:r>
      <w:r w:rsidR="00406E51" w:rsidRPr="000A7167">
        <w:t>, em vez de serem condenados à prisão,</w:t>
      </w:r>
      <w:r w:rsidR="00406E51">
        <w:t xml:space="preserve"> os caçadores furtivos</w:t>
      </w:r>
      <w:r w:rsidRPr="000A7167">
        <w:t xml:space="preserve"> </w:t>
      </w:r>
      <w:r w:rsidR="00631119">
        <w:t xml:space="preserve">fossem </w:t>
      </w:r>
      <w:r w:rsidRPr="000A7167">
        <w:t xml:space="preserve">mandados para uma das unidades de guerrilha dos SS. </w:t>
      </w:r>
      <w:r w:rsidRPr="00505FB5">
        <w:t xml:space="preserve">«Eu não sou um admirador dos caçadores furtivos, especialmente por ser vegetariano, mas vejo neles </w:t>
      </w:r>
      <w:r>
        <w:t>o único elemento romântico do chamado desporto da caça»</w:t>
      </w:r>
      <w:r w:rsidRPr="00B8766B">
        <w:rPr>
          <w:vertAlign w:val="superscript"/>
        </w:rPr>
        <w:footnoteReference w:id="409"/>
      </w:r>
      <w:r>
        <w:t xml:space="preserve">. </w:t>
      </w:r>
    </w:p>
    <w:p w:rsidR="003F29ED" w:rsidRDefault="003F29ED" w:rsidP="003F29ED">
      <w:r w:rsidRPr="000A7167">
        <w:t xml:space="preserve">À frente </w:t>
      </w:r>
      <w:r>
        <w:t xml:space="preserve">do SS-Sonderkommando </w:t>
      </w:r>
      <w:r w:rsidRPr="000A7167">
        <w:t xml:space="preserve">foi colocado Oskar Dirlewanger, </w:t>
      </w:r>
      <w:r>
        <w:t xml:space="preserve">um misto de facínora e valentão, possuidor de </w:t>
      </w:r>
      <w:r w:rsidRPr="000A7167">
        <w:t>uma longa folha de serviços militares</w:t>
      </w:r>
      <w:r>
        <w:t xml:space="preserve"> e </w:t>
      </w:r>
      <w:r w:rsidRPr="001E059C">
        <w:t>membro desde 1922</w:t>
      </w:r>
      <w:r>
        <w:t xml:space="preserve"> do NSDAP,</w:t>
      </w:r>
      <w:r w:rsidRPr="00997CAC">
        <w:t xml:space="preserve"> </w:t>
      </w:r>
      <w:r>
        <w:t xml:space="preserve">onde se </w:t>
      </w:r>
      <w:r w:rsidRPr="000A7167">
        <w:t>conta</w:t>
      </w:r>
      <w:r>
        <w:t>ra</w:t>
      </w:r>
      <w:r w:rsidRPr="000A7167">
        <w:t xml:space="preserve"> entre </w:t>
      </w:r>
      <w:r>
        <w:t>aqueles</w:t>
      </w:r>
      <w:r w:rsidRPr="000A7167">
        <w:t xml:space="preserve"> SA que confundiam o nacional-socialismo com o nacional-bolchevismo</w:t>
      </w:r>
      <w:r>
        <w:t xml:space="preserve">. </w:t>
      </w:r>
      <w:r w:rsidRPr="000A7167">
        <w:t>Em Agosto de 1934</w:t>
      </w:r>
      <w:r>
        <w:t xml:space="preserve"> fora condenado a dois anos de prisão por ter provocado vários acidentes de automóvel ao conduzir em estado de embriaguês e por ter mantido relações sexuais com uma menor, e a sua conduta não mudou, porque </w:t>
      </w:r>
      <w:r w:rsidRPr="000A7167">
        <w:t xml:space="preserve">esteve durante </w:t>
      </w:r>
      <w:r w:rsidRPr="000A7167">
        <w:lastRenderedPageBreak/>
        <w:t>quase toda a guerra sob a acusação de crime de poluição racial</w:t>
      </w:r>
      <w:r>
        <w:t xml:space="preserve">, </w:t>
      </w:r>
      <w:r w:rsidRPr="000A7167">
        <w:t>suspeita</w:t>
      </w:r>
      <w:r>
        <w:t>ndo</w:t>
      </w:r>
      <w:r w:rsidRPr="000A7167">
        <w:t xml:space="preserve">-se de que tivesse tido relações sexuais com uma judia </w:t>
      </w:r>
      <w:r>
        <w:t>na Polónia ocupada</w:t>
      </w:r>
      <w:r w:rsidRPr="000A7167">
        <w:rPr>
          <w:vertAlign w:val="superscript"/>
        </w:rPr>
        <w:footnoteReference w:id="410"/>
      </w:r>
      <w:r w:rsidRPr="000A7167">
        <w:t>. Dirlewanger</w:t>
      </w:r>
      <w:r>
        <w:t xml:space="preserve"> chefiou com mão de ferro aquele contingente de presidiários e usou-o para acções de inominável crueldade, num </w:t>
      </w:r>
      <w:r w:rsidRPr="003508F4">
        <w:t>ambiente de batalhão disciplinar ou pior ainda</w:t>
      </w:r>
      <w:r w:rsidRPr="003508F4">
        <w:rPr>
          <w:vertAlign w:val="superscript"/>
        </w:rPr>
        <w:footnoteReference w:id="411"/>
      </w:r>
      <w:r>
        <w:t xml:space="preserve">. </w:t>
      </w:r>
    </w:p>
    <w:p w:rsidR="00321E01" w:rsidRPr="000A7167" w:rsidRDefault="00321E01" w:rsidP="00321E01">
      <w:r w:rsidRPr="000A7167">
        <w:t>Recrutados nas cadeias onde cumpriam sentença</w:t>
      </w:r>
      <w:r>
        <w:t>,</w:t>
      </w:r>
      <w:r w:rsidRPr="000A7167">
        <w:t xml:space="preserve"> </w:t>
      </w:r>
      <w:r w:rsidR="003F29ED">
        <w:t>os caçadores furtivos</w:t>
      </w:r>
      <w:r w:rsidR="003F29ED" w:rsidRPr="000A7167">
        <w:t xml:space="preserve"> </w:t>
      </w:r>
      <w:r w:rsidRPr="000A7167">
        <w:t>foram transferidos para um campo de concentração</w:t>
      </w:r>
      <w:r w:rsidR="00AF7C3E">
        <w:t>,</w:t>
      </w:r>
      <w:r w:rsidRPr="000A7167">
        <w:t xml:space="preserve"> </w:t>
      </w:r>
      <w:r w:rsidR="00AF7C3E">
        <w:t xml:space="preserve">ali </w:t>
      </w:r>
      <w:r w:rsidRPr="000A7167">
        <w:t>recebe</w:t>
      </w:r>
      <w:r w:rsidR="00406E51">
        <w:t>ram</w:t>
      </w:r>
      <w:r w:rsidRPr="000A7167">
        <w:t xml:space="preserve"> treino militar</w:t>
      </w:r>
      <w:r w:rsidRPr="000A7167">
        <w:rPr>
          <w:rStyle w:val="Refdenotaderodap"/>
        </w:rPr>
        <w:footnoteReference w:id="412"/>
      </w:r>
      <w:r>
        <w:t xml:space="preserve"> e de</w:t>
      </w:r>
      <w:r w:rsidR="00631119">
        <w:t>sde</w:t>
      </w:r>
      <w:r>
        <w:t xml:space="preserve"> </w:t>
      </w:r>
      <w:r w:rsidRPr="000A7167">
        <w:t xml:space="preserve">Julho de 1940 </w:t>
      </w:r>
      <w:r>
        <w:t xml:space="preserve">até </w:t>
      </w:r>
      <w:r w:rsidRPr="000A7167">
        <w:t>Junho de 1942 constituí</w:t>
      </w:r>
      <w:r>
        <w:t>r</w:t>
      </w:r>
      <w:r w:rsidRPr="000A7167">
        <w:t xml:space="preserve">am 94% dos efectivos </w:t>
      </w:r>
      <w:r>
        <w:t xml:space="preserve">do </w:t>
      </w:r>
      <w:r w:rsidR="00330BAF">
        <w:t>SS-</w:t>
      </w:r>
      <w:r>
        <w:t>Sonderkommando</w:t>
      </w:r>
      <w:r w:rsidRPr="000A7167">
        <w:rPr>
          <w:rStyle w:val="Refdenotaderodap"/>
        </w:rPr>
        <w:footnoteReference w:id="413"/>
      </w:r>
      <w:r w:rsidRPr="000A7167">
        <w:t>. Ainda nos meados de 1943 continuava</w:t>
      </w:r>
      <w:r>
        <w:t>m</w:t>
      </w:r>
      <w:r w:rsidRPr="000A7167">
        <w:t xml:space="preserve"> a </w:t>
      </w:r>
      <w:r>
        <w:t>alistar-se</w:t>
      </w:r>
      <w:r w:rsidRPr="000A7167">
        <w:t xml:space="preserve"> caçadores furtivos, embora nes</w:t>
      </w:r>
      <w:r w:rsidR="00C72571">
        <w:t>t</w:t>
      </w:r>
      <w:r w:rsidRPr="000A7167">
        <w:t xml:space="preserve">a </w:t>
      </w:r>
      <w:r>
        <w:t xml:space="preserve">época a proporção tivesse descido para </w:t>
      </w:r>
      <w:r w:rsidRPr="000A7167">
        <w:t>60% dos efectivos</w:t>
      </w:r>
      <w:r w:rsidRPr="000A7167">
        <w:rPr>
          <w:rStyle w:val="Refdenotaderodap"/>
        </w:rPr>
        <w:footnoteReference w:id="414"/>
      </w:r>
      <w:r w:rsidR="00406E51">
        <w:t>.</w:t>
      </w:r>
      <w:r w:rsidRPr="000A7167">
        <w:t xml:space="preserve"> </w:t>
      </w:r>
      <w:r w:rsidR="00406E51" w:rsidRPr="007F1650">
        <w:t xml:space="preserve">Mas </w:t>
      </w:r>
      <w:r w:rsidRPr="007F1650">
        <w:t>o mito fundador teve vida dura, como frequentemente sucede</w:t>
      </w:r>
      <w:r>
        <w:t>,</w:t>
      </w:r>
      <w:r w:rsidRPr="007F1650">
        <w:t xml:space="preserve"> </w:t>
      </w:r>
      <w:r>
        <w:t xml:space="preserve">e </w:t>
      </w:r>
      <w:r w:rsidRPr="007F1650">
        <w:t>durante toda a guerra</w:t>
      </w:r>
      <w:r w:rsidR="00AF7C3E">
        <w:t>,</w:t>
      </w:r>
      <w:r w:rsidRPr="007F1650">
        <w:t xml:space="preserve"> ou mesmo depois, </w:t>
      </w:r>
      <w:r w:rsidR="00330BAF">
        <w:t>este</w:t>
      </w:r>
      <w:r w:rsidRPr="007F1650">
        <w:t xml:space="preserve"> Sonderkommando foi conhecido como um batalhão de caçadores furtivos</w:t>
      </w:r>
      <w:r w:rsidRPr="007F1650">
        <w:rPr>
          <w:vertAlign w:val="superscript"/>
        </w:rPr>
        <w:footnoteReference w:id="415"/>
      </w:r>
      <w:r>
        <w:t>.</w:t>
      </w:r>
      <w:r w:rsidRPr="007F1650">
        <w:t xml:space="preserve"> Quando Himmler, num documento de Fevereiro de 1944, consider</w:t>
      </w:r>
      <w:r>
        <w:t>ou</w:t>
      </w:r>
      <w:r w:rsidRPr="007F1650">
        <w:t xml:space="preserve"> que o núcleo des</w:t>
      </w:r>
      <w:r w:rsidR="00330BAF">
        <w:t>s</w:t>
      </w:r>
      <w:r w:rsidRPr="007F1650">
        <w:t>a unidade militar era formado por caçadores furtivos</w:t>
      </w:r>
      <w:r w:rsidRPr="007F1650">
        <w:rPr>
          <w:vertAlign w:val="superscript"/>
        </w:rPr>
        <w:footnoteReference w:id="416"/>
      </w:r>
      <w:r w:rsidRPr="007F1650">
        <w:t>, na realidade eles limitavam-se já a 15% dos efectivos e não passaram de 5% desde meados de 1944 até ao final do conflito</w:t>
      </w:r>
      <w:r w:rsidRPr="007F1650">
        <w:rPr>
          <w:vertAlign w:val="superscript"/>
        </w:rPr>
        <w:footnoteReference w:id="417"/>
      </w:r>
      <w:r w:rsidRPr="007F1650">
        <w:t>.</w:t>
      </w:r>
      <w:r>
        <w:t xml:space="preserve"> </w:t>
      </w:r>
      <w:r w:rsidRPr="000A7167">
        <w:t xml:space="preserve">Devido ao elevado número de baixas, </w:t>
      </w:r>
      <w:r w:rsidR="00F21E1B">
        <w:t xml:space="preserve">eles haviam deixado </w:t>
      </w:r>
      <w:r w:rsidRPr="000A7167">
        <w:t xml:space="preserve">de ser suficientes como base de recrutamento </w:t>
      </w:r>
      <w:r>
        <w:t xml:space="preserve">e </w:t>
      </w:r>
      <w:r w:rsidRPr="005C6692">
        <w:t>em Setembro de 1942 Göring sugeri</w:t>
      </w:r>
      <w:r w:rsidR="00F21E1B">
        <w:t>ra</w:t>
      </w:r>
      <w:r w:rsidRPr="005C6692">
        <w:t xml:space="preserve"> ao ministro da Justiça que fossem </w:t>
      </w:r>
      <w:r w:rsidR="00F21E1B">
        <w:t xml:space="preserve">alistados </w:t>
      </w:r>
      <w:r w:rsidRPr="005C6692">
        <w:t xml:space="preserve">contrabandistas </w:t>
      </w:r>
      <w:r>
        <w:t xml:space="preserve">presos com </w:t>
      </w:r>
      <w:r w:rsidRPr="005C6692">
        <w:t>armas</w:t>
      </w:r>
      <w:r>
        <w:t xml:space="preserve"> na mão</w:t>
      </w:r>
      <w:r w:rsidRPr="005C6692">
        <w:rPr>
          <w:vertAlign w:val="superscript"/>
        </w:rPr>
        <w:footnoteReference w:id="418"/>
      </w:r>
      <w:r>
        <w:t>,</w:t>
      </w:r>
      <w:r w:rsidRPr="005C6692">
        <w:t xml:space="preserve"> </w:t>
      </w:r>
      <w:r>
        <w:t xml:space="preserve">possivelmente rodeados da mesma aura romântica que envolvia os caçadores furtivos. </w:t>
      </w:r>
      <w:r w:rsidR="00134DF3">
        <w:t xml:space="preserve">Ao </w:t>
      </w:r>
      <w:r w:rsidR="00134DF3" w:rsidRPr="00BC1F93">
        <w:rPr>
          <w:i/>
        </w:rPr>
        <w:t>Freischütz</w:t>
      </w:r>
      <w:r w:rsidR="00134DF3">
        <w:t xml:space="preserve"> juntava-se a </w:t>
      </w:r>
      <w:r w:rsidR="00134DF3" w:rsidRPr="00134DF3">
        <w:rPr>
          <w:i/>
        </w:rPr>
        <w:t>Carmen</w:t>
      </w:r>
      <w:r w:rsidR="00134DF3">
        <w:t xml:space="preserve">. </w:t>
      </w:r>
      <w:r>
        <w:t xml:space="preserve">O certo é que </w:t>
      </w:r>
      <w:r w:rsidR="00D22565">
        <w:t>aquele</w:t>
      </w:r>
      <w:r>
        <w:t xml:space="preserve"> Sonderkommando </w:t>
      </w:r>
      <w:r w:rsidRPr="000A7167">
        <w:t>começ</w:t>
      </w:r>
      <w:r>
        <w:t>ou</w:t>
      </w:r>
      <w:r w:rsidRPr="000A7167">
        <w:t xml:space="preserve"> a </w:t>
      </w:r>
      <w:r>
        <w:t>incorporar membros</w:t>
      </w:r>
      <w:r w:rsidRPr="000A7167">
        <w:t xml:space="preserve"> dos SS ou da Wehrmacht que haviam sido punidos</w:t>
      </w:r>
      <w:r>
        <w:t>,</w:t>
      </w:r>
      <w:r w:rsidRPr="000A7167">
        <w:t xml:space="preserve"> </w:t>
      </w:r>
      <w:r>
        <w:t xml:space="preserve">e </w:t>
      </w:r>
      <w:r w:rsidRPr="000A7167">
        <w:t xml:space="preserve">este </w:t>
      </w:r>
      <w:r>
        <w:t xml:space="preserve">novo </w:t>
      </w:r>
      <w:r w:rsidRPr="000A7167">
        <w:t xml:space="preserve">tipo de </w:t>
      </w:r>
      <w:r>
        <w:t>elementos</w:t>
      </w:r>
      <w:r w:rsidRPr="000A7167">
        <w:t xml:space="preserve">, que oscilou entre 15% e 20% dos efectivos desde Julho de 1942 até Junho </w:t>
      </w:r>
      <w:r>
        <w:t>d</w:t>
      </w:r>
      <w:r w:rsidRPr="000A7167">
        <w:t>e 1944, manteve-se a partir de então e até ao final da guerra entre 40%</w:t>
      </w:r>
      <w:r w:rsidRPr="005C6692">
        <w:t xml:space="preserve"> e </w:t>
      </w:r>
      <w:r w:rsidRPr="000A7167">
        <w:t>45%</w:t>
      </w:r>
      <w:r w:rsidRPr="000A7167">
        <w:rPr>
          <w:rStyle w:val="Refdenotaderodap"/>
        </w:rPr>
        <w:footnoteReference w:id="419"/>
      </w:r>
      <w:r w:rsidRPr="000A7167">
        <w:t xml:space="preserve">. Mas também </w:t>
      </w:r>
      <w:r>
        <w:t>eles</w:t>
      </w:r>
      <w:r w:rsidRPr="000A7167">
        <w:t xml:space="preserve"> não foram suficientes</w:t>
      </w:r>
      <w:r>
        <w:t xml:space="preserve"> para compensar as baixas</w:t>
      </w:r>
      <w:r w:rsidRPr="000A7167">
        <w:t xml:space="preserve"> e Himmler </w:t>
      </w:r>
      <w:r>
        <w:t xml:space="preserve">propôs </w:t>
      </w:r>
      <w:r w:rsidRPr="000A7167">
        <w:t xml:space="preserve">a Dirlewanger </w:t>
      </w:r>
      <w:r>
        <w:t>o recrutamento de simples</w:t>
      </w:r>
      <w:r w:rsidRPr="000A7167">
        <w:t xml:space="preserve"> bandidos presos em campos de concentração</w:t>
      </w:r>
      <w:r w:rsidRPr="000A7167">
        <w:rPr>
          <w:rStyle w:val="Refdenotaderodap"/>
        </w:rPr>
        <w:footnoteReference w:id="420"/>
      </w:r>
      <w:r w:rsidRPr="000A7167">
        <w:t xml:space="preserve">. </w:t>
      </w:r>
      <w:r>
        <w:t xml:space="preserve">Cada vez mais dizimado, </w:t>
      </w:r>
      <w:r w:rsidR="00D22565" w:rsidRPr="000A7167">
        <w:t>no final de 1944</w:t>
      </w:r>
      <w:r w:rsidR="00D22565">
        <w:t xml:space="preserve"> o</w:t>
      </w:r>
      <w:r w:rsidR="002310EA">
        <w:t xml:space="preserve"> </w:t>
      </w:r>
      <w:r w:rsidR="00330BAF" w:rsidRPr="005C6692">
        <w:t>Sonderkommando</w:t>
      </w:r>
      <w:r w:rsidR="00D22565">
        <w:t xml:space="preserve"> </w:t>
      </w:r>
      <w:r>
        <w:t>alistava</w:t>
      </w:r>
      <w:r w:rsidRPr="000A7167">
        <w:t xml:space="preserve"> nos campos de concentração não só criminosos comuns mas </w:t>
      </w:r>
      <w:r>
        <w:t>ainda</w:t>
      </w:r>
      <w:r w:rsidRPr="000A7167">
        <w:t xml:space="preserve"> presos políticos que</w:t>
      </w:r>
      <w:r>
        <w:t>,</w:t>
      </w:r>
      <w:r w:rsidRPr="000A7167">
        <w:t xml:space="preserve"> </w:t>
      </w:r>
      <w:r>
        <w:t xml:space="preserve">quando não eram recrutados à força, ou </w:t>
      </w:r>
      <w:r w:rsidRPr="000A7167">
        <w:t xml:space="preserve">haviam </w:t>
      </w:r>
      <w:r w:rsidRPr="00B93B82">
        <w:t xml:space="preserve">aparentemente </w:t>
      </w:r>
      <w:r w:rsidRPr="000A7167">
        <w:t>renunciado às suas convicções</w:t>
      </w:r>
      <w:r>
        <w:t xml:space="preserve"> ou tinham esperança de alcançar de algum modo a liberdade</w:t>
      </w:r>
      <w:r w:rsidRPr="000A7167">
        <w:rPr>
          <w:rStyle w:val="Refdenotaderodap"/>
        </w:rPr>
        <w:footnoteReference w:id="421"/>
      </w:r>
      <w:r w:rsidRPr="000A7167">
        <w:t xml:space="preserve">. </w:t>
      </w:r>
      <w:r w:rsidRPr="000A7167">
        <w:lastRenderedPageBreak/>
        <w:t>De Julho de 1943 até Junho de 1944</w:t>
      </w:r>
      <w:r>
        <w:t>,</w:t>
      </w:r>
      <w:r w:rsidRPr="000A7167">
        <w:t xml:space="preserve"> 35% dos </w:t>
      </w:r>
      <w:r w:rsidR="003F29ED">
        <w:t xml:space="preserve">efectivos </w:t>
      </w:r>
      <w:r w:rsidRPr="000A7167">
        <w:t>vinham de campos de concentração, proporção que subiu para 40% desde Julho de 1944 até Fevereiro de 1945</w:t>
      </w:r>
      <w:r w:rsidRPr="000A7167">
        <w:rPr>
          <w:rStyle w:val="Refdenotaderodap"/>
        </w:rPr>
        <w:footnoteReference w:id="422"/>
      </w:r>
      <w:r w:rsidRPr="000A7167">
        <w:t xml:space="preserve">. </w:t>
      </w:r>
    </w:p>
    <w:p w:rsidR="003854D8" w:rsidRDefault="00321E01" w:rsidP="00321E01">
      <w:r>
        <w:t xml:space="preserve">Sob o ponto de vista das doutrinas </w:t>
      </w:r>
      <w:r w:rsidR="00AB2F07">
        <w:t>raciais</w:t>
      </w:r>
      <w:r>
        <w:t xml:space="preserve"> </w:t>
      </w:r>
      <w:r w:rsidR="00D22565">
        <w:t>a</w:t>
      </w:r>
      <w:r>
        <w:t xml:space="preserve"> composição do </w:t>
      </w:r>
      <w:r w:rsidR="00330BAF" w:rsidRPr="005C6692">
        <w:t xml:space="preserve">Sonderkommando </w:t>
      </w:r>
      <w:r w:rsidR="00D22565">
        <w:t xml:space="preserve">chefiado por </w:t>
      </w:r>
      <w:r w:rsidR="00330BAF" w:rsidRPr="000A7167">
        <w:t>Dirlewanger</w:t>
      </w:r>
      <w:r w:rsidR="00330BAF" w:rsidRPr="005C6692">
        <w:t xml:space="preserve"> </w:t>
      </w:r>
      <w:r>
        <w:t xml:space="preserve">levanta um sério problema. </w:t>
      </w:r>
      <w:r w:rsidRPr="000A7167">
        <w:t xml:space="preserve">Um dos historiadores que </w:t>
      </w:r>
      <w:r>
        <w:t xml:space="preserve">melhor </w:t>
      </w:r>
      <w:r w:rsidRPr="000A7167">
        <w:t xml:space="preserve">analisou </w:t>
      </w:r>
      <w:r>
        <w:t xml:space="preserve">o racismo nacional-socialista </w:t>
      </w:r>
      <w:r w:rsidRPr="000A7167">
        <w:t>admit</w:t>
      </w:r>
      <w:r>
        <w:t>iu</w:t>
      </w:r>
      <w:r w:rsidRPr="000A7167">
        <w:t xml:space="preserve"> que Himmler e os SS considera</w:t>
      </w:r>
      <w:r>
        <w:t>sse</w:t>
      </w:r>
      <w:r w:rsidRPr="000A7167">
        <w:t>m todos os internados nos campos de concentração como uma anti-raça</w:t>
      </w:r>
      <w:r w:rsidRPr="000A7167">
        <w:rPr>
          <w:vertAlign w:val="superscript"/>
        </w:rPr>
        <w:footnoteReference w:id="423"/>
      </w:r>
      <w:r w:rsidRPr="000A7167">
        <w:t xml:space="preserve">. Se esta tese for exacta, como </w:t>
      </w:r>
      <w:r>
        <w:t>creio</w:t>
      </w:r>
      <w:r w:rsidRPr="000A7167">
        <w:t xml:space="preserve">, torna-se difícil explicar </w:t>
      </w:r>
      <w:r>
        <w:t xml:space="preserve">que </w:t>
      </w:r>
      <w:r w:rsidRPr="000A7167">
        <w:t xml:space="preserve">uma formação militar </w:t>
      </w:r>
      <w:r>
        <w:t xml:space="preserve">constituída por presidiários pudesse </w:t>
      </w:r>
      <w:r w:rsidRPr="000A7167">
        <w:t xml:space="preserve">estar </w:t>
      </w:r>
      <w:r>
        <w:t xml:space="preserve">incluída nos SS, considerados como </w:t>
      </w:r>
      <w:r w:rsidRPr="000A7167">
        <w:t>elite racial</w:t>
      </w:r>
      <w:r>
        <w:t>.</w:t>
      </w:r>
      <w:r w:rsidRPr="000A7167">
        <w:t xml:space="preserve"> E, contrariamente às alegações de alguns dos incriminados no tribunal de Nuremberga, </w:t>
      </w:r>
      <w:r>
        <w:t xml:space="preserve">não parece haver </w:t>
      </w:r>
      <w:r w:rsidRPr="000A7167">
        <w:t xml:space="preserve">sombra de dúvida que </w:t>
      </w:r>
      <w:r w:rsidR="00A90682">
        <w:t xml:space="preserve">aquele </w:t>
      </w:r>
      <w:r w:rsidR="00330BAF" w:rsidRPr="005C6692">
        <w:t xml:space="preserve">Sonderkommando </w:t>
      </w:r>
      <w:r w:rsidRPr="000A7167">
        <w:t>pertencia efectivamente aos Waffen</w:t>
      </w:r>
      <w:r w:rsidR="00E173CE">
        <w:t>-</w:t>
      </w:r>
      <w:r w:rsidRPr="000A7167">
        <w:t>SS e se integrava de maneira regular nos seus serviços</w:t>
      </w:r>
      <w:r w:rsidRPr="000A7167">
        <w:rPr>
          <w:rStyle w:val="Refdenotaderodap"/>
        </w:rPr>
        <w:footnoteReference w:id="424"/>
      </w:r>
      <w:r w:rsidRPr="000A7167">
        <w:t xml:space="preserve">. </w:t>
      </w:r>
      <w:r>
        <w:t xml:space="preserve">Será que bastava </w:t>
      </w:r>
      <w:r w:rsidRPr="000A7167">
        <w:t>a aura romântic</w:t>
      </w:r>
      <w:r>
        <w:t>a</w:t>
      </w:r>
      <w:r w:rsidRPr="000A7167">
        <w:t xml:space="preserve"> envolv</w:t>
      </w:r>
      <w:r>
        <w:t>endo</w:t>
      </w:r>
      <w:r w:rsidRPr="000A7167">
        <w:t xml:space="preserve"> </w:t>
      </w:r>
      <w:r>
        <w:t xml:space="preserve">os </w:t>
      </w:r>
      <w:r w:rsidRPr="000A7167">
        <w:t xml:space="preserve">caçadores furtivos e </w:t>
      </w:r>
      <w:r>
        <w:t xml:space="preserve">os </w:t>
      </w:r>
      <w:r w:rsidRPr="000A7167">
        <w:t xml:space="preserve">contrabandistas, </w:t>
      </w:r>
      <w:r>
        <w:t xml:space="preserve">ou mesmo o prestígio atribuído à violência dos bandidos, para </w:t>
      </w:r>
      <w:r w:rsidRPr="000A7167">
        <w:t>isent</w:t>
      </w:r>
      <w:r>
        <w:t xml:space="preserve">á-los da </w:t>
      </w:r>
      <w:r w:rsidRPr="000A7167">
        <w:t>degrada</w:t>
      </w:r>
      <w:r>
        <w:t>ção racial?</w:t>
      </w:r>
      <w:r w:rsidRPr="000A7167">
        <w:t xml:space="preserve"> </w:t>
      </w:r>
    </w:p>
    <w:p w:rsidR="00321E01" w:rsidRPr="00A30D34" w:rsidRDefault="00321E01" w:rsidP="00321E01">
      <w:r>
        <w:t xml:space="preserve">Ainda que o admitamos, </w:t>
      </w:r>
      <w:r w:rsidRPr="000A7167">
        <w:t>o caso d</w:t>
      </w:r>
      <w:r w:rsidR="00330BAF">
        <w:t>este</w:t>
      </w:r>
      <w:r w:rsidRPr="000A7167">
        <w:t xml:space="preserve"> Sonderkommando </w:t>
      </w:r>
      <w:r>
        <w:t xml:space="preserve">não deixa de </w:t>
      </w:r>
      <w:r w:rsidRPr="000A7167">
        <w:t>ser intrigante, porque nele participa</w:t>
      </w:r>
      <w:r>
        <w:t>r</w:t>
      </w:r>
      <w:r w:rsidRPr="000A7167">
        <w:t xml:space="preserve">am também </w:t>
      </w:r>
      <w:r>
        <w:t xml:space="preserve">soldados estrangeiros </w:t>
      </w:r>
      <w:r w:rsidRPr="000A7167">
        <w:t xml:space="preserve">considerados </w:t>
      </w:r>
      <w:r>
        <w:t xml:space="preserve">racicamente </w:t>
      </w:r>
      <w:r w:rsidRPr="000A7167">
        <w:t xml:space="preserve">inferiores. Embora num documento de Fevereiro de 1944 Himmler </w:t>
      </w:r>
      <w:r>
        <w:t>afirmasse</w:t>
      </w:r>
      <w:r w:rsidRPr="000A7167">
        <w:t xml:space="preserve"> que o </w:t>
      </w:r>
      <w:r w:rsidR="00330BAF">
        <w:t>SS-</w:t>
      </w:r>
      <w:r w:rsidR="00330BAF" w:rsidRPr="005C6692">
        <w:t xml:space="preserve">Sonderkommando </w:t>
      </w:r>
      <w:r w:rsidRPr="000A7167">
        <w:t>«é constituído por alemães»</w:t>
      </w:r>
      <w:r w:rsidRPr="000A7167">
        <w:rPr>
          <w:rStyle w:val="Refdenotaderodap"/>
        </w:rPr>
        <w:footnoteReference w:id="425"/>
      </w:r>
      <w:r w:rsidRPr="000A7167">
        <w:t xml:space="preserve">, esta força militar incluía estrangeiros, que não </w:t>
      </w:r>
      <w:r w:rsidR="00722625">
        <w:t>compunham</w:t>
      </w:r>
      <w:r w:rsidRPr="000A7167">
        <w:t xml:space="preserve"> meras unidades auxiliares e se integravam no</w:t>
      </w:r>
      <w:r>
        <w:t>s</w:t>
      </w:r>
      <w:r w:rsidRPr="000A7167">
        <w:t xml:space="preserve"> </w:t>
      </w:r>
      <w:r>
        <w:t>efectivos</w:t>
      </w:r>
      <w:r w:rsidRPr="000A7167">
        <w:rPr>
          <w:rStyle w:val="Refdenotaderodap"/>
        </w:rPr>
        <w:footnoteReference w:id="426"/>
      </w:r>
      <w:r w:rsidRPr="000A7167">
        <w:t xml:space="preserve">. A </w:t>
      </w:r>
      <w:r w:rsidR="00661EB2">
        <w:t xml:space="preserve">sua </w:t>
      </w:r>
      <w:r w:rsidRPr="000A7167">
        <w:t>presença foi especialmente significativa entre Julho de 1943 e Junho de 1944, atingindo 30%, mas mesmo depois não deixou de se verificar</w:t>
      </w:r>
      <w:r w:rsidRPr="000A7167">
        <w:rPr>
          <w:rStyle w:val="Refdenotaderodap"/>
        </w:rPr>
        <w:footnoteReference w:id="427"/>
      </w:r>
      <w:r w:rsidRPr="000A7167">
        <w:t xml:space="preserve">. A participação de muçulmanos oriundos do leste da Europa </w:t>
      </w:r>
      <w:r>
        <w:t xml:space="preserve">e </w:t>
      </w:r>
      <w:r w:rsidRPr="000A7167">
        <w:t>de gente do norte do Cáucaso</w:t>
      </w:r>
      <w:r w:rsidRPr="000A7167">
        <w:rPr>
          <w:rStyle w:val="Refdenotaderodap"/>
        </w:rPr>
        <w:footnoteReference w:id="428"/>
      </w:r>
      <w:r>
        <w:t xml:space="preserve"> não levanta problemas</w:t>
      </w:r>
      <w:r w:rsidRPr="000A7167">
        <w:t>, porque vimos qu</w:t>
      </w:r>
      <w:r>
        <w:t>e</w:t>
      </w:r>
      <w:r w:rsidRPr="000A7167">
        <w:t xml:space="preserve"> a mitologia racial </w:t>
      </w:r>
      <w:r w:rsidR="00AB2F07">
        <w:t>hitleriana</w:t>
      </w:r>
      <w:r w:rsidRPr="000A7167">
        <w:t xml:space="preserve"> lhes atribuía um lugar de destaque. </w:t>
      </w:r>
      <w:r>
        <w:t>Do mesmo modo, se e</w:t>
      </w:r>
      <w:r w:rsidRPr="000A7167">
        <w:t>m 1942 Dirlewanger começou a recrutar ucranianos</w:t>
      </w:r>
      <w:r>
        <w:t>,</w:t>
      </w:r>
      <w:r w:rsidRPr="000A7167">
        <w:t xml:space="preserve"> </w:t>
      </w:r>
      <w:r>
        <w:t>que participavam n</w:t>
      </w:r>
      <w:r w:rsidRPr="000A7167">
        <w:t xml:space="preserve">o </w:t>
      </w:r>
      <w:r w:rsidR="00330BAF">
        <w:t xml:space="preserve">seu </w:t>
      </w:r>
      <w:r w:rsidRPr="000A7167">
        <w:t xml:space="preserve">Sonderkommando </w:t>
      </w:r>
      <w:r>
        <w:t xml:space="preserve">ainda </w:t>
      </w:r>
      <w:r w:rsidRPr="000A7167">
        <w:t>em Dezembro de 1944</w:t>
      </w:r>
      <w:r w:rsidRPr="000A7167">
        <w:rPr>
          <w:rStyle w:val="Refdenotaderodap"/>
        </w:rPr>
        <w:footnoteReference w:id="429"/>
      </w:r>
      <w:r w:rsidRPr="000A7167">
        <w:t xml:space="preserve">, é </w:t>
      </w:r>
      <w:r>
        <w:t>legítimo</w:t>
      </w:r>
      <w:r w:rsidRPr="000A7167">
        <w:t xml:space="preserve"> supor que fossem originários da Galícia. Todavia, em Junho de 1943 Dirlewanger informou os seus superiores de que o batalhão incluía cerca de </w:t>
      </w:r>
      <w:r>
        <w:t>quinhentos</w:t>
      </w:r>
      <w:r w:rsidRPr="000A7167">
        <w:t xml:space="preserve"> russos e não há dúvida de que em 1944 havia ainda russos n</w:t>
      </w:r>
      <w:r w:rsidR="00330BAF">
        <w:t>este</w:t>
      </w:r>
      <w:r w:rsidRPr="000A7167">
        <w:t xml:space="preserve"> Sonderkommando</w:t>
      </w:r>
      <w:r w:rsidR="00542C96" w:rsidRPr="000A7167">
        <w:rPr>
          <w:rStyle w:val="Refdenotaderodap"/>
        </w:rPr>
        <w:footnoteReference w:id="430"/>
      </w:r>
      <w:r w:rsidRPr="000A7167">
        <w:t xml:space="preserve">. </w:t>
      </w:r>
      <w:r>
        <w:t>Afigura-se-me inexplicável que os Waffen</w:t>
      </w:r>
      <w:r w:rsidR="00E173CE">
        <w:t>-</w:t>
      </w:r>
      <w:r>
        <w:t xml:space="preserve">SS admitissem pessoas classificadas como </w:t>
      </w:r>
      <w:r w:rsidRPr="003E305A">
        <w:rPr>
          <w:i/>
        </w:rPr>
        <w:t>Untermenschen</w:t>
      </w:r>
      <w:r>
        <w:t xml:space="preserve">. Ora, este problema coloca-se de maneira </w:t>
      </w:r>
      <w:r w:rsidRPr="0084484C">
        <w:t xml:space="preserve">ainda </w:t>
      </w:r>
      <w:r>
        <w:t xml:space="preserve">mais intrigante no caso </w:t>
      </w:r>
      <w:r w:rsidR="00722625">
        <w:t>de outra</w:t>
      </w:r>
      <w:r>
        <w:t xml:space="preserve"> força militar. </w:t>
      </w:r>
    </w:p>
    <w:p w:rsidR="00321E01" w:rsidRPr="003E305A" w:rsidRDefault="00321E01" w:rsidP="00321E01">
      <w:r w:rsidRPr="003E305A">
        <w:lastRenderedPageBreak/>
        <w:t xml:space="preserve">Em Julho de 1944 o russo Bronislav Kaminsky foi recebido nos SS pelo próprio Himmler, que o condecorou com a cruz de ferro de primeira classe, e as milícias que ele </w:t>
      </w:r>
      <w:r w:rsidR="00AB2F07">
        <w:t xml:space="preserve">formara e </w:t>
      </w:r>
      <w:r w:rsidRPr="003E305A">
        <w:t>comandava foram incorporadas nos Waffen</w:t>
      </w:r>
      <w:r w:rsidR="00E173CE">
        <w:t>-</w:t>
      </w:r>
      <w:r w:rsidRPr="003E305A">
        <w:t>SS</w:t>
      </w:r>
      <w:r w:rsidRPr="003E305A">
        <w:rPr>
          <w:rStyle w:val="Refdenotaderodap"/>
        </w:rPr>
        <w:footnoteReference w:id="431"/>
      </w:r>
      <w:r w:rsidRPr="003E305A">
        <w:t>. Kaminsky administrara sob a tutela do ocupante uma região situada entre Orel e Kursk, reunindo aí um corpo de milícias especializado em acções contra a guerrilha. Em Setembro de 1943, perante o avanço das tropas soviéticas, toda aquela gente fugiu, e Kaminsky, com a sua brigada, recebeu das autoridades naciona</w:t>
      </w:r>
      <w:r w:rsidR="00907E4E">
        <w:t>l</w:t>
      </w:r>
      <w:r w:rsidRPr="003E305A">
        <w:t>-socialistas o encargo de administrar uma área da Bielo-Rússia. Como ele pretendia ter origem germânica pelo lado materno</w:t>
      </w:r>
      <w:r w:rsidRPr="003E305A">
        <w:rPr>
          <w:rStyle w:val="Refdenotaderodap"/>
        </w:rPr>
        <w:footnoteReference w:id="432"/>
      </w:r>
      <w:r w:rsidRPr="003E305A">
        <w:t>, pode talvez admitir-se que os SS o considerassem membro da antiga elite racial nórdica, atribuindo-lhe traços de pureza não corrompidos pelo meio eslavo circundante. Mas os homens da sua brigada eram caracterizadamente eslavos</w:t>
      </w:r>
      <w:r w:rsidRPr="003E305A">
        <w:rPr>
          <w:rStyle w:val="Refdenotaderodap"/>
        </w:rPr>
        <w:footnoteReference w:id="433"/>
      </w:r>
      <w:r w:rsidRPr="003E305A">
        <w:t xml:space="preserve"> e aliás formavam uma verdadeira tropa</w:t>
      </w:r>
      <w:r w:rsidR="00903947">
        <w:t>-</w:t>
      </w:r>
      <w:r w:rsidRPr="003E305A">
        <w:t>fandanga, incapazes de qualquer disciplina e destros sobretudo a pilhar. A anormalidade da situação era ainda mais notória pelo facto de Kaminsky se apresentar como chefe de um Partido Nazi Russo</w:t>
      </w:r>
      <w:r w:rsidRPr="003E305A">
        <w:rPr>
          <w:rStyle w:val="Refdenotaderodap"/>
        </w:rPr>
        <w:footnoteReference w:id="434"/>
      </w:r>
      <w:r w:rsidRPr="003E305A">
        <w:t>. Embora se tratasse de uma organização mais ou menos fictícia</w:t>
      </w:r>
      <w:r w:rsidRPr="003E305A">
        <w:rPr>
          <w:rStyle w:val="Refdenotaderodap"/>
        </w:rPr>
        <w:footnoteReference w:id="435"/>
      </w:r>
      <w:r w:rsidRPr="003E305A">
        <w:t>,</w:t>
      </w:r>
      <w:r w:rsidR="00BF45C9">
        <w:t xml:space="preserve"> </w:t>
      </w:r>
      <w:r w:rsidR="00D05975">
        <w:t>vimos</w:t>
      </w:r>
      <w:r w:rsidR="00BF45C9">
        <w:t xml:space="preserve"> que estava proibida a criação de partidos, mesmo de direita</w:t>
      </w:r>
      <w:r w:rsidR="00903947">
        <w:t xml:space="preserve"> ou fascistas</w:t>
      </w:r>
      <w:r w:rsidR="00BF45C9">
        <w:t xml:space="preserve">, </w:t>
      </w:r>
      <w:r w:rsidR="00903947">
        <w:t>e</w:t>
      </w:r>
      <w:r w:rsidR="00BF45C9">
        <w:t xml:space="preserve"> a mera difusão das teses </w:t>
      </w:r>
      <w:r w:rsidR="003878B6">
        <w:t xml:space="preserve">nacional-socialistas </w:t>
      </w:r>
      <w:r w:rsidR="00BF45C9">
        <w:t xml:space="preserve">entre a população eslava dos territórios ocupados, o que torna incompreensível </w:t>
      </w:r>
      <w:r w:rsidRPr="003E305A">
        <w:t>o tratamento que os SS reservaram a Kaminsky</w:t>
      </w:r>
      <w:r>
        <w:t>.</w:t>
      </w:r>
      <w:r w:rsidRPr="003E305A">
        <w:t xml:space="preserve"> O enigma adensa-se ao sabermos que foi também protegido por Rosenberg</w:t>
      </w:r>
      <w:r w:rsidRPr="003E305A">
        <w:rPr>
          <w:rStyle w:val="Refdenotaderodap"/>
        </w:rPr>
        <w:footnoteReference w:id="436"/>
      </w:r>
      <w:r w:rsidRPr="003E305A">
        <w:t xml:space="preserve"> e, o que era muitíssimo mais importante no jogo de forças da época, contou com a simpatia dos serviços de Goebbels</w:t>
      </w:r>
      <w:r w:rsidRPr="003E305A">
        <w:rPr>
          <w:rStyle w:val="Refdenotaderodap"/>
        </w:rPr>
        <w:footnoteReference w:id="437"/>
      </w:r>
      <w:r w:rsidRPr="003E305A">
        <w:t xml:space="preserve">. Não contribui para esclarecer a questão o facto de Kaminsky ter sido morto pelos SS </w:t>
      </w:r>
      <w:r w:rsidR="00352460">
        <w:t xml:space="preserve">ainda </w:t>
      </w:r>
      <w:r w:rsidRPr="003E305A">
        <w:t>em 1944. E como a sua brigada foi rapidamente dissolvida, depois de ter participado em Agosto desse ano na supressão da segunda insurreição de Varsóvia, mesmo em termos estritamente militares os Waffen</w:t>
      </w:r>
      <w:r w:rsidR="00E173CE">
        <w:t>-</w:t>
      </w:r>
      <w:r w:rsidRPr="003E305A">
        <w:t xml:space="preserve">SS pouco se aproveitaram daqueles homens. </w:t>
      </w:r>
      <w:r w:rsidR="00CE0847">
        <w:t xml:space="preserve">Tal como com o </w:t>
      </w:r>
      <w:r w:rsidR="00330BAF">
        <w:t>SS-</w:t>
      </w:r>
      <w:r w:rsidR="00330BAF" w:rsidRPr="005C6692">
        <w:t xml:space="preserve">Sonderkommando </w:t>
      </w:r>
      <w:r w:rsidR="00903947">
        <w:t xml:space="preserve">chefiado por </w:t>
      </w:r>
      <w:r w:rsidR="00330BAF" w:rsidRPr="000A7167">
        <w:t>Dirlewanger</w:t>
      </w:r>
      <w:r w:rsidR="00CE0847">
        <w:t>,</w:t>
      </w:r>
      <w:r w:rsidR="00CE0847" w:rsidRPr="000A7167">
        <w:t xml:space="preserve"> </w:t>
      </w:r>
      <w:r w:rsidR="00CE0847" w:rsidRPr="003E305A">
        <w:t xml:space="preserve">não </w:t>
      </w:r>
      <w:r w:rsidRPr="003E305A">
        <w:t xml:space="preserve">encontro maneira de explicar este caso. </w:t>
      </w:r>
    </w:p>
    <w:p w:rsidR="00FC4730" w:rsidRPr="003E305A" w:rsidRDefault="00FC4730" w:rsidP="00FC4730">
      <w:r>
        <w:t xml:space="preserve">Sobra ainda, nas margens da política e da traição, a </w:t>
      </w:r>
      <w:r w:rsidRPr="00E110F1">
        <w:t>União Nacional-Trabalhista</w:t>
      </w:r>
      <w:r>
        <w:t xml:space="preserve">, NTS, um </w:t>
      </w:r>
      <w:r w:rsidRPr="003E305A">
        <w:t>partido fascista russo</w:t>
      </w:r>
      <w:r>
        <w:t xml:space="preserve"> </w:t>
      </w:r>
      <w:r w:rsidRPr="003E305A">
        <w:t>mais conhecido por Movimento Solidarista</w:t>
      </w:r>
      <w:r>
        <w:t xml:space="preserve">. </w:t>
      </w:r>
      <w:r w:rsidRPr="003E305A">
        <w:t>Autorizad</w:t>
      </w:r>
      <w:r w:rsidR="00CF2876">
        <w:t>a</w:t>
      </w:r>
      <w:r w:rsidRPr="003E305A">
        <w:t xml:space="preserve"> pelos </w:t>
      </w:r>
      <w:r>
        <w:t>nacionais-</w:t>
      </w:r>
      <w:r>
        <w:lastRenderedPageBreak/>
        <w:t>socialistas</w:t>
      </w:r>
      <w:r w:rsidRPr="003E305A">
        <w:t xml:space="preserve"> até ao Verão de 1944, </w:t>
      </w:r>
      <w:r w:rsidR="00CF2876">
        <w:t>a</w:t>
      </w:r>
      <w:r w:rsidRPr="003E305A">
        <w:t xml:space="preserve"> NTS</w:t>
      </w:r>
      <w:r>
        <w:t xml:space="preserve"> foi </w:t>
      </w:r>
      <w:r w:rsidRPr="003E305A">
        <w:t>activ</w:t>
      </w:r>
      <w:r w:rsidR="00CF2876">
        <w:t>a</w:t>
      </w:r>
      <w:r w:rsidRPr="003E305A">
        <w:t xml:space="preserve"> tanto nos territórios soviéticos ocupados como na direcção de certos campos de prisioneiros especiais, e no interior do Reich dedic</w:t>
      </w:r>
      <w:r>
        <w:t>ou</w:t>
      </w:r>
      <w:r w:rsidRPr="003E305A">
        <w:t xml:space="preserve">-se à infiltração nos meios da velha </w:t>
      </w:r>
      <w:r w:rsidR="000E0B76">
        <w:t>i</w:t>
      </w:r>
      <w:r w:rsidRPr="003E305A">
        <w:t>migração política russa. Os solidaristas chegaram a deter alguma influência no Ministério para os Territórios Ocupados do Leste, a cargo de Rosenberg, e em serviços de propaganda da Wehrmacht, sendo ainda eles quem, na realidade, orientou o Partido Nazi de Kaminsky, tal como circula</w:t>
      </w:r>
      <w:r>
        <w:t>r</w:t>
      </w:r>
      <w:r w:rsidRPr="003E305A">
        <w:t xml:space="preserve">am em torno de Vlassov. </w:t>
      </w:r>
      <w:r>
        <w:t>Também não entendo por que se violou neste caso o rigor doutrinário do nacional-socialismo</w:t>
      </w:r>
      <w:r>
        <w:rPr>
          <w:rStyle w:val="Refdenotaderodap"/>
        </w:rPr>
        <w:footnoteReference w:id="438"/>
      </w:r>
      <w:r>
        <w:t xml:space="preserve">. </w:t>
      </w:r>
    </w:p>
    <w:p w:rsidR="00321E01" w:rsidRDefault="00321E01" w:rsidP="00321E01">
      <w:r w:rsidRPr="003E305A">
        <w:t>De resto, as tropas auxiliares formadas por povos a que</w:t>
      </w:r>
      <w:r w:rsidR="00FC4730">
        <w:t>m</w:t>
      </w:r>
      <w:r w:rsidRPr="003E305A">
        <w:t xml:space="preserve"> não se reconhecia</w:t>
      </w:r>
      <w:r w:rsidR="00FC4730">
        <w:t>m</w:t>
      </w:r>
      <w:r w:rsidRPr="003E305A">
        <w:t xml:space="preserve"> afinidade</w:t>
      </w:r>
      <w:r w:rsidR="00FC4730">
        <w:t>s</w:t>
      </w:r>
      <w:r w:rsidRPr="003E305A">
        <w:t xml:space="preserve"> com a raça nórdica ou recrutadas entre raças consideradas inferiores estiveram enquadradas na Wehrmacht</w:t>
      </w:r>
      <w:r w:rsidRPr="003E305A">
        <w:rPr>
          <w:rStyle w:val="Refdenotaderodap"/>
        </w:rPr>
        <w:footnoteReference w:id="439"/>
      </w:r>
      <w:r w:rsidRPr="003E305A">
        <w:t xml:space="preserve">, não nos SS, o que confirma uma vez mais as funções de selecção racial atribuídas a este corpo de elite. Apesar disso, eram tão arreigados os preconceitos contra a entrega de armas a eslavos dispostos a colaborar com o </w:t>
      </w:r>
      <w:r w:rsidR="00CE0847">
        <w:t>Reich</w:t>
      </w:r>
      <w:r w:rsidRPr="003E305A">
        <w:t xml:space="preserve"> e contra a sua mobilização para as linhas da frente, que Hitler proibiu repetidamente o emprego de russos, prisioneiros de guerra e desertores, em acções de combate</w:t>
      </w:r>
      <w:r w:rsidRPr="003E305A">
        <w:rPr>
          <w:rStyle w:val="Refdenotaderodap"/>
        </w:rPr>
        <w:footnoteReference w:id="440"/>
      </w:r>
      <w:r w:rsidRPr="003E305A">
        <w:t>. Na prática a Wehrmacht desrespeitou estas ordens em numerosos casos, mas sem que a suprema autoridade nacional-socialista jamais reconhecesse a legitimidade de tal actuação</w:t>
      </w:r>
      <w:r w:rsidRPr="003E305A">
        <w:rPr>
          <w:rStyle w:val="Refdenotaderodap"/>
        </w:rPr>
        <w:footnoteReference w:id="441"/>
      </w:r>
      <w:r w:rsidRPr="003E305A">
        <w:t xml:space="preserve">. Só nos derradeiros meses, perante a iminência da derrota, foram </w:t>
      </w:r>
      <w:r w:rsidR="00E03B60">
        <w:t>formadas</w:t>
      </w:r>
      <w:r w:rsidRPr="003E305A">
        <w:t xml:space="preserve"> duas divisões, cinquenta mil homens no total, sob o comando do general russo Vlassov, que havia sido capturado em Julho de 1942 e se </w:t>
      </w:r>
      <w:r w:rsidRPr="003E305A">
        <w:lastRenderedPageBreak/>
        <w:t>esforça</w:t>
      </w:r>
      <w:r w:rsidR="00D46347">
        <w:t>r</w:t>
      </w:r>
      <w:r w:rsidRPr="003E305A">
        <w:t xml:space="preserve">a desde então por convencer as autoridades </w:t>
      </w:r>
      <w:r w:rsidR="00B0450C">
        <w:t>germânicas</w:t>
      </w:r>
      <w:r w:rsidRPr="003E305A">
        <w:t xml:space="preserve"> a empregarem-no numa campanha não só militar mas também política contra o regime </w:t>
      </w:r>
      <w:r w:rsidR="00E03B60">
        <w:t>de Stalin</w:t>
      </w:r>
      <w:r w:rsidRPr="003E305A">
        <w:t>. Vlassov tinha a ambição, ou a ilusão, de animar um levantamento nacional e popular. Tarde demais. Não havia já territórios soviéticos ocupados, e num Reich em escombros tornara-se praticamente impossível planificar qualquer estratégia. As tropas de Vlassov nenhuma utilidade tiveram para os seus patrocinadores. Mas o rigor do racismo hitleriano prevaleceu até ao último minuto e atribuiu-se formalmente um estatuto de autonomia às divisões russas de Vlassov, para que não fossem sequer integradas na Wehrmacht</w:t>
      </w:r>
      <w:r w:rsidRPr="00C00D71">
        <w:rPr>
          <w:vertAlign w:val="superscript"/>
        </w:rPr>
        <w:footnoteReference w:id="442"/>
      </w:r>
      <w:r w:rsidRPr="003E305A">
        <w:t xml:space="preserve">. Ao longo de toda a guerra mantiveram-se os critérios de selecção racial. </w:t>
      </w:r>
    </w:p>
    <w:p w:rsidR="006E196B" w:rsidRDefault="006E196B" w:rsidP="006E196B">
      <w:pPr>
        <w:keepNext/>
        <w:spacing w:before="240" w:after="120"/>
        <w:ind w:firstLine="0"/>
        <w:jc w:val="center"/>
      </w:pPr>
      <w:r>
        <w:rPr>
          <w:b/>
          <w:sz w:val="28"/>
          <w:szCs w:val="28"/>
        </w:rPr>
        <w:t>4</w:t>
      </w:r>
    </w:p>
    <w:p w:rsidR="00321E01" w:rsidRPr="00130E29" w:rsidRDefault="00321E01" w:rsidP="00321E01">
      <w:r w:rsidRPr="00130E29">
        <w:t>Hitler teria declarado em 1932 num círculo restrito de dirigentes do seu partido, directamente interessados no programa rácico de expansão territorial: «É necessário que, de uma vez para sempre, uma Europa germânica crie as bases políticas e biológicas que serão os factores perpétuos da sua existência. [...] Estamos hoje perante a implacável necessidade de criar uma nova ordem social. [...] A sociedade sem classes dos marxistas é uma loucura. A ordem implica sempre uma hierarquia. Mas a concepção democrática de uma hierarquia baseada no dinheiro não é uma loucura menor. Uma verdadeira dominação não pode nascer dos lucros arriscados resultantes das especulações dos homens de negócios. [...] A verdadeira dominação só pode nascer onde existir a verdadeira submissão. Não se trata de suprimir a desigualdade entre os homens, mas, pelo contrário, de a amplificar e transformá-la numa lei protegida por barreiras intransponíveis, como nas grandes civilizações dos tempos antigos»</w:t>
      </w:r>
      <w:r w:rsidRPr="00130E29">
        <w:rPr>
          <w:vertAlign w:val="superscript"/>
        </w:rPr>
        <w:footnoteReference w:id="443"/>
      </w:r>
      <w:r w:rsidRPr="00130E29">
        <w:t xml:space="preserve">. </w:t>
      </w:r>
      <w:r w:rsidR="002E252D">
        <w:t xml:space="preserve">Deixemos os «tempos antigos» e vejamos o que seria </w:t>
      </w:r>
      <w:r w:rsidR="00E96980">
        <w:t>aquela</w:t>
      </w:r>
      <w:r w:rsidR="002E252D">
        <w:t xml:space="preserve"> «</w:t>
      </w:r>
      <w:r w:rsidR="002E252D" w:rsidRPr="00130E29">
        <w:t>nova ordem social</w:t>
      </w:r>
      <w:r w:rsidR="002E252D">
        <w:t xml:space="preserve">». </w:t>
      </w:r>
    </w:p>
    <w:p w:rsidR="00223C3E" w:rsidRDefault="00F662B0" w:rsidP="00321E01">
      <w:r w:rsidRPr="00F662B0">
        <w:t xml:space="preserve">Em Junho de 1942, numa roda de íntimos, </w:t>
      </w:r>
      <w:r w:rsidR="00E96980" w:rsidRPr="00F662B0">
        <w:t xml:space="preserve">o Führer evocou </w:t>
      </w:r>
      <w:r w:rsidRPr="00F662B0">
        <w:t>«a unificaç</w:t>
      </w:r>
      <w:r>
        <w:t xml:space="preserve">ão da Europa, </w:t>
      </w:r>
      <w:r w:rsidR="006352DD">
        <w:t>que estamos próximos de conseguir»</w:t>
      </w:r>
      <w:r w:rsidR="006352DD">
        <w:rPr>
          <w:rStyle w:val="Refdenotaderodap"/>
        </w:rPr>
        <w:footnoteReference w:id="444"/>
      </w:r>
      <w:r w:rsidR="006352DD">
        <w:t xml:space="preserve">, mas </w:t>
      </w:r>
      <w:r w:rsidR="002D2F82">
        <w:t xml:space="preserve">é necessário </w:t>
      </w:r>
      <w:r w:rsidR="000758B0">
        <w:t>entender</w:t>
      </w:r>
      <w:r w:rsidR="006352DD">
        <w:t xml:space="preserve"> o sentido das palavras. </w:t>
      </w:r>
      <w:r w:rsidR="00321E01" w:rsidRPr="003E305A">
        <w:t xml:space="preserve">No </w:t>
      </w:r>
      <w:r w:rsidR="0045087E" w:rsidRPr="003E305A">
        <w:t xml:space="preserve">Ocidente </w:t>
      </w:r>
      <w:r w:rsidR="0045087E">
        <w:t xml:space="preserve">europeu </w:t>
      </w:r>
      <w:r w:rsidR="003442E5" w:rsidRPr="003E305A">
        <w:t xml:space="preserve">subsistiriam </w:t>
      </w:r>
      <w:r w:rsidR="00321E01" w:rsidRPr="003E305A">
        <w:t xml:space="preserve">apenas os elementos biologicamente superiores, organizados </w:t>
      </w:r>
      <w:r w:rsidR="00D2255E">
        <w:t xml:space="preserve">— ou melhor, reorganizados — </w:t>
      </w:r>
      <w:r w:rsidR="00321E01" w:rsidRPr="003E305A">
        <w:t xml:space="preserve">numa </w:t>
      </w:r>
      <w:r w:rsidR="00E30148">
        <w:t>colaboração económica</w:t>
      </w:r>
      <w:r w:rsidR="00321E01" w:rsidRPr="003E305A">
        <w:t xml:space="preserve"> de tipo capitalista, votada</w:t>
      </w:r>
      <w:r w:rsidR="000B6A39">
        <w:t>,</w:t>
      </w:r>
      <w:r w:rsidR="00321E01" w:rsidRPr="003E305A">
        <w:t xml:space="preserve"> </w:t>
      </w:r>
      <w:r w:rsidR="000B6A39">
        <w:t xml:space="preserve">segundo algumas perspectivas, </w:t>
      </w:r>
      <w:r w:rsidR="00321E01" w:rsidRPr="003E305A">
        <w:t>ao progresso industrial e agrícola e à melhoria do nível de vida da população</w:t>
      </w:r>
      <w:r w:rsidR="00321E01" w:rsidRPr="003E305A">
        <w:rPr>
          <w:rStyle w:val="Refdenotaderodap"/>
        </w:rPr>
        <w:footnoteReference w:id="445"/>
      </w:r>
      <w:r w:rsidR="00321E01" w:rsidRPr="003E305A">
        <w:t xml:space="preserve">. </w:t>
      </w:r>
      <w:r w:rsidR="004E10AB">
        <w:t xml:space="preserve">«Estamos a caminhar para uma situação em que </w:t>
      </w:r>
      <w:r w:rsidR="00DD5F0E">
        <w:t xml:space="preserve">deverão </w:t>
      </w:r>
      <w:r w:rsidR="004E10AB">
        <w:t>desaparecer progressivamente as distinções abruptas entre o germânico e o europeu»</w:t>
      </w:r>
      <w:r w:rsidR="00DD5F0E">
        <w:t xml:space="preserve">, declarou em Outubro </w:t>
      </w:r>
      <w:r w:rsidR="00DD5F0E">
        <w:lastRenderedPageBreak/>
        <w:t xml:space="preserve">de 1940 </w:t>
      </w:r>
      <w:r w:rsidR="008A645C">
        <w:t xml:space="preserve">Gustav Schlotterer, </w:t>
      </w:r>
      <w:r w:rsidR="00DD5F0E">
        <w:t>alto funcionário do Ministério da Economia do Reich</w:t>
      </w:r>
      <w:r w:rsidR="00DC49B3">
        <w:t xml:space="preserve"> e membro dos SS</w:t>
      </w:r>
      <w:r w:rsidR="00B54626">
        <w:rPr>
          <w:rStyle w:val="Refdenotaderodap"/>
        </w:rPr>
        <w:footnoteReference w:id="446"/>
      </w:r>
      <w:r w:rsidR="00DD5F0E">
        <w:t xml:space="preserve">. </w:t>
      </w:r>
      <w:r w:rsidR="000B6A39">
        <w:t xml:space="preserve">Segundo outra perspectiva, porém, </w:t>
      </w:r>
      <w:r w:rsidR="00163059">
        <w:t xml:space="preserve">que era a </w:t>
      </w:r>
      <w:r w:rsidR="000B6A39">
        <w:t>do próprio Führer</w:t>
      </w:r>
      <w:r w:rsidR="00163059">
        <w:rPr>
          <w:rStyle w:val="Refdenotaderodap"/>
        </w:rPr>
        <w:footnoteReference w:id="447"/>
      </w:r>
      <w:r w:rsidR="00A6183D">
        <w:t xml:space="preserve"> e que Göring enunciou com a habitual rudeza</w:t>
      </w:r>
      <w:r w:rsidR="00A6183D">
        <w:rPr>
          <w:rStyle w:val="Refdenotaderodap"/>
        </w:rPr>
        <w:footnoteReference w:id="448"/>
      </w:r>
      <w:r w:rsidR="000B6A39">
        <w:t>, o sistema de saque e espoliação abrangeria a</w:t>
      </w:r>
      <w:r w:rsidR="0059428D">
        <w:t xml:space="preserve"> </w:t>
      </w:r>
      <w:r w:rsidR="003E42B8">
        <w:t xml:space="preserve">Europa a </w:t>
      </w:r>
      <w:r w:rsidR="009C4746">
        <w:t>oeste</w:t>
      </w:r>
      <w:r w:rsidR="003E42B8">
        <w:t xml:space="preserve"> do Reich</w:t>
      </w:r>
      <w:r w:rsidR="0059428D">
        <w:t xml:space="preserve">, e foi assim que as autoridades ocupantes conduziram nesses países a economia de guerra, com o Serviço de Trabalho Obrigatório e a requisição de enormes contingentes da produção agrícola e industrial. </w:t>
      </w:r>
      <w:r w:rsidR="005D515D">
        <w:t xml:space="preserve">No entanto, mesmo neste contexto </w:t>
      </w:r>
      <w:r w:rsidR="00B43F31">
        <w:t xml:space="preserve">houve lugar para </w:t>
      </w:r>
      <w:r w:rsidR="003E42B8">
        <w:t xml:space="preserve">a </w:t>
      </w:r>
      <w:r w:rsidR="00B43F31">
        <w:t xml:space="preserve">colaboração económica, como </w:t>
      </w:r>
      <w:r w:rsidR="003E42B8">
        <w:t>mostr</w:t>
      </w:r>
      <w:r w:rsidR="0054423D">
        <w:t>ou</w:t>
      </w:r>
      <w:r w:rsidR="003E42B8">
        <w:t xml:space="preserve"> </w:t>
      </w:r>
      <w:r w:rsidR="00B43F31">
        <w:t xml:space="preserve">o acordo entre </w:t>
      </w:r>
      <w:r w:rsidR="00817C67">
        <w:t xml:space="preserve">Albert </w:t>
      </w:r>
      <w:r w:rsidR="00B43F31">
        <w:t>Speer</w:t>
      </w:r>
      <w:r w:rsidR="00817C67">
        <w:t>,</w:t>
      </w:r>
      <w:r w:rsidR="00B43F31">
        <w:t xml:space="preserve"> </w:t>
      </w:r>
      <w:r w:rsidR="00817C67">
        <w:t>ministro do Reich para o Armamento e a Pr</w:t>
      </w:r>
      <w:r w:rsidR="003E42B8">
        <w:t>od</w:t>
      </w:r>
      <w:r w:rsidR="00817C67">
        <w:t xml:space="preserve">ução de Guerra, </w:t>
      </w:r>
      <w:r w:rsidR="00B43F31">
        <w:t xml:space="preserve">e </w:t>
      </w:r>
      <w:r w:rsidR="00B46786">
        <w:t xml:space="preserve">o </w:t>
      </w:r>
      <w:r w:rsidR="00B46786" w:rsidRPr="00D44C47">
        <w:t>secretário de Estado da Produção Industrial e das Comunicações</w:t>
      </w:r>
      <w:r w:rsidR="00B46786">
        <w:t xml:space="preserve"> no governo de Vichy, Jean </w:t>
      </w:r>
      <w:r w:rsidR="00B43F31">
        <w:t>Bichelonne</w:t>
      </w:r>
      <w:r w:rsidR="00905F72" w:rsidRPr="003C250C">
        <w:t xml:space="preserve">, </w:t>
      </w:r>
      <w:r w:rsidR="00905F72">
        <w:t>que já analisei (no capítulo 2 da Parte 2)</w:t>
      </w:r>
      <w:r w:rsidR="00B43F31">
        <w:t xml:space="preserve">. </w:t>
      </w:r>
      <w:r w:rsidR="005354B5">
        <w:t xml:space="preserve">Sem pôr em causa o abastecimento da </w:t>
      </w:r>
      <w:r w:rsidR="007E4A93">
        <w:t xml:space="preserve">economia de guerra </w:t>
      </w:r>
      <w:r w:rsidR="005D1DA0">
        <w:t>do Reich</w:t>
      </w:r>
      <w:r w:rsidR="007E4A93">
        <w:t xml:space="preserve">, </w:t>
      </w:r>
      <w:r w:rsidR="00905F72">
        <w:t>este</w:t>
      </w:r>
      <w:r w:rsidR="007E4A93">
        <w:t xml:space="preserve"> acordo </w:t>
      </w:r>
      <w:r w:rsidR="005354B5">
        <w:t xml:space="preserve">procurou estimular a actividade produtiva em França e evitar a desindustrialização daquele país. </w:t>
      </w:r>
      <w:r w:rsidR="0007395C">
        <w:t>Qual d</w:t>
      </w:r>
      <w:r w:rsidR="003E42B8">
        <w:t xml:space="preserve">as duas perspectivas </w:t>
      </w:r>
      <w:r w:rsidR="0007395C">
        <w:t>haveria de prevalecer</w:t>
      </w:r>
      <w:r w:rsidR="00FB360B">
        <w:t>,</w:t>
      </w:r>
      <w:r w:rsidR="0007395C">
        <w:t xml:space="preserve"> </w:t>
      </w:r>
      <w:r w:rsidR="00AA67C8">
        <w:t xml:space="preserve">a que se </w:t>
      </w:r>
      <w:r w:rsidR="00117871">
        <w:t>basea</w:t>
      </w:r>
      <w:r w:rsidR="00AA67C8">
        <w:t>v</w:t>
      </w:r>
      <w:r w:rsidR="00117871">
        <w:t xml:space="preserve">a numa cooperação </w:t>
      </w:r>
      <w:r w:rsidR="00FB360B">
        <w:t xml:space="preserve">ou </w:t>
      </w:r>
      <w:r w:rsidR="00AA67C8">
        <w:t xml:space="preserve">a </w:t>
      </w:r>
      <w:r w:rsidR="00FB360B">
        <w:t xml:space="preserve">simplesmente espoliadora, </w:t>
      </w:r>
      <w:r w:rsidR="00E00AAE">
        <w:t xml:space="preserve">foi </w:t>
      </w:r>
      <w:r w:rsidR="0007395C">
        <w:t>uma questão deixada em aberto pela derrota dos fascismos, que não tiveram tempo para experimentar na prática a Ordem Nova europeia</w:t>
      </w:r>
      <w:r w:rsidR="00223C3E">
        <w:t>. Depois de tudo terminado, Marc Augier, que em 1943 dirigi</w:t>
      </w:r>
      <w:r w:rsidR="003E0814">
        <w:t>u</w:t>
      </w:r>
      <w:r w:rsidR="00223C3E">
        <w:t xml:space="preserve"> o jornal da LVF e em 1944-1945 o dos Waffen</w:t>
      </w:r>
      <w:r w:rsidR="00E173CE">
        <w:t>-</w:t>
      </w:r>
      <w:r w:rsidR="00223C3E">
        <w:t xml:space="preserve">SS franceses, recordou </w:t>
      </w:r>
      <w:r w:rsidR="00905F72">
        <w:t>aquele</w:t>
      </w:r>
      <w:r w:rsidR="00223C3E">
        <w:t xml:space="preserve"> dilema ao escrever que «quando Hitler afirmou perante homens inteligentes como Doriot e Degrelle “Para fazer a Europa é necessário primeiro ganhar a guerra”, ele não compreendeu a profundidade da réplica, considerada um simples gracejo, “Para ganhar a guerra é necessário primeiro fazer a Europa”»</w:t>
      </w:r>
      <w:r w:rsidR="00DF55A4">
        <w:rPr>
          <w:rStyle w:val="Refdenotaderodap"/>
        </w:rPr>
        <w:footnoteReference w:id="449"/>
      </w:r>
      <w:r w:rsidR="0007395C">
        <w:t xml:space="preserve">. </w:t>
      </w:r>
    </w:p>
    <w:p w:rsidR="00321E01" w:rsidRPr="003E305A" w:rsidRDefault="00905F72" w:rsidP="00321E01">
      <w:r>
        <w:t>O certo é que</w:t>
      </w:r>
      <w:r w:rsidR="000A62F1">
        <w:t xml:space="preserve">, </w:t>
      </w:r>
      <w:r w:rsidR="00776095">
        <w:t>restrita às fronteiras do Reich ou ampliada à Europa</w:t>
      </w:r>
      <w:r w:rsidR="00AE6AD7">
        <w:t xml:space="preserve"> ocidental</w:t>
      </w:r>
      <w:r w:rsidR="00776095">
        <w:t xml:space="preserve">, </w:t>
      </w:r>
      <w:r w:rsidR="00F314B1">
        <w:t xml:space="preserve">mantinha-se uma economia baseada no </w:t>
      </w:r>
      <w:r w:rsidR="000A62F1">
        <w:t xml:space="preserve">assalariamento, </w:t>
      </w:r>
      <w:r w:rsidR="00F314B1">
        <w:t>n</w:t>
      </w:r>
      <w:r w:rsidR="000A62F1">
        <w:t>o sistema empresarial</w:t>
      </w:r>
      <w:r w:rsidR="00E03B60">
        <w:t xml:space="preserve"> </w:t>
      </w:r>
      <w:r w:rsidR="000A62F1">
        <w:t xml:space="preserve">e </w:t>
      </w:r>
      <w:r w:rsidR="00F314B1">
        <w:t>n</w:t>
      </w:r>
      <w:r w:rsidR="000A62F1">
        <w:t xml:space="preserve">o mercado. Como seriam evitados os </w:t>
      </w:r>
      <w:r w:rsidR="004837BC">
        <w:t>conflitos</w:t>
      </w:r>
      <w:r w:rsidR="000A62F1">
        <w:t xml:space="preserve"> de classe que rasgam o capitalismo? </w:t>
      </w:r>
      <w:r w:rsidR="00321E01" w:rsidRPr="003E305A">
        <w:t xml:space="preserve">A estabilidade social </w:t>
      </w:r>
      <w:r w:rsidR="00AE6AD7">
        <w:t>estaria</w:t>
      </w:r>
      <w:r w:rsidR="00321E01" w:rsidRPr="003E305A">
        <w:t xml:space="preserve"> assegurada porque as clivagens entre patrões e trabalhadores se dissolviam numa comunidade biológica, ficando os antagonismos resolvidos em termos raciais</w:t>
      </w:r>
      <w:r w:rsidR="00321E01" w:rsidRPr="003E305A">
        <w:rPr>
          <w:rStyle w:val="Refdenotaderodap"/>
        </w:rPr>
        <w:footnoteReference w:id="450"/>
      </w:r>
      <w:r w:rsidR="00321E01" w:rsidRPr="003E305A">
        <w:t>. Vinte e um dias após a sua nomeação para a Chancelaria</w:t>
      </w:r>
      <w:r w:rsidR="00321E01">
        <w:t xml:space="preserve">, e questionando tanto </w:t>
      </w:r>
      <w:r w:rsidR="00321E01" w:rsidRPr="003E305A">
        <w:t xml:space="preserve">os marxistas e a burguesia liberal como aqueles membros do seu partido que </w:t>
      </w:r>
      <w:r w:rsidR="00321E01">
        <w:t xml:space="preserve">tinham a veleidade de </w:t>
      </w:r>
      <w:r w:rsidR="00321E01" w:rsidRPr="003E305A">
        <w:t>interferir na hierarquia das empresas, Hitler anunci</w:t>
      </w:r>
      <w:r w:rsidR="00321E01">
        <w:t>ou</w:t>
      </w:r>
      <w:r w:rsidR="00321E01" w:rsidRPr="003E305A">
        <w:t xml:space="preserve"> numa reunião com industriais: «É impossível que a empresa privada se sustente na era da democracia. Ela só é concebível se as pessoas tiverem ideias sensatas acerca da autoridade e da personalidade [...] Todos os bens materiais que possuímos são devidos à luta dos escolhidos [...] Não podemos esquecer que todos os benefícios da cultura têm </w:t>
      </w:r>
      <w:r w:rsidR="00321E01" w:rsidRPr="003E305A">
        <w:lastRenderedPageBreak/>
        <w:t>mais ou menos de ser introduzidos com um punho de ferro»</w:t>
      </w:r>
      <w:r w:rsidR="00321E01" w:rsidRPr="003E305A">
        <w:rPr>
          <w:rStyle w:val="Refdenotaderodap"/>
        </w:rPr>
        <w:footnoteReference w:id="451"/>
      </w:r>
      <w:r w:rsidR="00321E01" w:rsidRPr="003E305A">
        <w:t xml:space="preserve">. A aplicação do </w:t>
      </w:r>
      <w:r w:rsidR="00321E01" w:rsidRPr="003E305A">
        <w:rPr>
          <w:i/>
        </w:rPr>
        <w:t>Führerprinzip</w:t>
      </w:r>
      <w:r w:rsidR="00321E01" w:rsidRPr="003E305A">
        <w:t xml:space="preserve"> às empresas assimil</w:t>
      </w:r>
      <w:r w:rsidR="00321E01">
        <w:t>ou</w:t>
      </w:r>
      <w:r w:rsidR="00321E01" w:rsidRPr="003E305A">
        <w:t xml:space="preserve">-as ao sistema </w:t>
      </w:r>
      <w:r w:rsidR="0054423D">
        <w:t>nacional-socialista</w:t>
      </w:r>
      <w:r w:rsidR="00321E01" w:rsidRPr="003E305A">
        <w:t xml:space="preserve">, sendo portanto os capitalistas concebidos não como uma classe mas como uma elite. Ora, num quadro de pensamento que recusava a problemática social e dava o exclusivo às questões raciais, só podia também ser rácico o fundamento da elite empresarial. Por isso os SS, tesouro do sangue mais puro, </w:t>
      </w:r>
      <w:r w:rsidR="00321E01">
        <w:t>deviam converter-se n</w:t>
      </w:r>
      <w:r w:rsidR="00321E01" w:rsidRPr="003E305A">
        <w:t>uma tecnocracia</w:t>
      </w:r>
      <w:r w:rsidR="00321E01">
        <w:t>,</w:t>
      </w:r>
      <w:r w:rsidR="00321E01" w:rsidRPr="003E305A">
        <w:t xml:space="preserve"> </w:t>
      </w:r>
      <w:r w:rsidR="00321E01">
        <w:t xml:space="preserve">e </w:t>
      </w:r>
      <w:r w:rsidR="00321E01" w:rsidRPr="003E305A">
        <w:t>a singularidade biológica conferia-lhe</w:t>
      </w:r>
      <w:r w:rsidR="00321E01">
        <w:t>s</w:t>
      </w:r>
      <w:r w:rsidR="00321E01" w:rsidRPr="003E305A">
        <w:t xml:space="preserve"> a hegemonia na esfera económica como em todas as outras. </w:t>
      </w:r>
    </w:p>
    <w:p w:rsidR="00321E01" w:rsidRPr="003E305A" w:rsidRDefault="00321E01" w:rsidP="00321E01">
      <w:r w:rsidRPr="003E305A">
        <w:t>Hitler atribu</w:t>
      </w:r>
      <w:r>
        <w:t>iu</w:t>
      </w:r>
      <w:r w:rsidRPr="003E305A">
        <w:t xml:space="preserve"> à raça superior as características adequadas à criação e à manutenção de uma sociedade </w:t>
      </w:r>
      <w:r>
        <w:t>coesa e duradoura</w:t>
      </w:r>
      <w:r w:rsidRPr="003E305A">
        <w:t>. «Quanto mais facilmente se estiver disposto a prescindir dos interesses meramente pessoais, tanto maior será a capacidade de constituir vastas comunidades</w:t>
      </w:r>
      <w:r w:rsidR="0054423D">
        <w:t>», ditou ele na prisão</w:t>
      </w:r>
      <w:r w:rsidRPr="003E305A">
        <w:t xml:space="preserve">. </w:t>
      </w:r>
      <w:r w:rsidR="0054423D">
        <w:t>«</w:t>
      </w:r>
      <w:r w:rsidRPr="003E305A">
        <w:t>É sobretudo entre os arianos que se desenvolveu mais acentuadamente esta vontade de auto-sacrifício, que leva cada um a dar aos outros o seu trabalho pessoal e, se necessário, a própria vida. A superioridade do ariano não reside nas suas qualidades intelectuais, em si, mas no enorme grau em que se dispõe a pôr todas as suas capacidades ao serviço da comunidade. Ele elevou o instinto de conservação à sua forma mais nobre, pois subordina de bom grado o próprio ego à vida da comunidade e, chegado o momento, aceita mesmo sacrificá-lo»</w:t>
      </w:r>
      <w:r w:rsidRPr="003E305A">
        <w:rPr>
          <w:rStyle w:val="Refdenotaderodap"/>
        </w:rPr>
        <w:footnoteReference w:id="452"/>
      </w:r>
      <w:r w:rsidRPr="003E305A">
        <w:t xml:space="preserve">. Definida a cultura exclusivamente como coesão </w:t>
      </w:r>
      <w:r w:rsidR="005220FC">
        <w:t>do</w:t>
      </w:r>
      <w:r w:rsidRPr="003E305A">
        <w:t xml:space="preserve"> povo, então a criatividade cultural corresponderia à anulação do indivíduo, um acto que havia de encontrar na morte heróica a essência superlativa. Único criador de cultura, e por isso o único a conhecer o verdadeiro heroísmo, o Ariano, como Hitler então lhe chamava, ou o Nórdico, como os teóricos do racismo </w:t>
      </w:r>
      <w:r w:rsidR="00621EE1">
        <w:t>preferiram designá-lo</w:t>
      </w:r>
      <w:r w:rsidRPr="003E305A">
        <w:rPr>
          <w:rStyle w:val="Refdenotaderodap"/>
        </w:rPr>
        <w:footnoteReference w:id="453"/>
      </w:r>
      <w:r w:rsidRPr="003E305A">
        <w:t xml:space="preserve">, via-se sujeito ao mais macabro dos paradoxos, assegurar a criação da cultura mediante a destruição da vida. Por isso a cultura e o heroísmo foram duas faces inseparáveis nesta mitologia do sangue superior, encontrando ambas a razão de ser na ordem, entendida como coesão da raça e sua estabilidade. Nos termos de Rosenberg, a </w:t>
      </w:r>
      <w:r w:rsidRPr="003E305A">
        <w:lastRenderedPageBreak/>
        <w:t>submissão de cada geração e de cada pessoa à permanência supratemporal do sangue da raça inspirava o culto da honra e o seu corolário, o comportamento heróico</w:t>
      </w:r>
      <w:r w:rsidRPr="003E305A">
        <w:rPr>
          <w:rStyle w:val="Refdenotaderodap"/>
        </w:rPr>
        <w:footnoteReference w:id="454"/>
      </w:r>
      <w:r w:rsidRPr="003E305A">
        <w:t xml:space="preserve">. </w:t>
      </w:r>
      <w:r w:rsidR="00DA3FDE">
        <w:t xml:space="preserve">Escreveu ele que </w:t>
      </w:r>
      <w:r w:rsidR="00D617B9">
        <w:t xml:space="preserve">«praticamente tudo o que preservou o carácter da nossa raça, dos nossos povos e nações, </w:t>
      </w:r>
      <w:r w:rsidR="00FB1376">
        <w:t>foi antes de mais o conceito de honra e a ideia de dever</w:t>
      </w:r>
      <w:r w:rsidR="00C71D89">
        <w:t xml:space="preserve"> que lhe está indissoluvelmente ligada</w:t>
      </w:r>
      <w:r w:rsidR="00FB1376">
        <w:t xml:space="preserve">» </w:t>
      </w:r>
      <w:r w:rsidR="00DA3FDE">
        <w:t xml:space="preserve">e </w:t>
      </w:r>
      <w:r w:rsidR="00AA4FD6">
        <w:t>«</w:t>
      </w:r>
      <w:r w:rsidR="00DA3FDE">
        <w:t xml:space="preserve">onde </w:t>
      </w:r>
      <w:r w:rsidR="00AA4FD6">
        <w:t xml:space="preserve">quer que </w:t>
      </w:r>
      <w:r w:rsidR="00964E24">
        <w:t>prevaleça</w:t>
      </w:r>
      <w:r w:rsidR="00AA4FD6">
        <w:t xml:space="preserve"> o sangue nórdico, </w:t>
      </w:r>
      <w:r w:rsidR="0018054B">
        <w:t xml:space="preserve">encontra-se </w:t>
      </w:r>
      <w:r w:rsidR="00AA4FD6">
        <w:t>o conceito de honra»</w:t>
      </w:r>
      <w:r w:rsidR="000E1D86">
        <w:rPr>
          <w:rStyle w:val="Refdenotaderodap"/>
        </w:rPr>
        <w:footnoteReference w:id="455"/>
      </w:r>
      <w:r w:rsidR="000E1D86">
        <w:t>,</w:t>
      </w:r>
      <w:r w:rsidR="00AA4FD6">
        <w:t xml:space="preserve"> </w:t>
      </w:r>
      <w:r w:rsidR="00DA3FDE">
        <w:t xml:space="preserve">mas é inútil multiplicar as citações, porque se trata de </w:t>
      </w:r>
      <w:r w:rsidR="005C7D41">
        <w:t xml:space="preserve">um dos temas recorrentes em </w:t>
      </w:r>
      <w:r w:rsidR="005C7D41" w:rsidRPr="005C7D41">
        <w:rPr>
          <w:i/>
        </w:rPr>
        <w:t>O Mito do Século XX</w:t>
      </w:r>
      <w:r w:rsidR="005C7D41">
        <w:t xml:space="preserve">. </w:t>
      </w:r>
      <w:r w:rsidRPr="003E305A">
        <w:t>Além disso, a indissolúvel ligação do sangue ao solo, da história concebida como eternidade a uma geografia considerada imutável, produzia o bom senso e o realismo, que representavam a compreensão pelo homem do lugar detido na organização geral da natureza</w:t>
      </w:r>
      <w:r w:rsidRPr="003E305A">
        <w:rPr>
          <w:rStyle w:val="Refdenotaderodap"/>
        </w:rPr>
        <w:footnoteReference w:id="456"/>
      </w:r>
      <w:r w:rsidRPr="003E305A">
        <w:t>. Pretendia Darré que os camponeses, conservando em si a força vital da raça nórdica e inspirados pelo ciclo que leva da sementeira à colheita, estavam aptos a compreender que a essência da realidade é o processo de evolução orgânica</w:t>
      </w:r>
      <w:r w:rsidRPr="003E305A">
        <w:rPr>
          <w:rStyle w:val="Refdenotaderodap"/>
        </w:rPr>
        <w:footnoteReference w:id="457"/>
      </w:r>
      <w:r w:rsidRPr="003E305A">
        <w:t xml:space="preserve">. Deste conjunto de valores fundamentais resultaria o espírito de síntese, a capacidade de impor a união sobre as cisões, a hierarquia sobre os conflitos, o todo sobre as partes. A disciplina era para os </w:t>
      </w:r>
      <w:r w:rsidR="005220FC">
        <w:t>nacionais-socialistas</w:t>
      </w:r>
      <w:r w:rsidRPr="003E305A">
        <w:t xml:space="preserve"> a expressão da superioridade do sangue, e tanto mandar como obedecer exigiam disciplina. No interior da raça superior a autoridade da elite sobre as massas era apresentada como uma submissão comum aos imperativos do sangue. Nesta atitude de obediência à raça, enquanto colectividade presente e permanência trans-histórica, dissolver-se-iam as oposições de classe. </w:t>
      </w:r>
    </w:p>
    <w:p w:rsidR="00321E01" w:rsidRPr="003E305A" w:rsidRDefault="00321E01" w:rsidP="00321E01">
      <w:r w:rsidRPr="003E305A">
        <w:t xml:space="preserve">Foi neste quadro que adquiriu um amplo carácter operacional o conceito de </w:t>
      </w:r>
      <w:r w:rsidRPr="003E305A">
        <w:rPr>
          <w:i/>
        </w:rPr>
        <w:t>Volksgenössische,</w:t>
      </w:r>
      <w:r w:rsidRPr="003E305A">
        <w:t xml:space="preserve"> camaradagem entre os elementos do povo, que deve entender-se como camaradagem de raça</w:t>
      </w:r>
      <w:r w:rsidRPr="003E305A">
        <w:rPr>
          <w:rStyle w:val="Refdenotaderodap"/>
        </w:rPr>
        <w:footnoteReference w:id="458"/>
      </w:r>
      <w:r w:rsidRPr="003E305A">
        <w:t xml:space="preserve">. O conceito vinha já expresso no quarto ponto do programa do </w:t>
      </w:r>
      <w:r w:rsidR="00702D4F">
        <w:t>partido</w:t>
      </w:r>
      <w:r w:rsidRPr="003E305A">
        <w:t xml:space="preserve">, </w:t>
      </w:r>
      <w:r w:rsidRPr="003E305A">
        <w:lastRenderedPageBreak/>
        <w:t>apresentado em 1920</w:t>
      </w:r>
      <w:r w:rsidRPr="003E305A">
        <w:rPr>
          <w:rStyle w:val="Refdenotaderodap"/>
        </w:rPr>
        <w:footnoteReference w:id="459"/>
      </w:r>
      <w:r w:rsidRPr="003E305A">
        <w:t xml:space="preserve">, mas só mais tarde demonstrou todas as suas potencialidades de articulação. A passagem de um fascismo social a um fascismo rácico operou-se mediante a conversão da Nação Proletária numa Raça de Camaradas. </w:t>
      </w:r>
      <w:r w:rsidRPr="003E305A">
        <w:rPr>
          <w:i/>
        </w:rPr>
        <w:t>Genosse,</w:t>
      </w:r>
      <w:r w:rsidRPr="003E305A">
        <w:t xml:space="preserve"> o termo que em alemão designa o camarada no movimento operário, recordava a qualificação socialista de que este nacionalismo racial se reivindicava, e ao mesmo tempo fundia todos os membros da raça numa entidade única, negando a divisão em classes. O socialismo que o Führer pretendia implantar significava, nas suas próprias palavras, o desaparecimento das divisões entre classes, através da comunidade do sangue</w:t>
      </w:r>
      <w:r w:rsidRPr="003E305A">
        <w:rPr>
          <w:rStyle w:val="Refdenotaderodap"/>
        </w:rPr>
        <w:footnoteReference w:id="460"/>
      </w:r>
      <w:r w:rsidRPr="003E305A">
        <w:t xml:space="preserve">. </w:t>
      </w:r>
    </w:p>
    <w:p w:rsidR="007D2A86" w:rsidRDefault="00321E01" w:rsidP="00321E01">
      <w:r>
        <w:t xml:space="preserve">Se apesar disto restasse </w:t>
      </w:r>
      <w:r w:rsidRPr="003E305A">
        <w:t>qualquer vestígio de insatisfação</w:t>
      </w:r>
      <w:r>
        <w:t xml:space="preserve">, seria atenuado pela </w:t>
      </w:r>
      <w:r w:rsidRPr="003E305A">
        <w:t xml:space="preserve">exploração </w:t>
      </w:r>
      <w:r w:rsidR="00284C01">
        <w:t>massiv</w:t>
      </w:r>
      <w:r w:rsidRPr="003E305A">
        <w:t xml:space="preserve">a dos escravos de </w:t>
      </w:r>
      <w:r w:rsidR="00A4001C" w:rsidRPr="003E305A">
        <w:t>Leste</w:t>
      </w:r>
      <w:r>
        <w:t>,</w:t>
      </w:r>
      <w:r w:rsidRPr="003E305A">
        <w:t xml:space="preserve"> </w:t>
      </w:r>
      <w:r>
        <w:t xml:space="preserve">que contribuiria </w:t>
      </w:r>
      <w:r w:rsidRPr="003E305A">
        <w:t xml:space="preserve">para melhorar o nível de vida dos trabalhadores no </w:t>
      </w:r>
      <w:r w:rsidR="00BD687B" w:rsidRPr="003E305A">
        <w:t>Ocidente</w:t>
      </w:r>
      <w:r w:rsidRPr="003E305A">
        <w:rPr>
          <w:rStyle w:val="Refdenotaderodap"/>
        </w:rPr>
        <w:footnoteReference w:id="461"/>
      </w:r>
      <w:r w:rsidRPr="003E305A">
        <w:t xml:space="preserve">. </w:t>
      </w:r>
      <w:r w:rsidR="00192A28">
        <w:t xml:space="preserve">«Esta não é uma guerra pelo trono e pelo altar», escreveu Goebbels num artigo de Maio de 1942; «é uma guerra pelo trigo e pelo pão, por uma mesa bem abastecida ao pequeno-almoço, ao almoço e ao jantar, uma guerra para </w:t>
      </w:r>
      <w:r w:rsidR="007F78BE">
        <w:t>garantir</w:t>
      </w:r>
      <w:r w:rsidR="00192A28">
        <w:t xml:space="preserve"> as condições materiais necessárias à </w:t>
      </w:r>
      <w:r w:rsidR="007F78BE">
        <w:t>resolução</w:t>
      </w:r>
      <w:r w:rsidR="00192A28">
        <w:t xml:space="preserve"> da questão social [...]»</w:t>
      </w:r>
      <w:r w:rsidR="00B84468">
        <w:rPr>
          <w:rStyle w:val="Refdenotaderodap"/>
        </w:rPr>
        <w:footnoteReference w:id="462"/>
      </w:r>
      <w:r w:rsidR="00192A28">
        <w:t>.</w:t>
      </w:r>
      <w:r w:rsidR="00545D2A">
        <w:t xml:space="preserve"> </w:t>
      </w:r>
      <w:r w:rsidR="00C010A0">
        <w:t>Como explic</w:t>
      </w:r>
      <w:r w:rsidR="00192A28">
        <w:t>ara</w:t>
      </w:r>
      <w:r w:rsidR="00C010A0">
        <w:t xml:space="preserve"> em Fevereiro d</w:t>
      </w:r>
      <w:r w:rsidR="00BD687B">
        <w:t xml:space="preserve">o ano anterior </w:t>
      </w:r>
      <w:r w:rsidR="00C010A0">
        <w:t xml:space="preserve">o </w:t>
      </w:r>
      <w:r w:rsidR="00C010A0" w:rsidRPr="009B3836">
        <w:t xml:space="preserve">Reichsleiter </w:t>
      </w:r>
      <w:r w:rsidR="00C010A0">
        <w:t>Robert Ley, chefe da Frente Alemã do Trabalho, «o alemão</w:t>
      </w:r>
      <w:r w:rsidR="004F24AA">
        <w:t>,</w:t>
      </w:r>
      <w:r w:rsidR="00C010A0">
        <w:t xml:space="preserve"> </w:t>
      </w:r>
      <w:r w:rsidR="004F24AA">
        <w:t xml:space="preserve">com efeito, </w:t>
      </w:r>
      <w:r w:rsidR="00C010A0">
        <w:t xml:space="preserve">precisa de mais do que </w:t>
      </w:r>
      <w:r w:rsidR="004F24AA">
        <w:t>o</w:t>
      </w:r>
      <w:r w:rsidR="00C010A0">
        <w:t xml:space="preserve"> polaco ou </w:t>
      </w:r>
      <w:r w:rsidR="004F24AA">
        <w:t>o</w:t>
      </w:r>
      <w:r w:rsidR="00C010A0">
        <w:t xml:space="preserve"> preto ou quem quer que seja. Quanto mais elevada for a raça, mais elevadas serão as condições necessárias à vida humana»</w:t>
      </w:r>
      <w:r w:rsidR="002451A2">
        <w:rPr>
          <w:rStyle w:val="Refdenotaderodap"/>
        </w:rPr>
        <w:footnoteReference w:id="463"/>
      </w:r>
      <w:r w:rsidR="00C010A0">
        <w:t>. A hierarquia biológica ditaria a hierarquização dos trabalhadores</w:t>
      </w:r>
      <w:r w:rsidR="009833F2">
        <w:t>,</w:t>
      </w:r>
      <w:r w:rsidR="00C010A0">
        <w:t xml:space="preserve"> e </w:t>
      </w:r>
      <w:r w:rsidR="0045087E">
        <w:t xml:space="preserve">o novo chefe </w:t>
      </w:r>
      <w:r w:rsidR="00E51CD9">
        <w:t>do RSHA, Kaltenbrunner</w:t>
      </w:r>
      <w:r w:rsidR="0045087E">
        <w:t>,</w:t>
      </w:r>
      <w:r w:rsidR="00E51CD9">
        <w:t xml:space="preserve"> recordou em Abril de 1943 as regras que deviam presidir ao tratamento dos trabalhadores de outras raças</w:t>
      </w:r>
      <w:r w:rsidR="00166FD8">
        <w:t>:</w:t>
      </w:r>
      <w:r w:rsidR="00E51CD9">
        <w:t xml:space="preserve"> «</w:t>
      </w:r>
      <w:r w:rsidR="00447DC2">
        <w:t>Os compatriotas alemães devem ter consciência de que, se ignorarem os princípios básicos da concepção nacional-socialista de raça, ficarão expostos às penas mais severas</w:t>
      </w:r>
      <w:r w:rsidR="002E06D3">
        <w:t>»</w:t>
      </w:r>
      <w:r w:rsidR="005B6934">
        <w:rPr>
          <w:rStyle w:val="Refdenotaderodap"/>
        </w:rPr>
        <w:footnoteReference w:id="464"/>
      </w:r>
      <w:r w:rsidR="002E06D3">
        <w:t xml:space="preserve">. Já </w:t>
      </w:r>
      <w:r w:rsidR="002E06D3" w:rsidRPr="003E305A">
        <w:t xml:space="preserve">num </w:t>
      </w:r>
      <w:r w:rsidRPr="003E305A">
        <w:t xml:space="preserve">discurso pronunciado em Kiev </w:t>
      </w:r>
      <w:r w:rsidR="002E06D3">
        <w:t xml:space="preserve">no mês anterior </w:t>
      </w:r>
      <w:r w:rsidRPr="003E305A">
        <w:t>disse</w:t>
      </w:r>
      <w:r w:rsidR="002E06D3">
        <w:t>ra</w:t>
      </w:r>
      <w:r w:rsidRPr="003E305A">
        <w:t xml:space="preserve"> Erich Koch, comissário do Reich para a Ucrânia: «</w:t>
      </w:r>
      <w:r w:rsidR="00EB1E65" w:rsidRPr="003E305A">
        <w:t xml:space="preserve">Somos </w:t>
      </w:r>
      <w:r w:rsidRPr="003E305A">
        <w:t>uma raça de senhores e devemos lembrar-nos de que o mais humilde dos trabalhadores alemães é mil vezes mais valioso racial e biologicamente do que a população daqui»</w:t>
      </w:r>
      <w:r w:rsidRPr="003E305A">
        <w:rPr>
          <w:rStyle w:val="Refdenotaderodap"/>
        </w:rPr>
        <w:footnoteReference w:id="465"/>
      </w:r>
      <w:r w:rsidRPr="003E305A">
        <w:t xml:space="preserve">. </w:t>
      </w:r>
      <w:r w:rsidR="007D2A86">
        <w:t xml:space="preserve">Mesmo no interior da mão-de-obra recrutada para </w:t>
      </w:r>
      <w:r w:rsidR="00197D42">
        <w:t xml:space="preserve">cumprir no Reich </w:t>
      </w:r>
      <w:r w:rsidR="007D2A86">
        <w:t xml:space="preserve">o serviço de trabalho obrigatório prevalecia uma classificação </w:t>
      </w:r>
      <w:r w:rsidR="00166FD8">
        <w:t xml:space="preserve">racial </w:t>
      </w:r>
      <w:r w:rsidR="007D2A86">
        <w:t>rigoros</w:t>
      </w:r>
      <w:r w:rsidR="00035834">
        <w:t>a</w:t>
      </w:r>
      <w:r w:rsidR="00A00F29">
        <w:t>,</w:t>
      </w:r>
      <w:r w:rsidR="007D2A86">
        <w:t xml:space="preserve"> e se por um </w:t>
      </w:r>
      <w:r w:rsidR="007D2A86">
        <w:lastRenderedPageBreak/>
        <w:t xml:space="preserve">lado toda ela estava afastada do contacto com os operários </w:t>
      </w:r>
      <w:r w:rsidR="00197D42">
        <w:t>germânicos</w:t>
      </w:r>
      <w:r w:rsidR="007D2A86">
        <w:t xml:space="preserve">, por outro lado os franceses </w:t>
      </w:r>
      <w:r w:rsidR="00450BFA">
        <w:t xml:space="preserve">e </w:t>
      </w:r>
      <w:r w:rsidR="003C542C">
        <w:t>demais</w:t>
      </w:r>
      <w:r w:rsidR="00450BFA">
        <w:t xml:space="preserve"> trabalhadores da Europa ocidental e da Escandinávia </w:t>
      </w:r>
      <w:r w:rsidR="007D2A86">
        <w:t xml:space="preserve">eram </w:t>
      </w:r>
      <w:r w:rsidR="00035834">
        <w:t xml:space="preserve">muito mais bem </w:t>
      </w:r>
      <w:r w:rsidR="007D2A86">
        <w:t>tratados do que os eslavos sub-humanos e estavam igualmente afastados deles</w:t>
      </w:r>
      <w:r w:rsidR="009B026C">
        <w:rPr>
          <w:rStyle w:val="Refdenotaderodap"/>
        </w:rPr>
        <w:footnoteReference w:id="466"/>
      </w:r>
      <w:r w:rsidR="007D2A86">
        <w:t xml:space="preserve">. </w:t>
      </w:r>
    </w:p>
    <w:p w:rsidR="00321E01" w:rsidRDefault="00321E01" w:rsidP="00321E01">
      <w:r>
        <w:t>N</w:t>
      </w:r>
      <w:r w:rsidRPr="003E305A">
        <w:t xml:space="preserve">este </w:t>
      </w:r>
      <w:r w:rsidRPr="003E305A">
        <w:rPr>
          <w:i/>
        </w:rPr>
        <w:t>apartheid</w:t>
      </w:r>
      <w:r w:rsidRPr="003E305A">
        <w:t xml:space="preserve"> executado numa dimensão continental</w:t>
      </w:r>
      <w:r>
        <w:t>,</w:t>
      </w:r>
      <w:r w:rsidRPr="003E305A">
        <w:t xml:space="preserve"> </w:t>
      </w:r>
      <w:r>
        <w:t xml:space="preserve">o capitalismo no </w:t>
      </w:r>
      <w:r w:rsidR="00166FD8">
        <w:t xml:space="preserve">Ocidente </w:t>
      </w:r>
      <w:r>
        <w:t xml:space="preserve">germânico justapor-se-ia a uma economia metacapitalista, ou talvez ao </w:t>
      </w:r>
      <w:r w:rsidRPr="00DF20B5">
        <w:rPr>
          <w:i/>
        </w:rPr>
        <w:t>remake</w:t>
      </w:r>
      <w:r>
        <w:t xml:space="preserve"> de um pré-capitalismo mítico, no </w:t>
      </w:r>
      <w:r w:rsidR="00A4001C">
        <w:t>Leste</w:t>
      </w:r>
      <w:r>
        <w:t xml:space="preserve"> eslavo. </w:t>
      </w:r>
      <w:r w:rsidR="008B4AC9">
        <w:t xml:space="preserve">Hitler </w:t>
      </w:r>
      <w:r>
        <w:t xml:space="preserve">teria assim </w:t>
      </w:r>
      <w:r w:rsidRPr="003E305A">
        <w:t>instaura</w:t>
      </w:r>
      <w:r>
        <w:t>do</w:t>
      </w:r>
      <w:r w:rsidRPr="003E305A">
        <w:t xml:space="preserve"> uma sociedade de exploração estável, o império perene da ordem absoluta, «uma paz que não se apoia nos louros brandidos por carpideiras pacifistas, mas se firma na espada vitoriosa de um povo de senhores, colocando o mundo ao serviço de uma cultura superior»</w:t>
      </w:r>
      <w:r w:rsidRPr="003E305A">
        <w:rPr>
          <w:rStyle w:val="Refdenotaderodap"/>
        </w:rPr>
        <w:footnoteReference w:id="467"/>
      </w:r>
      <w:r w:rsidRPr="003E305A">
        <w:t xml:space="preserve">. </w:t>
      </w:r>
      <w:r w:rsidRPr="00354EFD">
        <w:t>Numa declaração de Agosto de 1940</w:t>
      </w:r>
      <w:r>
        <w:t>,</w:t>
      </w:r>
      <w:r w:rsidRPr="00354EFD">
        <w:t xml:space="preserve"> </w:t>
      </w:r>
      <w:r w:rsidR="008B4AC9">
        <w:t xml:space="preserve">o Führer </w:t>
      </w:r>
      <w:r w:rsidRPr="00354EFD">
        <w:t>considerou a preservação da pureza do sangue como a garantia da solidez da futura Ordem Nova continental</w:t>
      </w:r>
      <w:r w:rsidR="00166FD8">
        <w:t>:</w:t>
      </w:r>
      <w:r w:rsidRPr="00354EFD">
        <w:t xml:space="preserve"> «Na sua forma final, o Grande Reich Alemão incluirá no interior das suas fronteiras entidades nacionais que desde o princípio se revelam desfavoráveis ao Reich. Isto leva a que seja necessário manter, fora do núcleo germânico do Reich, uma polícia militar de Estado capaz de representar e de impor em qualquer situação a autoridade do Reich dentro do país. Esta função só pode caber a uma Polícia de Estado que tenha nas suas fileiras homens do melhor sangue germânico e se identifique plenamente com a ideologia em que se fundamenta o Grande Reich Alemão. Só uma formação constituída desta maneira poderá resistir às influências desintegradoras, mesmo em épocas de crise. Uma formação deste tipo </w:t>
      </w:r>
      <w:r w:rsidR="00166FD8">
        <w:t>—</w:t>
      </w:r>
      <w:r w:rsidRPr="00354EFD">
        <w:t xml:space="preserve"> orgulhosa da sua pureza racial </w:t>
      </w:r>
      <w:r w:rsidR="00166FD8">
        <w:t>—</w:t>
      </w:r>
      <w:r w:rsidRPr="00354EFD">
        <w:t xml:space="preserve"> jamais fraternizará com o proletariado e com o submundo [...] Regressando ao país depois de terem mostrado o seu valor no campo de batalha, as unidades dos Waffen</w:t>
      </w:r>
      <w:r w:rsidR="00E173CE">
        <w:t>-</w:t>
      </w:r>
      <w:r w:rsidRPr="00354EFD">
        <w:t>SS disporão da autoridade necessária para executar as suas missões enquanto Polícia de Estado»</w:t>
      </w:r>
      <w:r w:rsidRPr="00354EFD">
        <w:rPr>
          <w:vertAlign w:val="superscript"/>
        </w:rPr>
        <w:footnoteReference w:id="468"/>
      </w:r>
      <w:r w:rsidRPr="00354EFD">
        <w:t xml:space="preserve">. </w:t>
      </w:r>
    </w:p>
    <w:p w:rsidR="00321E01" w:rsidRPr="003E305A" w:rsidRDefault="00321E01" w:rsidP="00321E01">
      <w:r w:rsidRPr="00354EFD">
        <w:t>As opiniões de Hitler a este respeito não variaram e estavam formadas desde há muito, minuciosas no seu detalhe. Declara</w:t>
      </w:r>
      <w:r>
        <w:t>r</w:t>
      </w:r>
      <w:r w:rsidRPr="00354EFD">
        <w:t xml:space="preserve">a ele no Verão de 1932 perante alguns dirigentes do partido, reunidos para escutar os planos de colonização a </w:t>
      </w:r>
      <w:r w:rsidR="00A4001C" w:rsidRPr="00354EFD">
        <w:t>Leste</w:t>
      </w:r>
      <w:r w:rsidRPr="00354EFD">
        <w:t xml:space="preserve">: «Não se trata de fabricar uma medíocre pan-Europa pacifista [...] O que é necessário, de uma vez para sempre, é que uma Europa germânica crie as bases políticas e biológicas que serão os factores perpétuos da sua existência. [...] A nossa missão é subjugar os outros povos. O povo alemão tem a vocação de dar ao mundo uma nova classe de senhores. [...] Eu vou-vos dizer, camaradas, que aspecto há-de apresentar a futura ordem social. Haverá uma classe de senhores, proveniente dos mais diversos elementos, que será recrutada no combate e encontrará assim a sua justificação </w:t>
      </w:r>
      <w:r w:rsidRPr="00354EFD">
        <w:lastRenderedPageBreak/>
        <w:t xml:space="preserve">histórica. Haverá a esmagadora maioria dos membros do partido, ordenados hierarquicamente. São eles que formarão as novas classes médias. Haverá também a grande massa anónima, a colectividade dos servidores [...] Mais baixo ainda, teremos a classe dos estrangeiros submetidos pela conquista, a quem chamaremos com frieza os escravos modernos. E acima de tudo isto haverá a nova alta nobreza, composta pelas personalidades dirigentes mais meritórias e mais dignas de responsabilidades. [...] Será no </w:t>
      </w:r>
      <w:r w:rsidR="009F6645" w:rsidRPr="00354EFD">
        <w:t>Leste</w:t>
      </w:r>
      <w:r w:rsidRPr="00354EFD">
        <w:t xml:space="preserve"> que encontraremos o nosso grande campo de experiências. É lá que há-de nascer a nova ordem social europeia»</w:t>
      </w:r>
      <w:r w:rsidRPr="00354EFD">
        <w:rPr>
          <w:vertAlign w:val="superscript"/>
        </w:rPr>
        <w:footnoteReference w:id="469"/>
      </w:r>
      <w:r w:rsidRPr="00354EFD">
        <w:t xml:space="preserve">. </w:t>
      </w:r>
      <w:r w:rsidRPr="003E305A">
        <w:t xml:space="preserve">Perante os eslavos </w:t>
      </w:r>
      <w:r w:rsidR="00A9457A">
        <w:t>sub</w:t>
      </w:r>
      <w:r w:rsidRPr="003E305A">
        <w:t xml:space="preserve">-humanos, incapazes de ascender à disciplina do sangue e </w:t>
      </w:r>
      <w:r w:rsidR="000C2EAB">
        <w:t xml:space="preserve">desprovidos de </w:t>
      </w:r>
      <w:r w:rsidR="000C2EAB" w:rsidRPr="003E305A">
        <w:t>qualquer princípio próprio de ordenação social</w:t>
      </w:r>
      <w:r w:rsidR="000C2EAB">
        <w:t xml:space="preserve">, </w:t>
      </w:r>
      <w:r w:rsidR="001A43DE">
        <w:t xml:space="preserve">e </w:t>
      </w:r>
      <w:r w:rsidR="000C2EAB">
        <w:t xml:space="preserve">estando aniquiladas as elites </w:t>
      </w:r>
      <w:r w:rsidR="000C2EAB" w:rsidRPr="003E305A">
        <w:t xml:space="preserve">autóctones </w:t>
      </w:r>
      <w:r w:rsidR="000C2EAB">
        <w:t xml:space="preserve">que </w:t>
      </w:r>
      <w:r w:rsidR="00D90289">
        <w:t>os</w:t>
      </w:r>
      <w:r w:rsidR="000C2EAB">
        <w:t xml:space="preserve"> haviam </w:t>
      </w:r>
      <w:r w:rsidR="00D90289">
        <w:t>dirigido</w:t>
      </w:r>
      <w:r w:rsidR="000C2EAB">
        <w:t xml:space="preserve">, </w:t>
      </w:r>
      <w:r w:rsidRPr="003E305A">
        <w:t xml:space="preserve">erguia-se a raça de senhores, disciplinada e coesa. A disciplina do sangue fazia com que os membros da raça superior jamais se digladiassem entre si. A ausência de uma disciplina do sangue impedia que os sub-homens se revoltassem contra a raça superior. Estaria assim assegurada </w:t>
      </w:r>
      <w:r w:rsidR="00D90289">
        <w:t>a</w:t>
      </w:r>
      <w:r w:rsidRPr="003E305A">
        <w:t xml:space="preserve"> ordem absoluta? Nada ameaçaria o império continental nacional-socialista? </w:t>
      </w:r>
    </w:p>
    <w:p w:rsidR="00321E01" w:rsidRPr="003E305A" w:rsidRDefault="00321E01" w:rsidP="003F04F9">
      <w:pPr>
        <w:keepNext/>
        <w:spacing w:before="720" w:after="360"/>
        <w:ind w:firstLine="0"/>
        <w:jc w:val="center"/>
        <w:rPr>
          <w:b/>
          <w:sz w:val="28"/>
        </w:rPr>
      </w:pPr>
      <w:r>
        <w:rPr>
          <w:b/>
          <w:sz w:val="28"/>
        </w:rPr>
        <w:t>5</w:t>
      </w:r>
      <w:r w:rsidRPr="003E305A">
        <w:rPr>
          <w:b/>
          <w:sz w:val="28"/>
        </w:rPr>
        <w:t xml:space="preserve">. </w:t>
      </w:r>
      <w:r>
        <w:rPr>
          <w:b/>
          <w:sz w:val="28"/>
        </w:rPr>
        <w:t>Anti-raça</w:t>
      </w:r>
    </w:p>
    <w:p w:rsidR="000C2EAB" w:rsidRDefault="000C2EAB" w:rsidP="000C2EAB">
      <w:pPr>
        <w:keepNext/>
        <w:spacing w:before="240" w:after="120"/>
        <w:ind w:firstLine="0"/>
        <w:jc w:val="center"/>
      </w:pPr>
      <w:r>
        <w:rPr>
          <w:b/>
          <w:sz w:val="28"/>
          <w:szCs w:val="28"/>
        </w:rPr>
        <w:t>1</w:t>
      </w:r>
    </w:p>
    <w:p w:rsidR="00321E01" w:rsidRPr="003E305A" w:rsidRDefault="00321E01" w:rsidP="00321E01">
      <w:r w:rsidRPr="003E305A">
        <w:t xml:space="preserve">Para que a raça superior fizesse triunfar aquela ordem estável e inaugurasse o Reich </w:t>
      </w:r>
      <w:r w:rsidR="00780882">
        <w:t>de</w:t>
      </w:r>
      <w:r w:rsidRPr="003E305A">
        <w:t xml:space="preserve"> Mil Anos seria necessário aniquilar primeiro a raça privada de espírito de síntese, os críticos propensos a analisar o todo na contraditoriedade das partes, os subversores que sempre ameaçam as hierarquias com os conflitos. E quem os podia representar melhor do que um povo que, expulso há dois mil anos da pátria de origem, se revelara incapaz tanto de se deixar assimilar pelos Estados que o acolheram como de fundar um Estado próprio? </w:t>
      </w:r>
      <w:r w:rsidRPr="000A23E7">
        <w:t xml:space="preserve">No pensamento </w:t>
      </w:r>
      <w:r w:rsidR="00CC37BF">
        <w:t xml:space="preserve">nacional-socialista </w:t>
      </w:r>
      <w:r w:rsidRPr="000A23E7">
        <w:t>os judeus eram a «anti-raça»</w:t>
      </w:r>
      <w:r w:rsidRPr="000A23E7">
        <w:rPr>
          <w:vertAlign w:val="superscript"/>
        </w:rPr>
        <w:footnoteReference w:id="470"/>
      </w:r>
      <w:r w:rsidRPr="000A23E7">
        <w:t xml:space="preserve">. </w:t>
      </w:r>
      <w:r w:rsidR="00CC37BF">
        <w:t xml:space="preserve">Parece que a aplicação do conceito de </w:t>
      </w:r>
      <w:r w:rsidR="00CC37BF" w:rsidRPr="00CC37BF">
        <w:rPr>
          <w:i/>
        </w:rPr>
        <w:t>anti-raça</w:t>
      </w:r>
      <w:r w:rsidR="00CC37BF">
        <w:t xml:space="preserve"> a</w:t>
      </w:r>
      <w:r w:rsidR="00CC37BF" w:rsidRPr="003E305A">
        <w:t xml:space="preserve">os judeus </w:t>
      </w:r>
      <w:r w:rsidR="00CC37BF">
        <w:t xml:space="preserve">foi </w:t>
      </w:r>
      <w:r w:rsidR="0078649C">
        <w:t>inaugurada</w:t>
      </w:r>
      <w:r w:rsidR="00CC37BF" w:rsidRPr="003E305A">
        <w:t xml:space="preserve"> por Arno Schickedanz</w:t>
      </w:r>
      <w:r w:rsidR="008C1F99">
        <w:rPr>
          <w:rStyle w:val="Refdenotaderodap"/>
        </w:rPr>
        <w:footnoteReference w:id="471"/>
      </w:r>
      <w:r w:rsidR="00CC37BF" w:rsidRPr="003E305A">
        <w:t xml:space="preserve">, um dos personagens que </w:t>
      </w:r>
      <w:r w:rsidR="00CC37BF">
        <w:t xml:space="preserve">de mais perto </w:t>
      </w:r>
      <w:r w:rsidR="00CC37BF" w:rsidRPr="003E305A">
        <w:t>rodeavam Rosenberg</w:t>
      </w:r>
      <w:r w:rsidR="00CC37BF">
        <w:t xml:space="preserve">, </w:t>
      </w:r>
      <w:r w:rsidR="00E5693E">
        <w:t>e</w:t>
      </w:r>
      <w:r w:rsidR="00CC37BF">
        <w:t xml:space="preserve"> es</w:t>
      </w:r>
      <w:r w:rsidR="00F52218">
        <w:t>t</w:t>
      </w:r>
      <w:r w:rsidR="00CC37BF">
        <w:t>e conceito deixa esclarecid</w:t>
      </w:r>
      <w:r w:rsidR="00F52218">
        <w:t>a</w:t>
      </w:r>
      <w:r w:rsidR="00CC37BF">
        <w:t xml:space="preserve"> </w:t>
      </w:r>
      <w:r w:rsidR="00F52218">
        <w:t>toda uma constelação ideológica</w:t>
      </w:r>
      <w:r w:rsidR="00DC5A72">
        <w:t xml:space="preserve"> </w:t>
      </w:r>
      <w:r w:rsidR="00D41248">
        <w:t>gerada anteriormente</w:t>
      </w:r>
      <w:r w:rsidR="00F52218">
        <w:t xml:space="preserve">. </w:t>
      </w:r>
      <w:r w:rsidRPr="000A23E7">
        <w:t xml:space="preserve">Incapazes de construir um Estado, </w:t>
      </w:r>
      <w:r w:rsidR="00E5693E">
        <w:t xml:space="preserve">os judeus </w:t>
      </w:r>
      <w:r w:rsidRPr="000A23E7">
        <w:t>só podiam viver infiltrando-se parasitariamente nos Estados alheios.</w:t>
      </w:r>
      <w:r>
        <w:t xml:space="preserve"> </w:t>
      </w:r>
    </w:p>
    <w:p w:rsidR="00F803CE" w:rsidRDefault="00321E01" w:rsidP="00321E01">
      <w:r w:rsidRPr="003E305A">
        <w:lastRenderedPageBreak/>
        <w:t xml:space="preserve">«O derradeiro mito que a Europa ainda possui é </w:t>
      </w:r>
      <w:r w:rsidR="001A43DE">
        <w:t>—</w:t>
      </w:r>
      <w:r w:rsidRPr="003E305A">
        <w:t xml:space="preserve"> o Judeu. E torna-se evidente que não quer vê-lo destruído», escrev</w:t>
      </w:r>
      <w:r>
        <w:t>eu</w:t>
      </w:r>
      <w:r w:rsidRPr="003E305A">
        <w:t xml:space="preserve"> no começo da república de Weimar um literato judeu, denunciando «um tipo de ciência, que habitualmente destrói mitos, mas que está sempre ocupada em manter vivo este mito e em traduzir para um idioma moderno a atribuição de virtudes demoníacas ao Judeu, tal como a realizou a Igreja medieval»</w:t>
      </w:r>
      <w:r w:rsidRPr="003E305A">
        <w:rPr>
          <w:rStyle w:val="Refdenotaderodap"/>
        </w:rPr>
        <w:footnoteReference w:id="472"/>
      </w:r>
      <w:r w:rsidRPr="003E305A">
        <w:t xml:space="preserve">. </w:t>
      </w:r>
      <w:r w:rsidR="005B5A2C">
        <w:t xml:space="preserve">Mas </w:t>
      </w:r>
      <w:r w:rsidR="00FE1228">
        <w:t xml:space="preserve">importa afastar de uma vez por todas a noção de que o anti-semitismo nacional-socialista </w:t>
      </w:r>
      <w:r w:rsidR="003C7011">
        <w:t xml:space="preserve">tivesse </w:t>
      </w:r>
      <w:r w:rsidR="00FE1228">
        <w:t xml:space="preserve">qualquer componente religiosa. Hitler foi muito claro a este respeito </w:t>
      </w:r>
      <w:r w:rsidR="00DF489A">
        <w:t xml:space="preserve">e recordou em </w:t>
      </w:r>
      <w:r w:rsidR="00DF489A" w:rsidRPr="00435263">
        <w:rPr>
          <w:i/>
        </w:rPr>
        <w:t>Mein Kampf</w:t>
      </w:r>
      <w:r w:rsidR="00DF489A">
        <w:t xml:space="preserve"> que </w:t>
      </w:r>
      <w:r w:rsidR="00435263">
        <w:t xml:space="preserve">inicialmente </w:t>
      </w:r>
      <w:r w:rsidR="00DF489A">
        <w:t xml:space="preserve">nutrira simpatia pelos judeus enquanto os considerara só como vítimas da </w:t>
      </w:r>
      <w:r w:rsidR="00A42D7C">
        <w:t>sua fé</w:t>
      </w:r>
      <w:r w:rsidR="00435263" w:rsidRPr="001F54CA">
        <w:rPr>
          <w:rStyle w:val="Refdenotaderodap"/>
        </w:rPr>
        <w:footnoteReference w:id="473"/>
      </w:r>
      <w:r w:rsidR="00DF489A">
        <w:t>. Aliás, coexistiam no Terceiro Reich duas persuasões cristã</w:t>
      </w:r>
      <w:r w:rsidR="003C7011">
        <w:t xml:space="preserve">s </w:t>
      </w:r>
      <w:r w:rsidR="00DF489A">
        <w:t>e era muito difundid</w:t>
      </w:r>
      <w:r w:rsidR="003C7011">
        <w:t>o</w:t>
      </w:r>
      <w:r w:rsidR="00DF489A">
        <w:t>, sobretudo entre os SS, um</w:t>
      </w:r>
      <w:r w:rsidR="003C7011">
        <w:t xml:space="preserve"> misticismo </w:t>
      </w:r>
      <w:r w:rsidR="00EE7013">
        <w:t>anticristã</w:t>
      </w:r>
      <w:r w:rsidR="003C7011">
        <w:t>o</w:t>
      </w:r>
      <w:r w:rsidR="00EE7013">
        <w:t xml:space="preserve">. </w:t>
      </w:r>
      <w:r w:rsidR="00CE0CEF">
        <w:t>Convém saber também que só em Itália havia uma percentagem maior de judeus a terem abandonado a sua religião</w:t>
      </w:r>
      <w:r w:rsidR="00CE0CEF">
        <w:rPr>
          <w:rStyle w:val="Refdenotaderodap"/>
        </w:rPr>
        <w:footnoteReference w:id="474"/>
      </w:r>
      <w:r w:rsidR="00CE0CEF">
        <w:t xml:space="preserve">. </w:t>
      </w:r>
      <w:r w:rsidR="00EE7013">
        <w:t>Foi noutro plano que o mito se con</w:t>
      </w:r>
      <w:r w:rsidR="003150F0">
        <w:t>s</w:t>
      </w:r>
      <w:r w:rsidR="00EE7013">
        <w:t xml:space="preserve">truiu. </w:t>
      </w:r>
    </w:p>
    <w:p w:rsidR="002E7C0C" w:rsidRDefault="00321E01" w:rsidP="00321E01">
      <w:r w:rsidRPr="003E305A">
        <w:t xml:space="preserve">Apercebemo-nos de que para os anti-semitas alemães o judaísmo era um mito, que </w:t>
      </w:r>
      <w:r w:rsidR="005B5A2C">
        <w:t>não</w:t>
      </w:r>
      <w:r w:rsidRPr="003E305A">
        <w:t xml:space="preserve"> derivava de </w:t>
      </w:r>
      <w:r w:rsidR="001A43DE">
        <w:t>fricções</w:t>
      </w:r>
      <w:r w:rsidRPr="003E305A">
        <w:t xml:space="preserve"> étnic</w:t>
      </w:r>
      <w:r w:rsidR="001A43DE">
        <w:t>a</w:t>
      </w:r>
      <w:r w:rsidRPr="003E305A">
        <w:t xml:space="preserve">s nem </w:t>
      </w:r>
      <w:r>
        <w:t xml:space="preserve">da </w:t>
      </w:r>
      <w:r w:rsidRPr="003E305A">
        <w:t>situação económica, ao recordarmos que os judeus compunham na população total do país uma fracção mínima, 0,76% em 1933, e a sua presença estava além disso em declínio, pois em 1871 haviam representado 1,</w:t>
      </w:r>
      <w:r w:rsidR="007E4EC1">
        <w:t>0</w:t>
      </w:r>
      <w:r w:rsidRPr="003E305A">
        <w:t>5% da população</w:t>
      </w:r>
      <w:r w:rsidRPr="003E305A">
        <w:rPr>
          <w:rStyle w:val="Refdenotaderodap"/>
        </w:rPr>
        <w:footnoteReference w:id="475"/>
      </w:r>
      <w:r w:rsidRPr="003E305A">
        <w:t xml:space="preserve">. </w:t>
      </w:r>
      <w:r w:rsidR="005B1B2A">
        <w:t xml:space="preserve">Em vez de se </w:t>
      </w:r>
      <w:r w:rsidR="00F803CE">
        <w:t xml:space="preserve">terem </w:t>
      </w:r>
      <w:r w:rsidR="005B1B2A">
        <w:t>precipita</w:t>
      </w:r>
      <w:r w:rsidR="00F803CE">
        <w:t>do</w:t>
      </w:r>
      <w:r w:rsidR="005B1B2A">
        <w:t xml:space="preserve"> para a Alemanha, pelo contrário, durante a república de Weimar, dos cerca de dez milhões de judeus europeus, só menos de 5% residiam naquele país</w:t>
      </w:r>
      <w:r w:rsidR="005B1B2A">
        <w:rPr>
          <w:rStyle w:val="Refdenotaderodap"/>
        </w:rPr>
        <w:footnoteReference w:id="476"/>
      </w:r>
      <w:r w:rsidR="005B1B2A">
        <w:t xml:space="preserve">. Por outro lado, a </w:t>
      </w:r>
      <w:r w:rsidR="00B5025A">
        <w:t xml:space="preserve">falta de fundamento da tão </w:t>
      </w:r>
      <w:r w:rsidR="005B5A2C">
        <w:t>propalada</w:t>
      </w:r>
      <w:r w:rsidR="00B5025A">
        <w:t xml:space="preserve"> judaização do capital financeiro revela-se ao sabermos que os judeus representavam </w:t>
      </w:r>
      <w:r w:rsidR="003D0A73">
        <w:t xml:space="preserve">só </w:t>
      </w:r>
      <w:r w:rsidR="00B5025A">
        <w:t>2% dos banqueiros e corretores de títulos</w:t>
      </w:r>
      <w:r w:rsidR="00B5025A">
        <w:rPr>
          <w:rStyle w:val="Refdenotaderodap"/>
        </w:rPr>
        <w:footnoteReference w:id="477"/>
      </w:r>
      <w:r w:rsidR="007E4EC1">
        <w:t>.</w:t>
      </w:r>
      <w:r w:rsidR="00B5025A">
        <w:t xml:space="preserve"> </w:t>
      </w:r>
      <w:r w:rsidR="007E4EC1">
        <w:t xml:space="preserve">O </w:t>
      </w:r>
      <w:r w:rsidR="002E7C0C">
        <w:t xml:space="preserve">carácter </w:t>
      </w:r>
      <w:r w:rsidR="00A20895">
        <w:t xml:space="preserve">mítico dos pavores anti-semitas </w:t>
      </w:r>
      <w:r w:rsidR="002E7C0C">
        <w:t xml:space="preserve">torna-se ainda mais evidente pelo facto de </w:t>
      </w:r>
      <w:r w:rsidR="00F803CE">
        <w:t xml:space="preserve">o principal foco do racismo no NSDAP </w:t>
      </w:r>
      <w:r w:rsidR="002E7C0C">
        <w:t>ter sido a Baviera</w:t>
      </w:r>
      <w:r w:rsidR="00F803CE">
        <w:t>, onde Hitler alicerçara a sua actividade</w:t>
      </w:r>
      <w:r w:rsidR="006B2731">
        <w:rPr>
          <w:rStyle w:val="Refdenotaderodap"/>
        </w:rPr>
        <w:footnoteReference w:id="478"/>
      </w:r>
      <w:r w:rsidR="002E7C0C">
        <w:t xml:space="preserve">, </w:t>
      </w:r>
      <w:r w:rsidR="00BD4742">
        <w:t xml:space="preserve">embora </w:t>
      </w:r>
      <w:r w:rsidR="002E7C0C">
        <w:lastRenderedPageBreak/>
        <w:t xml:space="preserve">no final da república de Weimar </w:t>
      </w:r>
      <w:r w:rsidR="007E4EC1">
        <w:t xml:space="preserve">um pouco mais de </w:t>
      </w:r>
      <w:r w:rsidR="002E7C0C">
        <w:t>3</w:t>
      </w:r>
      <w:r w:rsidR="007E4EC1">
        <w:t>2</w:t>
      </w:r>
      <w:r w:rsidR="002E7C0C">
        <w:t xml:space="preserve">% dos judeus alemães </w:t>
      </w:r>
      <w:r w:rsidR="00BD4742">
        <w:t>vivesse</w:t>
      </w:r>
      <w:r w:rsidR="001D1AD6">
        <w:t>m</w:t>
      </w:r>
      <w:r w:rsidR="002E7C0C">
        <w:t xml:space="preserve"> em Berlim, onde formavam 4,3% da população</w:t>
      </w:r>
      <w:r w:rsidR="007E4EC1">
        <w:t>, e só 1,8% mora</w:t>
      </w:r>
      <w:r w:rsidR="00BD4742">
        <w:t>sse</w:t>
      </w:r>
      <w:r w:rsidR="007E4EC1">
        <w:t xml:space="preserve"> em Munique</w:t>
      </w:r>
      <w:r w:rsidR="00A20895">
        <w:rPr>
          <w:rStyle w:val="Refdenotaderodap"/>
        </w:rPr>
        <w:footnoteReference w:id="479"/>
      </w:r>
      <w:r w:rsidR="002E7C0C">
        <w:t xml:space="preserve">. </w:t>
      </w:r>
      <w:r w:rsidR="00677C70">
        <w:t xml:space="preserve">E se em 26 de Julho de 1940 Hitler </w:t>
      </w:r>
      <w:r w:rsidR="00E47F76">
        <w:t>confidenciou</w:t>
      </w:r>
      <w:r w:rsidR="00677C70">
        <w:t xml:space="preserve"> ao primeiro-ministro romeno que «apesar de tudo o que se disse em contrário, ficou provado que os judeus eram completamente dispensáveis» para a economia alemã</w:t>
      </w:r>
      <w:r w:rsidR="00E47F76">
        <w:rPr>
          <w:rStyle w:val="Refdenotaderodap"/>
        </w:rPr>
        <w:footnoteReference w:id="480"/>
      </w:r>
      <w:r w:rsidR="00677C70">
        <w:t>, is</w:t>
      </w:r>
      <w:r w:rsidR="00353B99">
        <w:t>t</w:t>
      </w:r>
      <w:r w:rsidR="00677C70">
        <w:t xml:space="preserve">o devia ter-lhe mostrado que </w:t>
      </w:r>
      <w:r w:rsidR="0057137C">
        <w:t>ele</w:t>
      </w:r>
      <w:r w:rsidR="00F803CE">
        <w:t>s</w:t>
      </w:r>
      <w:r w:rsidR="0057137C">
        <w:t xml:space="preserve"> não tinham peso nessa economia. </w:t>
      </w:r>
    </w:p>
    <w:p w:rsidR="00321E01" w:rsidRPr="003E305A" w:rsidRDefault="00321E01" w:rsidP="00321E01">
      <w:r>
        <w:t xml:space="preserve">Mas os mitos possuem uma lógica própria, que os torna imunes à argumentação. O economista fascista </w:t>
      </w:r>
      <w:r w:rsidR="004C5272">
        <w:t xml:space="preserve">romeno </w:t>
      </w:r>
      <w:r>
        <w:t xml:space="preserve">Mihail Manoilescu, natural de um país onde o ódio aos judeus era muito mais disseminado do que na Alemanha, enunciou como regra que «não basta que a minoria seja minoria </w:t>
      </w:r>
      <w:r w:rsidRPr="0070684F">
        <w:rPr>
          <w:i/>
        </w:rPr>
        <w:t>no conjunto da nação;</w:t>
      </w:r>
      <w:r>
        <w:t xml:space="preserve"> é também necessário que não ocorra </w:t>
      </w:r>
      <w:r w:rsidR="002B64B9">
        <w:t>nenhum</w:t>
      </w:r>
      <w:r>
        <w:t xml:space="preserve"> desequilíbro étnico particular em </w:t>
      </w:r>
      <w:r w:rsidRPr="0070684F">
        <w:rPr>
          <w:i/>
        </w:rPr>
        <w:t>qualquer “compartimento” da vida nacional</w:t>
      </w:r>
      <w:r>
        <w:t>»</w:t>
      </w:r>
      <w:r>
        <w:rPr>
          <w:rStyle w:val="Refdenotaderodap"/>
        </w:rPr>
        <w:footnoteReference w:id="481"/>
      </w:r>
      <w:r>
        <w:t xml:space="preserve">. </w:t>
      </w:r>
      <w:r w:rsidR="001A43DE">
        <w:t xml:space="preserve">O </w:t>
      </w:r>
      <w:r>
        <w:t xml:space="preserve">carácter irracional deste critério afere-se quando sabemos que os anti-semitas alemães se indignavam pelo facto de </w:t>
      </w:r>
      <w:r w:rsidRPr="003E305A">
        <w:t xml:space="preserve">em algumas profissões e ramos de actividade a participação de judeus </w:t>
      </w:r>
      <w:r>
        <w:t xml:space="preserve">ser </w:t>
      </w:r>
      <w:r w:rsidRPr="003E305A">
        <w:t>notória</w:t>
      </w:r>
      <w:r w:rsidRPr="003E305A">
        <w:rPr>
          <w:rStyle w:val="Refdenotaderodap"/>
        </w:rPr>
        <w:footnoteReference w:id="482"/>
      </w:r>
      <w:r w:rsidRPr="003E305A">
        <w:t xml:space="preserve">, </w:t>
      </w:r>
      <w:r w:rsidR="00F917ED">
        <w:t xml:space="preserve">esquecendo </w:t>
      </w:r>
      <w:r>
        <w:t xml:space="preserve">que, em consequência disso, </w:t>
      </w:r>
      <w:r w:rsidR="002B64B9">
        <w:t xml:space="preserve">eles </w:t>
      </w:r>
      <w:r>
        <w:t>estavam sub-representados noutras profissões qualificadas e noutros ramos da economia</w:t>
      </w:r>
      <w:r w:rsidRPr="003E305A">
        <w:t>. Quando estigmatizava os judeus, os perseguia e mais tarde se afanava em exterminá-los sistematicamente, o nacional-socialismo de feição hitleriana massacrava na carne o que eram meros emblemas ideológicos. «O Judeu não é mais um ser humano, tornou-se uma figura mítica»</w:t>
      </w:r>
      <w:r w:rsidRPr="003E305A">
        <w:rPr>
          <w:rStyle w:val="Refdenotaderodap"/>
        </w:rPr>
        <w:footnoteReference w:id="483"/>
      </w:r>
      <w:r w:rsidR="00DB4864">
        <w:t>,</w:t>
      </w:r>
      <w:r w:rsidRPr="003E305A">
        <w:t xml:space="preserve"> e </w:t>
      </w:r>
      <w:r w:rsidR="00DB4864" w:rsidRPr="003E305A">
        <w:t xml:space="preserve">só entenderemos </w:t>
      </w:r>
      <w:r w:rsidR="00DB4864">
        <w:t xml:space="preserve">os </w:t>
      </w:r>
      <w:r w:rsidRPr="003E305A">
        <w:t>pavor</w:t>
      </w:r>
      <w:r w:rsidR="00DB4864">
        <w:t xml:space="preserve">es </w:t>
      </w:r>
      <w:r w:rsidRPr="003E305A">
        <w:t xml:space="preserve">do racismo </w:t>
      </w:r>
      <w:r w:rsidR="00F917ED">
        <w:t>hitleriano</w:t>
      </w:r>
      <w:r w:rsidRPr="003E305A">
        <w:t xml:space="preserve"> quando soubermos quais eram as atitudes sociais e as características ideológicas atribuídas ao judaísmo. </w:t>
      </w:r>
    </w:p>
    <w:p w:rsidR="00321E01" w:rsidRPr="003E305A" w:rsidRDefault="00321E01" w:rsidP="00321E01">
      <w:r w:rsidRPr="003E305A">
        <w:t>«O Judeu é desprovido de capacidade criativa», escrev</w:t>
      </w:r>
      <w:r>
        <w:t>eu</w:t>
      </w:r>
      <w:r w:rsidRPr="003E305A">
        <w:t xml:space="preserve"> Goebbels em 1930. «Ele nada produz, só manipula produtos»</w:t>
      </w:r>
      <w:r w:rsidRPr="003E305A">
        <w:rPr>
          <w:rStyle w:val="Refdenotaderodap"/>
        </w:rPr>
        <w:footnoteReference w:id="484"/>
      </w:r>
      <w:r w:rsidRPr="003E305A">
        <w:t xml:space="preserve">. </w:t>
      </w:r>
      <w:r w:rsidR="00597FB9">
        <w:t>Num livro publicado n</w:t>
      </w:r>
      <w:r w:rsidR="00C51F2D">
        <w:t>a</w:t>
      </w:r>
      <w:r w:rsidR="00597FB9">
        <w:t xml:space="preserve"> mesm</w:t>
      </w:r>
      <w:r w:rsidR="00C51F2D">
        <w:t>a</w:t>
      </w:r>
      <w:r w:rsidR="00597FB9">
        <w:t xml:space="preserve"> </w:t>
      </w:r>
      <w:r w:rsidR="00C51F2D">
        <w:t>ocasião</w:t>
      </w:r>
      <w:r w:rsidR="00597FB9">
        <w:t xml:space="preserve">, Rosenberg chamou-lhe «um parasita </w:t>
      </w:r>
      <w:r w:rsidR="00991AFD">
        <w:t xml:space="preserve">eternamente </w:t>
      </w:r>
      <w:r w:rsidR="00597FB9">
        <w:t>estéril e amaldiçoado»</w:t>
      </w:r>
      <w:r w:rsidR="00597FB9">
        <w:rPr>
          <w:rStyle w:val="Refdenotaderodap"/>
        </w:rPr>
        <w:footnoteReference w:id="485"/>
      </w:r>
      <w:r w:rsidR="00597FB9">
        <w:t xml:space="preserve">. </w:t>
      </w:r>
      <w:r>
        <w:t xml:space="preserve">Os judeus «jamais foram construtores ou exploradores», pretendera Henry Ford dez anos antes em </w:t>
      </w:r>
      <w:r w:rsidRPr="0094077F">
        <w:rPr>
          <w:i/>
        </w:rPr>
        <w:t>The International Jew</w:t>
      </w:r>
      <w:r>
        <w:rPr>
          <w:i/>
        </w:rPr>
        <w:t>,</w:t>
      </w:r>
      <w:r>
        <w:t xml:space="preserve"> «mas no máximo seguiram o rasto dos conquistadores»</w:t>
      </w:r>
      <w:r>
        <w:rPr>
          <w:rStyle w:val="Refdenotaderodap"/>
        </w:rPr>
        <w:footnoteReference w:id="486"/>
      </w:r>
      <w:r>
        <w:t xml:space="preserve">. O mito tinha raízes mais antigas, pois já </w:t>
      </w:r>
      <w:r w:rsidRPr="002E7DEA">
        <w:t xml:space="preserve">em 1850 </w:t>
      </w:r>
      <w:r w:rsidRPr="003E305A">
        <w:t>um dos primeiros doutrinadores do racismo britânico moderno</w:t>
      </w:r>
      <w:r>
        <w:t xml:space="preserve"> classificara os judeus como </w:t>
      </w:r>
      <w:r w:rsidRPr="003E305A">
        <w:t>parasitas estéreis</w:t>
      </w:r>
      <w:r w:rsidRPr="003E305A">
        <w:rPr>
          <w:rStyle w:val="Refdenotaderodap"/>
        </w:rPr>
        <w:footnoteReference w:id="487"/>
      </w:r>
      <w:r w:rsidRPr="003E305A">
        <w:t xml:space="preserve">. Por oposição ao Nórdico, que anula a sua individualidade na preservação </w:t>
      </w:r>
      <w:r w:rsidRPr="003E305A">
        <w:lastRenderedPageBreak/>
        <w:t xml:space="preserve">da raça e é, portanto, criador de cultura, o Judeu limita-se ao parasitismo cultural, afirmou Hitler em </w:t>
      </w:r>
      <w:r w:rsidRPr="003E305A">
        <w:rPr>
          <w:i/>
        </w:rPr>
        <w:t>Mein Kampf,</w:t>
      </w:r>
      <w:r w:rsidRPr="003E305A">
        <w:t xml:space="preserve"> porque lhe falta a capacidade de auto-sacrifício. Assim, o judaísmo constitui uma horda, uma mera soma de indivíduos, unidos apenas enquanto </w:t>
      </w:r>
      <w:r w:rsidR="00C51F2D">
        <w:t xml:space="preserve">enfrentam </w:t>
      </w:r>
      <w:r w:rsidRPr="003E305A">
        <w:t>um perigo comum, e votados sem isso ao egoísmo e à luta fratricida</w:t>
      </w:r>
      <w:r w:rsidRPr="003E305A">
        <w:rPr>
          <w:rStyle w:val="Refdenotaderodap"/>
        </w:rPr>
        <w:footnoteReference w:id="488"/>
      </w:r>
      <w:r w:rsidRPr="003E305A">
        <w:t>. Já Houston Stewart Chamberlain, depois de atribuir à cultura judaica um carácter meramente negativo e considerar que os judeus se apresentavam normalmente divididos por facções internas, coligando-se só contra quem pudesse pôr em causa os seus interesses, vituperara também os fenícios, presumidos antecessores dos judeus, pelo parasitismo cultural que os levaria a utilizar os elementos exteriores das culturas alheias, sendo incapazes de criar uma cultura própria</w:t>
      </w:r>
      <w:r w:rsidRPr="003E305A">
        <w:rPr>
          <w:rStyle w:val="Refdenotaderodap"/>
        </w:rPr>
        <w:footnoteReference w:id="489"/>
      </w:r>
      <w:r w:rsidRPr="003E305A">
        <w:t xml:space="preserve">. Nesta metáfora do parasitismo judaico muitos racistas </w:t>
      </w:r>
      <w:r w:rsidR="00ED46DA">
        <w:t>assumiram</w:t>
      </w:r>
      <w:r w:rsidRPr="003E305A">
        <w:t xml:space="preserve"> </w:t>
      </w:r>
      <w:r w:rsidR="00ED46DA">
        <w:t>um</w:t>
      </w:r>
      <w:r w:rsidRPr="003E305A">
        <w:t>a vocação ao mesmo tempo socialista e nacionalista, transferindo para a esfera étnica o conceito de parasita, de explorador, que antes tivera curso apenas no plano das classes</w:t>
      </w:r>
      <w:r w:rsidRPr="003E305A">
        <w:rPr>
          <w:rStyle w:val="Refdenotaderodap"/>
        </w:rPr>
        <w:footnoteReference w:id="490"/>
      </w:r>
      <w:r w:rsidRPr="003E305A">
        <w:t xml:space="preserve">. E assim como a Nação Proletária fora convertida numa Raça de Camaradas também a plutocracia, uma inimiga social, se transformou num inimigo racial, o Judeu. </w:t>
      </w:r>
    </w:p>
    <w:p w:rsidR="00A537B5" w:rsidRDefault="00321E01" w:rsidP="00321E01">
      <w:r w:rsidRPr="003E305A">
        <w:t>Parasitas por serem individualistas e incapazes de praticar a aniquilação heróica do eu, os judeus seriam pelo mesmo motivo os desagregadores de toda a ordem social, e as suas personalidades eminentes, denunciou Hitler, «são grandes apenas na destruição da humanidade e da sua cultura»</w:t>
      </w:r>
      <w:r w:rsidRPr="003E305A">
        <w:rPr>
          <w:rStyle w:val="Refdenotaderodap"/>
        </w:rPr>
        <w:footnoteReference w:id="491"/>
      </w:r>
      <w:r w:rsidRPr="003E305A">
        <w:t>. «Desintegradores e destruidores», chamou-lhes Gottfried Feder</w:t>
      </w:r>
      <w:r w:rsidRPr="003E305A">
        <w:rPr>
          <w:rStyle w:val="Refdenotaderodap"/>
        </w:rPr>
        <w:footnoteReference w:id="492"/>
      </w:r>
      <w:r w:rsidRPr="003E305A">
        <w:t>. Es</w:t>
      </w:r>
      <w:r w:rsidR="002E106B">
        <w:t>s</w:t>
      </w:r>
      <w:r w:rsidRPr="003E305A">
        <w:t>a tara dever-se-ia, para Chamberlain, ao facto de os judeus não possuírem o «instinto que cria os Estados»</w:t>
      </w:r>
      <w:r w:rsidRPr="003E305A">
        <w:rPr>
          <w:rStyle w:val="Refdenotaderodap"/>
        </w:rPr>
        <w:footnoteReference w:id="493"/>
      </w:r>
      <w:r w:rsidRPr="003E305A">
        <w:t xml:space="preserve">. </w:t>
      </w:r>
      <w:r w:rsidR="000302FC">
        <w:t>Assim</w:t>
      </w:r>
      <w:r w:rsidRPr="003E305A">
        <w:t>, continu</w:t>
      </w:r>
      <w:r>
        <w:t>ou</w:t>
      </w:r>
      <w:r w:rsidRPr="003E305A">
        <w:t xml:space="preserve"> este doutrinador do racismo, a vontade individual desenvolvera-se muitíssimo entre os judeus, e com ela a sua expressão religiosa, a ideia do livre-arbítrio, numa estulta ignorância do carácter necessário das leis exteriores</w:t>
      </w:r>
      <w:r w:rsidRPr="003E305A">
        <w:rPr>
          <w:rStyle w:val="Refdenotaderodap"/>
        </w:rPr>
        <w:footnoteReference w:id="494"/>
      </w:r>
      <w:r w:rsidRPr="003E305A">
        <w:t xml:space="preserve">. </w:t>
      </w:r>
      <w:r w:rsidR="00F606F1" w:rsidRPr="00F606F1">
        <w:t>Por isso Rosenberg considerou o sionismo uma impossibilidade prática</w:t>
      </w:r>
      <w:r w:rsidR="00FA3172">
        <w:t>:</w:t>
      </w:r>
      <w:r w:rsidR="00F606F1" w:rsidRPr="00F606F1">
        <w:t xml:space="preserve"> «Qualquer tentativa para formar realmente uma comunidade orgânica de camponeses, operários, artesãos, técnicos, filósofos, soldados e estadistas judeus entra em contradição com os instintos desta anti-raça. É uma ideia condenada desde início ao fracasso. </w:t>
      </w:r>
      <w:r w:rsidR="00F606F1" w:rsidRPr="003612E2">
        <w:t>Deixados entre eles, os judeus serão incapazes de produzir qualquer cultura»</w:t>
      </w:r>
      <w:r w:rsidR="00006020">
        <w:rPr>
          <w:rStyle w:val="Refdenotaderodap"/>
        </w:rPr>
        <w:footnoteReference w:id="495"/>
      </w:r>
      <w:r w:rsidR="00F606F1" w:rsidRPr="003612E2">
        <w:t xml:space="preserve">. </w:t>
      </w:r>
      <w:r w:rsidR="00563538">
        <w:t xml:space="preserve">Também </w:t>
      </w:r>
      <w:r w:rsidR="00137752">
        <w:t xml:space="preserve">o Führer, conversando na presença de Himmler e Heydrich, declarou que </w:t>
      </w:r>
      <w:r w:rsidR="00137752">
        <w:lastRenderedPageBreak/>
        <w:t>«a tentativa de criar um Estado judaico será um fracasso»</w:t>
      </w:r>
      <w:r w:rsidR="00137752">
        <w:rPr>
          <w:rStyle w:val="Refdenotaderodap"/>
        </w:rPr>
        <w:footnoteReference w:id="496"/>
      </w:r>
      <w:r w:rsidR="00137752">
        <w:t xml:space="preserve">. </w:t>
      </w:r>
      <w:r w:rsidR="00500C64">
        <w:t xml:space="preserve">Enquanto, para </w:t>
      </w:r>
      <w:r w:rsidR="00572B3D">
        <w:t xml:space="preserve">Darré, </w:t>
      </w:r>
      <w:r w:rsidR="00FD3236">
        <w:t xml:space="preserve">os nórdicos se caracterizariam pela vocação agrícola, logo, sedentária, </w:t>
      </w:r>
      <w:r w:rsidR="00572B3D">
        <w:t>o</w:t>
      </w:r>
      <w:r w:rsidR="00FD3236">
        <w:t>s</w:t>
      </w:r>
      <w:r w:rsidR="00572B3D">
        <w:t xml:space="preserve"> </w:t>
      </w:r>
      <w:r w:rsidR="00FD3236">
        <w:t xml:space="preserve">judeus </w:t>
      </w:r>
      <w:r w:rsidR="00572B3D">
        <w:t>seria</w:t>
      </w:r>
      <w:r w:rsidR="00FD3236">
        <w:t>m</w:t>
      </w:r>
      <w:r w:rsidR="00491ECB">
        <w:t xml:space="preserve">, </w:t>
      </w:r>
      <w:r w:rsidR="00FD3236">
        <w:t>na</w:t>
      </w:r>
      <w:r w:rsidR="00491ECB">
        <w:t xml:space="preserve"> sua própria essência, </w:t>
      </w:r>
      <w:r w:rsidR="001A00BB">
        <w:t>nómadas, por isso urbanos</w:t>
      </w:r>
      <w:r w:rsidR="00572B3D">
        <w:t>;</w:t>
      </w:r>
      <w:r w:rsidR="001A00BB">
        <w:t xml:space="preserve"> e contra a economia agrícola, considerada natural, </w:t>
      </w:r>
      <w:r w:rsidR="001713FB">
        <w:t>interessar</w:t>
      </w:r>
      <w:r w:rsidR="001A00BB">
        <w:t>-se-iam pela busca parasitária do lucro</w:t>
      </w:r>
      <w:r w:rsidR="008E6E0D">
        <w:t xml:space="preserve"> mercantil</w:t>
      </w:r>
      <w:r w:rsidR="006D520E">
        <w:rPr>
          <w:rStyle w:val="Refdenotaderodap"/>
        </w:rPr>
        <w:footnoteReference w:id="497"/>
      </w:r>
      <w:r w:rsidR="001A00BB">
        <w:t xml:space="preserve">. O conceito de Sangue e Solo, </w:t>
      </w:r>
      <w:r w:rsidR="00FD3236">
        <w:t xml:space="preserve">que formava o núcleo </w:t>
      </w:r>
      <w:r w:rsidR="001A00BB">
        <w:t xml:space="preserve">central </w:t>
      </w:r>
      <w:r w:rsidR="00FD3236">
        <w:t>d</w:t>
      </w:r>
      <w:r w:rsidR="001A00BB">
        <w:t xml:space="preserve">as ideias daquele que até 1942 foi o Führer dos </w:t>
      </w:r>
      <w:r w:rsidR="00C05891">
        <w:t xml:space="preserve">Camponeses </w:t>
      </w:r>
      <w:r w:rsidR="001A00BB">
        <w:t xml:space="preserve">do Reich, implicava como </w:t>
      </w:r>
      <w:r w:rsidR="006D520E">
        <w:t>in</w:t>
      </w:r>
      <w:r w:rsidR="001A00BB">
        <w:t xml:space="preserve">evitável </w:t>
      </w:r>
      <w:r w:rsidR="00F151DE">
        <w:t xml:space="preserve">reverso </w:t>
      </w:r>
      <w:r w:rsidR="00572B3D">
        <w:t xml:space="preserve">a </w:t>
      </w:r>
      <w:r w:rsidR="006D520E">
        <w:t xml:space="preserve">classificação </w:t>
      </w:r>
      <w:r w:rsidR="00572B3D">
        <w:t>dos judeus como um povo sem raízes</w:t>
      </w:r>
      <w:r w:rsidR="00BD5843">
        <w:t xml:space="preserve">, </w:t>
      </w:r>
      <w:r w:rsidR="00E65C7D">
        <w:t>sendo</w:t>
      </w:r>
      <w:r w:rsidR="00BD5843">
        <w:t xml:space="preserve"> o nomadismo o único destino </w:t>
      </w:r>
      <w:r w:rsidR="00D97462">
        <w:t xml:space="preserve">do </w:t>
      </w:r>
      <w:r w:rsidR="00BD5843">
        <w:t xml:space="preserve">Judeu Errante. </w:t>
      </w:r>
      <w:r w:rsidR="005717D2">
        <w:t xml:space="preserve">Precisamente </w:t>
      </w:r>
      <w:r w:rsidR="004B5A63">
        <w:t xml:space="preserve">porque lhe faltavam as raízes que inspiram a noção do concreto e do orgânico </w:t>
      </w:r>
      <w:r w:rsidR="005717D2">
        <w:t xml:space="preserve">o Judeu </w:t>
      </w:r>
      <w:r w:rsidR="004B5A63">
        <w:t xml:space="preserve">não podia senão ser </w:t>
      </w:r>
      <w:r w:rsidR="005717D2">
        <w:t xml:space="preserve">um manipulador de abstracções. A economia judaica era a economia </w:t>
      </w:r>
      <w:r w:rsidR="002E0645">
        <w:t xml:space="preserve">cosmopolita </w:t>
      </w:r>
      <w:r w:rsidR="005717D2">
        <w:t xml:space="preserve">do dinheiro </w:t>
      </w:r>
      <w:r w:rsidR="004B5A63">
        <w:t xml:space="preserve">abstracto </w:t>
      </w:r>
      <w:r w:rsidR="005717D2">
        <w:t xml:space="preserve">e não </w:t>
      </w:r>
      <w:r w:rsidR="002E0645">
        <w:t xml:space="preserve">a economia nacionalista </w:t>
      </w:r>
      <w:r w:rsidR="005717D2">
        <w:t xml:space="preserve">dos produtos </w:t>
      </w:r>
      <w:r w:rsidR="004B5A63">
        <w:t xml:space="preserve">concretos </w:t>
      </w:r>
      <w:r w:rsidR="005717D2">
        <w:t>pela mesma razão por que a sua expressão religiosa era o individualismo</w:t>
      </w:r>
      <w:r w:rsidR="004B5A63">
        <w:t xml:space="preserve"> e</w:t>
      </w:r>
      <w:r w:rsidR="005717D2">
        <w:t xml:space="preserve"> a sua expressão política era a desagregação</w:t>
      </w:r>
      <w:r w:rsidR="00544263">
        <w:rPr>
          <w:rStyle w:val="Refdenotaderodap"/>
        </w:rPr>
        <w:footnoteReference w:id="498"/>
      </w:r>
      <w:r w:rsidR="005717D2">
        <w:t xml:space="preserve">. </w:t>
      </w:r>
      <w:r w:rsidR="00964F39">
        <w:t xml:space="preserve">Sombart, que </w:t>
      </w:r>
      <w:r w:rsidR="002F51BE">
        <w:t>defendeu este tipo de perspectivas</w:t>
      </w:r>
      <w:r w:rsidR="00133ED6">
        <w:rPr>
          <w:rStyle w:val="Refdenotaderodap"/>
        </w:rPr>
        <w:footnoteReference w:id="499"/>
      </w:r>
      <w:r w:rsidR="002F51BE">
        <w:t xml:space="preserve">, </w:t>
      </w:r>
      <w:r w:rsidR="00133ED6">
        <w:t>forneceu</w:t>
      </w:r>
      <w:r w:rsidR="002F51BE">
        <w:t xml:space="preserve"> no plano dos mitos históricos um </w:t>
      </w:r>
      <w:r w:rsidR="00133ED6">
        <w:t xml:space="preserve">contributo </w:t>
      </w:r>
      <w:r w:rsidR="002F51BE">
        <w:t xml:space="preserve">para a formação do pensamento nacional-socialista </w:t>
      </w:r>
      <w:r w:rsidR="00133ED6">
        <w:t>compar</w:t>
      </w:r>
      <w:r w:rsidR="002809EB">
        <w:t>ável a</w:t>
      </w:r>
      <w:r w:rsidR="00133ED6">
        <w:t xml:space="preserve">o de </w:t>
      </w:r>
      <w:r w:rsidR="002F51BE">
        <w:t xml:space="preserve">Chamberlain no plano dos mitos biológicos. </w:t>
      </w:r>
    </w:p>
    <w:p w:rsidR="00321E01" w:rsidRPr="008F1B90" w:rsidRDefault="00321E01" w:rsidP="00321E01">
      <w:r w:rsidRPr="003E305A">
        <w:t>Para quem considerava o Estado como a suprema manifestação da ordem e da cultura, não espanta que o Judeu Errante, condenado à eterna diáspora, simbolizasse a ameaça da desordem e da desagregação da humanidade. Nos primeiros anos da sua carreira, discursando em Munique em 28 de Julho de 1922, proclam</w:t>
      </w:r>
      <w:r>
        <w:t>ou</w:t>
      </w:r>
      <w:r w:rsidRPr="003E305A">
        <w:t xml:space="preserve"> Hitler: «O Judeu nunca fundou </w:t>
      </w:r>
      <w:r w:rsidR="00975196">
        <w:t>nenhuma</w:t>
      </w:r>
      <w:r w:rsidRPr="003E305A">
        <w:t xml:space="preserve"> civilização, se bem que tenha destruído centenas delas. Ele não criou nada que possa mostrar. Tudo o que tem é roubado [...] só o Ariano é capaz de formar Estados e lhes abrir o caminho da grandeza futura»</w:t>
      </w:r>
      <w:r w:rsidRPr="003E305A">
        <w:rPr>
          <w:rStyle w:val="Refdenotaderodap"/>
        </w:rPr>
        <w:footnoteReference w:id="500"/>
      </w:r>
      <w:r w:rsidRPr="003E305A">
        <w:t xml:space="preserve">. </w:t>
      </w:r>
      <w:r w:rsidR="00683AFE">
        <w:t xml:space="preserve">«O Judeu, esse destruidor», </w:t>
      </w:r>
      <w:r w:rsidR="00B1454D">
        <w:t>insistiu</w:t>
      </w:r>
      <w:r w:rsidR="00683AFE">
        <w:t xml:space="preserve"> o Führer em Outubro de 1941</w:t>
      </w:r>
      <w:r w:rsidR="00683AFE">
        <w:rPr>
          <w:rStyle w:val="Refdenotaderodap"/>
        </w:rPr>
        <w:footnoteReference w:id="501"/>
      </w:r>
      <w:r w:rsidR="00683AFE">
        <w:t xml:space="preserve">, e </w:t>
      </w:r>
      <w:r w:rsidR="00975196">
        <w:t>num</w:t>
      </w:r>
      <w:r w:rsidR="00683AFE">
        <w:t xml:space="preserve"> discurso </w:t>
      </w:r>
      <w:r w:rsidR="00975196">
        <w:t xml:space="preserve">em </w:t>
      </w:r>
      <w:r w:rsidRPr="003E305A">
        <w:t xml:space="preserve">Dezembro </w:t>
      </w:r>
      <w:r w:rsidR="00683AFE">
        <w:t>desse ano</w:t>
      </w:r>
      <w:r w:rsidRPr="003E305A">
        <w:t xml:space="preserve"> </w:t>
      </w:r>
      <w:r w:rsidR="00683AFE" w:rsidRPr="003E305A">
        <w:t>estigmatiz</w:t>
      </w:r>
      <w:r w:rsidR="00683AFE">
        <w:t>ou</w:t>
      </w:r>
      <w:r w:rsidR="00683AFE" w:rsidRPr="003E305A">
        <w:t xml:space="preserve"> </w:t>
      </w:r>
      <w:r w:rsidRPr="003E305A">
        <w:t>«o elemento judaico, cujos interesses conduzem todos à desintegração e nunca à ordem»</w:t>
      </w:r>
      <w:r w:rsidRPr="003E305A">
        <w:rPr>
          <w:rStyle w:val="Refdenotaderodap"/>
        </w:rPr>
        <w:footnoteReference w:id="502"/>
      </w:r>
      <w:r w:rsidRPr="003E305A">
        <w:t>. Dois meses depois ele repeti</w:t>
      </w:r>
      <w:r>
        <w:t>u</w:t>
      </w:r>
      <w:r w:rsidRPr="003E305A">
        <w:t xml:space="preserve"> aos seus íntimos que «o Judeu é o catalisador que lança fogo aos combustíveis», para concluir que «um povo sem </w:t>
      </w:r>
      <w:r w:rsidRPr="003E305A">
        <w:lastRenderedPageBreak/>
        <w:t>judeus regressa à ordem natural»</w:t>
      </w:r>
      <w:r w:rsidRPr="003E305A">
        <w:rPr>
          <w:rStyle w:val="Refdenotaderodap"/>
        </w:rPr>
        <w:footnoteReference w:id="503"/>
      </w:r>
      <w:r w:rsidRPr="003E305A">
        <w:t>, o que era lógico quando se considerava que a existência do Judeu correspondia a uma desordem na natureza. «Ele é um ser estranho à ordem natural», confidenciara Hitler um dia, «é um ser fora da natureza»</w:t>
      </w:r>
      <w:r w:rsidRPr="003E305A">
        <w:rPr>
          <w:rStyle w:val="Refdenotaderodap"/>
        </w:rPr>
        <w:footnoteReference w:id="504"/>
      </w:r>
      <w:r w:rsidRPr="003E305A">
        <w:t>. Na defesa do princípio da maioria contra o princípio da força residia a expressão política do judaísmo, onde Hitler confundia a democracia parlamentar e todos os cambiantes do marxismo, numa mesma aversão à preponderância numérica</w:t>
      </w:r>
      <w:r w:rsidR="00C05891">
        <w:t xml:space="preserve"> das massas</w:t>
      </w:r>
      <w:r w:rsidRPr="003E305A">
        <w:t xml:space="preserve">, dissolvente da autoridade </w:t>
      </w:r>
      <w:r w:rsidR="00975196">
        <w:t>da</w:t>
      </w:r>
      <w:r w:rsidRPr="003E305A">
        <w:t xml:space="preserve"> </w:t>
      </w:r>
      <w:r w:rsidR="00C05891">
        <w:t>elite</w:t>
      </w:r>
      <w:r w:rsidRPr="003E305A">
        <w:t xml:space="preserve">, que era para </w:t>
      </w:r>
      <w:r w:rsidR="00C05891">
        <w:t xml:space="preserve">ele </w:t>
      </w:r>
      <w:r w:rsidRPr="003E305A">
        <w:t>a verdadeira ordem</w:t>
      </w:r>
      <w:r w:rsidRPr="003E305A">
        <w:rPr>
          <w:rStyle w:val="Refdenotaderodap"/>
        </w:rPr>
        <w:footnoteReference w:id="505"/>
      </w:r>
      <w:r w:rsidRPr="003E305A">
        <w:t xml:space="preserve">. </w:t>
      </w:r>
      <w:r w:rsidR="00975196">
        <w:t xml:space="preserve">Mais </w:t>
      </w:r>
      <w:r w:rsidR="00F00C62">
        <w:t xml:space="preserve">tarde, </w:t>
      </w:r>
      <w:r w:rsidR="00500C64">
        <w:t xml:space="preserve">o Führer </w:t>
      </w:r>
      <w:r w:rsidR="009C2A6C">
        <w:t>sustentou</w:t>
      </w:r>
      <w:r w:rsidR="00500C64">
        <w:t xml:space="preserve"> </w:t>
      </w:r>
      <w:r w:rsidR="00C05891" w:rsidRPr="009F1525">
        <w:t>na presença de Himmler</w:t>
      </w:r>
      <w:r w:rsidR="00C05891">
        <w:t xml:space="preserve"> </w:t>
      </w:r>
      <w:r w:rsidR="00500C64">
        <w:t xml:space="preserve">que </w:t>
      </w:r>
      <w:r w:rsidR="00500C64" w:rsidRPr="007A646D">
        <w:t>o judaísmo provoca</w:t>
      </w:r>
      <w:r w:rsidR="00500C64">
        <w:t>va</w:t>
      </w:r>
      <w:r w:rsidR="00500C64" w:rsidRPr="007A646D">
        <w:t xml:space="preserve"> a revolta da quantidade contra a qualidade</w:t>
      </w:r>
      <w:r w:rsidR="009C2A6C">
        <w:t>. «Uma questão se co</w:t>
      </w:r>
      <w:r w:rsidR="00F00C62">
        <w:t>l</w:t>
      </w:r>
      <w:r w:rsidR="009C2A6C">
        <w:t xml:space="preserve">oca», e aqui </w:t>
      </w:r>
      <w:r w:rsidR="00975196">
        <w:t>ele</w:t>
      </w:r>
      <w:r w:rsidR="009C2A6C">
        <w:t xml:space="preserve"> foi atingido por uma dúvida ontológica. «</w:t>
      </w:r>
      <w:r w:rsidR="000F4B72">
        <w:t>Será que o Judeu age conscientemente e por cálculo ou é movido pelo seu instinto?</w:t>
      </w:r>
      <w:r w:rsidR="00F00C62">
        <w:t xml:space="preserve"> Não sei responder a esta questão</w:t>
      </w:r>
      <w:r w:rsidR="000F4B72">
        <w:t>»</w:t>
      </w:r>
      <w:r w:rsidR="00500C64">
        <w:rPr>
          <w:rStyle w:val="Refdenotaderodap"/>
        </w:rPr>
        <w:footnoteReference w:id="506"/>
      </w:r>
      <w:r w:rsidR="00500C64">
        <w:t>.</w:t>
      </w:r>
      <w:r w:rsidR="00500C64" w:rsidRPr="007A646D">
        <w:t xml:space="preserve"> </w:t>
      </w:r>
      <w:r w:rsidR="000F4B72">
        <w:t xml:space="preserve">Mas perante </w:t>
      </w:r>
      <w:r w:rsidR="00F00C62">
        <w:t>o</w:t>
      </w:r>
      <w:r w:rsidR="000F4B72">
        <w:t xml:space="preserve"> problema Rosenberg, filósofo </w:t>
      </w:r>
      <w:r w:rsidR="002B3407">
        <w:t xml:space="preserve">oficial do nacional-socialismo, </w:t>
      </w:r>
      <w:r w:rsidR="000F4B72">
        <w:t>não hes</w:t>
      </w:r>
      <w:r w:rsidR="00F00C62">
        <w:t>i</w:t>
      </w:r>
      <w:r w:rsidR="000F4B72">
        <w:t xml:space="preserve">tou e </w:t>
      </w:r>
      <w:r w:rsidR="002B3407">
        <w:t>elevou o carácter desagregador da anti-raça ao plano de uma antiepistemologia</w:t>
      </w:r>
      <w:r w:rsidR="004A726C">
        <w:t>:</w:t>
      </w:r>
      <w:r w:rsidR="002B3407">
        <w:t xml:space="preserve"> </w:t>
      </w:r>
      <w:r w:rsidR="008F1B90" w:rsidRPr="008F1B90">
        <w:t>«Numa expressão paradoxal, a mentira permanente é a verdade org</w:t>
      </w:r>
      <w:r w:rsidR="008F1B90">
        <w:t>ânica da anti-raça judaica»</w:t>
      </w:r>
      <w:r w:rsidR="008F1B90">
        <w:rPr>
          <w:rStyle w:val="Refdenotaderodap"/>
        </w:rPr>
        <w:footnoteReference w:id="507"/>
      </w:r>
      <w:r w:rsidR="008F1B90">
        <w:t xml:space="preserve">. </w:t>
      </w:r>
    </w:p>
    <w:p w:rsidR="00321E01" w:rsidRPr="003E305A" w:rsidRDefault="0039630B" w:rsidP="00321E01">
      <w:r>
        <w:t xml:space="preserve">«O Judeu», escreveu ainda Rosenberg, «não possui nenhum talento para um crescimento </w:t>
      </w:r>
      <w:r w:rsidR="00DA5085">
        <w:t>íntimo</w:t>
      </w:r>
      <w:r>
        <w:t>, nenhuma configuração orgânica do espírito e, portanto, nenhuma configuração racial»</w:t>
      </w:r>
      <w:r w:rsidR="00287FB7">
        <w:rPr>
          <w:rStyle w:val="Refdenotaderodap"/>
        </w:rPr>
        <w:footnoteReference w:id="508"/>
      </w:r>
      <w:r>
        <w:t xml:space="preserve">. </w:t>
      </w:r>
      <w:r w:rsidR="00232974">
        <w:t>Na verdade tratar-se-ia de um «grupo», já que «não se pode realmente chamar-lhe um povo»</w:t>
      </w:r>
      <w:r w:rsidR="009A2827">
        <w:rPr>
          <w:rStyle w:val="Refdenotaderodap"/>
        </w:rPr>
        <w:footnoteReference w:id="509"/>
      </w:r>
      <w:r w:rsidR="00232974">
        <w:t xml:space="preserve">. </w:t>
      </w:r>
      <w:r w:rsidR="00321E01" w:rsidRPr="003E305A">
        <w:t>Para compreender os fundamentos desta mitologia convém recordar os escritos de Theodor Fritsch, um dos doutrinadores racistas que gozou de maior popularidade na Alemanha, a tal ponto que em 1933 o seu livro mais lido atingira a tiragem de 145.000 exemplares. As sociedades primitivas, imaginava ele, haviam expurgado do seu seio os mestiços, factor</w:t>
      </w:r>
      <w:r w:rsidR="00F146E4">
        <w:t>es</w:t>
      </w:r>
      <w:r w:rsidR="00321E01" w:rsidRPr="003E305A">
        <w:t xml:space="preserve"> de degenerescência. Votados ao ostracismo, </w:t>
      </w:r>
      <w:r w:rsidR="00F146E4">
        <w:t xml:space="preserve">eles </w:t>
      </w:r>
      <w:r w:rsidR="00321E01" w:rsidRPr="003E305A">
        <w:t xml:space="preserve">reuniram-se em hordas que possuíam em comum a hostilidade à sociedade e ao Estado, e converteram </w:t>
      </w:r>
      <w:r w:rsidR="00DE031D">
        <w:t>num</w:t>
      </w:r>
      <w:r w:rsidR="00321E01" w:rsidRPr="003E305A">
        <w:t xml:space="preserve"> sistema </w:t>
      </w:r>
      <w:r w:rsidR="00DE031D">
        <w:t>essa</w:t>
      </w:r>
      <w:r w:rsidR="00321E01" w:rsidRPr="003E305A">
        <w:t xml:space="preserve"> indisciplina desagregadora. Na Índia aquela gente foi relegada do regime de castas e formou os </w:t>
      </w:r>
      <w:r w:rsidR="00321E01" w:rsidRPr="003E305A">
        <w:rPr>
          <w:i/>
        </w:rPr>
        <w:t>tchandala,</w:t>
      </w:r>
      <w:r w:rsidR="00321E01" w:rsidRPr="003E305A">
        <w:t xml:space="preserve"> os intocáveis, onde se reunia a infra-humanidade desprovida de raça, criminosos, leprosos. E também o judaísmo apareceu no Ocidente como a «raça dos sem-raça»</w:t>
      </w:r>
      <w:r w:rsidR="00321E01" w:rsidRPr="003E305A">
        <w:rPr>
          <w:rStyle w:val="Refdenotaderodap"/>
        </w:rPr>
        <w:footnoteReference w:id="510"/>
      </w:r>
      <w:r w:rsidR="00321E01" w:rsidRPr="003E305A">
        <w:t xml:space="preserve">. Vinda </w:t>
      </w:r>
      <w:r w:rsidR="00321E01" w:rsidRPr="003E305A">
        <w:lastRenderedPageBreak/>
        <w:t xml:space="preserve">não sei por que caminhos, </w:t>
      </w:r>
      <w:r w:rsidR="00321E01">
        <w:t xml:space="preserve">parece </w:t>
      </w:r>
      <w:r w:rsidR="00321E01" w:rsidRPr="003E305A">
        <w:t>encontra</w:t>
      </w:r>
      <w:r w:rsidR="00321E01">
        <w:t>r</w:t>
      </w:r>
      <w:r w:rsidR="00321E01" w:rsidRPr="003E305A">
        <w:t xml:space="preserve">-se nesta fabulação </w:t>
      </w:r>
      <w:r w:rsidR="00321E01">
        <w:t>um</w:t>
      </w:r>
      <w:r w:rsidR="00321E01" w:rsidRPr="003E305A">
        <w:t xml:space="preserve"> eco dos escritos de Joseph de Maistre, para quem a incapacidade de progresso ou de aperfeiçoamento que atribuía aos selvagens revelava que os antepassados haviam cometido qualquer crime hediondo, «um pecado original de segunda ordem», que os excluíra do género humano</w:t>
      </w:r>
      <w:r w:rsidR="00321E01" w:rsidRPr="003E305A">
        <w:rPr>
          <w:rStyle w:val="Refdenotaderodap"/>
        </w:rPr>
        <w:footnoteReference w:id="511"/>
      </w:r>
      <w:r w:rsidR="00321E01" w:rsidRPr="003E305A">
        <w:t>. Para além desta hipotética influência, a versão de Fritsch retomou, enfeitando-a com delírios suplementares, a tese que, de maneira mais sóbria mas não menos improcedente, tinha já sido formulada por Houston Stewart Chamberlain. Na opinião de Chamberlain, o povo israelita, que ele considerava um mero antepassado dos judeus contemporâneos, resultara de múltiplos cruzamentos entre tipos rácicos «completamente divergentes sob os pontos de vista físico e moral»</w:t>
      </w:r>
      <w:r w:rsidR="00321E01" w:rsidRPr="003E305A">
        <w:rPr>
          <w:rStyle w:val="Refdenotaderodap"/>
        </w:rPr>
        <w:footnoteReference w:id="512"/>
      </w:r>
      <w:r w:rsidR="00321E01" w:rsidRPr="003E305A">
        <w:t>. Teria sido depois, e através de um processo multissecular de endogamia sistemática no seu ramo principal, que os judeus conseguiram formar uma unidade rácica</w:t>
      </w:r>
      <w:r w:rsidR="00321E01" w:rsidRPr="003E305A">
        <w:rPr>
          <w:rStyle w:val="Refdenotaderodap"/>
        </w:rPr>
        <w:footnoteReference w:id="513"/>
      </w:r>
      <w:r w:rsidR="00321E01" w:rsidRPr="003E305A">
        <w:t>, mas o forte grau de heterogeneidade dos elementos originários impedira-os de superar a mestiçagem congénita. «[...] a raça judaica é sem dúvida permanente, mas é também completamente bastarda, e conserva esta bastardia de maneira duradoura. [...] quando a diferença entre os tipos cruzados é tão profunda que constitui um abismo inultrapassável, então os seus produtos são bastardos»</w:t>
      </w:r>
      <w:r w:rsidR="00321E01" w:rsidRPr="003E305A">
        <w:rPr>
          <w:rStyle w:val="Refdenotaderodap"/>
        </w:rPr>
        <w:footnoteReference w:id="514"/>
      </w:r>
      <w:r w:rsidR="00321E01" w:rsidRPr="003E305A">
        <w:t>. Daqui teria resultado entre os judeus «a profunda consciência do pecado», transpondo a culpa racial para uma culpa moral</w:t>
      </w:r>
      <w:r w:rsidR="00321E01" w:rsidRPr="003E305A">
        <w:rPr>
          <w:rStyle w:val="Refdenotaderodap"/>
        </w:rPr>
        <w:footnoteReference w:id="515"/>
      </w:r>
      <w:r w:rsidR="00321E01" w:rsidRPr="003E305A">
        <w:t xml:space="preserve">. Entre a versão de Houston Stewart Chamberlain e a de Theodor Fritsch completara-se o círculo vicioso da ideologia. Para Chamberlain o pecado inicial fora rácico, resultante de uma bastardia biológica, mas para Fritsch a bastardia biológica tinha na sua origem o próprio pecado moral, que levara à expulsão dos transgressores. </w:t>
      </w:r>
    </w:p>
    <w:p w:rsidR="00321E01" w:rsidRPr="003E305A" w:rsidRDefault="00F146E4" w:rsidP="00321E01">
      <w:r>
        <w:t xml:space="preserve">Paradoxalmente, </w:t>
      </w:r>
      <w:r w:rsidRPr="003E305A">
        <w:t xml:space="preserve">o </w:t>
      </w:r>
      <w:r w:rsidR="00321E01" w:rsidRPr="003E305A">
        <w:t xml:space="preserve">processo </w:t>
      </w:r>
      <w:r w:rsidR="00321E01">
        <w:t xml:space="preserve">usado por </w:t>
      </w:r>
      <w:r w:rsidR="00321E01" w:rsidRPr="003E305A">
        <w:t xml:space="preserve">Freud em </w:t>
      </w:r>
      <w:r w:rsidR="00321E01" w:rsidRPr="003E305A">
        <w:rPr>
          <w:i/>
        </w:rPr>
        <w:t>Totem e Tabu</w:t>
      </w:r>
      <w:r w:rsidR="00321E01" w:rsidRPr="003E305A">
        <w:t xml:space="preserve"> e em </w:t>
      </w:r>
      <w:r w:rsidR="00321E01" w:rsidRPr="003E305A">
        <w:rPr>
          <w:i/>
        </w:rPr>
        <w:t>Moisés e o Monoteísmo</w:t>
      </w:r>
      <w:r w:rsidR="00321E01" w:rsidRPr="003E305A">
        <w:t xml:space="preserve"> </w:t>
      </w:r>
      <w:r w:rsidR="00321E01">
        <w:t xml:space="preserve">para </w:t>
      </w:r>
      <w:r w:rsidR="00321E01" w:rsidRPr="003E305A">
        <w:t xml:space="preserve">reconstituir o complexo de Édipo primitivo e </w:t>
      </w:r>
      <w:r w:rsidR="00321E01">
        <w:t xml:space="preserve">lhe </w:t>
      </w:r>
      <w:r w:rsidR="00321E01" w:rsidRPr="003E305A">
        <w:t xml:space="preserve">atribuir uma base histórica real é do mesmo tipo </w:t>
      </w:r>
      <w:r w:rsidR="00321E01">
        <w:t xml:space="preserve">que </w:t>
      </w:r>
      <w:r w:rsidR="00321E01" w:rsidRPr="003E305A">
        <w:t xml:space="preserve">o processo </w:t>
      </w:r>
      <w:r w:rsidR="00321E01">
        <w:t xml:space="preserve">invocado por </w:t>
      </w:r>
      <w:r w:rsidR="00321E01" w:rsidRPr="00DB3471">
        <w:t>Theodor Fritsch</w:t>
      </w:r>
      <w:r w:rsidR="00321E01" w:rsidRPr="003E305A">
        <w:t xml:space="preserve"> </w:t>
      </w:r>
      <w:r w:rsidR="00321E01">
        <w:t xml:space="preserve">para justificar a </w:t>
      </w:r>
      <w:r w:rsidR="00321E01" w:rsidRPr="003E305A">
        <w:t xml:space="preserve">formação da anti-raça. De um pretenso facto ideológico actual (o complexo de Édipo num caso, o espírito desagregador do Judeu noutro caso) deduziu-se a realidade originária desse facto (o assassinato do pai pela horda primitiva e o assassinato de Moisés pelo povo judaico, num caso, e, no outro, a expulsão dos criminosos e dos leprosos ou dos mestiços pela comunidade), e a este fundamento ideológico mítico atribuiu-se um efeito </w:t>
      </w:r>
      <w:r w:rsidR="00321E01">
        <w:t>para</w:t>
      </w:r>
      <w:r w:rsidR="00321E01" w:rsidRPr="003E305A">
        <w:t xml:space="preserve">biológico ou biológico (a localização </w:t>
      </w:r>
      <w:r w:rsidR="00321E01" w:rsidRPr="003E305A">
        <w:lastRenderedPageBreak/>
        <w:t>daqueles crimes no inconsciente profundo da humanidade ou a constituição do judaísmo enquanto anti-raça formada pela raça dos sem raça, em ambos os casos graças a uma memória atávica), de maneira que o mito passou a presidir hereditariamente às manifestações psíquicas</w:t>
      </w:r>
      <w:r w:rsidR="00321E01" w:rsidRPr="003E305A">
        <w:rPr>
          <w:rStyle w:val="Refdenotaderodap"/>
        </w:rPr>
        <w:footnoteReference w:id="516"/>
      </w:r>
      <w:r w:rsidR="00321E01" w:rsidRPr="003E305A">
        <w:t xml:space="preserve">. A similitude metodológica verificada entre certas obras de um dos maiores intelectuais judeus daquele século e certos escritos fundadores do anti-semitismo hitleriano diz muito acerca da cultura da época e do lugar que o irracionalismo </w:t>
      </w:r>
      <w:r>
        <w:t xml:space="preserve">nela </w:t>
      </w:r>
      <w:r w:rsidR="00321E01">
        <w:t>ocupava</w:t>
      </w:r>
      <w:r w:rsidR="00321E01" w:rsidRPr="003E305A">
        <w:t xml:space="preserve">. </w:t>
      </w:r>
    </w:p>
    <w:p w:rsidR="00321E01" w:rsidRPr="003E305A" w:rsidRDefault="00316F20" w:rsidP="00321E01">
      <w:r>
        <w:t>Aqueles</w:t>
      </w:r>
      <w:r w:rsidR="00A545F7">
        <w:t xml:space="preserve"> </w:t>
      </w:r>
      <w:r w:rsidR="00321E01" w:rsidRPr="003E305A">
        <w:t xml:space="preserve">mitos acerca da constituição do povo judaico </w:t>
      </w:r>
      <w:r w:rsidR="00211BBB">
        <w:t>foram adoptados por</w:t>
      </w:r>
      <w:r w:rsidR="00321E01" w:rsidRPr="003E305A">
        <w:t xml:space="preserve"> Himmler, que declar</w:t>
      </w:r>
      <w:r w:rsidR="00321E01">
        <w:t>ou</w:t>
      </w:r>
      <w:r w:rsidR="00321E01" w:rsidRPr="003E305A">
        <w:t>, numa época em que assumira já algumas das mais elevadas responsabilidades do Reich: «Conhecemos bem demais o Judeu, essa raça composta pela escória de todos os povos e nações deste planeta e na qual ele imprimiu o seu carácter racial judaico, que tem prazer na destruição, cuja vontade é aniquilar, cuja religião é a ausência da crença em Deus, cuja ideia é o Bolchevismo»</w:t>
      </w:r>
      <w:r w:rsidR="00321E01" w:rsidRPr="003E305A">
        <w:rPr>
          <w:rStyle w:val="Refdenotaderodap"/>
        </w:rPr>
        <w:footnoteReference w:id="517"/>
      </w:r>
      <w:r w:rsidR="00321E01" w:rsidRPr="003E305A">
        <w:t xml:space="preserve">. </w:t>
      </w:r>
      <w:r w:rsidR="00321E01" w:rsidRPr="009D39E4">
        <w:t xml:space="preserve">O prof. Johann von Leers </w:t>
      </w:r>
      <w:r w:rsidR="00321E01">
        <w:t>enunciou em poucas palavras a relação entre a noção de anti-raça e a noção de criminalidade congénita do povo jud</w:t>
      </w:r>
      <w:r w:rsidR="00211BBB">
        <w:t>aico</w:t>
      </w:r>
      <w:r w:rsidR="00321E01">
        <w:t xml:space="preserve"> ao mencionar «a natureza hereditariamente criminosa do judaísmo»</w:t>
      </w:r>
      <w:r w:rsidR="00321E01">
        <w:rPr>
          <w:rStyle w:val="Refdenotaderodap"/>
        </w:rPr>
        <w:footnoteReference w:id="518"/>
      </w:r>
      <w:r w:rsidR="00321E01">
        <w:t xml:space="preserve"> e esta ficção tornou-se a tal ponto </w:t>
      </w:r>
      <w:r w:rsidR="00321E01" w:rsidRPr="003E305A">
        <w:t>um lugar-comum que em 2 de Abril de 1943 os directores e chefes de redacção dos órgãos de imprensa do Reich p</w:t>
      </w:r>
      <w:r w:rsidR="00321E01">
        <w:t>u</w:t>
      </w:r>
      <w:r w:rsidR="00321E01" w:rsidRPr="003E305A">
        <w:t>d</w:t>
      </w:r>
      <w:r w:rsidR="00321E01">
        <w:t>er</w:t>
      </w:r>
      <w:r w:rsidR="00321E01" w:rsidRPr="003E305A">
        <w:t>am ler numas instruções fornecidas pelo Ministério da Propaganda: «Sublinhar: No caso dos judeus não se trata apenas da existência de um pequeno número de criminosos (como sucede em qualquer outro povo), mas todo o judaísmo se desenvolveu a partir de raízes criminais e a sua própria natureza é criminosa. Os judeus não são um povo como os outros, mas um pseudopovo cuja coesão se deve à criminalidade hereditária»</w:t>
      </w:r>
      <w:r w:rsidR="00321E01" w:rsidRPr="003E305A">
        <w:rPr>
          <w:rStyle w:val="Refdenotaderodap"/>
        </w:rPr>
        <w:footnoteReference w:id="519"/>
      </w:r>
      <w:r w:rsidR="00321E01" w:rsidRPr="003E305A">
        <w:t xml:space="preserve">. </w:t>
      </w:r>
    </w:p>
    <w:p w:rsidR="00211BBB" w:rsidRDefault="000C0211" w:rsidP="00211BBB">
      <w:pPr>
        <w:keepNext/>
        <w:spacing w:before="240" w:after="120"/>
        <w:ind w:firstLine="0"/>
        <w:jc w:val="center"/>
      </w:pPr>
      <w:r>
        <w:rPr>
          <w:b/>
          <w:sz w:val="28"/>
          <w:szCs w:val="28"/>
        </w:rPr>
        <w:t>2</w:t>
      </w:r>
    </w:p>
    <w:p w:rsidR="00321E01" w:rsidRPr="003612E2" w:rsidRDefault="00321E01" w:rsidP="00321E01">
      <w:r w:rsidRPr="003E305A">
        <w:t xml:space="preserve">O catálogo das peculiaridades intelectuais opostas conferidas aos judeus e à raça </w:t>
      </w:r>
      <w:r w:rsidR="00B74107">
        <w:t>de senhores</w:t>
      </w:r>
      <w:r w:rsidRPr="003E305A">
        <w:t xml:space="preserve"> foi desenvolvido e detalhado </w:t>
      </w:r>
      <w:r w:rsidR="00B17405">
        <w:t xml:space="preserve">desde a década de 1920 </w:t>
      </w:r>
      <w:r w:rsidRPr="003E305A">
        <w:t xml:space="preserve">pelos partidários da Física Ariana, um movimento de universitários e </w:t>
      </w:r>
      <w:r w:rsidR="002A5621">
        <w:t>cientistas</w:t>
      </w:r>
      <w:r w:rsidRPr="003E305A">
        <w:t xml:space="preserve"> animado por dois detentores do prémio Nobel, Philipp Lenard e Johannes Stark, que pretenderam reconstruir a física sobre bases rácicas</w:t>
      </w:r>
      <w:r w:rsidR="009B3ED0">
        <w:rPr>
          <w:rStyle w:val="Refdenotaderodap"/>
        </w:rPr>
        <w:footnoteReference w:id="520"/>
      </w:r>
      <w:r w:rsidRPr="003E305A">
        <w:t>. O tema de uma ciência definida pelo seu carácter racial encontra</w:t>
      </w:r>
      <w:r w:rsidR="00B74107">
        <w:t>va</w:t>
      </w:r>
      <w:r w:rsidRPr="003E305A">
        <w:t>-se já no começo do século XIX entre os românticos alemães</w:t>
      </w:r>
      <w:r>
        <w:t>.</w:t>
      </w:r>
      <w:r w:rsidRPr="003E305A">
        <w:t xml:space="preserve"> </w:t>
      </w:r>
      <w:r>
        <w:t xml:space="preserve">Se recordarmos </w:t>
      </w:r>
      <w:r w:rsidRPr="003E305A">
        <w:t xml:space="preserve">que </w:t>
      </w:r>
      <w:r>
        <w:t xml:space="preserve">eles </w:t>
      </w:r>
      <w:r w:rsidRPr="003E305A">
        <w:t xml:space="preserve">nunca deixaram de atribuir </w:t>
      </w:r>
      <w:r w:rsidRPr="003E305A">
        <w:lastRenderedPageBreak/>
        <w:t>uma conotação rácica à concepção de Estado nacional</w:t>
      </w:r>
      <w:r>
        <w:t>,</w:t>
      </w:r>
      <w:r w:rsidRPr="003E305A">
        <w:t xml:space="preserve"> </w:t>
      </w:r>
      <w:r>
        <w:t xml:space="preserve">podemos entender as afirmações de </w:t>
      </w:r>
      <w:r w:rsidRPr="003E305A">
        <w:t xml:space="preserve">Adam Müller, muito estimado pelos </w:t>
      </w:r>
      <w:r w:rsidR="00B74107">
        <w:t>nacionais-socialistas</w:t>
      </w:r>
      <w:r w:rsidRPr="003E305A">
        <w:rPr>
          <w:rStyle w:val="Refdenotaderodap"/>
        </w:rPr>
        <w:footnoteReference w:id="521"/>
      </w:r>
      <w:r w:rsidRPr="003E305A">
        <w:t xml:space="preserve">, </w:t>
      </w:r>
      <w:r>
        <w:t xml:space="preserve">quando </w:t>
      </w:r>
      <w:r w:rsidRPr="003E305A">
        <w:t>explic</w:t>
      </w:r>
      <w:r>
        <w:t>ou</w:t>
      </w:r>
      <w:r w:rsidRPr="003E305A">
        <w:t xml:space="preserve"> que «nada de humano, portanto nem sequer as próprias ciências, pode existir fora do Estado [...] as ciências morrem e extinguem-se, [...] toda a vida de que elas necessitam, toda a sua percepção, toda a sua substância e toda a sua força as abandona se elas quebrarem a sua ligação ao Estado e tentarem governar-se e adquirir importância por si mesmas. No seu movimento eterno, o Estado [...] é o reino de todas as ideias [...] Sozinha e entregue a si própria, a ciência consegue apenas produzir conceitos, tal como a vida exterior, física, prática, não consegue permanecer viva se não estiver unida ao espírito para a criação eterna das ideias ou da verdadeira vida. A ciência e o Estado são o que devem ser, se ambos forem um só»</w:t>
      </w:r>
      <w:r w:rsidRPr="003E305A">
        <w:rPr>
          <w:rStyle w:val="Refdenotaderodap"/>
        </w:rPr>
        <w:footnoteReference w:id="522"/>
      </w:r>
      <w:r w:rsidRPr="003E305A">
        <w:t xml:space="preserve">. Também Houston Stewart Chamberlain, na sua enorme obra de doutrina racial, </w:t>
      </w:r>
      <w:r w:rsidR="00B74107">
        <w:t>e</w:t>
      </w:r>
      <w:r w:rsidRPr="003E305A">
        <w:t>vocou «as nossas ciências germânicas, os novos métodos científicos próprios da nossa raça [...]»</w:t>
      </w:r>
      <w:r>
        <w:t xml:space="preserve"> </w:t>
      </w:r>
      <w:r w:rsidRPr="003E305A">
        <w:t>e ao longo de páginas e páginas, desde o cálculo infinitesimal e os números imaginários até à observação rigorosa da natureza e à prática experimental, reivindicou para os germanos, enquanto raça, a criação e o desenvolvimento do método científico</w:t>
      </w:r>
      <w:r w:rsidRPr="003E305A">
        <w:rPr>
          <w:rStyle w:val="Refdenotaderodap"/>
        </w:rPr>
        <w:footnoteReference w:id="523"/>
      </w:r>
      <w:r w:rsidRPr="003E305A">
        <w:t xml:space="preserve">. «Por um lado, a obediência relativamente à natureza estudada, por outro lado, a soberania relativamente ao espírito humano </w:t>
      </w:r>
      <w:r w:rsidR="00B74107">
        <w:t>—</w:t>
      </w:r>
      <w:r w:rsidRPr="003E305A">
        <w:t xml:space="preserve"> são estes os traços distintivos da ciência germânica»</w:t>
      </w:r>
      <w:r w:rsidRPr="003E305A">
        <w:rPr>
          <w:rStyle w:val="Refdenotaderodap"/>
        </w:rPr>
        <w:footnoteReference w:id="524"/>
      </w:r>
      <w:r w:rsidRPr="003E305A">
        <w:t xml:space="preserve">. Hitler </w:t>
      </w:r>
      <w:r w:rsidR="00146410">
        <w:t xml:space="preserve">situava-se </w:t>
      </w:r>
      <w:r w:rsidRPr="003E305A">
        <w:t xml:space="preserve">numa importante corrente de pensamento </w:t>
      </w:r>
      <w:r w:rsidR="00146410">
        <w:t>quando</w:t>
      </w:r>
      <w:r w:rsidRPr="003E305A">
        <w:t xml:space="preserve"> declar</w:t>
      </w:r>
      <w:r w:rsidR="00146410">
        <w:t>ou</w:t>
      </w:r>
      <w:r w:rsidRPr="003E305A">
        <w:t>: «Não existe [...] senão a ciência de um grupo humano definido numa época definida. Não tenho dúvida de que há uma ciência nórdica e uma ciência nacional-socialista, que devem estar em oposição à ciência judaico-liberal [...]»</w:t>
      </w:r>
      <w:r w:rsidRPr="003E305A">
        <w:rPr>
          <w:rStyle w:val="Refdenotaderodap"/>
        </w:rPr>
        <w:footnoteReference w:id="525"/>
      </w:r>
      <w:r w:rsidRPr="003612E2">
        <w:t xml:space="preserve">. </w:t>
      </w:r>
      <w:r w:rsidR="00392B08" w:rsidRPr="00392B08">
        <w:t xml:space="preserve">E o filósofo </w:t>
      </w:r>
      <w:r w:rsidR="000C0211">
        <w:t xml:space="preserve">oficial </w:t>
      </w:r>
      <w:r w:rsidR="00392B08" w:rsidRPr="00392B08">
        <w:t xml:space="preserve">do nacional-socialismo, depois de </w:t>
      </w:r>
      <w:r w:rsidR="00392B08">
        <w:t xml:space="preserve">ter recordado </w:t>
      </w:r>
      <w:r w:rsidR="00392B08" w:rsidRPr="00392B08">
        <w:t>que «n</w:t>
      </w:r>
      <w:r w:rsidR="00392B08">
        <w:t>ão existe uma ciência sem hipóteses</w:t>
      </w:r>
      <w:r w:rsidR="005B0B45">
        <w:t xml:space="preserve"> prévias</w:t>
      </w:r>
      <w:r w:rsidR="00392B08">
        <w:t xml:space="preserve">», pretendeu que «esses pressupostos são determinados racicamente </w:t>
      </w:r>
      <w:r w:rsidR="00F030BB">
        <w:t xml:space="preserve">tal </w:t>
      </w:r>
      <w:r w:rsidR="00392B08">
        <w:t>como o são os valores decorrentes da vontade</w:t>
      </w:r>
      <w:r w:rsidR="00166C86">
        <w:t xml:space="preserve">. Um dado espírito e uma dada raça enfrentam o universo com questões </w:t>
      </w:r>
      <w:r w:rsidR="004220B5">
        <w:t xml:space="preserve">que lhes são </w:t>
      </w:r>
      <w:r w:rsidR="00FC30DC">
        <w:t>específicas</w:t>
      </w:r>
      <w:r w:rsidR="00392B08">
        <w:t>»</w:t>
      </w:r>
      <w:r w:rsidR="00392B08">
        <w:rPr>
          <w:rStyle w:val="Refdenotaderodap"/>
        </w:rPr>
        <w:footnoteReference w:id="526"/>
      </w:r>
      <w:r w:rsidR="00392B08">
        <w:t xml:space="preserve">. </w:t>
      </w:r>
    </w:p>
    <w:p w:rsidR="001D0121" w:rsidRDefault="009C6EC5" w:rsidP="00321E01">
      <w:r>
        <w:t xml:space="preserve">Um </w:t>
      </w:r>
      <w:r w:rsidR="00E17169">
        <w:t xml:space="preserve">historiador </w:t>
      </w:r>
      <w:r>
        <w:t>considerou que «no princípio do século XX nem os cientistas nem os filósofos estavam de algum modo preparados para raciocinar da maneira que a física quântica exige»</w:t>
      </w:r>
      <w:r w:rsidR="00B02560">
        <w:rPr>
          <w:rStyle w:val="Refdenotaderodap"/>
        </w:rPr>
        <w:footnoteReference w:id="527"/>
      </w:r>
      <w:r>
        <w:t>, mas o que se trata aqui não é de uma incompreensão genérica e sim de uma distor</w:t>
      </w:r>
      <w:r w:rsidR="00B02560">
        <w:t>ç</w:t>
      </w:r>
      <w:r>
        <w:t xml:space="preserve">ão específica. </w:t>
      </w:r>
      <w:r w:rsidR="00321E01" w:rsidRPr="003E305A">
        <w:t xml:space="preserve">Os promotores da Física Ariana consideravam a teoria quântica e a relatividade como tipicamente judaicas, em virtude do seu carácter dedutivo e do uso sistemático </w:t>
      </w:r>
      <w:r w:rsidR="00321E01" w:rsidRPr="003E305A">
        <w:lastRenderedPageBreak/>
        <w:t>da abstracção quantitativa</w:t>
      </w:r>
      <w:r w:rsidR="00321E01" w:rsidRPr="003E305A">
        <w:rPr>
          <w:rStyle w:val="Refdenotaderodap"/>
        </w:rPr>
        <w:footnoteReference w:id="528"/>
      </w:r>
      <w:r w:rsidR="00321E01" w:rsidRPr="003E305A">
        <w:t xml:space="preserve">, enquanto a raça </w:t>
      </w:r>
      <w:r w:rsidR="005E77DE">
        <w:t>nórdica</w:t>
      </w:r>
      <w:r w:rsidR="00321E01" w:rsidRPr="003E305A">
        <w:t xml:space="preserve"> se distinguiria pelo raciocínio indutivo e pelo prevalecimento do concreto qualitativo, e por isso seria capaz de </w:t>
      </w:r>
      <w:r w:rsidR="00E41F51">
        <w:t>conceber</w:t>
      </w:r>
      <w:r w:rsidR="00321E01" w:rsidRPr="003E305A">
        <w:t xml:space="preserve"> a natureza como um todo e </w:t>
      </w:r>
      <w:r w:rsidR="005E77DE">
        <w:t xml:space="preserve">de </w:t>
      </w:r>
      <w:r w:rsidR="00321E01" w:rsidRPr="003E305A">
        <w:t xml:space="preserve">efectuar a experimentação científica como uma fusão do experimentador nesse todo. </w:t>
      </w:r>
      <w:r w:rsidR="009C2205">
        <w:t xml:space="preserve">Entende-se neste contexto que a </w:t>
      </w:r>
      <w:r w:rsidR="001D0121">
        <w:t xml:space="preserve">Física Ariana </w:t>
      </w:r>
      <w:r w:rsidR="009C2205">
        <w:t xml:space="preserve">tivesse </w:t>
      </w:r>
      <w:r w:rsidR="00F27536">
        <w:t xml:space="preserve">seguido uma perspectiva antimaterialista para </w:t>
      </w:r>
      <w:r w:rsidR="001D0121">
        <w:t>reformul</w:t>
      </w:r>
      <w:r w:rsidR="009C2205">
        <w:t>a</w:t>
      </w:r>
      <w:r w:rsidR="00F27536">
        <w:t>r</w:t>
      </w:r>
      <w:r w:rsidR="001D0121">
        <w:t xml:space="preserve"> a teoria do éter, </w:t>
      </w:r>
      <w:r w:rsidR="0061337C">
        <w:t>e em torno des</w:t>
      </w:r>
      <w:r w:rsidR="00B332B1">
        <w:t>t</w:t>
      </w:r>
      <w:r w:rsidR="0061337C">
        <w:t xml:space="preserve">a </w:t>
      </w:r>
      <w:r w:rsidR="00B332B1">
        <w:t>tese</w:t>
      </w:r>
      <w:r w:rsidR="0061337C">
        <w:t xml:space="preserve"> reuni</w:t>
      </w:r>
      <w:r w:rsidR="009C2205">
        <w:t>s</w:t>
      </w:r>
      <w:r w:rsidR="0061337C">
        <w:t xml:space="preserve">se uma constelação de temas, incluindo a aplicação das noções de vontade e intuição a uma concepção de experimentação que supunha a comunhão do cientista com a matéria. </w:t>
      </w:r>
      <w:r w:rsidR="004C6169">
        <w:t>Invocando a autoridade de Houston Stewart Chamberlain, o físico experimental Rudolf Tomaschek defendeu em 1935 que os judeus pretendiam abolir a noção de éter porque o éter permitia conceber a natureza numa perspectiva mecânica mas não materialista</w:t>
      </w:r>
      <w:r w:rsidR="006A7B7E">
        <w:t>, em que ideias intuitivas eram submetidas a uma verificação quantitativa</w:t>
      </w:r>
      <w:r w:rsidR="005424FC">
        <w:rPr>
          <w:rStyle w:val="Refdenotaderodap"/>
        </w:rPr>
        <w:footnoteReference w:id="529"/>
      </w:r>
      <w:r w:rsidR="006A7B7E">
        <w:t xml:space="preserve">. </w:t>
      </w:r>
      <w:r w:rsidR="00AB22A7">
        <w:t xml:space="preserve">A acção do eu na experimentação, um tema indiscutivelmente moderno, era considerada sob a óptica do carácter racial do eu. </w:t>
      </w:r>
    </w:p>
    <w:p w:rsidR="00321E01" w:rsidRPr="003E305A" w:rsidRDefault="00C056F2" w:rsidP="00321E01">
      <w:r>
        <w:t xml:space="preserve">O facto de Lenard e Stark serem ambos físicos experimentais, </w:t>
      </w:r>
      <w:r w:rsidR="0028247B">
        <w:t xml:space="preserve">afastados da </w:t>
      </w:r>
      <w:r>
        <w:t xml:space="preserve">matematização </w:t>
      </w:r>
      <w:r w:rsidR="006A39F0">
        <w:t>requerida</w:t>
      </w:r>
      <w:r w:rsidR="004A5824">
        <w:t xml:space="preserve"> pela teoria quântica</w:t>
      </w:r>
      <w:r>
        <w:t xml:space="preserve">, pode contribuir para explicar </w:t>
      </w:r>
      <w:r w:rsidR="00E41F51">
        <w:t>as suas</w:t>
      </w:r>
      <w:r>
        <w:t xml:space="preserve"> </w:t>
      </w:r>
      <w:r w:rsidR="0028247B">
        <w:t>doutrinas</w:t>
      </w:r>
      <w:r w:rsidR="00EE0146">
        <w:t>,</w:t>
      </w:r>
      <w:r w:rsidR="002546A1">
        <w:t xml:space="preserve"> </w:t>
      </w:r>
      <w:r w:rsidR="00EE0146">
        <w:t>tanto mais que elas se repercutiram entre engenheiros</w:t>
      </w:r>
      <w:r w:rsidR="008D33C7">
        <w:rPr>
          <w:rStyle w:val="Refdenotaderodap"/>
        </w:rPr>
        <w:footnoteReference w:id="530"/>
      </w:r>
      <w:r w:rsidR="00EE0146">
        <w:t xml:space="preserve">. </w:t>
      </w:r>
      <w:r w:rsidR="00C376F1">
        <w:t xml:space="preserve">Um caso flagrante é o de </w:t>
      </w:r>
      <w:r w:rsidR="00EE0146">
        <w:t>Carl Weihe</w:t>
      </w:r>
      <w:r w:rsidR="009410E9">
        <w:t>,</w:t>
      </w:r>
      <w:r w:rsidR="00EE0146">
        <w:t xml:space="preserve"> </w:t>
      </w:r>
      <w:r w:rsidR="009410E9">
        <w:t xml:space="preserve">que durante </w:t>
      </w:r>
      <w:r w:rsidR="00C376F1">
        <w:t xml:space="preserve">mais de uma década dirigiu uma revista influente </w:t>
      </w:r>
      <w:r w:rsidR="00E41F51">
        <w:t>no meio d</w:t>
      </w:r>
      <w:r w:rsidR="00C376F1">
        <w:t>os ideólogos da engenharia</w:t>
      </w:r>
      <w:r w:rsidR="006C2173">
        <w:t xml:space="preserve"> e que </w:t>
      </w:r>
      <w:r w:rsidR="00C376F1">
        <w:t>invoca</w:t>
      </w:r>
      <w:r w:rsidR="009410E9">
        <w:t>va</w:t>
      </w:r>
      <w:r w:rsidR="00C376F1">
        <w:t xml:space="preserve"> Schopenhauer </w:t>
      </w:r>
      <w:r w:rsidR="00A52F36">
        <w:t>para denegrir as abstracções do «pensamento conceptual», acusa</w:t>
      </w:r>
      <w:r w:rsidR="006C2173">
        <w:t xml:space="preserve">ndo-as </w:t>
      </w:r>
      <w:r w:rsidR="00A52F36">
        <w:t xml:space="preserve">de nos tornar alheios à realidade exterior, e </w:t>
      </w:r>
      <w:r w:rsidR="00C376F1">
        <w:t xml:space="preserve">para </w:t>
      </w:r>
      <w:r w:rsidR="00A84060">
        <w:t>enaltecer</w:t>
      </w:r>
      <w:r w:rsidR="00EE0146">
        <w:t xml:space="preserve"> </w:t>
      </w:r>
      <w:r w:rsidR="00C376F1">
        <w:t>o</w:t>
      </w:r>
      <w:r w:rsidR="00EE0146">
        <w:t xml:space="preserve"> </w:t>
      </w:r>
      <w:r w:rsidR="000874EA">
        <w:t>«</w:t>
      </w:r>
      <w:r w:rsidR="00EE0146">
        <w:t>pensamento visualizador»</w:t>
      </w:r>
      <w:r w:rsidR="00C376F1">
        <w:t>,</w:t>
      </w:r>
      <w:r w:rsidR="00EE0146">
        <w:t xml:space="preserve"> </w:t>
      </w:r>
      <w:r w:rsidR="00A84060">
        <w:t>ao qual atribuía a tecnologia</w:t>
      </w:r>
      <w:r w:rsidR="009410E9">
        <w:t xml:space="preserve"> e que considerava capaz de apreender o mundo sensorial externo</w:t>
      </w:r>
      <w:r w:rsidR="00805948">
        <w:rPr>
          <w:rStyle w:val="Refdenotaderodap"/>
        </w:rPr>
        <w:footnoteReference w:id="531"/>
      </w:r>
      <w:r w:rsidR="00EE0146">
        <w:t xml:space="preserve">. </w:t>
      </w:r>
      <w:r w:rsidR="002546A1">
        <w:t>Porém</w:t>
      </w:r>
      <w:r>
        <w:t xml:space="preserve">, </w:t>
      </w:r>
      <w:r w:rsidR="002546A1">
        <w:t xml:space="preserve">e apesar de Stark ter </w:t>
      </w:r>
      <w:r w:rsidR="00A52F36">
        <w:t xml:space="preserve">invocado </w:t>
      </w:r>
      <w:r w:rsidR="00A84060">
        <w:t>a física experimental contra a física teórica</w:t>
      </w:r>
      <w:r w:rsidR="002546A1">
        <w:rPr>
          <w:rStyle w:val="Refdenotaderodap"/>
        </w:rPr>
        <w:footnoteReference w:id="532"/>
      </w:r>
      <w:r w:rsidR="002546A1">
        <w:t xml:space="preserve">, </w:t>
      </w:r>
      <w:r>
        <w:t>não atribuo demasiado valor</w:t>
      </w:r>
      <w:r w:rsidR="00E41F51">
        <w:t xml:space="preserve"> a est</w:t>
      </w:r>
      <w:r w:rsidR="00A52F36">
        <w:t>e argumento</w:t>
      </w:r>
      <w:r>
        <w:t>, porque se trat</w:t>
      </w:r>
      <w:r w:rsidR="004A5824">
        <w:t>ava</w:t>
      </w:r>
      <w:r>
        <w:t xml:space="preserve"> de um </w:t>
      </w:r>
      <w:r w:rsidR="00E41F51">
        <w:t xml:space="preserve">problema </w:t>
      </w:r>
      <w:r>
        <w:t xml:space="preserve">mais geral. </w:t>
      </w:r>
      <w:r w:rsidR="00321E01" w:rsidRPr="003E305A">
        <w:t xml:space="preserve">A prática laboratorial </w:t>
      </w:r>
      <w:r w:rsidR="00853CB9">
        <w:t>elogiada</w:t>
      </w:r>
      <w:r w:rsidR="00D46689">
        <w:t xml:space="preserve"> por </w:t>
      </w:r>
      <w:r w:rsidR="00321E01" w:rsidRPr="003E305A">
        <w:t xml:space="preserve">Lenard, Stark e os seus seguidores era subjectiva e panteísta, e ainda aqui os </w:t>
      </w:r>
      <w:r w:rsidR="007132E4">
        <w:t>nacionais-socialistas</w:t>
      </w:r>
      <w:r w:rsidR="00321E01" w:rsidRPr="003E305A">
        <w:t xml:space="preserve"> </w:t>
      </w:r>
      <w:r w:rsidR="00A52F36">
        <w:t xml:space="preserve">prosseguiram </w:t>
      </w:r>
      <w:r w:rsidR="00321E01" w:rsidRPr="003E305A">
        <w:t xml:space="preserve">a tradição romântica, especialmente a filosofia da natureza tal como havia sido entendida por Goethe e desenvolvida por Schelling, ou uma linhagem mais antiga ainda. Em vez de ser uma bizarria explicável apenas por circunstâncias políticas e desprovida de implicações ideológicas que ultrapassassem a versão hitleriana do </w:t>
      </w:r>
      <w:r w:rsidR="007132E4">
        <w:t>racismo</w:t>
      </w:r>
      <w:r w:rsidR="00321E01" w:rsidRPr="003E305A">
        <w:t xml:space="preserve">, a Física Ariana inseriu-se numa das duas grandes correntes que </w:t>
      </w:r>
      <w:r w:rsidR="00321E01" w:rsidRPr="003E305A">
        <w:lastRenderedPageBreak/>
        <w:t xml:space="preserve">inauguraram o pensamento científico moderno, aquela que se reivindicava da tradição de Paracelsus, enquanto a física quântica e a relatividade </w:t>
      </w:r>
      <w:r w:rsidR="002307B8">
        <w:t>se situaram</w:t>
      </w:r>
      <w:r w:rsidR="00321E01" w:rsidRPr="003E305A">
        <w:t xml:space="preserve"> </w:t>
      </w:r>
      <w:r w:rsidR="002307B8">
        <w:t>n</w:t>
      </w:r>
      <w:r w:rsidR="00321E01" w:rsidRPr="003E305A">
        <w:t>a outra corrente, descendente de Kepler e de Galileo Galilei. Quando Robert Fludd afirm</w:t>
      </w:r>
      <w:r w:rsidR="00321E01">
        <w:t>ou</w:t>
      </w:r>
      <w:r w:rsidR="00321E01" w:rsidRPr="003E305A">
        <w:t xml:space="preserve"> no primeiro terço do século XVII, em polémica com Kepler, que a natureza devia ser apreendida directamente e não determinada a partir das abstracções do pensamento</w:t>
      </w:r>
      <w:r w:rsidR="00321E01" w:rsidRPr="003E305A">
        <w:rPr>
          <w:rStyle w:val="Refdenotaderodap"/>
        </w:rPr>
        <w:footnoteReference w:id="533"/>
      </w:r>
      <w:r w:rsidR="00321E01" w:rsidRPr="003E305A">
        <w:t xml:space="preserve">, estavam já definidos os campos que viriam a opor os partidários da Física Ariana e os da ciência tida como judaica. Na primeira metade do século XX as concepções vigentes no meio que rodeava Lenard e Stark faziam parte de um quadro ideológico </w:t>
      </w:r>
      <w:r w:rsidR="00D46689">
        <w:t>muito</w:t>
      </w:r>
      <w:r w:rsidR="00321E01" w:rsidRPr="003E305A">
        <w:t xml:space="preserve"> amplo</w:t>
      </w:r>
      <w:r w:rsidR="00D46689">
        <w:t xml:space="preserve">. </w:t>
      </w:r>
      <w:r w:rsidR="00D46689" w:rsidRPr="003E305A">
        <w:t>«Numa pesquisa religiosamente científica, são os próprios dados da realidade, são as percepções que recebemos do mundo que, na nossa mente, chegam a formular-se em lei; não somos nós que as formulamos</w:t>
      </w:r>
      <w:r w:rsidR="00D46689">
        <w:t>»,</w:t>
      </w:r>
      <w:r w:rsidR="00D46689" w:rsidRPr="003E305A">
        <w:t xml:space="preserve"> </w:t>
      </w:r>
      <w:r w:rsidR="00D46689">
        <w:t xml:space="preserve">escreveu não um filósofo do Terceiro Reich mas o </w:t>
      </w:r>
      <w:r w:rsidR="00D46689" w:rsidRPr="003E305A">
        <w:t>espanhol Miguel de Unamuno</w:t>
      </w:r>
      <w:r w:rsidR="00D46689">
        <w:t xml:space="preserve"> </w:t>
      </w:r>
      <w:r w:rsidR="00321E01" w:rsidRPr="003E305A">
        <w:t xml:space="preserve">numa das </w:t>
      </w:r>
      <w:r w:rsidR="00D46689">
        <w:t xml:space="preserve">sua </w:t>
      </w:r>
      <w:r w:rsidR="00321E01" w:rsidRPr="003E305A">
        <w:t xml:space="preserve">obras maiores, </w:t>
      </w:r>
      <w:r w:rsidR="00D46689">
        <w:t xml:space="preserve">publicada </w:t>
      </w:r>
      <w:r w:rsidR="00321E01" w:rsidRPr="003E305A">
        <w:t xml:space="preserve">em 1912: </w:t>
      </w:r>
      <w:r w:rsidR="00D46689">
        <w:t>«</w:t>
      </w:r>
      <w:r w:rsidR="00321E01" w:rsidRPr="003E305A">
        <w:t>São os próprios números que fazem matemática em nós»</w:t>
      </w:r>
      <w:r w:rsidR="00321E01" w:rsidRPr="003E305A">
        <w:rPr>
          <w:rStyle w:val="Refdenotaderodap"/>
        </w:rPr>
        <w:footnoteReference w:id="534"/>
      </w:r>
      <w:r w:rsidR="00321E01" w:rsidRPr="003E305A">
        <w:t xml:space="preserve">. </w:t>
      </w:r>
      <w:r w:rsidR="00D50EF7">
        <w:t>Foi na mesma veia que Stark, invocando «o amo</w:t>
      </w:r>
      <w:r w:rsidR="009A574C">
        <w:t>r</w:t>
      </w:r>
      <w:r w:rsidR="00D50EF7">
        <w:t xml:space="preserve"> dos germanos pela natureza», considerou que «o e</w:t>
      </w:r>
      <w:r w:rsidR="009A574C">
        <w:t>s</w:t>
      </w:r>
      <w:r w:rsidR="00D50EF7">
        <w:t xml:space="preserve">pírito do Germano permite-lhe observar as coisas fora de si </w:t>
      </w:r>
      <w:r w:rsidR="009A574C">
        <w:t>mesmo</w:t>
      </w:r>
      <w:r w:rsidR="00D50EF7">
        <w:t xml:space="preserve"> exactamente como elas são, sem interpolar as suas próprias ideias e desejos [...]»</w:t>
      </w:r>
      <w:r w:rsidR="009A574C">
        <w:rPr>
          <w:rStyle w:val="Refdenotaderodap"/>
        </w:rPr>
        <w:footnoteReference w:id="535"/>
      </w:r>
      <w:r w:rsidR="00D50EF7">
        <w:t xml:space="preserve">. </w:t>
      </w:r>
    </w:p>
    <w:p w:rsidR="00321E01" w:rsidRDefault="00321E01" w:rsidP="00321E01">
      <w:r w:rsidRPr="003E305A">
        <w:t>Não cabe aqui analisar as diferenças entre esta modalidade de irracionalismo e aquela que se encontra na obra de Heisenberg</w:t>
      </w:r>
      <w:r w:rsidR="00C04249">
        <w:t>,</w:t>
      </w:r>
      <w:r w:rsidRPr="003E305A">
        <w:t xml:space="preserve"> </w:t>
      </w:r>
      <w:r w:rsidR="006633F2">
        <w:t xml:space="preserve">mas não quero deixar de sublinhar o paradoxo de ter sido o judeu Einstein quem se recusou a aceitar o carácter probabilístico da mecânica quântica </w:t>
      </w:r>
      <w:r w:rsidR="00AE758D">
        <w:t xml:space="preserve">como a última palavra, enquanto o nórdico Heisenberg </w:t>
      </w:r>
      <w:r w:rsidR="00C04249">
        <w:t>desenvolve</w:t>
      </w:r>
      <w:r w:rsidR="00E04814">
        <w:t>u</w:t>
      </w:r>
      <w:r w:rsidR="00C04249">
        <w:t xml:space="preserve"> o </w:t>
      </w:r>
      <w:r w:rsidR="00F666FA">
        <w:t>indeterminismo</w:t>
      </w:r>
      <w:r w:rsidR="00C04249">
        <w:t xml:space="preserve"> ao arrepio de toda a percepção intuitiva </w:t>
      </w:r>
      <w:r w:rsidR="001F56FE">
        <w:t xml:space="preserve">que seria mais tarde </w:t>
      </w:r>
      <w:r w:rsidR="00C04249">
        <w:t xml:space="preserve">reclamada pela Física Ariana. Quanto </w:t>
      </w:r>
      <w:r w:rsidRPr="003E305A">
        <w:t>às implicações políticas, note-se que as teorias de Heisenberg</w:t>
      </w:r>
      <w:r w:rsidR="0002700E">
        <w:t>,</w:t>
      </w:r>
      <w:r w:rsidRPr="003E305A">
        <w:t xml:space="preserve"> </w:t>
      </w:r>
      <w:r w:rsidR="0002700E">
        <w:t xml:space="preserve">tal como ele as formulava, </w:t>
      </w:r>
      <w:r w:rsidR="00C04249">
        <w:t>inclu</w:t>
      </w:r>
      <w:r w:rsidR="0002700E">
        <w:t>íam</w:t>
      </w:r>
      <w:r w:rsidR="00C04249">
        <w:t xml:space="preserve">-se no </w:t>
      </w:r>
      <w:r w:rsidRPr="003E305A">
        <w:t>campo ideológico que havia sido ocupado até Julho de 1934 pelo populismo nacional-socialista, e Gregor Strasser apresent</w:t>
      </w:r>
      <w:r w:rsidR="00747AA2">
        <w:t>ou</w:t>
      </w:r>
      <w:r w:rsidRPr="003E305A">
        <w:t xml:space="preserve"> em 1929 </w:t>
      </w:r>
      <w:r w:rsidR="0002700E">
        <w:t xml:space="preserve">o </w:t>
      </w:r>
      <w:r w:rsidRPr="003E305A">
        <w:t>indeterminis</w:t>
      </w:r>
      <w:r w:rsidR="0002700E">
        <w:t>mo</w:t>
      </w:r>
      <w:r w:rsidRPr="003E305A">
        <w:t xml:space="preserve"> da física moderna como uma confirmação do irracionalismo</w:t>
      </w:r>
      <w:r w:rsidRPr="003E305A">
        <w:rPr>
          <w:rStyle w:val="Refdenotaderodap"/>
        </w:rPr>
        <w:footnoteReference w:id="536"/>
      </w:r>
      <w:r w:rsidRPr="003E305A">
        <w:t xml:space="preserve">. </w:t>
      </w:r>
      <w:r w:rsidR="00747AA2">
        <w:t xml:space="preserve">Aliás, poucos anos antes </w:t>
      </w:r>
      <w:r w:rsidR="0002700E">
        <w:t>Heisenberg consider</w:t>
      </w:r>
      <w:r w:rsidR="00747AA2">
        <w:t>ara</w:t>
      </w:r>
      <w:r w:rsidR="0002700E">
        <w:t xml:space="preserve"> o seu princípio da incerteza como uma destruição </w:t>
      </w:r>
      <w:r w:rsidR="00205FCE">
        <w:t>da lei básica da causalidade e através desta atitude, que um historiador da ci</w:t>
      </w:r>
      <w:r w:rsidR="00DE40B4">
        <w:t xml:space="preserve">ência classificou como </w:t>
      </w:r>
      <w:r w:rsidR="00205FCE">
        <w:t xml:space="preserve">uma </w:t>
      </w:r>
      <w:r w:rsidR="00DE40B4">
        <w:t>«</w:t>
      </w:r>
      <w:r w:rsidR="00205FCE">
        <w:t xml:space="preserve">perspectiva quase mística da </w:t>
      </w:r>
      <w:r w:rsidR="006517F6">
        <w:t>teoria</w:t>
      </w:r>
      <w:r w:rsidR="00205FCE">
        <w:t xml:space="preserve"> quântica»</w:t>
      </w:r>
      <w:r w:rsidR="006517F6">
        <w:t>,</w:t>
      </w:r>
      <w:r w:rsidR="00205FCE">
        <w:t xml:space="preserve"> </w:t>
      </w:r>
      <w:r w:rsidR="00782EBB">
        <w:t>as novas noções científicas inseriram</w:t>
      </w:r>
      <w:r w:rsidR="006A5B70">
        <w:t>-</w:t>
      </w:r>
      <w:r w:rsidR="00782EBB">
        <w:t xml:space="preserve">se na crítica da extrema-direita </w:t>
      </w:r>
      <w:r w:rsidR="006A5B70">
        <w:t xml:space="preserve">ao pretenso materialismo </w:t>
      </w:r>
      <w:r w:rsidR="00782EBB">
        <w:t xml:space="preserve">da república de Weimar </w:t>
      </w:r>
      <w:r w:rsidR="006A5B70">
        <w:t xml:space="preserve">e partilharam um terreno comum com as críticas de Spengler à </w:t>
      </w:r>
      <w:r w:rsidR="006A5B70" w:rsidRPr="006A5B70">
        <w:rPr>
          <w:i/>
        </w:rPr>
        <w:t>civilização</w:t>
      </w:r>
      <w:r w:rsidR="006A5B70">
        <w:t xml:space="preserve"> em nome da </w:t>
      </w:r>
      <w:r w:rsidR="006A5B70" w:rsidRPr="006A5B70">
        <w:rPr>
          <w:i/>
        </w:rPr>
        <w:t>cultura</w:t>
      </w:r>
      <w:r w:rsidR="004F5A4A" w:rsidRPr="00747AA2">
        <w:rPr>
          <w:rStyle w:val="Refdenotaderodap"/>
        </w:rPr>
        <w:footnoteReference w:id="537"/>
      </w:r>
      <w:r w:rsidR="006A5B70">
        <w:t xml:space="preserve">. </w:t>
      </w:r>
      <w:r w:rsidRPr="003E305A">
        <w:t xml:space="preserve">Os postulados da Física Ariana nasceram </w:t>
      </w:r>
      <w:r w:rsidR="00F02A45">
        <w:t xml:space="preserve">na vertente oposta do NSDAP </w:t>
      </w:r>
      <w:r w:rsidRPr="003E305A">
        <w:t xml:space="preserve">e </w:t>
      </w:r>
      <w:r w:rsidR="00A8336E">
        <w:t xml:space="preserve">Stark não poupou críticas a Heisenberg, a quem chamou «espírito </w:t>
      </w:r>
      <w:r w:rsidR="00A8336E">
        <w:lastRenderedPageBreak/>
        <w:t>do espírito de Einstein», considerando-o um apoiante da «conspiração judaica» no campo da física</w:t>
      </w:r>
      <w:r w:rsidR="00A8336E">
        <w:rPr>
          <w:rStyle w:val="Refdenotaderodap"/>
        </w:rPr>
        <w:footnoteReference w:id="538"/>
      </w:r>
      <w:r w:rsidR="00A8336E">
        <w:t xml:space="preserve">. </w:t>
      </w:r>
      <w:r w:rsidR="00E53212">
        <w:t xml:space="preserve">Não espanta que a Física Ariana tivesse recebido </w:t>
      </w:r>
      <w:r w:rsidRPr="003E305A">
        <w:t>a consagração da doutrina oficial</w:t>
      </w:r>
      <w:r w:rsidR="001E3CFE">
        <w:t>,</w:t>
      </w:r>
      <w:r w:rsidRPr="003E305A">
        <w:t xml:space="preserve"> </w:t>
      </w:r>
      <w:r w:rsidR="001E3CFE">
        <w:t xml:space="preserve">ou pelo menos oficiosa, </w:t>
      </w:r>
      <w:r w:rsidRPr="003E305A">
        <w:t>quando Rosenberg</w:t>
      </w:r>
      <w:r w:rsidR="005519CD">
        <w:t>,</w:t>
      </w:r>
      <w:r w:rsidRPr="003E305A">
        <w:t xml:space="preserve"> </w:t>
      </w:r>
      <w:r w:rsidR="005519CD">
        <w:t xml:space="preserve">em </w:t>
      </w:r>
      <w:r w:rsidR="005519CD" w:rsidRPr="005519CD">
        <w:rPr>
          <w:i/>
        </w:rPr>
        <w:t>O Mito do Século XX,</w:t>
      </w:r>
      <w:r w:rsidR="005519CD">
        <w:t xml:space="preserve"> </w:t>
      </w:r>
      <w:r w:rsidRPr="003E305A">
        <w:t>distinguiu entre o poder luciferiano do homem nórdico, que tornava a natureza dócil através das próprias leis da natureza, numa atitude imperiosa</w:t>
      </w:r>
      <w:r w:rsidR="009134C6">
        <w:t xml:space="preserve"> mas não interesseira</w:t>
      </w:r>
      <w:r w:rsidRPr="003E305A">
        <w:t>, e o domínio infecundo de carácter satânico, que assinalaria a abordagem judaica da ciência</w:t>
      </w:r>
      <w:r w:rsidRPr="003E305A">
        <w:rPr>
          <w:rStyle w:val="Refdenotaderodap"/>
        </w:rPr>
        <w:footnoteReference w:id="539"/>
      </w:r>
      <w:r w:rsidRPr="003E305A">
        <w:t xml:space="preserve">. </w:t>
      </w:r>
      <w:r w:rsidR="007F51AE">
        <w:t xml:space="preserve">«O homem nórdico do Ocidente </w:t>
      </w:r>
      <w:r w:rsidR="0017182C">
        <w:t>admite</w:t>
      </w:r>
      <w:r w:rsidR="007F51AE">
        <w:t xml:space="preserve"> uma lei eterna da natureza e, graças a </w:t>
      </w:r>
      <w:r w:rsidR="0017182C">
        <w:t>esta percepção</w:t>
      </w:r>
      <w:r w:rsidR="007F51AE">
        <w:t>, é capaz de criar uma genuína ciência c</w:t>
      </w:r>
      <w:r w:rsidR="007A6348">
        <w:t>ósmica», escreveu Rosenberg</w:t>
      </w:r>
      <w:r w:rsidR="005519CD">
        <w:t xml:space="preserve"> naquela sua obra</w:t>
      </w:r>
      <w:r w:rsidR="007A6348">
        <w:rPr>
          <w:rStyle w:val="Refdenotaderodap"/>
        </w:rPr>
        <w:footnoteReference w:id="540"/>
      </w:r>
      <w:r w:rsidR="007A6348">
        <w:t xml:space="preserve">. </w:t>
      </w:r>
      <w:r w:rsidRPr="003E305A">
        <w:t>Comentando apreciativamente as ideias defendidas por Walt</w:t>
      </w:r>
      <w:r w:rsidR="00DF11EE">
        <w:t>h</w:t>
      </w:r>
      <w:r w:rsidRPr="003E305A">
        <w:t>er Darré, Hitler elogiara nas tradições pré-cristãs do campesinato germânico «a apreensão misteriosa e directa da natureza, o contacto instintivo, a comunhão com o espírito da terra»</w:t>
      </w:r>
      <w:r w:rsidRPr="003E305A">
        <w:rPr>
          <w:rStyle w:val="Refdenotaderodap"/>
        </w:rPr>
        <w:footnoteReference w:id="541"/>
      </w:r>
      <w:r w:rsidRPr="003E305A">
        <w:t xml:space="preserve">. </w:t>
      </w:r>
    </w:p>
    <w:p w:rsidR="000579D7" w:rsidRDefault="00F95460" w:rsidP="00321E01">
      <w:r>
        <w:t>Foi</w:t>
      </w:r>
      <w:r w:rsidR="00321E01" w:rsidRPr="003E305A">
        <w:t xml:space="preserve"> exactamente esta a atitude que os promotores da Física Ariana </w:t>
      </w:r>
      <w:r>
        <w:t>quiseram</w:t>
      </w:r>
      <w:r w:rsidR="00321E01" w:rsidRPr="003E305A">
        <w:t xml:space="preserve"> implantar nos laboratórios científicos. </w:t>
      </w:r>
      <w:r w:rsidR="000579D7" w:rsidRPr="003E305A">
        <w:t>«Era um axioma entre os nacionais-socialistas a rejeição de quaisquer formas de materialismo e a adopção da ideia de uma natureza animada por um espírito omnipresente», escreve</w:t>
      </w:r>
      <w:r w:rsidR="000579D7">
        <w:t>u</w:t>
      </w:r>
      <w:r w:rsidR="000579D7" w:rsidRPr="003E305A">
        <w:t xml:space="preserve"> um autor </w:t>
      </w:r>
      <w:r w:rsidR="00BB52B6">
        <w:t xml:space="preserve">versado na </w:t>
      </w:r>
      <w:r w:rsidR="000579D7" w:rsidRPr="003E305A">
        <w:t>história da ciência. «A comunhão com este espírito permitia adivinhar a ordem hierárquica natural das coisas, incluindo a necessidade de que um Führer conduzisse um povo na luta pela existência»</w:t>
      </w:r>
      <w:r w:rsidR="000579D7" w:rsidRPr="003E305A">
        <w:rPr>
          <w:rStyle w:val="Refdenotaderodap"/>
        </w:rPr>
        <w:footnoteReference w:id="542"/>
      </w:r>
      <w:r w:rsidR="000579D7" w:rsidRPr="003E305A">
        <w:t xml:space="preserve">. </w:t>
      </w:r>
      <w:r w:rsidR="000579D7">
        <w:t xml:space="preserve">E outro historiador da ciência observou que </w:t>
      </w:r>
      <w:r w:rsidR="00BF261A">
        <w:t xml:space="preserve">«Lenard concordava com a </w:t>
      </w:r>
      <w:r w:rsidR="00BF261A" w:rsidRPr="00BF261A">
        <w:rPr>
          <w:i/>
        </w:rPr>
        <w:t>Naturphilosophie</w:t>
      </w:r>
      <w:r w:rsidR="00BF261A">
        <w:t xml:space="preserve"> animista de Goethe e Schelling, com a crença num espírito que animava toda a natureza»</w:t>
      </w:r>
      <w:r w:rsidR="00BF261A">
        <w:rPr>
          <w:rStyle w:val="Refdenotaderodap"/>
        </w:rPr>
        <w:footnoteReference w:id="543"/>
      </w:r>
      <w:r w:rsidR="00BF261A">
        <w:t xml:space="preserve">. </w:t>
      </w:r>
      <w:r w:rsidR="00321E01" w:rsidRPr="003E305A">
        <w:t>A oposição entre o sentimento da presença de um concreto diferenciado, que emanava da Física Ariana, e a redução intelectual das diferenças mediante a abstracção quantitativa, que caracterizaria o raciocínio judaico</w:t>
      </w:r>
      <w:r w:rsidR="00B67913">
        <w:rPr>
          <w:rStyle w:val="Refdenotaderodap"/>
        </w:rPr>
        <w:footnoteReference w:id="544"/>
      </w:r>
      <w:r w:rsidR="00321E01" w:rsidRPr="003E305A">
        <w:t xml:space="preserve">, </w:t>
      </w:r>
      <w:r w:rsidR="00321E01">
        <w:t xml:space="preserve">correspondia à </w:t>
      </w:r>
      <w:r w:rsidR="00321E01" w:rsidRPr="003E305A">
        <w:t>oposição entre a ordem estável e o igualitarismo dissolvente. Wilhelm Müller, um divulgador ligado a este movimento, escrev</w:t>
      </w:r>
      <w:r w:rsidR="00321E01">
        <w:t>eu</w:t>
      </w:r>
      <w:r w:rsidR="00321E01" w:rsidRPr="003E305A">
        <w:t xml:space="preserve"> que as teorias de Einstein tinham «do princípio ao fim o objectivo de transformar o mundo vivo </w:t>
      </w:r>
      <w:r w:rsidR="00F02A45">
        <w:t>—</w:t>
      </w:r>
      <w:r w:rsidR="00321E01" w:rsidRPr="003E305A">
        <w:t xml:space="preserve"> ou seja, não-judaico </w:t>
      </w:r>
      <w:r w:rsidR="00F02A45">
        <w:t>—</w:t>
      </w:r>
      <w:r w:rsidR="00321E01" w:rsidRPr="003E305A">
        <w:t xml:space="preserve"> de essência viva, nascido de uma mãe terra e cimentado com sangue, e convertê-lo por magia numa abstracção fantasmagórica, onde todas as diferenças individuais dos povos e das nações e todos os limites internos das raças se perdem na irrealidade, e onde sobrevive apenas uma diversidade de </w:t>
      </w:r>
      <w:r w:rsidR="00321E01" w:rsidRPr="003E305A">
        <w:lastRenderedPageBreak/>
        <w:t>dimensões geométricas desprovidas de substância, que produz tudo o que sucede mediante o determinismo da sua sujeição a leis, na ignorância de Deus»</w:t>
      </w:r>
      <w:r w:rsidR="00321E01" w:rsidRPr="003E305A">
        <w:rPr>
          <w:rStyle w:val="Refdenotaderodap"/>
        </w:rPr>
        <w:footnoteReference w:id="545"/>
      </w:r>
      <w:r w:rsidR="00321E01" w:rsidRPr="003E305A">
        <w:t xml:space="preserve">. Nas palavras de um dos principais </w:t>
      </w:r>
      <w:r w:rsidR="00321E01">
        <w:t>académicos</w:t>
      </w:r>
      <w:r w:rsidR="00321E01" w:rsidRPr="003E305A">
        <w:t xml:space="preserve"> do </w:t>
      </w:r>
      <w:r w:rsidR="00BC3A1B">
        <w:t>nacional-socialismo</w:t>
      </w:r>
      <w:r w:rsidR="00321E01" w:rsidRPr="003E305A">
        <w:t>, Ernst Krieck, reitor da universidade de Frankfurt, tratava-se de erguer «o sangue contra a razão formal, a raça contra a racionalidade dirigida para um fim concreto, a honra contra o espírito de lucro, a unidade contra a integração individualista, as virtudes guerreiras contra a segurança burguesa, o povo contra a massa»</w:t>
      </w:r>
      <w:r w:rsidR="00321E01" w:rsidRPr="003E305A">
        <w:rPr>
          <w:rStyle w:val="Refdenotaderodap"/>
        </w:rPr>
        <w:footnoteReference w:id="546"/>
      </w:r>
      <w:r w:rsidR="00321E01" w:rsidRPr="003E305A">
        <w:t xml:space="preserve">. </w:t>
      </w:r>
    </w:p>
    <w:p w:rsidR="00321E01" w:rsidRPr="003E305A" w:rsidRDefault="00BC3A1B" w:rsidP="00321E01">
      <w:r>
        <w:t xml:space="preserve">No campo científico a Física Ariana não teve resultados, mas os efeitos </w:t>
      </w:r>
      <w:r w:rsidR="00FE4A79">
        <w:t xml:space="preserve">foram </w:t>
      </w:r>
      <w:r>
        <w:t xml:space="preserve">outros. </w:t>
      </w:r>
      <w:r w:rsidR="00321E01" w:rsidRPr="003E305A">
        <w:t>A escassos meses do fim do Reich, os SS podiam consolar-se ao ler no seu semanário que «onde a dissecação intelectual do céptico cria a divisão, o poder maternal do coração restaura a unidade»</w:t>
      </w:r>
      <w:r w:rsidR="00321E01" w:rsidRPr="003E305A">
        <w:rPr>
          <w:rStyle w:val="Refdenotaderodap"/>
        </w:rPr>
        <w:footnoteReference w:id="547"/>
      </w:r>
      <w:r w:rsidR="00321E01" w:rsidRPr="003E305A">
        <w:t xml:space="preserve">. </w:t>
      </w:r>
    </w:p>
    <w:p w:rsidR="00211BBB" w:rsidRDefault="000C0211" w:rsidP="00211BBB">
      <w:pPr>
        <w:keepNext/>
        <w:spacing w:before="240" w:after="120"/>
        <w:ind w:firstLine="0"/>
        <w:jc w:val="center"/>
      </w:pPr>
      <w:r>
        <w:rPr>
          <w:b/>
          <w:sz w:val="28"/>
          <w:szCs w:val="28"/>
        </w:rPr>
        <w:t>3</w:t>
      </w:r>
    </w:p>
    <w:p w:rsidR="00321E01" w:rsidRDefault="00321E01" w:rsidP="00321E01">
      <w:r w:rsidRPr="003E305A">
        <w:t xml:space="preserve">E assim todos os judeus começaram a ser perseguidos, mais tarde exterminados, como </w:t>
      </w:r>
      <w:r w:rsidR="00BC3A1B">
        <w:t xml:space="preserve">desagregadores e </w:t>
      </w:r>
      <w:r w:rsidRPr="003E305A">
        <w:t>subversores. E todos os críticos, comunistas e sociais-democratas foram de imediato aprisionados e em grande parte aniquilados enquanto judeus. «Para tornar uma luta compreensível às mais vastas massas ela deve ser sempre orientada contra dois alvos, contra uma pessoa e contra uma causa», explic</w:t>
      </w:r>
      <w:r>
        <w:t>ou</w:t>
      </w:r>
      <w:r w:rsidRPr="003E305A">
        <w:t xml:space="preserve"> Hitler aos seus adeptos em 1925. «Assim, contra quem deve combater o nosso movimento? Contra o judeu enquanto pessoa e contra o marxismo enquanto causa»</w:t>
      </w:r>
      <w:r w:rsidRPr="003E305A">
        <w:rPr>
          <w:rStyle w:val="Refdenotaderodap"/>
        </w:rPr>
        <w:footnoteReference w:id="548"/>
      </w:r>
      <w:r w:rsidRPr="003E305A">
        <w:t xml:space="preserve">. É elucidativo ler neste contexto uma </w:t>
      </w:r>
      <w:r w:rsidR="009F56F1">
        <w:t xml:space="preserve">passagem da </w:t>
      </w:r>
      <w:r w:rsidRPr="003E305A">
        <w:t>conferência que José Antonio Primo de Rivera proferiu no Circulo Mercantil, em Madrid, a 9 de Abril de 1935</w:t>
      </w:r>
      <w:r w:rsidR="00F2276B">
        <w:t>:</w:t>
      </w:r>
      <w:r w:rsidRPr="003E305A">
        <w:t xml:space="preserve"> «Os partidos de esquerda vêem o homem, mas vêem-no desenraizado. O que caracteriza a esquerda é interessar-se pelo destino do indivíduo contra toda a arquitectura histórica, contra toda a arquitectura política, como se fossem termos opostos. O esquerdismo é, por isso, dissolvente, é corrosivo, é irónico e, embora dotado de um brilhante conjunto de talentos, encontra-se perfeitamente habilitado para destruir e quase nunca para construir»</w:t>
      </w:r>
      <w:r w:rsidRPr="003E305A">
        <w:rPr>
          <w:rStyle w:val="Refdenotaderodap"/>
        </w:rPr>
        <w:footnoteReference w:id="549"/>
      </w:r>
      <w:r w:rsidRPr="003E305A">
        <w:t>. Onde o chefe da Falange escrev</w:t>
      </w:r>
      <w:r>
        <w:t>eu</w:t>
      </w:r>
      <w:r w:rsidRPr="003E305A">
        <w:t xml:space="preserve"> «a esquerda» os propagandistas do nacional-socialismo podiam escrever «os </w:t>
      </w:r>
      <w:r w:rsidRPr="003E305A">
        <w:lastRenderedPageBreak/>
        <w:t xml:space="preserve">judeus». </w:t>
      </w:r>
      <w:r>
        <w:t xml:space="preserve">Os termos equivaliam-se. </w:t>
      </w:r>
      <w:r w:rsidRPr="003E305A">
        <w:t xml:space="preserve">Entendida esta lógica absurda, deixa de ser paradoxal que no dia 30 de Março de 1933 o </w:t>
      </w:r>
      <w:r w:rsidRPr="003E305A">
        <w:rPr>
          <w:i/>
        </w:rPr>
        <w:t>Völkischer Beobachter,</w:t>
      </w:r>
      <w:r w:rsidRPr="003E305A">
        <w:t xml:space="preserve"> órgão </w:t>
      </w:r>
      <w:r w:rsidR="00F2276B">
        <w:t xml:space="preserve">oficioso </w:t>
      </w:r>
      <w:r w:rsidRPr="003E305A">
        <w:t xml:space="preserve">do </w:t>
      </w:r>
      <w:r w:rsidR="008C4DDC">
        <w:t>NSDAP</w:t>
      </w:r>
      <w:r w:rsidRPr="003E305A">
        <w:t>, proclamasse em título de primeira página que o boicote animado pelos judeus um pouco por todo o mundo contra o comércio alemão era organizado pelos comunistas</w:t>
      </w:r>
      <w:r w:rsidRPr="003E305A">
        <w:rPr>
          <w:rStyle w:val="Refdenotaderodap"/>
        </w:rPr>
        <w:footnoteReference w:id="550"/>
      </w:r>
      <w:r w:rsidRPr="003E305A">
        <w:t xml:space="preserve">. Tratava-se de realidades </w:t>
      </w:r>
      <w:r w:rsidR="008C4DDC">
        <w:t>—</w:t>
      </w:r>
      <w:r w:rsidRPr="003E305A">
        <w:t xml:space="preserve"> ou fantasmagorias </w:t>
      </w:r>
      <w:r w:rsidR="008C4DDC">
        <w:t>—</w:t>
      </w:r>
      <w:r w:rsidRPr="003E305A">
        <w:t xml:space="preserve"> permutáveis, e só nesta perspectiva consegui</w:t>
      </w:r>
      <w:r w:rsidR="008C4DDC">
        <w:t>re</w:t>
      </w:r>
      <w:r w:rsidRPr="003E305A">
        <w:t xml:space="preserve">mos avaliar a verdadeira dimensão do racismo hitleriano. </w:t>
      </w:r>
      <w:r w:rsidR="00483E01" w:rsidRPr="00483E01">
        <w:t xml:space="preserve">Como Rosenberg escreveu no prefácio à edição de </w:t>
      </w:r>
      <w:r w:rsidR="002863EE">
        <w:t>1931</w:t>
      </w:r>
      <w:r w:rsidR="00483E01" w:rsidRPr="00483E01">
        <w:t xml:space="preserve"> da sua obra </w:t>
      </w:r>
      <w:r w:rsidR="008C4DDC">
        <w:t>maior</w:t>
      </w:r>
      <w:r w:rsidR="00483E01" w:rsidRPr="00483E01">
        <w:t xml:space="preserve">, «a totalidade do marxismo revelou-se, como </w:t>
      </w:r>
      <w:r w:rsidR="00B451EB">
        <w:t>é</w:t>
      </w:r>
      <w:r w:rsidR="00483E01" w:rsidRPr="00483E01">
        <w:t xml:space="preserve"> inevit</w:t>
      </w:r>
      <w:r w:rsidR="00483E01">
        <w:t>á</w:t>
      </w:r>
      <w:r w:rsidR="00483E01" w:rsidRPr="00483E01">
        <w:t xml:space="preserve">vel, </w:t>
      </w:r>
      <w:r w:rsidR="00483E01">
        <w:t xml:space="preserve">desintegradora de qualquer comunidade orgânica em benefício de instintos nómadas </w:t>
      </w:r>
      <w:r w:rsidR="00325781">
        <w:t>estrangeiros»</w:t>
      </w:r>
      <w:r w:rsidR="00FD4005">
        <w:rPr>
          <w:rStyle w:val="Refdenotaderodap"/>
        </w:rPr>
        <w:footnoteReference w:id="551"/>
      </w:r>
      <w:r w:rsidR="00325781">
        <w:t xml:space="preserve">. </w:t>
      </w:r>
      <w:r w:rsidR="00196A14">
        <w:t>No alvor do Terceiro Reich, durante o boicote anti-semita de 1 de Abril de 1933, cerca de oitenta membros das SA invadiram os edifícios da Universidade de Frankfurt à procura de judeus e marxistas</w:t>
      </w:r>
      <w:r w:rsidR="00196A14">
        <w:rPr>
          <w:rStyle w:val="Refdenotaderodap"/>
        </w:rPr>
        <w:footnoteReference w:id="552"/>
      </w:r>
      <w:r w:rsidR="00196A14">
        <w:t>, e quando o Reich chegava aos últimos estertores, no Verão de</w:t>
      </w:r>
      <w:r w:rsidR="00196A14" w:rsidRPr="003E305A">
        <w:t xml:space="preserve"> 1944</w:t>
      </w:r>
      <w:r w:rsidR="00196A14">
        <w:t>,</w:t>
      </w:r>
      <w:r w:rsidR="00196A14" w:rsidRPr="003E305A">
        <w:t xml:space="preserve"> Victor Klemperer regist</w:t>
      </w:r>
      <w:r w:rsidR="0057317E">
        <w:t>ou</w:t>
      </w:r>
      <w:r w:rsidR="00196A14" w:rsidRPr="003E305A">
        <w:t xml:space="preserve"> no seu diário a situação de todos os que, como ele, eram «portadores da estrela» e considerados «inimigos do Estado»</w:t>
      </w:r>
      <w:r w:rsidR="00196A14" w:rsidRPr="003E305A">
        <w:rPr>
          <w:rStyle w:val="Refdenotaderodap"/>
        </w:rPr>
        <w:footnoteReference w:id="553"/>
      </w:r>
      <w:r w:rsidR="00196A14" w:rsidRPr="003E305A">
        <w:t>, judeus e subversivos.</w:t>
      </w:r>
      <w:r w:rsidR="00196A14">
        <w:t xml:space="preserve"> </w:t>
      </w:r>
      <w:r w:rsidR="0057317E">
        <w:t xml:space="preserve">Do seu início até ao seu termo, essa assimilação caracterizou o nacional-socialismo. </w:t>
      </w:r>
    </w:p>
    <w:p w:rsidR="00612B5C" w:rsidRDefault="00612B5C" w:rsidP="00612B5C">
      <w:r w:rsidRPr="003E305A">
        <w:t xml:space="preserve">A relação íntima entre ideologia e biologia revelava-se no plano semântico quando os </w:t>
      </w:r>
      <w:r>
        <w:t>nacionais-socialistas</w:t>
      </w:r>
      <w:r w:rsidRPr="003E305A">
        <w:t xml:space="preserve"> evocavam o «bolchevismo judaico»</w:t>
      </w:r>
      <w:r>
        <w:t>.</w:t>
      </w:r>
      <w:r w:rsidRPr="003E305A">
        <w:t xml:space="preserve"> </w:t>
      </w:r>
      <w:r>
        <w:t>É certo que est</w:t>
      </w:r>
      <w:r w:rsidRPr="00994081">
        <w:t xml:space="preserve">a noção era comum na extrema-direita </w:t>
      </w:r>
      <w:r>
        <w:t xml:space="preserve">mundial </w:t>
      </w:r>
      <w:r w:rsidRPr="00994081">
        <w:t>daquela época</w:t>
      </w:r>
      <w:r>
        <w:rPr>
          <w:rStyle w:val="Refdenotaderodap"/>
        </w:rPr>
        <w:footnoteReference w:id="554"/>
      </w:r>
      <w:r>
        <w:t>,</w:t>
      </w:r>
      <w:r w:rsidRPr="00994081">
        <w:t xml:space="preserve"> </w:t>
      </w:r>
      <w:r>
        <w:t>mesmo entre os fascistas russos na emigração</w:t>
      </w:r>
      <w:r>
        <w:rPr>
          <w:rStyle w:val="Refdenotaderodap"/>
        </w:rPr>
        <w:footnoteReference w:id="555"/>
      </w:r>
      <w:r>
        <w:t xml:space="preserve">, e no livro assinado por Henry Ford, </w:t>
      </w:r>
      <w:r w:rsidRPr="00994081">
        <w:rPr>
          <w:i/>
        </w:rPr>
        <w:t>The International Jew,</w:t>
      </w:r>
      <w:r>
        <w:t xml:space="preserve"> publicado em 1920, são </w:t>
      </w:r>
      <w:r w:rsidRPr="0073537F">
        <w:t xml:space="preserve">frequentes as passagens </w:t>
      </w:r>
      <w:r>
        <w:t xml:space="preserve">onde </w:t>
      </w:r>
      <w:r w:rsidRPr="0073537F">
        <w:t xml:space="preserve">o bolchevismo </w:t>
      </w:r>
      <w:r>
        <w:t xml:space="preserve">foi identificado </w:t>
      </w:r>
      <w:r w:rsidRPr="0073537F">
        <w:t xml:space="preserve">com o judaísmo, </w:t>
      </w:r>
      <w:r>
        <w:t xml:space="preserve">além de serem </w:t>
      </w:r>
      <w:r w:rsidRPr="0073537F">
        <w:t xml:space="preserve">dedicados à questão </w:t>
      </w:r>
      <w:r>
        <w:t>d</w:t>
      </w:r>
      <w:r w:rsidRPr="0073537F">
        <w:t>o</w:t>
      </w:r>
      <w:r>
        <w:t>i</w:t>
      </w:r>
      <w:r w:rsidRPr="0073537F">
        <w:t xml:space="preserve">s capítulos </w:t>
      </w:r>
      <w:r>
        <w:t>inteiros</w:t>
      </w:r>
      <w:r w:rsidRPr="0073537F">
        <w:t xml:space="preserve">. </w:t>
      </w:r>
      <w:r>
        <w:t xml:space="preserve">«O bolchevismo é pura e simplesmente </w:t>
      </w:r>
      <w:r w:rsidRPr="00593277">
        <w:rPr>
          <w:i/>
        </w:rPr>
        <w:t>a realização do programa internacional contido nos Protocolos sionistas</w:t>
      </w:r>
      <w:r>
        <w:t>»</w:t>
      </w:r>
      <w:r w:rsidRPr="00F97D77">
        <w:t>,</w:t>
      </w:r>
      <w:r>
        <w:t xml:space="preserve"> lê-se naquela obra</w:t>
      </w:r>
      <w:r>
        <w:rPr>
          <w:rStyle w:val="Refdenotaderodap"/>
        </w:rPr>
        <w:footnoteReference w:id="556"/>
      </w:r>
      <w:r>
        <w:t>. Praticamente no mesmo momento o conhecido eugenista Madison Grant, admirado por Hitler, Rosenberg e Darré</w:t>
      </w:r>
      <w:r w:rsidRPr="003E305A">
        <w:rPr>
          <w:rStyle w:val="Refdenotaderodap"/>
        </w:rPr>
        <w:footnoteReference w:id="557"/>
      </w:r>
      <w:r>
        <w:t>, escrevia que «a Ásia, sob a máscara do bolchevismo, com direcção semita e executantes chineses, está a organizar um ataque contra a Europa ocidental [...]»</w:t>
      </w:r>
      <w:r>
        <w:rPr>
          <w:rStyle w:val="Refdenotaderodap"/>
        </w:rPr>
        <w:footnoteReference w:id="558"/>
      </w:r>
      <w:r>
        <w:t xml:space="preserve">. Também Céline </w:t>
      </w:r>
      <w:r w:rsidR="009624E1">
        <w:t xml:space="preserve">haveria de </w:t>
      </w:r>
      <w:r>
        <w:t>deix</w:t>
      </w:r>
      <w:r w:rsidR="009624E1">
        <w:t>ar</w:t>
      </w:r>
      <w:r>
        <w:t xml:space="preserve"> claro que «judeus e comunistas, para mim, são sinónimos»</w:t>
      </w:r>
      <w:r>
        <w:rPr>
          <w:rStyle w:val="Refdenotaderodap"/>
        </w:rPr>
        <w:footnoteReference w:id="559"/>
      </w:r>
      <w:r>
        <w:t xml:space="preserve">. Mas os nacionais-socialistas asseguraram a esse duplo conceito uma expansão ainda mais considerável, </w:t>
      </w:r>
      <w:r>
        <w:lastRenderedPageBreak/>
        <w:t>incluindo-o na sua ideologia oficial</w:t>
      </w:r>
      <w:r>
        <w:rPr>
          <w:rStyle w:val="Refdenotaderodap"/>
        </w:rPr>
        <w:footnoteReference w:id="560"/>
      </w:r>
      <w:r>
        <w:t xml:space="preserve">. </w:t>
      </w:r>
      <w:r w:rsidR="00684273">
        <w:t>«Não tenho nada contra os judeus pessoalmente», disse Hitler a Max Planck em Maio de 1933, «mas os judeus são todos comunistas [...]»</w:t>
      </w:r>
      <w:r w:rsidR="00684273">
        <w:rPr>
          <w:rStyle w:val="Refdenotaderodap"/>
        </w:rPr>
        <w:footnoteReference w:id="561"/>
      </w:r>
      <w:r w:rsidR="00684273">
        <w:t xml:space="preserve">, e num memorando de 1936 escreveu que </w:t>
      </w:r>
      <w:r>
        <w:t>«a essência e o objectivo do bolchevismo é a eliminação daquelas camadas da humanidade que até agora têm assumido a chefia e a sua substituição pelo judaísmo mundial»,</w:t>
      </w:r>
      <w:r>
        <w:rPr>
          <w:rStyle w:val="Refdenotaderodap"/>
        </w:rPr>
        <w:footnoteReference w:id="562"/>
      </w:r>
      <w:r>
        <w:t xml:space="preserve">. Por seu lado, num discurso pronunciado em Novembro de 1935 Himmler evocou «a revolução judaico-bolchevista da sub-humanidade» e numa alocução de Janeiro de 1937, perante vários oficiais da Wehrmacht, </w:t>
      </w:r>
      <w:r w:rsidR="001A6C09">
        <w:t>insistiu</w:t>
      </w:r>
      <w:r>
        <w:t xml:space="preserve"> que «o bolchevismo é a organização da sub-humanidade, o alicerce absoluto do domínio judeu»</w:t>
      </w:r>
      <w:r>
        <w:rPr>
          <w:rStyle w:val="Refdenotaderodap"/>
        </w:rPr>
        <w:footnoteReference w:id="563"/>
      </w:r>
      <w:r>
        <w:t xml:space="preserve">. </w:t>
      </w:r>
      <w:r w:rsidR="001A6C09">
        <w:t xml:space="preserve">A lição era repetida a todos os níveis e uma </w:t>
      </w:r>
      <w:r w:rsidR="008F4362">
        <w:t>estudante</w:t>
      </w:r>
      <w:r w:rsidR="001A6C09">
        <w:t xml:space="preserve"> de treze anos, aliás judia, anotou no seu caderno escolar um dos tópicos de uma aula sobre teoria racial: «Todos os judeus são comunistas»</w:t>
      </w:r>
      <w:r w:rsidR="00684273">
        <w:rPr>
          <w:rStyle w:val="Refdenotaderodap"/>
        </w:rPr>
        <w:footnoteReference w:id="564"/>
      </w:r>
      <w:r w:rsidR="001A6C09">
        <w:t xml:space="preserve">. </w:t>
      </w:r>
      <w:r>
        <w:t xml:space="preserve">A assinatura do pacto germano-soviético introduziu um hiato </w:t>
      </w:r>
      <w:r w:rsidR="00241492">
        <w:t>naquele</w:t>
      </w:r>
      <w:r>
        <w:t xml:space="preserve"> sintagma político-racial, já que a propaganda nacional-socialista decidiu então não mencionar o marxismo internacional</w:t>
      </w:r>
      <w:r>
        <w:rPr>
          <w:rStyle w:val="Refdenotaderodap"/>
        </w:rPr>
        <w:footnoteReference w:id="565"/>
      </w:r>
      <w:r>
        <w:t>, mas nem por isto o judaísmo deixou de estar acompanhado por uma adjectivação ideológica e o Führer, em declarações de 3 de Setembro de 1939, mencionou «o nosso inimigo mundial judaico-democrático»</w:t>
      </w:r>
      <w:r>
        <w:rPr>
          <w:rStyle w:val="Refdenotaderodap"/>
        </w:rPr>
        <w:footnoteReference w:id="566"/>
      </w:r>
      <w:r>
        <w:t xml:space="preserve"> e «judaico-plutocrático»</w:t>
      </w:r>
      <w:r>
        <w:rPr>
          <w:rStyle w:val="Refdenotaderodap"/>
        </w:rPr>
        <w:footnoteReference w:id="567"/>
      </w:r>
      <w:r>
        <w:t xml:space="preserve">. </w:t>
      </w:r>
      <w:r w:rsidR="00E061CA">
        <w:t xml:space="preserve">Com </w:t>
      </w:r>
      <w:r w:rsidR="00E061CA" w:rsidRPr="003E305A">
        <w:t xml:space="preserve">a </w:t>
      </w:r>
      <w:r w:rsidRPr="003E305A">
        <w:t>guerra contra a União Soviética</w:t>
      </w:r>
      <w:r>
        <w:t xml:space="preserve"> regress</w:t>
      </w:r>
      <w:r w:rsidR="00E061CA">
        <w:t>ou-se</w:t>
      </w:r>
      <w:r>
        <w:t xml:space="preserve"> à terminologia tradicional e </w:t>
      </w:r>
      <w:r w:rsidRPr="003E305A">
        <w:t xml:space="preserve">Victor Klemperer, sempre atento à linguagem do Terceiro Reich, observou </w:t>
      </w:r>
      <w:r>
        <w:t xml:space="preserve">no seu diário </w:t>
      </w:r>
      <w:r w:rsidRPr="003E305A">
        <w:t xml:space="preserve">que </w:t>
      </w:r>
      <w:r>
        <w:t xml:space="preserve">aquele tipo de </w:t>
      </w:r>
      <w:r w:rsidRPr="003E305A">
        <w:t xml:space="preserve">referências se havia </w:t>
      </w:r>
      <w:r w:rsidR="00E061CA">
        <w:t xml:space="preserve">então </w:t>
      </w:r>
      <w:r w:rsidRPr="003E305A">
        <w:t>intensificado</w:t>
      </w:r>
      <w:r w:rsidRPr="003E305A">
        <w:rPr>
          <w:rStyle w:val="Refdenotaderodap"/>
        </w:rPr>
        <w:footnoteReference w:id="568"/>
      </w:r>
      <w:r w:rsidRPr="003E305A">
        <w:t xml:space="preserve">. </w:t>
      </w:r>
      <w:r w:rsidR="00E061CA">
        <w:t xml:space="preserve">Até que na </w:t>
      </w:r>
      <w:r>
        <w:t>derradeira ordem do dia destinada aos soldados da frente do Leste, foi ainda o «arqui-inimigo judaico-bolchevista» que Hitler evocou</w:t>
      </w:r>
      <w:r>
        <w:rPr>
          <w:rStyle w:val="Refdenotaderodap"/>
        </w:rPr>
        <w:footnoteReference w:id="569"/>
      </w:r>
      <w:r>
        <w:t xml:space="preserve">. </w:t>
      </w:r>
      <w:r w:rsidRPr="003E305A">
        <w:t xml:space="preserve">A indissociabilidade </w:t>
      </w:r>
      <w:r>
        <w:t>dos</w:t>
      </w:r>
      <w:r w:rsidRPr="003E305A">
        <w:t xml:space="preserve"> termos </w:t>
      </w:r>
      <w:r w:rsidRPr="008911FB">
        <w:rPr>
          <w:i/>
        </w:rPr>
        <w:t>judaísmo</w:t>
      </w:r>
      <w:r>
        <w:t xml:space="preserve"> e </w:t>
      </w:r>
      <w:r w:rsidRPr="008911FB">
        <w:rPr>
          <w:i/>
        </w:rPr>
        <w:t>bolchevismo</w:t>
      </w:r>
      <w:r>
        <w:t xml:space="preserve"> </w:t>
      </w:r>
      <w:r w:rsidRPr="003E305A">
        <w:t xml:space="preserve">esclarece a noção nacional-socialista de raça. </w:t>
      </w:r>
    </w:p>
    <w:p w:rsidR="002D1CBE" w:rsidRPr="003E305A" w:rsidRDefault="00E061CA" w:rsidP="002D1CBE">
      <w:r>
        <w:t xml:space="preserve">Quem </w:t>
      </w:r>
      <w:r w:rsidR="00F70AC2">
        <w:t>eram</w:t>
      </w:r>
      <w:r>
        <w:t>,</w:t>
      </w:r>
      <w:r w:rsidR="00F70AC2">
        <w:t xml:space="preserve"> </w:t>
      </w:r>
      <w:r>
        <w:t xml:space="preserve">então, </w:t>
      </w:r>
      <w:r w:rsidR="00F70AC2">
        <w:t xml:space="preserve">os judeus, definidos ao mesmo tempo pela raça e pela ideologia? </w:t>
      </w:r>
      <w:r w:rsidR="002D1CBE" w:rsidRPr="003E305A">
        <w:t xml:space="preserve">Naquela mistura de idealismo absoluto e pedantismo mensurador que foi o racismo hitleriano, uma determinada atitude ideológica definia alguém como judeu com não menos segurança do que o fazia um certo tipo de nariz ou a forma do lábio inferior. Quando o Führer, discursando no </w:t>
      </w:r>
      <w:r w:rsidR="002D1CBE" w:rsidRPr="003E305A">
        <w:lastRenderedPageBreak/>
        <w:t>congresso do partido de 1933, se referiu, a propósito dos nórdicos, «àqueles que pertencem em espírito a uma certa raça»</w:t>
      </w:r>
      <w:r w:rsidR="002D1CBE" w:rsidRPr="003E305A">
        <w:rPr>
          <w:rStyle w:val="Refdenotaderodap"/>
        </w:rPr>
        <w:footnoteReference w:id="570"/>
      </w:r>
      <w:r w:rsidR="002D1CBE" w:rsidRPr="003E305A">
        <w:t>, a multidão que o escutava não encontrou decerto nada de estranho nessa operação mágica pela qual a imaterialidade se via subitamente dotada de uma biologia. Em 1930</w:t>
      </w:r>
      <w:r w:rsidR="002D1CBE">
        <w:t>,</w:t>
      </w:r>
      <w:r w:rsidR="002D1CBE" w:rsidRPr="003E305A">
        <w:t xml:space="preserve"> </w:t>
      </w:r>
      <w:r w:rsidR="002D1CBE">
        <w:t xml:space="preserve">no prefácio à primeira edição da sua obra maior, </w:t>
      </w:r>
      <w:r w:rsidR="002D1CBE" w:rsidRPr="003E305A">
        <w:t>Rosenberg pretende</w:t>
      </w:r>
      <w:r w:rsidR="002D1CBE">
        <w:t>u</w:t>
      </w:r>
      <w:r w:rsidR="002D1CBE" w:rsidRPr="003E305A">
        <w:t xml:space="preserve"> explicar o inexplicável</w:t>
      </w:r>
      <w:r w:rsidR="002D1CBE">
        <w:t xml:space="preserve"> e</w:t>
      </w:r>
      <w:r w:rsidR="002D1CBE" w:rsidRPr="003E305A">
        <w:t xml:space="preserve">, </w:t>
      </w:r>
      <w:r w:rsidR="002D1CBE">
        <w:t xml:space="preserve">parafraseando o jovem Schelling, </w:t>
      </w:r>
      <w:r w:rsidR="002D1CBE" w:rsidRPr="003E305A">
        <w:t>afirm</w:t>
      </w:r>
      <w:r w:rsidR="002D1CBE">
        <w:t>ou</w:t>
      </w:r>
      <w:r w:rsidR="002D1CBE" w:rsidRPr="003E305A">
        <w:t xml:space="preserve"> que «o espírito representa a raça vista </w:t>
      </w:r>
      <w:r w:rsidR="002D1CBE">
        <w:t xml:space="preserve">a partir </w:t>
      </w:r>
      <w:r w:rsidR="002D1CBE" w:rsidRPr="003E305A">
        <w:t xml:space="preserve">de dentro. </w:t>
      </w:r>
      <w:r w:rsidR="002D1CBE" w:rsidRPr="003612E2">
        <w:t>Reciprocamente, a raça é o exterior de um espírito»</w:t>
      </w:r>
      <w:r w:rsidR="002D1CBE" w:rsidRPr="003E305A">
        <w:rPr>
          <w:rStyle w:val="Refdenotaderodap"/>
        </w:rPr>
        <w:footnoteReference w:id="571"/>
      </w:r>
      <w:r w:rsidR="002D1CBE" w:rsidRPr="003612E2">
        <w:t xml:space="preserve">. </w:t>
      </w:r>
      <w:r w:rsidR="002D1CBE">
        <w:t xml:space="preserve">Ao mesmo tempo </w:t>
      </w:r>
      <w:r w:rsidR="002D1CBE" w:rsidRPr="00B764DD">
        <w:t>preveniu</w:t>
      </w:r>
      <w:r w:rsidR="002D1CBE">
        <w:t>:</w:t>
      </w:r>
      <w:r w:rsidR="002D1CBE" w:rsidRPr="00B764DD">
        <w:t xml:space="preserve"> «Seria fútil lançar-se ao trabalho com réguas e índices cefálicos para </w:t>
      </w:r>
      <w:r w:rsidR="002D1CBE">
        <w:t>apreciar</w:t>
      </w:r>
      <w:r w:rsidR="002D1CBE" w:rsidRPr="00B764DD">
        <w:t xml:space="preserve"> um indiv</w:t>
      </w:r>
      <w:r w:rsidR="002D1CBE">
        <w:t xml:space="preserve">íduo. </w:t>
      </w:r>
      <w:r w:rsidR="002D1CBE" w:rsidRPr="004C581E">
        <w:t xml:space="preserve">Mas a confirmação de uma vida </w:t>
      </w:r>
      <w:r w:rsidR="002D1CBE">
        <w:t>dedicada</w:t>
      </w:r>
      <w:r w:rsidR="002D1CBE" w:rsidRPr="004C581E">
        <w:t xml:space="preserve"> ao serviço da nação é da</w:t>
      </w:r>
      <w:r w:rsidR="002D1CBE">
        <w:t xml:space="preserve"> </w:t>
      </w:r>
      <w:r w:rsidR="002D1CBE" w:rsidRPr="004C581E">
        <w:t xml:space="preserve">maior </w:t>
      </w:r>
      <w:r w:rsidR="002D1CBE">
        <w:t>importância»</w:t>
      </w:r>
      <w:r w:rsidR="002D1CBE">
        <w:rPr>
          <w:rStyle w:val="Refdenotaderodap"/>
        </w:rPr>
        <w:footnoteReference w:id="572"/>
      </w:r>
      <w:r w:rsidR="002D1CBE">
        <w:t>. E segundo Fritz Lenz, um dos principais cientistas do nacional-socialismo, tanto os traços físicos como os mentais e caracterológicos serviam para definir uma raça</w:t>
      </w:r>
      <w:r w:rsidR="002D1CBE">
        <w:rPr>
          <w:rStyle w:val="Refdenotaderodap"/>
        </w:rPr>
        <w:footnoteReference w:id="573"/>
      </w:r>
      <w:r w:rsidR="002D1CBE">
        <w:t xml:space="preserve">. </w:t>
      </w:r>
      <w:r w:rsidR="002D1CBE" w:rsidRPr="003E305A">
        <w:t xml:space="preserve">Mais de três décadas antes Houston Stewart Chamberlain expusera já convicções idênticas. </w:t>
      </w:r>
    </w:p>
    <w:p w:rsidR="002D1CBE" w:rsidRDefault="002D1CBE" w:rsidP="002D1CBE">
      <w:r w:rsidRPr="003E305A">
        <w:t>Censurando certas teses de Paul de Lagarde, outro pontífice do racismo germânico, Chamberlain sublinhara que as raças seriam entidades fundamentalmente biológicas e não apenas culturais e ideológicas. «[...] a configuração da cabeça e a estrutura do cérebro exercem sobre a configuração e a estrutura dos pensamentos uma influência perfeitamente decisiva; tão decisiva que, por maior que seja a influência atribuída ao meio, esta não deixa de estar submetida à constituição física enquanto facto originário, o qual reduz o número das suas possibilidades, determina o seu campo de acção e prescreve-lhe as suas orientações e os seus limites [...]»</w:t>
      </w:r>
      <w:r w:rsidRPr="003E305A">
        <w:rPr>
          <w:rStyle w:val="Refdenotaderodap"/>
        </w:rPr>
        <w:footnoteReference w:id="574"/>
      </w:r>
      <w:r w:rsidRPr="003E305A">
        <w:t xml:space="preserve">. Neste ponto, de maneira inesperada, Chamberlain recorreu à tese fundamental do esteticismo, o predomínio da forma, mas não a considerou nos termos de forma intelectual e atribuiu-lhe uma conotação directamente biológica, sensorial. «[...] em vez de ser fortuita ou indiferente, a </w:t>
      </w:r>
      <w:r w:rsidRPr="003E305A">
        <w:rPr>
          <w:i/>
        </w:rPr>
        <w:t>forma</w:t>
      </w:r>
      <w:r w:rsidRPr="003E305A">
        <w:t xml:space="preserve"> exprime o âmago do ser, e [...] é nela, precisamente nela, que entram em contacto os dois mundos componentes do nosso universo, o exterior e o interior, o visível e o invisível»</w:t>
      </w:r>
      <w:r w:rsidRPr="003E305A">
        <w:rPr>
          <w:rStyle w:val="Refdenotaderodap"/>
        </w:rPr>
        <w:footnoteReference w:id="575"/>
      </w:r>
      <w:r w:rsidRPr="003E305A">
        <w:t>. A biologia conforma</w:t>
      </w:r>
      <w:r w:rsidR="00F43228">
        <w:t>va</w:t>
      </w:r>
      <w:r w:rsidRPr="003E305A">
        <w:t xml:space="preserve"> o pensamento</w:t>
      </w:r>
      <w:r>
        <w:t>;</w:t>
      </w:r>
      <w:r w:rsidRPr="003E305A">
        <w:t xml:space="preserve"> e as grandes ideias, os eixos ideológicos norteadores, «são quase tão palpáveis» como os corpos físicos. «Relativamente à raça», admiti</w:t>
      </w:r>
      <w:r>
        <w:t>u</w:t>
      </w:r>
      <w:r w:rsidRPr="003E305A">
        <w:t xml:space="preserve"> </w:t>
      </w:r>
      <w:r w:rsidRPr="003E305A">
        <w:lastRenderedPageBreak/>
        <w:t xml:space="preserve">Chamberlain, as ideias «são sem dúvida uma </w:t>
      </w:r>
      <w:r w:rsidRPr="003E305A">
        <w:rPr>
          <w:i/>
        </w:rPr>
        <w:t>consequência</w:t>
      </w:r>
      <w:r w:rsidRPr="003E305A">
        <w:t xml:space="preserve">. Mas tenhamos o cuidado de não subestimar o contributo desta anatomia interior e invisível </w:t>
      </w:r>
      <w:r>
        <w:t>—</w:t>
      </w:r>
      <w:r w:rsidRPr="003E305A">
        <w:t xml:space="preserve"> desta dolicocefalia ou desta braquicefalia puramente espirituais </w:t>
      </w:r>
      <w:r>
        <w:t>—</w:t>
      </w:r>
      <w:r w:rsidRPr="003E305A">
        <w:t xml:space="preserve"> que age como </w:t>
      </w:r>
      <w:r w:rsidRPr="003E305A">
        <w:rPr>
          <w:i/>
        </w:rPr>
        <w:t>causa</w:t>
      </w:r>
      <w:r w:rsidRPr="003E305A">
        <w:t xml:space="preserve"> e tem um âmbito de acção muitíssimo vasto»</w:t>
      </w:r>
      <w:r w:rsidRPr="003E305A">
        <w:rPr>
          <w:rStyle w:val="Refdenotaderodap"/>
        </w:rPr>
        <w:footnoteReference w:id="576"/>
      </w:r>
      <w:r w:rsidRPr="003E305A">
        <w:t>. E era aqui que o doutrinador do racismo encontrava justificação para proceder, quando melhor lhe convinha, ao percurso inverso daquele que havia postulado inicialmente e deduzir uma biologia a partir de uma caracterização ideológica. Pois se era possível detectar uma «dolicocefalia espiritual», o que impedia de concluir em tal caso pela existência, no físico também, de uma oval craniana acentuada? «[...] aquilo que designamos pela palavra “raça” é, dentro de certos limites, um fenómeno plástico, e assim como o físico reage sobre o intelectual, o intelectual reage do mesmo modo sobre o físico»</w:t>
      </w:r>
      <w:r w:rsidRPr="003E305A">
        <w:rPr>
          <w:rStyle w:val="Refdenotaderodap"/>
        </w:rPr>
        <w:footnoteReference w:id="577"/>
      </w:r>
      <w:r w:rsidRPr="003E305A">
        <w:t xml:space="preserve">. </w:t>
      </w:r>
      <w:r>
        <w:t xml:space="preserve">Quem </w:t>
      </w:r>
      <w:r w:rsidRPr="003E305A">
        <w:t xml:space="preserve">defende que só por uma lastimável incompreensão os </w:t>
      </w:r>
      <w:r>
        <w:t>nacionais-socialistas</w:t>
      </w:r>
      <w:r w:rsidRPr="003E305A">
        <w:t xml:space="preserve"> se reivindicaram dos ensinamentos de Nietzsche, porque as referências étnicas deste filósofo se haviam situado no plano da cultura e não no da biologia</w:t>
      </w:r>
      <w:r>
        <w:rPr>
          <w:rStyle w:val="Refdenotaderodap"/>
        </w:rPr>
        <w:footnoteReference w:id="578"/>
      </w:r>
      <w:r w:rsidRPr="003E305A">
        <w:t xml:space="preserve">, parece ignorar que o racismo cultural foi uma componente tão indispensável das concepções de Chamberlain e de Hitler como o foi o racismo biológico. </w:t>
      </w:r>
      <w:r>
        <w:t>Aliás, na época em que Nietzsche os proferiu, os apelos à regeneração foram preferencialmente entendidos na perspectiva da eugenia</w:t>
      </w:r>
      <w:r>
        <w:rPr>
          <w:rStyle w:val="Refdenotaderodap"/>
        </w:rPr>
        <w:footnoteReference w:id="579"/>
      </w:r>
      <w:r>
        <w:t xml:space="preserve">. </w:t>
      </w:r>
    </w:p>
    <w:p w:rsidR="000C6109" w:rsidRPr="003E305A" w:rsidRDefault="000C6109" w:rsidP="000C6109">
      <w:r>
        <w:t xml:space="preserve">Aquele </w:t>
      </w:r>
      <w:r w:rsidRPr="003E305A">
        <w:t xml:space="preserve">vaivém metodológico encerrou num círculo vicioso os delírios eruditos do monumentalíssimo </w:t>
      </w:r>
      <w:r w:rsidRPr="003E305A">
        <w:rPr>
          <w:i/>
        </w:rPr>
        <w:t>Fundamentos do Século XIX</w:t>
      </w:r>
      <w:r w:rsidRPr="003E305A">
        <w:t xml:space="preserve"> e serviu de demonstração onde coisa </w:t>
      </w:r>
      <w:r>
        <w:t>nenhuma</w:t>
      </w:r>
      <w:r w:rsidRPr="003E305A">
        <w:t xml:space="preserve"> se podia demonstrar. Era tudo cada vez mais curioso </w:t>
      </w:r>
      <w:r>
        <w:t>neste</w:t>
      </w:r>
      <w:r w:rsidRPr="003E305A">
        <w:t xml:space="preserve"> país das maravilhas, ou antes das miragens, pois «nada nos impediria de afirmar algo aparentemente paradoxal, que os homens baixos deste grupo [os germanos] são grandes porque pertencem a uma raça de pessoas altas, e pelo mesmo motivo os seus braquicéfalos têm crânios alongados. Observando com mais atenção, depressa distinguireis, tanto no seu aspecto físico como no seu ser íntimo, os traços característicos do Germano»</w:t>
      </w:r>
      <w:r w:rsidRPr="003E305A">
        <w:rPr>
          <w:rStyle w:val="Refdenotaderodap"/>
        </w:rPr>
        <w:footnoteReference w:id="580"/>
      </w:r>
      <w:r w:rsidRPr="003E305A">
        <w:t xml:space="preserve">. </w:t>
      </w:r>
      <w:r w:rsidRPr="00341472">
        <w:t xml:space="preserve">Tanto fazia ir de trás para diante como de diante para trás, um dado físico era prova suficiente de que se pertencia a uma certa raça, mas à falta disso uma ideologia ou uma atitude psicológica revelavam a raça com não menos segurança. </w:t>
      </w:r>
      <w:r w:rsidRPr="003E305A">
        <w:t xml:space="preserve">Graças a este infalível método de dupla garantia, o enciclopédico doutrinador pisava com firmeza os dois terrenos. Pondo de lado as dúvidas de numerosos filólogos quanto à possibilidade de usar </w:t>
      </w:r>
      <w:r w:rsidRPr="003E305A">
        <w:lastRenderedPageBreak/>
        <w:t>critérios linguísticos para a definição de uma raça ariana e não se preocupando também com os «resultados caóticos obtidos pela mensuração craniana», Chamberlain pretend</w:t>
      </w:r>
      <w:r>
        <w:t>eu</w:t>
      </w:r>
      <w:r w:rsidRPr="003E305A">
        <w:t xml:space="preserve"> que a similitude de concepções jurídicas bastaria para definir os arianos como uma raça e distingui-los das outras raças</w:t>
      </w:r>
      <w:r w:rsidRPr="003E305A">
        <w:rPr>
          <w:rStyle w:val="Refdenotaderodap"/>
        </w:rPr>
        <w:footnoteReference w:id="581"/>
      </w:r>
      <w:r w:rsidRPr="003E305A">
        <w:t>. E o parentesco espiritual que encontrava entre os celtas e os germanos, sobretudo o amor de ambos à poesia, não serviria menos do que a sua semelhança física para demonstrar a inclusão dos dois povos numa mesma raça germânica, em sentido lato</w:t>
      </w:r>
      <w:r w:rsidRPr="003E305A">
        <w:rPr>
          <w:rStyle w:val="Refdenotaderodap"/>
        </w:rPr>
        <w:footnoteReference w:id="582"/>
      </w:r>
      <w:r w:rsidRPr="003E305A">
        <w:t xml:space="preserve">. A </w:t>
      </w:r>
      <w:r>
        <w:t>propensão</w:t>
      </w:r>
      <w:r w:rsidRPr="003E305A">
        <w:t xml:space="preserve"> poética indicaria também a comunidade de origens do germano e do velho eslavo, e com um objectivo idêntico podia invocar</w:t>
      </w:r>
      <w:r>
        <w:t>-se</w:t>
      </w:r>
      <w:r w:rsidRPr="003E305A">
        <w:t xml:space="preserve"> a similitude dos sentimentos religiosos</w:t>
      </w:r>
      <w:r w:rsidRPr="003E305A">
        <w:rPr>
          <w:rStyle w:val="Refdenotaderodap"/>
        </w:rPr>
        <w:footnoteReference w:id="583"/>
      </w:r>
      <w:r w:rsidRPr="003E305A">
        <w:t xml:space="preserve">. Tal como as extraordinárias aptidões </w:t>
      </w:r>
      <w:r>
        <w:t xml:space="preserve">musicais </w:t>
      </w:r>
      <w:r w:rsidRPr="003E305A">
        <w:t>dos ciganos da Hungria faziam deles arianos</w:t>
      </w:r>
      <w:r w:rsidRPr="003E305A">
        <w:rPr>
          <w:rStyle w:val="Refdenotaderodap"/>
        </w:rPr>
        <w:footnoteReference w:id="584"/>
      </w:r>
      <w:r w:rsidRPr="003E305A">
        <w:t>. Esta cómoda possibilidade de inferir a raça a partir do espírito não se aplicava só a noções colectivas e a conjuntos populacionais, mas funcionava igualmente nos casos individuais. Assim, por exemplo, Ambrósio, bispo de Milão</w:t>
      </w:r>
      <w:r>
        <w:t xml:space="preserve"> e </w:t>
      </w:r>
      <w:r w:rsidRPr="003E305A">
        <w:t>célebre santo, seria sem hesitações um verdadeiro romano. «[...] é certo que a prova é impossível [...] mas como é igualmente impossível demonstrar o contrário, o único elemento de apreciação decisivo é aqui fornecido pela própria personalidade»</w:t>
      </w:r>
      <w:r w:rsidRPr="003E305A">
        <w:rPr>
          <w:rStyle w:val="Refdenotaderodap"/>
        </w:rPr>
        <w:footnoteReference w:id="585"/>
      </w:r>
      <w:r w:rsidRPr="003E305A">
        <w:t>. Graças a esta confortável metodologia, «com o Cântico ao Sol, Francisco [de Assis] demonstra ser um indo-germano de sangue puro [...]»</w:t>
      </w:r>
      <w:r w:rsidRPr="003E305A">
        <w:rPr>
          <w:rStyle w:val="Refdenotaderodap"/>
        </w:rPr>
        <w:footnoteReference w:id="586"/>
      </w:r>
      <w:r w:rsidRPr="003E305A">
        <w:t>. A outro santo não menos conhecido, Paulo de Tarso, Chamberlain atribuiu uma procriação que reputava menos simpática, e em abono da sua tese de que o apóstolo teria um pai judeu e uma mãe grega convertida ao judaísmo, ele postulou: «Quando faltam as provas históricas, a psicologia científica tem todo o direito de dar a sua opinião»</w:t>
      </w:r>
      <w:r w:rsidRPr="003E305A">
        <w:rPr>
          <w:rStyle w:val="Refdenotaderodap"/>
        </w:rPr>
        <w:footnoteReference w:id="587"/>
      </w:r>
      <w:r w:rsidRPr="003E305A">
        <w:t xml:space="preserve">. E segue-se uma análise dos traços psicológicos de São Paulo e das características da sua teologia, que para a frondosa imaginação de Chamberlain revelariam ascendentes biológicos contraditórios. </w:t>
      </w:r>
      <w:r w:rsidR="008205E8" w:rsidRPr="003E305A">
        <w:t xml:space="preserve">Se </w:t>
      </w:r>
      <w:r w:rsidRPr="003E305A">
        <w:t>do espírito se transitava para o físico, nada impedia as influências ideológicas de corresponderem a verdadeiros cruzamentos raciais</w:t>
      </w:r>
      <w:r w:rsidR="008205E8">
        <w:t>,</w:t>
      </w:r>
      <w:r w:rsidRPr="003E305A">
        <w:t xml:space="preserve"> </w:t>
      </w:r>
      <w:r w:rsidR="008205E8">
        <w:t xml:space="preserve">e </w:t>
      </w:r>
      <w:r w:rsidR="008205E8" w:rsidRPr="003E305A">
        <w:t xml:space="preserve">a </w:t>
      </w:r>
      <w:r w:rsidRPr="003E305A">
        <w:t>assimilação através das ideias agiria mais depressa até do que a assimilação através da miscigenação física</w:t>
      </w:r>
      <w:r w:rsidRPr="003E305A">
        <w:rPr>
          <w:rStyle w:val="Refdenotaderodap"/>
        </w:rPr>
        <w:footnoteReference w:id="588"/>
      </w:r>
      <w:r w:rsidRPr="003E305A">
        <w:t xml:space="preserve">. Pusesse-se o leitor </w:t>
      </w:r>
      <w:r>
        <w:t>—</w:t>
      </w:r>
      <w:r w:rsidRPr="003E305A">
        <w:t xml:space="preserve"> o leitor de Chamberlain, quero eu dizer </w:t>
      </w:r>
      <w:r>
        <w:t>—</w:t>
      </w:r>
      <w:r w:rsidRPr="003E305A">
        <w:t xml:space="preserve"> a frequentar a casa de judeus, a ler jornais e livros escritos por judeus, a contemplar nas salas de exposição quadros e esculturas de artistas judeus, e tê-lo-íamos judaizado num ápice</w:t>
      </w:r>
      <w:r w:rsidRPr="003E305A">
        <w:rPr>
          <w:rStyle w:val="Refdenotaderodap"/>
        </w:rPr>
        <w:footnoteReference w:id="589"/>
      </w:r>
      <w:r w:rsidRPr="003E305A">
        <w:t xml:space="preserve">. Foi o que sucedeu ao </w:t>
      </w:r>
      <w:r w:rsidRPr="003E305A">
        <w:lastRenderedPageBreak/>
        <w:t xml:space="preserve">herético Pelágio, apesar de ser bretão e de na sua época não existirem jornais nem </w:t>
      </w:r>
      <w:r w:rsidRPr="003E305A">
        <w:rPr>
          <w:i/>
        </w:rPr>
        <w:t>vernissages,</w:t>
      </w:r>
      <w:r w:rsidRPr="003E305A">
        <w:t xml:space="preserve"> mas «o aristotelismo e o hebraísmo fizeram-no a tal ponto perder [...] o sentido da poesia e do mito que ele se tornou [...] um semijudeu [...]»</w:t>
      </w:r>
      <w:r w:rsidRPr="003E305A">
        <w:rPr>
          <w:rStyle w:val="Refdenotaderodap"/>
        </w:rPr>
        <w:footnoteReference w:id="590"/>
      </w:r>
      <w:r w:rsidRPr="003E305A">
        <w:t xml:space="preserve">. </w:t>
      </w:r>
    </w:p>
    <w:p w:rsidR="00F24FD7" w:rsidRDefault="00F24FD7" w:rsidP="00F24FD7">
      <w:r w:rsidRPr="003E305A">
        <w:t>Ideias deste tipo só deixam de ser ridículas quando se tornam perigosas. O nacional-socialismo tornou ameaçadoras, mais tarde trágicas, as elucubrações metodologicamente incriteriosas de Houston Stewart Chamberlain</w:t>
      </w:r>
      <w:r>
        <w:t>.</w:t>
      </w:r>
      <w:r w:rsidRPr="003E305A">
        <w:t xml:space="preserve"> </w:t>
      </w:r>
      <w:r>
        <w:t xml:space="preserve">Até </w:t>
      </w:r>
      <w:r w:rsidRPr="003E305A">
        <w:t>o formalismo dos juristas recorre</w:t>
      </w:r>
      <w:r>
        <w:t>u</w:t>
      </w:r>
      <w:r w:rsidRPr="003E305A">
        <w:t xml:space="preserve"> </w:t>
      </w:r>
      <w:r>
        <w:t xml:space="preserve">à </w:t>
      </w:r>
      <w:r w:rsidRPr="003E305A">
        <w:t>nebulosa circularidade entre biologia e ideologia para guiar decisões práticas</w:t>
      </w:r>
      <w:r>
        <w:t xml:space="preserve">, a começar pelas </w:t>
      </w:r>
      <w:r w:rsidR="008F58C3">
        <w:t xml:space="preserve">quatro </w:t>
      </w:r>
      <w:r>
        <w:t>leis de Abril</w:t>
      </w:r>
      <w:r w:rsidR="008F58C3">
        <w:t xml:space="preserve"> </w:t>
      </w:r>
      <w:r>
        <w:t>de 1933</w:t>
      </w:r>
      <w:r w:rsidR="008F58C3">
        <w:t>,</w:t>
      </w:r>
      <w:r>
        <w:t xml:space="preserve"> </w:t>
      </w:r>
      <w:r w:rsidR="008F58C3">
        <w:t xml:space="preserve">complementadas em Maio e Julho, </w:t>
      </w:r>
      <w:r>
        <w:t xml:space="preserve">que expulsaram os judeus de várias profissões e ao mesmo tempo interditaram o seu exercício aos </w:t>
      </w:r>
      <w:r w:rsidR="00F715D8">
        <w:t>marxistas, confundidos numa única entidade jurídica</w:t>
      </w:r>
      <w:r>
        <w:rPr>
          <w:rStyle w:val="Refdenotaderodap"/>
        </w:rPr>
        <w:footnoteReference w:id="591"/>
      </w:r>
      <w:r>
        <w:t xml:space="preserve">. Aliás, </w:t>
      </w:r>
      <w:r w:rsidRPr="003E305A">
        <w:t>só em Novembro de 1941</w:t>
      </w:r>
      <w:r>
        <w:t>,</w:t>
      </w:r>
      <w:r w:rsidRPr="003E305A">
        <w:t xml:space="preserve"> </w:t>
      </w:r>
      <w:r>
        <w:t xml:space="preserve">com a promulgação do 11º decreto suplementar à Lei de Cidadania do Reich, </w:t>
      </w:r>
      <w:r w:rsidRPr="003E305A">
        <w:t>o Ministério das Finanças passou a dispor de um quadro legal que lhe permitiu confiscar em massa os haveres dos judeus deportados</w:t>
      </w:r>
      <w:r>
        <w:t>,</w:t>
      </w:r>
      <w:r w:rsidRPr="003E305A">
        <w:t xml:space="preserve"> </w:t>
      </w:r>
      <w:r w:rsidR="000011E3">
        <w:t>e</w:t>
      </w:r>
      <w:r>
        <w:t xml:space="preserve"> </w:t>
      </w:r>
      <w:r w:rsidRPr="003E305A">
        <w:t xml:space="preserve">até então as apreensões haviam obedecido a um critério individual, recorrendo-se na maior parte dos casos às leis que autorizavam a expropriação dos bens dos comunistas e demais opositores. O facto de durante anos os judeus atingidos pelas medidas raciais serem classificados como «inimigos do Estado» e serem por vezes obrigados a assinar declarações em que se reconheciam como «comunistas» confirma que </w:t>
      </w:r>
      <w:r>
        <w:t xml:space="preserve">havia </w:t>
      </w:r>
      <w:r w:rsidRPr="003E305A">
        <w:t xml:space="preserve">para os </w:t>
      </w:r>
      <w:r>
        <w:t>hitlerianos</w:t>
      </w:r>
      <w:r w:rsidRPr="003E305A">
        <w:t xml:space="preserve"> </w:t>
      </w:r>
      <w:r>
        <w:t xml:space="preserve">uma equivalência entre </w:t>
      </w:r>
      <w:r w:rsidRPr="003E305A">
        <w:t xml:space="preserve">categorias políticas </w:t>
      </w:r>
      <w:r>
        <w:t xml:space="preserve">e </w:t>
      </w:r>
      <w:r w:rsidRPr="003E305A">
        <w:t>categorias rácicas</w:t>
      </w:r>
      <w:r w:rsidRPr="003E305A">
        <w:rPr>
          <w:rStyle w:val="Refdenotaderodap"/>
        </w:rPr>
        <w:footnoteReference w:id="592"/>
      </w:r>
      <w:r w:rsidRPr="003E305A">
        <w:t xml:space="preserve">. </w:t>
      </w:r>
      <w:r>
        <w:t xml:space="preserve">A mesma circularidade entre o mental e o físico levou </w:t>
      </w:r>
      <w:r w:rsidRPr="003E305A">
        <w:t xml:space="preserve">uma sentença de tribunal proferida em Junho de 1942 e outra em Fevereiro de 1943 </w:t>
      </w:r>
      <w:r>
        <w:t xml:space="preserve">a </w:t>
      </w:r>
      <w:r w:rsidRPr="003E305A">
        <w:t>estipular</w:t>
      </w:r>
      <w:r>
        <w:t>e</w:t>
      </w:r>
      <w:r w:rsidRPr="003E305A">
        <w:t>m que pessoas que, quanto aos seus progenitores, fossem cem por cento arianas seriam tratadas como judeus se mostrassem estar ligadas por elos religiosos e civilizacionais à comunidade judaica</w:t>
      </w:r>
      <w:r w:rsidRPr="003E305A">
        <w:rPr>
          <w:rStyle w:val="Refdenotaderodap"/>
        </w:rPr>
        <w:footnoteReference w:id="593"/>
      </w:r>
      <w:r w:rsidRPr="003E305A">
        <w:t xml:space="preserve">. </w:t>
      </w:r>
      <w:r>
        <w:t xml:space="preserve">E não só os legisladores, mas </w:t>
      </w:r>
      <w:r w:rsidR="000955E7">
        <w:t xml:space="preserve">também </w:t>
      </w:r>
      <w:r>
        <w:t xml:space="preserve">os cientistas davam corpo à ideologia e espiritualizavam a biologia. Em 1942, </w:t>
      </w:r>
      <w:r w:rsidRPr="003E305A">
        <w:t xml:space="preserve">quando um professor da Universidade de Estrasburgo decidiu melhorar a colecção de crânios do museu do seu departamento, onde se encontravam poucos exemplares judaicos, escreveu a Himmler pedindo-lhe crânios de «comissários judaico-bolchevistas». Mas o assassinato em massa </w:t>
      </w:r>
      <w:r w:rsidR="000011E3">
        <w:t xml:space="preserve">não </w:t>
      </w:r>
      <w:r w:rsidRPr="003E305A">
        <w:t xml:space="preserve">se realiza nas melhores condições laboratoriais e estes zelosos cultores das disciplinas exactas constataram a impossibilidade de descobrir um número suficiente de cadáveres de comunistas num estado </w:t>
      </w:r>
      <w:r w:rsidRPr="003E305A">
        <w:lastRenderedPageBreak/>
        <w:t>físico adequado à correcta preservação dos ossos da cabeça. O material para o museu foi finalmente obtido com judeus de um campo de concentração</w:t>
      </w:r>
      <w:r w:rsidRPr="003E305A">
        <w:rPr>
          <w:rStyle w:val="Refdenotaderodap"/>
        </w:rPr>
        <w:footnoteReference w:id="594"/>
      </w:r>
      <w:r w:rsidRPr="003E305A">
        <w:t>. Mesmo no plano considerado científico judeus e marxistas constituíram para os hitlerianos uma realidade única</w:t>
      </w:r>
      <w:r>
        <w:t xml:space="preserve">. </w:t>
      </w:r>
      <w:r w:rsidRPr="003E305A">
        <w:t>Os judeus, notou um historiador, ficaram incluídos em bloco na categoria dos adversários ideológicos do regime</w:t>
      </w:r>
      <w:r w:rsidRPr="003E305A">
        <w:rPr>
          <w:rStyle w:val="Refdenotaderodap"/>
        </w:rPr>
        <w:footnoteReference w:id="595"/>
      </w:r>
      <w:r w:rsidRPr="003E305A">
        <w:t>.</w:t>
      </w:r>
      <w:r>
        <w:t xml:space="preserve"> </w:t>
      </w:r>
    </w:p>
    <w:p w:rsidR="00755959" w:rsidRDefault="00755959" w:rsidP="00755959">
      <w:r>
        <w:t xml:space="preserve">Já antes da guerra </w:t>
      </w:r>
      <w:r w:rsidR="004F39CF">
        <w:t xml:space="preserve">Hitler </w:t>
      </w:r>
      <w:r>
        <w:t>evitara comprometer-se com uma definição rigorosa do que era o Judeu</w:t>
      </w:r>
      <w:r>
        <w:rPr>
          <w:rStyle w:val="Refdenotaderodap"/>
        </w:rPr>
        <w:footnoteReference w:id="596"/>
      </w:r>
      <w:r>
        <w:t xml:space="preserve">, </w:t>
      </w:r>
      <w:r w:rsidR="00801128">
        <w:t xml:space="preserve">assim como </w:t>
      </w:r>
      <w:r w:rsidR="00D709CE">
        <w:t xml:space="preserve">obviamente </w:t>
      </w:r>
      <w:r w:rsidR="00801128">
        <w:t xml:space="preserve">fracassaram as tentativas coordenadas </w:t>
      </w:r>
      <w:r w:rsidR="00D709CE">
        <w:t xml:space="preserve">em Novembro de 1933 </w:t>
      </w:r>
      <w:r w:rsidR="00801128">
        <w:t xml:space="preserve">pelo </w:t>
      </w:r>
      <w:r w:rsidR="00D709CE">
        <w:t xml:space="preserve">futuro </w:t>
      </w:r>
      <w:r w:rsidR="00801128">
        <w:t xml:space="preserve">Führer dos Médicos do Reich, Gerhard Wagner, para </w:t>
      </w:r>
      <w:r w:rsidR="00D709CE">
        <w:t xml:space="preserve">isolar as características específicas </w:t>
      </w:r>
      <w:r w:rsidR="00801128">
        <w:t>do sangue judaico</w:t>
      </w:r>
      <w:r w:rsidR="00D709CE">
        <w:rPr>
          <w:rStyle w:val="Refdenotaderodap"/>
        </w:rPr>
        <w:footnoteReference w:id="597"/>
      </w:r>
      <w:r w:rsidR="00801128">
        <w:t xml:space="preserve">. </w:t>
      </w:r>
      <w:r w:rsidR="00190A03">
        <w:t>Como afirmou outro cientista, Fritz Lenz, «poderíamos, na verdade, classificar os judeus como uma raça espiritual»</w:t>
      </w:r>
      <w:r w:rsidR="00190A03">
        <w:rPr>
          <w:rStyle w:val="Refdenotaderodap"/>
        </w:rPr>
        <w:footnoteReference w:id="598"/>
      </w:r>
      <w:r w:rsidR="00190A03">
        <w:t xml:space="preserve">. Por isso </w:t>
      </w:r>
      <w:r w:rsidRPr="003E305A">
        <w:t xml:space="preserve">em </w:t>
      </w:r>
      <w:r>
        <w:t xml:space="preserve">Julho de </w:t>
      </w:r>
      <w:r w:rsidRPr="003E305A">
        <w:t>1942</w:t>
      </w:r>
      <w:r>
        <w:t xml:space="preserve"> </w:t>
      </w:r>
      <w:r w:rsidRPr="003E305A">
        <w:t>Himmler opôs o seu veto a qualquer tentativa de definir por decreto o que se entendia por Judeu, já que, para empregar as suas palavras, «com todos esses estúpidos compromissos estaremos unicamente a embaraçar a nossa acção»</w:t>
      </w:r>
      <w:r w:rsidRPr="003E305A">
        <w:rPr>
          <w:rStyle w:val="Refdenotaderodap"/>
        </w:rPr>
        <w:footnoteReference w:id="599"/>
      </w:r>
      <w:r w:rsidRPr="003E305A">
        <w:t xml:space="preserve">. </w:t>
      </w:r>
      <w:r>
        <w:t>Deste modo o Reichsführer-SS deu um alcance ainda maior ao que fora afirmado num documento de meados do ano anterior, emanado dos serviços de Heydrich, em que se concluíra pela vantagem de «o conceito de Judeu ser definido tão amplamente quanto possível»</w:t>
      </w:r>
      <w:r>
        <w:rPr>
          <w:rStyle w:val="Refdenotaderodap"/>
        </w:rPr>
        <w:footnoteReference w:id="600"/>
      </w:r>
      <w:r>
        <w:t xml:space="preserve">. </w:t>
      </w:r>
      <w:r w:rsidRPr="003E305A">
        <w:t>Reciprocamente, para efeitos de naturalização as leis do Reich não estipulavam de maneira explícita os critérios de consanguinidade racial</w:t>
      </w:r>
      <w:r w:rsidRPr="003E305A">
        <w:rPr>
          <w:rStyle w:val="Refdenotaderodap"/>
        </w:rPr>
        <w:footnoteReference w:id="601"/>
      </w:r>
      <w:r w:rsidRPr="003E305A">
        <w:t>. Pouco antes do suicídio e do fim de tudo o Führer record</w:t>
      </w:r>
      <w:r>
        <w:t>ou</w:t>
      </w:r>
      <w:r w:rsidRPr="003E305A">
        <w:t xml:space="preserve"> ainda aos comensais </w:t>
      </w:r>
      <w:r>
        <w:t xml:space="preserve">o círculo vicioso deste </w:t>
      </w:r>
      <w:r w:rsidRPr="003E305A">
        <w:t>racismo</w:t>
      </w:r>
      <w:r>
        <w:t>:</w:t>
      </w:r>
      <w:r w:rsidRPr="003E305A">
        <w:t xml:space="preserve"> «Falamos de raça judaica por comodidade de linguagem, porque, para falar com exactidão e sob o ponto de vista genético, não existe uma raça judaica. [...] A raça judaica é antes de mais uma raça mental. [...] Uma raça mental é algo mais sólido e duradouro do que uma simples raça»</w:t>
      </w:r>
      <w:r w:rsidRPr="003E305A">
        <w:rPr>
          <w:rStyle w:val="Refdenotaderodap"/>
        </w:rPr>
        <w:footnoteReference w:id="602"/>
      </w:r>
      <w:r w:rsidRPr="003E305A">
        <w:t>.</w:t>
      </w:r>
      <w:r w:rsidR="00196A14">
        <w:t xml:space="preserve"> </w:t>
      </w:r>
    </w:p>
    <w:p w:rsidR="00196A14" w:rsidRDefault="00196A14" w:rsidP="00196A14">
      <w:pPr>
        <w:keepNext/>
        <w:spacing w:before="240" w:after="120"/>
        <w:ind w:firstLine="0"/>
        <w:jc w:val="center"/>
      </w:pPr>
      <w:r>
        <w:rPr>
          <w:b/>
          <w:sz w:val="28"/>
          <w:szCs w:val="28"/>
        </w:rPr>
        <w:lastRenderedPageBreak/>
        <w:t>4</w:t>
      </w:r>
    </w:p>
    <w:p w:rsidR="002D7A86" w:rsidRPr="003E305A" w:rsidRDefault="00196A14" w:rsidP="002D7A86">
      <w:r>
        <w:t>O</w:t>
      </w:r>
      <w:r w:rsidRPr="003E305A">
        <w:t xml:space="preserve"> vaivém entre espírito e corpo, entre raça e</w:t>
      </w:r>
      <w:r w:rsidRPr="0085283E">
        <w:t xml:space="preserve"> ideias</w:t>
      </w:r>
      <w:r w:rsidRPr="003E305A">
        <w:t>, é indispensável para compreendermos as manifestações práticas do racismo no Terceiro Reich.</w:t>
      </w:r>
      <w:r>
        <w:t xml:space="preserve"> </w:t>
      </w:r>
      <w:r w:rsidR="002D7A86" w:rsidRPr="003E305A">
        <w:t>Em polémica com Alfred Ploetz, fundador do movimento eugenista alemão, Max Weber adverti</w:t>
      </w:r>
      <w:r w:rsidR="002D7A86">
        <w:t>ra</w:t>
      </w:r>
      <w:r w:rsidR="002D7A86" w:rsidRPr="003E305A">
        <w:t xml:space="preserve"> que só na qualidade de símbolos as características biológicas podem exercer uma acção no plano histórico e social e que «a ideia de raça» não deve ser confundida com «a raça»</w:t>
      </w:r>
      <w:r w:rsidR="002D7A86" w:rsidRPr="003E305A">
        <w:rPr>
          <w:rStyle w:val="Refdenotaderodap"/>
        </w:rPr>
        <w:footnoteReference w:id="603"/>
      </w:r>
      <w:r w:rsidR="002D7A86" w:rsidRPr="003E305A">
        <w:t xml:space="preserve">. </w:t>
      </w:r>
      <w:r w:rsidR="00392E0D" w:rsidRPr="003E305A">
        <w:t xml:space="preserve">O </w:t>
      </w:r>
      <w:r w:rsidR="002D7A86" w:rsidRPr="003E305A">
        <w:t>racismo define-se pela atribuição de raízes biológicas a manifestações culturais, fundando assim a existência de raças. Uma cor de pele, um formato de crânio, um tipo fisionómico, uma dada proporção entre os membros e o tronco</w:t>
      </w:r>
      <w:r w:rsidR="00392E0D">
        <w:t xml:space="preserve"> </w:t>
      </w:r>
      <w:r w:rsidR="002D7A86" w:rsidRPr="003E305A">
        <w:t>só se tornam caracteres significativos de uma especificidade biológica global quando lhes é imputada a causa de certas ideias e de certos comportamentos que, no entanto, apenas encontram explicação em quadros estritamente civilizacionais. Se for conferido um valor civilizacional a alguns traços físicos e se se considerar que os portadores de</w:t>
      </w:r>
      <w:r w:rsidR="00392E0D">
        <w:t>ssas</w:t>
      </w:r>
      <w:r w:rsidR="002D7A86" w:rsidRPr="003E305A">
        <w:t xml:space="preserve"> características constituem uma raça, definida biologicamente, as raças passam então a existir na realidade </w:t>
      </w:r>
      <w:r w:rsidR="002D7A86">
        <w:t>—</w:t>
      </w:r>
      <w:r w:rsidR="002D7A86" w:rsidRPr="003E305A">
        <w:t xml:space="preserve"> não na realidade biológica, mas na realidade social. O percurso é o inverso do que habitualmente se julga. O racismo não é uma forma de encarar as raças. As raças é que são uma consequência do racismo, uma naturalização de um fenómeno ideológico. Os racistas inventam as raças, dão-lhes um corpo social, que eles julgam ser biológico, perseguem-nas</w:t>
      </w:r>
      <w:r w:rsidR="002D7A86">
        <w:t>, e quando as vítimas fogem</w:t>
      </w:r>
      <w:r w:rsidR="002D7A86" w:rsidRPr="003E305A">
        <w:t xml:space="preserve"> ou morrem ou resistem e lutam, os racistas vêem nestas manifestações a validação das suas fantasias originárias. «Os nacionais-socialistas falaram sempre do judaísmo mundial; era uma </w:t>
      </w:r>
      <w:r w:rsidR="002D7A86" w:rsidRPr="003E305A">
        <w:rPr>
          <w:i/>
          <w:iCs/>
        </w:rPr>
        <w:t>idée fixe</w:t>
      </w:r>
      <w:r w:rsidR="002D7A86" w:rsidRPr="003E305A">
        <w:t xml:space="preserve"> e um fantasma», anotou no seu diário o judeu alemão Victor Klemperer. «Falaram deste fantasma durante tanto tempo que ele acabou por se tornar real»</w:t>
      </w:r>
      <w:r w:rsidR="002D7A86" w:rsidRPr="003E305A">
        <w:rPr>
          <w:rStyle w:val="Refdenotaderodap"/>
        </w:rPr>
        <w:footnoteReference w:id="604"/>
      </w:r>
      <w:r w:rsidR="002D7A86" w:rsidRPr="003E305A">
        <w:t>. Três anos mais tarde</w:t>
      </w:r>
      <w:r w:rsidR="007B53B5">
        <w:t xml:space="preserve"> </w:t>
      </w:r>
      <w:r w:rsidR="002D7A86" w:rsidRPr="003E305A">
        <w:t>Klemperer insistiu</w:t>
      </w:r>
      <w:r w:rsidR="002D7A86">
        <w:t>.</w:t>
      </w:r>
      <w:r w:rsidR="002D7A86" w:rsidRPr="003E305A">
        <w:t xml:space="preserve"> «[…] Hitler criou literalmente a “nação judaica”, o “judaísmo mundial”, </w:t>
      </w:r>
      <w:r w:rsidR="002D7A86" w:rsidRPr="003E305A">
        <w:rPr>
          <w:i/>
          <w:iCs/>
        </w:rPr>
        <w:t>o</w:t>
      </w:r>
      <w:r w:rsidR="002D7A86" w:rsidRPr="003E305A">
        <w:t xml:space="preserve"> Judeu»</w:t>
      </w:r>
      <w:r w:rsidR="002D7A86" w:rsidRPr="003E305A">
        <w:rPr>
          <w:rStyle w:val="Refdenotaderodap"/>
        </w:rPr>
        <w:footnoteReference w:id="605"/>
      </w:r>
      <w:r w:rsidR="002D7A86" w:rsidRPr="003E305A">
        <w:t xml:space="preserve">. Em suma, para entender as raças, a única coisa que há a explicar é o aparecimento do racismo. </w:t>
      </w:r>
    </w:p>
    <w:p w:rsidR="002D7A86" w:rsidRPr="003E305A" w:rsidRDefault="002D7A86" w:rsidP="002D7A86">
      <w:r w:rsidRPr="003E305A">
        <w:t xml:space="preserve">Em Abril de 1932, </w:t>
      </w:r>
      <w:r w:rsidR="00734600">
        <w:t xml:space="preserve">quando pouco faltava para que </w:t>
      </w:r>
      <w:r w:rsidRPr="003E305A">
        <w:t xml:space="preserve">Hitler </w:t>
      </w:r>
      <w:r w:rsidR="00734600">
        <w:t xml:space="preserve">ascendesse </w:t>
      </w:r>
      <w:r w:rsidRPr="003E305A">
        <w:t>à Chancelaria, a secção de Hamburgo da Central-Verein deutscher Staatsbürger jüdischen Glaubens, a principal associação judaica do país, coloc</w:t>
      </w:r>
      <w:r>
        <w:t>ou</w:t>
      </w:r>
      <w:r w:rsidRPr="003E305A">
        <w:t xml:space="preserve"> o problema no plano em que deve ser encarado</w:t>
      </w:r>
      <w:r>
        <w:t>:</w:t>
      </w:r>
      <w:r w:rsidRPr="003E305A">
        <w:t xml:space="preserve"> «[...] todos os povos da história moderna constituem uma mistura das raças mais variadas. O povo alemão, em particular, forma uma mistura de raças especialmente notável. [...] Também os judeus são </w:t>
      </w:r>
      <w:r w:rsidRPr="003E305A">
        <w:lastRenderedPageBreak/>
        <w:t xml:space="preserve">um grupo populacional resultante da mistura das raças mais diversas. [...] São “judeus” porque eles, e antes deles os seus antepassados, de quem provêm, foram portadores de uma identidade espiritual própria </w:t>
      </w:r>
      <w:r>
        <w:t>—</w:t>
      </w:r>
      <w:r w:rsidRPr="003E305A">
        <w:t xml:space="preserve"> o judaísmo </w:t>
      </w:r>
      <w:r>
        <w:t>—</w:t>
      </w:r>
      <w:r w:rsidRPr="003E305A">
        <w:t xml:space="preserve"> e continuam a preservá-la colectivamente, ao longo de uma história de vários milénios»</w:t>
      </w:r>
      <w:r w:rsidRPr="003E305A">
        <w:rPr>
          <w:rStyle w:val="Refdenotaderodap"/>
        </w:rPr>
        <w:footnoteReference w:id="606"/>
      </w:r>
      <w:r w:rsidRPr="003E305A">
        <w:t xml:space="preserve">. O judaísmo não é uma raça, mas uma cultura ou uma fé </w:t>
      </w:r>
      <w:r>
        <w:t>—</w:t>
      </w:r>
      <w:r w:rsidRPr="003E305A">
        <w:t xml:space="preserve"> foram estas, em suma, as derradeiras palavras dos judeus alemães partidários da integração na sociedade do seu país, que eram a maior parte deles e se reuniam na Central-Verein. Nesta perspectiva, o anti-semitismo só podia ser combatido no terreno da ideologia e das culturas, o único em que possui um sentido lógico. Mas, ao transformar</w:t>
      </w:r>
      <w:r>
        <w:t>em</w:t>
      </w:r>
      <w:r w:rsidRPr="003E305A">
        <w:t xml:space="preserve"> numa raça aquilo que era uma cultura, os </w:t>
      </w:r>
      <w:r>
        <w:t>nacionais-socialistas</w:t>
      </w:r>
      <w:r w:rsidRPr="003E305A">
        <w:t xml:space="preserve"> retiraram qualquer lógica ao debate, impedindo portanto que fosse um debate, e erigiram o ostracismo, a perseguição e a chacina em argumentos únicos, encadeados em série num outro tipo de discurso, exclusivamente prático. </w:t>
      </w:r>
    </w:p>
    <w:p w:rsidR="00321E01" w:rsidRPr="003E305A" w:rsidRDefault="00321E01" w:rsidP="00321E01">
      <w:r w:rsidRPr="003E305A">
        <w:t xml:space="preserve">Um historiador </w:t>
      </w:r>
      <w:r w:rsidR="00861768">
        <w:t>afirmou</w:t>
      </w:r>
      <w:r w:rsidRPr="003E305A">
        <w:t xml:space="preserve"> que não havia judeus nos primeiros campos de concentração, onde de início apenas </w:t>
      </w:r>
      <w:r w:rsidR="00734600">
        <w:t>se encontravam</w:t>
      </w:r>
      <w:r w:rsidRPr="003E305A">
        <w:t>, além de criminosos de direito comum, os opositores políticos do regime, e que só mais tarde os judeus começaram a ser progressivamente sujeitos ao sistema concentracionário</w:t>
      </w:r>
      <w:r w:rsidRPr="003E305A">
        <w:rPr>
          <w:rStyle w:val="Refdenotaderodap"/>
        </w:rPr>
        <w:footnoteReference w:id="607"/>
      </w:r>
      <w:r w:rsidR="00861768">
        <w:t xml:space="preserve">, e outro </w:t>
      </w:r>
      <w:r w:rsidR="00DB0BC8">
        <w:t>autor</w:t>
      </w:r>
      <w:r w:rsidR="00861768">
        <w:t xml:space="preserve"> indicou que </w:t>
      </w:r>
      <w:r w:rsidR="001A2022">
        <w:t>só</w:t>
      </w:r>
      <w:r w:rsidR="00861768">
        <w:t xml:space="preserve"> em 1938 foi pela primeira vez internado em campos de concentração um número considerável de judeus</w:t>
      </w:r>
      <w:r w:rsidR="00861768">
        <w:rPr>
          <w:rStyle w:val="Refdenotaderodap"/>
        </w:rPr>
        <w:footnoteReference w:id="608"/>
      </w:r>
      <w:r w:rsidRPr="003E305A">
        <w:t xml:space="preserve">. </w:t>
      </w:r>
      <w:r w:rsidR="00DB0BC8" w:rsidRPr="003E305A">
        <w:t>Também um sociólogo</w:t>
      </w:r>
      <w:r w:rsidR="00DB0BC8">
        <w:t>,</w:t>
      </w:r>
      <w:r w:rsidR="00DB0BC8" w:rsidRPr="003E305A">
        <w:t xml:space="preserve"> vítima </w:t>
      </w:r>
      <w:r w:rsidR="00DB0BC8">
        <w:t xml:space="preserve">e </w:t>
      </w:r>
      <w:r w:rsidR="00DB0BC8" w:rsidRPr="003E305A">
        <w:t>analista do sistema concentracionário</w:t>
      </w:r>
      <w:r w:rsidR="00DB0BC8">
        <w:t>,</w:t>
      </w:r>
      <w:r w:rsidR="00DB0BC8" w:rsidRPr="003E305A">
        <w:t xml:space="preserve"> </w:t>
      </w:r>
      <w:r w:rsidR="00413A6D">
        <w:t>garantiu</w:t>
      </w:r>
      <w:r w:rsidR="00DB0BC8" w:rsidRPr="003E305A">
        <w:t xml:space="preserve"> que no começo do Terceiro Reich não se procede</w:t>
      </w:r>
      <w:r w:rsidR="00413A6D">
        <w:t>ra</w:t>
      </w:r>
      <w:r w:rsidR="00DB0BC8" w:rsidRPr="003E305A">
        <w:t xml:space="preserve"> à detenção indiscriminada de judeus, «escolhendo-se apenas uma parte deles, de acordo com os pontos de vista da Gestapo»</w:t>
      </w:r>
      <w:r w:rsidR="00DB0BC8" w:rsidRPr="003E305A">
        <w:rPr>
          <w:rStyle w:val="Refdenotaderodap"/>
        </w:rPr>
        <w:footnoteReference w:id="609"/>
      </w:r>
      <w:r w:rsidR="00DB0BC8" w:rsidRPr="003E305A">
        <w:t xml:space="preserve">. </w:t>
      </w:r>
      <w:r w:rsidRPr="003E305A">
        <w:t xml:space="preserve">Esta opinião </w:t>
      </w:r>
      <w:r>
        <w:t>foi</w:t>
      </w:r>
      <w:r w:rsidRPr="003E305A">
        <w:t xml:space="preserve"> confirmada por um especialista, que </w:t>
      </w:r>
      <w:r w:rsidR="00413A6D">
        <w:t>assegurou</w:t>
      </w:r>
      <w:r w:rsidRPr="003E305A">
        <w:t xml:space="preserve"> que desde 1933 até 1938, entre os vários milhares de pessoas assassinadas nos campos de concentração menos de cem eram judeus</w:t>
      </w:r>
      <w:r w:rsidRPr="003E305A">
        <w:rPr>
          <w:rStyle w:val="Refdenotaderodap"/>
        </w:rPr>
        <w:footnoteReference w:id="610"/>
      </w:r>
      <w:r w:rsidRPr="003E305A">
        <w:t xml:space="preserve">, e outro historiador </w:t>
      </w:r>
      <w:r w:rsidR="00DB0BC8">
        <w:t>escreveu</w:t>
      </w:r>
      <w:r w:rsidRPr="003E305A">
        <w:t xml:space="preserve"> que antes dos </w:t>
      </w:r>
      <w:r w:rsidRPr="003E305A">
        <w:rPr>
          <w:i/>
        </w:rPr>
        <w:t>pogroms</w:t>
      </w:r>
      <w:r w:rsidRPr="003E305A">
        <w:t xml:space="preserve"> de Novembro de 1938 «Hitler não tinha morto judeus enquanto judeus»</w:t>
      </w:r>
      <w:r w:rsidRPr="003E305A">
        <w:rPr>
          <w:rStyle w:val="Refdenotaderodap"/>
        </w:rPr>
        <w:footnoteReference w:id="611"/>
      </w:r>
      <w:r w:rsidRPr="003E305A">
        <w:t xml:space="preserve">. Do mesmo modo, </w:t>
      </w:r>
      <w:r w:rsidR="00EF249D">
        <w:t>até ao começo da guerra nenhum livro foi proibido pela censura somente devido ao facto de ser judeu o autor</w:t>
      </w:r>
      <w:r w:rsidR="00EF249D">
        <w:rPr>
          <w:rStyle w:val="Refdenotaderodap"/>
        </w:rPr>
        <w:footnoteReference w:id="612"/>
      </w:r>
      <w:r w:rsidR="00EF249D">
        <w:t xml:space="preserve">, assim como </w:t>
      </w:r>
      <w:r w:rsidRPr="003E305A">
        <w:t>os primeiros filmes verdadeiramente anti-semitas realizados no Terceiro Reich datam só de 1939 e apenas a partir do ano seguinte o anti-semitismo se difundiu na indústria cinematográfica germânica</w:t>
      </w:r>
      <w:r w:rsidR="00CD72C2">
        <w:t xml:space="preserve">, com </w:t>
      </w:r>
      <w:r w:rsidR="00CD72C2" w:rsidRPr="00CD72C2">
        <w:rPr>
          <w:i/>
        </w:rPr>
        <w:t>O Judeu Süss,</w:t>
      </w:r>
      <w:r w:rsidR="00CD72C2">
        <w:t xml:space="preserve"> de Veit Harlan</w:t>
      </w:r>
      <w:r w:rsidRPr="003E305A">
        <w:rPr>
          <w:rStyle w:val="Refdenotaderodap"/>
        </w:rPr>
        <w:footnoteReference w:id="613"/>
      </w:r>
      <w:r w:rsidRPr="003E305A">
        <w:t>. Um historiador fascista, todavia, escreve</w:t>
      </w:r>
      <w:r>
        <w:t>u</w:t>
      </w:r>
      <w:r w:rsidRPr="003E305A">
        <w:t xml:space="preserve"> que já em Março de 1933 «um enorme número de militantes [comunistas] e, com eles, de judeus não comunistas é </w:t>
      </w:r>
      <w:r w:rsidRPr="003E305A">
        <w:lastRenderedPageBreak/>
        <w:t>encerrado em campos de concentração»</w:t>
      </w:r>
      <w:r w:rsidRPr="003E305A">
        <w:rPr>
          <w:rStyle w:val="Refdenotaderodap"/>
        </w:rPr>
        <w:footnoteReference w:id="614"/>
      </w:r>
      <w:r w:rsidRPr="003E305A">
        <w:t xml:space="preserve">, </w:t>
      </w:r>
      <w:r w:rsidR="00624E34" w:rsidRPr="003E305A">
        <w:t xml:space="preserve">mas </w:t>
      </w:r>
      <w:r w:rsidRPr="003E305A">
        <w:t xml:space="preserve">haverá </w:t>
      </w:r>
      <w:r w:rsidR="00624E34">
        <w:t xml:space="preserve">aqui </w:t>
      </w:r>
      <w:r w:rsidRPr="003E305A">
        <w:t xml:space="preserve">razões para distinguir uma ideologia e uma alegada raça? </w:t>
      </w:r>
    </w:p>
    <w:p w:rsidR="00321E01" w:rsidRPr="003E305A" w:rsidRDefault="00321E01" w:rsidP="00321E01">
      <w:r w:rsidRPr="003E305A">
        <w:t>Convém não esquecer que para Hitler a esquerda, em todas as suas variantes, era uma modalidade do judaísmo e constitu</w:t>
      </w:r>
      <w:r>
        <w:t>í</w:t>
      </w:r>
      <w:r w:rsidRPr="003E305A">
        <w:t>a sem dúvida a ameaça mais urgente no início do regime. «O racismo fornece à polícia somente os critérios para detectar as forças políticas adversas», escreve</w:t>
      </w:r>
      <w:r>
        <w:t>u</w:t>
      </w:r>
      <w:r w:rsidRPr="003E305A">
        <w:t xml:space="preserve"> um historiador, </w:t>
      </w:r>
      <w:r w:rsidR="00B03ABC">
        <w:t xml:space="preserve">e acrescentou que </w:t>
      </w:r>
      <w:r w:rsidR="00B03ABC" w:rsidRPr="003E305A">
        <w:t>os membros SS da Gestapo «estavam perfeitamente convencidos de que o critério fornecido pelo Mito Racial constituía o melhor meio para detectar os inimigos da ordem nazi»</w:t>
      </w:r>
      <w:r w:rsidR="00B03ABC" w:rsidRPr="003E305A">
        <w:rPr>
          <w:rStyle w:val="Refdenotaderodap"/>
        </w:rPr>
        <w:footnoteReference w:id="615"/>
      </w:r>
      <w:r w:rsidR="00B03ABC" w:rsidRPr="003E305A">
        <w:t>.</w:t>
      </w:r>
      <w:r w:rsidR="00B03ABC">
        <w:t xml:space="preserve"> </w:t>
      </w:r>
      <w:r w:rsidR="00B03ABC" w:rsidRPr="003E305A">
        <w:t xml:space="preserve">O </w:t>
      </w:r>
      <w:r w:rsidRPr="003E305A">
        <w:t xml:space="preserve">excluído </w:t>
      </w:r>
      <w:r w:rsidR="00E374F6">
        <w:t>pela raça</w:t>
      </w:r>
      <w:r w:rsidRPr="003E305A">
        <w:t xml:space="preserve"> </w:t>
      </w:r>
      <w:r w:rsidR="00B03ABC">
        <w:t xml:space="preserve">era </w:t>
      </w:r>
      <w:r w:rsidRPr="003E305A">
        <w:t xml:space="preserve">simultaneamente considerado um inimigo </w:t>
      </w:r>
      <w:r w:rsidR="00E374F6">
        <w:t>pela política</w:t>
      </w:r>
      <w:r w:rsidRPr="003E305A">
        <w:t xml:space="preserve">. É certo que no interior dos campos de concentração os judeus eram discriminados e relegados para as ocupações mais penosas. Por outro lado, porém, a sua identificação graças a um triângulo amarelo, ao mesmo tempo que os singularizava, </w:t>
      </w:r>
      <w:r w:rsidR="00E374F6">
        <w:t>ligava</w:t>
      </w:r>
      <w:r w:rsidRPr="003E305A">
        <w:t xml:space="preserve">-os </w:t>
      </w:r>
      <w:r w:rsidR="00E374F6">
        <w:t>à</w:t>
      </w:r>
      <w:r w:rsidRPr="003E305A">
        <w:t>s outras categorias, porque a este distintivo se sobrepunham os triângulos de outras cores atribuídos aos demais tipos de prisioneiros. Entre os detidos dos campos a estrela semita de seis pontas era compósita, e até na categoria de «profanador da raça» os judeus não se encontravam sozinhos</w:t>
      </w:r>
      <w:r w:rsidRPr="003E305A">
        <w:rPr>
          <w:rStyle w:val="Refdenotaderodap"/>
        </w:rPr>
        <w:footnoteReference w:id="616"/>
      </w:r>
      <w:r w:rsidRPr="003E305A">
        <w:t xml:space="preserve">. Por isso a variedade de classificações que separava os prisioneiros consoante as origens e as acusações </w:t>
      </w:r>
      <w:r w:rsidR="004C7A7C">
        <w:t>—</w:t>
      </w:r>
      <w:r w:rsidRPr="003E305A">
        <w:t xml:space="preserve"> e que dava lugar a distintivos de tantas cores que </w:t>
      </w:r>
      <w:r w:rsidR="002A2283">
        <w:t xml:space="preserve">alguém </w:t>
      </w:r>
      <w:r w:rsidRPr="003E305A">
        <w:t>que conheceu por dentro esta situação mencion</w:t>
      </w:r>
      <w:r>
        <w:t>ou</w:t>
      </w:r>
      <w:r w:rsidRPr="003E305A">
        <w:t xml:space="preserve"> o aparecimento de «magníficos arco-íris»</w:t>
      </w:r>
      <w:r w:rsidRPr="003E305A">
        <w:rPr>
          <w:rStyle w:val="Refdenotaderodap"/>
        </w:rPr>
        <w:footnoteReference w:id="617"/>
      </w:r>
      <w:r w:rsidRPr="003E305A">
        <w:t xml:space="preserve"> </w:t>
      </w:r>
      <w:r w:rsidR="004C7A7C">
        <w:t>—</w:t>
      </w:r>
      <w:r w:rsidRPr="003E305A">
        <w:t xml:space="preserve"> tinha um valor secundário perante o facto fundamental da despersonalização dos detidos, cuja única identidade se reduzia ao número de matrícula que os situava na população concentracionária</w:t>
      </w:r>
      <w:r w:rsidRPr="003E305A">
        <w:rPr>
          <w:rStyle w:val="Refdenotaderodap"/>
        </w:rPr>
        <w:footnoteReference w:id="618"/>
      </w:r>
      <w:r w:rsidRPr="003E305A">
        <w:t xml:space="preserve">. </w:t>
      </w:r>
    </w:p>
    <w:p w:rsidR="00321E01" w:rsidRPr="003E305A" w:rsidRDefault="009D6AC1" w:rsidP="00321E01">
      <w:r>
        <w:t xml:space="preserve">Além dos boicotes económicos e das restrições ao exercício da actividade profissional, o programa anti-semita recorreu a formas crescentes de violência, em que </w:t>
      </w:r>
      <w:r w:rsidR="00321E01" w:rsidRPr="003E305A">
        <w:t xml:space="preserve">devemos distinguir </w:t>
      </w:r>
      <w:r w:rsidR="0022278F">
        <w:t xml:space="preserve">três fases. </w:t>
      </w:r>
      <w:r w:rsidR="004A7057">
        <w:t xml:space="preserve">Analisarei agora as duas primeiras, a outra será considerada na parte final deste capítulo. </w:t>
      </w:r>
      <w:r w:rsidR="0022278F">
        <w:t>N</w:t>
      </w:r>
      <w:r w:rsidR="00321E01" w:rsidRPr="003E305A">
        <w:t>a primeira fase</w:t>
      </w:r>
      <w:r w:rsidR="0022278F">
        <w:t xml:space="preserve"> </w:t>
      </w:r>
      <w:r w:rsidR="00321E01" w:rsidRPr="003E305A">
        <w:t>foram perseguidas as manifestações judaicas consideradas de imediato mais perigosas: a social-democracia</w:t>
      </w:r>
      <w:r w:rsidR="00C25A2D">
        <w:t xml:space="preserve"> e</w:t>
      </w:r>
      <w:r w:rsidR="00321E01" w:rsidRPr="003E305A">
        <w:t xml:space="preserve"> o comunismo. </w:t>
      </w:r>
      <w:r w:rsidR="00664C61">
        <w:t>Hitler já o anunciara no e</w:t>
      </w:r>
      <w:r w:rsidR="008C18CF">
        <w:t>n</w:t>
      </w:r>
      <w:r w:rsidR="00664C61">
        <w:t xml:space="preserve">contro que tivera com von Papen em 4 de Janeiro de 1933, </w:t>
      </w:r>
      <w:r w:rsidR="00EF249D">
        <w:t xml:space="preserve">quando tecia </w:t>
      </w:r>
      <w:r w:rsidR="00664C61">
        <w:t xml:space="preserve">um dos fios da teia que em breve o faria entrar na </w:t>
      </w:r>
      <w:r w:rsidR="00E374F6">
        <w:t>Chancelaria</w:t>
      </w:r>
      <w:r w:rsidR="001A55F6">
        <w:t>;</w:t>
      </w:r>
      <w:r w:rsidR="00664C61">
        <w:t xml:space="preserve"> </w:t>
      </w:r>
      <w:r w:rsidR="004E632C">
        <w:t xml:space="preserve">entre </w:t>
      </w:r>
      <w:r w:rsidR="00664C61">
        <w:t xml:space="preserve">as primeiras modificações a fazer na situação política, disse ele então, </w:t>
      </w:r>
      <w:r w:rsidR="00EC0D25">
        <w:t>incluir-se-ia</w:t>
      </w:r>
      <w:r w:rsidR="00664C61">
        <w:t xml:space="preserve"> </w:t>
      </w:r>
      <w:r w:rsidR="00945BEF">
        <w:t>a destituição de todos os sociais-democratas, comunistas e judeus que ocupassem cargos de responsabilidade</w:t>
      </w:r>
      <w:r w:rsidR="00945BEF">
        <w:rPr>
          <w:rStyle w:val="Refdenotaderodap"/>
        </w:rPr>
        <w:footnoteReference w:id="619"/>
      </w:r>
      <w:r w:rsidR="00945BEF">
        <w:t xml:space="preserve">. </w:t>
      </w:r>
      <w:r w:rsidR="00321E01" w:rsidRPr="003E305A">
        <w:t xml:space="preserve">«Para a filosofia SS, o inimigo é o poderio do Mal, expresso intelectual e fisicamente», escreveu alguém que viu e sentiu o significado de tudo </w:t>
      </w:r>
      <w:r w:rsidR="00321E01" w:rsidRPr="003E305A">
        <w:lastRenderedPageBreak/>
        <w:t>aquilo. «O comunista, o socialista, o liberal alemão, os revolucionários, os resistentes estrangeiros são os representantes activos do Mal. A existência objectiva de certos povos, porém, de certas raças, dos judeus, dos polacos, dos russos é a expressão estática do Mal. Um judeu, um polaco, um russo não precisam de agir contra o nacional-socialismo; por nascimento, por predestinação, eles são heréticos não assimiláveis, destinados ao fogo apocalíptico»</w:t>
      </w:r>
      <w:r w:rsidR="00321E01" w:rsidRPr="003E305A">
        <w:rPr>
          <w:rStyle w:val="Refdenotaderodap"/>
        </w:rPr>
        <w:footnoteReference w:id="620"/>
      </w:r>
      <w:r w:rsidR="00321E01" w:rsidRPr="003E305A">
        <w:t xml:space="preserve">. Quando o novo regime se sentiu confiante na sua solidez e quando a concepção excludente de racismo adquiriu uma indisputada hegemonia no interior do NSDAP a violência pôde abater-se não só sobre os «representantes activos do Mal», o judaísmo considerado como ideologia, mas igualmente sobre o judaísmo como raça, a «expressão estática do Mal». Entrou-se então na segunda fase </w:t>
      </w:r>
      <w:r w:rsidR="00CA7847">
        <w:t xml:space="preserve">da violência </w:t>
      </w:r>
      <w:r w:rsidR="00321E01" w:rsidRPr="003E305A">
        <w:t>anti-semita. Tratava-se de salvar da poluição o povo germânico</w:t>
      </w:r>
      <w:r w:rsidR="008B3CAE">
        <w:t xml:space="preserve"> e</w:t>
      </w:r>
      <w:r w:rsidR="00321E01" w:rsidRPr="003E305A">
        <w:t xml:space="preserve"> </w:t>
      </w:r>
      <w:r w:rsidR="00321E01">
        <w:t>garanti</w:t>
      </w:r>
      <w:r w:rsidR="008B3CAE">
        <w:t>r</w:t>
      </w:r>
      <w:r w:rsidR="00321E01">
        <w:t xml:space="preserve"> </w:t>
      </w:r>
      <w:r w:rsidR="00321E01" w:rsidRPr="003E305A">
        <w:t xml:space="preserve">a reconstrução sistemática da raça nórdica. </w:t>
      </w:r>
    </w:p>
    <w:p w:rsidR="00321E01" w:rsidRPr="003E305A" w:rsidRDefault="008F48A5" w:rsidP="00321E01">
      <w:r w:rsidRPr="003E305A">
        <w:t xml:space="preserve">Num quadro tão </w:t>
      </w:r>
      <w:r>
        <w:t>vasto</w:t>
      </w:r>
      <w:r w:rsidRPr="003E305A">
        <w:t>, não espanta que tivessem sido primeiro presos ou mortos os chefes do movimento operário e em seguida, com mais vagar, se procedesse à eliminação metódica do judaísmo considerado como raça.</w:t>
      </w:r>
      <w:r>
        <w:t xml:space="preserve"> </w:t>
      </w:r>
      <w:r w:rsidR="00B369BA">
        <w:t xml:space="preserve">Mas </w:t>
      </w:r>
      <w:r w:rsidR="00B369BA" w:rsidRPr="003E305A">
        <w:t xml:space="preserve">se </w:t>
      </w:r>
      <w:r w:rsidR="000E64AC" w:rsidRPr="003E305A">
        <w:t xml:space="preserve">ser judeu era uma característica tanto física como espiritual, reduzir o programa de extermínio dos judeus à sua dimensão étnica, como fazem hoje a esmagadora maioria dos académicos e a voz jornalística corrente, é </w:t>
      </w:r>
      <w:r w:rsidR="000E64AC">
        <w:t xml:space="preserve">não saber interpretar o </w:t>
      </w:r>
      <w:r w:rsidR="00B369BA">
        <w:t>nacional-socialismo</w:t>
      </w:r>
      <w:r w:rsidR="000E64AC" w:rsidRPr="003E305A">
        <w:t xml:space="preserve">. </w:t>
      </w:r>
      <w:r w:rsidR="00321E01" w:rsidRPr="003E305A">
        <w:t xml:space="preserve">A tragédia consistiu na liquidação de todas as formas de crítica social e na supressão de quaisquer manifestações de inquietação intelectual e, à medida que progredia a ocupação de territórios eslavos, na chacina das pessoas mais modernas e cultas ou simplesmente mais inteligentes. O absurdo resultou do facto de a repressão aos críticos e aos agentes de dissolução da ordem ter prosseguido não só nos planos ideológico e político mas também </w:t>
      </w:r>
      <w:r w:rsidR="00B6406C">
        <w:t>no</w:t>
      </w:r>
      <w:r w:rsidR="00321E01" w:rsidRPr="003E305A">
        <w:t xml:space="preserve"> </w:t>
      </w:r>
      <w:r w:rsidR="00B6406C">
        <w:t>plano</w:t>
      </w:r>
      <w:r w:rsidR="00321E01" w:rsidRPr="003E305A">
        <w:t xml:space="preserve"> biológico, conferi</w:t>
      </w:r>
      <w:r w:rsidR="00B6406C">
        <w:t>n</w:t>
      </w:r>
      <w:r w:rsidR="00321E01" w:rsidRPr="003E305A">
        <w:t>d</w:t>
      </w:r>
      <w:r w:rsidR="00B6406C">
        <w:t>o-se</w:t>
      </w:r>
      <w:r w:rsidR="00321E01" w:rsidRPr="003E305A">
        <w:t xml:space="preserve"> a certos traços fisionómicos tanta importância como às convicções e aos documentos de filiação partidária, aos livros e artigos, aulas ou discursos. A multiplicação daquela tragédia por este absurdo explica o horror do racismo hitleriano. </w:t>
      </w:r>
      <w:r w:rsidR="00BA40D7" w:rsidRPr="003E305A">
        <w:t xml:space="preserve">Mas só podemos </w:t>
      </w:r>
      <w:r w:rsidR="00BA40D7">
        <w:t>interpretar</w:t>
      </w:r>
      <w:r w:rsidR="00BA40D7" w:rsidRPr="003E305A">
        <w:t xml:space="preserve">, na sua lógica perversa, </w:t>
      </w:r>
      <w:r w:rsidR="00BA40D7" w:rsidRPr="00B167E6">
        <w:t>o número de mortos pelo genoc</w:t>
      </w:r>
      <w:r w:rsidR="00BA40D7">
        <w:t>ídio</w:t>
      </w:r>
      <w:r w:rsidR="001D63E4">
        <w:rPr>
          <w:rStyle w:val="Refdenotaderodap"/>
        </w:rPr>
        <w:footnoteReference w:id="621"/>
      </w:r>
      <w:r w:rsidR="00BA40D7">
        <w:t xml:space="preserve">, se </w:t>
      </w:r>
      <w:r w:rsidR="00BA40D7">
        <w:lastRenderedPageBreak/>
        <w:t xml:space="preserve">soubermos qual </w:t>
      </w:r>
      <w:r w:rsidR="00A307D9">
        <w:t xml:space="preserve">era </w:t>
      </w:r>
      <w:r w:rsidR="00BA40D7">
        <w:t xml:space="preserve">o critério usado pelas autoridades nacional-socialistas para definir </w:t>
      </w:r>
      <w:r w:rsidR="00A307D9">
        <w:t>o</w:t>
      </w:r>
      <w:r w:rsidR="00BA40D7">
        <w:t xml:space="preserve"> </w:t>
      </w:r>
      <w:r w:rsidR="00A307D9">
        <w:t>Judeu</w:t>
      </w:r>
      <w:r w:rsidR="00BA40D7">
        <w:t xml:space="preserve">, convertido numa entidade </w:t>
      </w:r>
      <w:r w:rsidR="001D63E4">
        <w:t>quer</w:t>
      </w:r>
      <w:r w:rsidR="00BA40D7">
        <w:t xml:space="preserve"> étnica </w:t>
      </w:r>
      <w:r w:rsidR="001D63E4">
        <w:t xml:space="preserve">quer </w:t>
      </w:r>
      <w:r w:rsidR="00BA40D7">
        <w:t xml:space="preserve">ideológica, de modo </w:t>
      </w:r>
      <w:r w:rsidR="00BA40D7" w:rsidRPr="003E305A">
        <w:t>que a grande maioria das vítimas foi um símbolo corporal de ideias que não tinha e de práticas que não perfilhava</w:t>
      </w:r>
      <w:r w:rsidR="00BA40D7">
        <w:t xml:space="preserve">. </w:t>
      </w:r>
    </w:p>
    <w:p w:rsidR="00490F5C" w:rsidRDefault="00321E01" w:rsidP="00321E01">
      <w:r w:rsidRPr="003E305A">
        <w:t>Os Einsatzgruppen</w:t>
      </w:r>
      <w:r w:rsidR="00576212">
        <w:t xml:space="preserve">, </w:t>
      </w:r>
      <w:r w:rsidR="00576212" w:rsidRPr="00E110F1">
        <w:t xml:space="preserve">Comandos de </w:t>
      </w:r>
      <w:r w:rsidR="00576212">
        <w:t>Acção Especiais,</w:t>
      </w:r>
      <w:r w:rsidRPr="003E305A">
        <w:t xml:space="preserve"> organizados por Himmler e Heydrich para actuar nas regiões ocupadas do </w:t>
      </w:r>
      <w:r w:rsidR="00A4001C" w:rsidRPr="003E305A">
        <w:t>Leste</w:t>
      </w:r>
      <w:r w:rsidRPr="003E305A">
        <w:t xml:space="preserve"> da Europa destinaram-se tanto a matar judeus </w:t>
      </w:r>
      <w:r>
        <w:t xml:space="preserve">e ciganos </w:t>
      </w:r>
      <w:r w:rsidRPr="003E305A">
        <w:t>como a assassinar comunistas</w:t>
      </w:r>
      <w:r w:rsidR="00ED05A9">
        <w:t xml:space="preserve"> e outros elementos politicamente perigosos</w:t>
      </w:r>
      <w:r w:rsidRPr="003E305A">
        <w:rPr>
          <w:rStyle w:val="Refdenotaderodap"/>
        </w:rPr>
        <w:footnoteReference w:id="622"/>
      </w:r>
      <w:r w:rsidRPr="003E305A">
        <w:t xml:space="preserve">. </w:t>
      </w:r>
      <w:r w:rsidR="00852CB3" w:rsidRPr="003E305A">
        <w:t xml:space="preserve">Os primeiros </w:t>
      </w:r>
      <w:r w:rsidR="009C5EC9" w:rsidRPr="003E305A">
        <w:t xml:space="preserve">Einsatzgruppen </w:t>
      </w:r>
      <w:r w:rsidR="00852CB3" w:rsidRPr="003E305A">
        <w:t>foram criados durante os preparativos da invasão da Polónia, e em Setembro de 1939 Himmler instruiu-os para actuarem contra os judeus e contra os intelectuais</w:t>
      </w:r>
      <w:r w:rsidR="00852CB3" w:rsidRPr="003E305A">
        <w:rPr>
          <w:rStyle w:val="Refdenotaderodap"/>
        </w:rPr>
        <w:footnoteReference w:id="623"/>
      </w:r>
      <w:r w:rsidR="00852CB3">
        <w:t>, assim como participaram no assassinato de membros do clero</w:t>
      </w:r>
      <w:r w:rsidR="00852CB3">
        <w:rPr>
          <w:rStyle w:val="Refdenotaderodap"/>
        </w:rPr>
        <w:footnoteReference w:id="624"/>
      </w:r>
      <w:r w:rsidR="00852CB3" w:rsidRPr="003E305A">
        <w:t xml:space="preserve">. </w:t>
      </w:r>
      <w:r w:rsidR="0079100D">
        <w:t xml:space="preserve">«Esta luta», estipularam as </w:t>
      </w:r>
      <w:r w:rsidR="0079100D" w:rsidRPr="0079100D">
        <w:rPr>
          <w:i/>
        </w:rPr>
        <w:t>Directivas Quanto ao Comportamento das Tropas na Rússia</w:t>
      </w:r>
      <w:r w:rsidR="0079100D">
        <w:t xml:space="preserve"> emanadas do </w:t>
      </w:r>
      <w:r w:rsidR="00346863">
        <w:t xml:space="preserve">Alto </w:t>
      </w:r>
      <w:r w:rsidR="0079100D">
        <w:t>Comando da Wehrmacht em 19 de Maio de 1941, um mês antes de se iniciar a invasão da União Soviética, «</w:t>
      </w:r>
      <w:r w:rsidR="00346863">
        <w:t>requer</w:t>
      </w:r>
      <w:r w:rsidR="0079100D">
        <w:t xml:space="preserve"> uma acção impiedosa e enérgica contra os agitadores bolchevistas, os guerrilheiros, os sabotadores e os judeus [...]»</w:t>
      </w:r>
      <w:r w:rsidR="00346863">
        <w:rPr>
          <w:rStyle w:val="Refdenotaderodap"/>
        </w:rPr>
        <w:footnoteReference w:id="625"/>
      </w:r>
      <w:r w:rsidR="00571354">
        <w:t xml:space="preserve">, e também em Maio Heydrich instruiu os </w:t>
      </w:r>
      <w:r w:rsidR="00571354" w:rsidRPr="003E305A">
        <w:t>Einsatzgruppen</w:t>
      </w:r>
      <w:r w:rsidR="00571354">
        <w:t xml:space="preserve"> para liquidarem todos os judeus, os sub-homens asiáticos, os comissários </w:t>
      </w:r>
      <w:r w:rsidR="00571354">
        <w:lastRenderedPageBreak/>
        <w:t>comunistas e os ciganos</w:t>
      </w:r>
      <w:r w:rsidR="00571354">
        <w:rPr>
          <w:rStyle w:val="Refdenotaderodap"/>
        </w:rPr>
        <w:footnoteReference w:id="626"/>
      </w:r>
      <w:r w:rsidR="0079100D">
        <w:t>.</w:t>
      </w:r>
      <w:r w:rsidR="00852CB3">
        <w:t xml:space="preserve"> </w:t>
      </w:r>
      <w:r w:rsidR="00305E3F">
        <w:t>No mês seguinte</w:t>
      </w:r>
      <w:r w:rsidRPr="003E305A">
        <w:t xml:space="preserve">, logo no começo da campanha contra a União Soviética, </w:t>
      </w:r>
      <w:r w:rsidR="00571354">
        <w:t xml:space="preserve">novamente </w:t>
      </w:r>
      <w:r w:rsidRPr="003E305A">
        <w:t xml:space="preserve">Heydrich deixou bem claro que o objectivo </w:t>
      </w:r>
      <w:r w:rsidR="00576212">
        <w:t>dos</w:t>
      </w:r>
      <w:r w:rsidRPr="003E305A">
        <w:t xml:space="preserve"> </w:t>
      </w:r>
      <w:r w:rsidR="00576212" w:rsidRPr="003E305A">
        <w:t xml:space="preserve">Einsatzgruppen </w:t>
      </w:r>
      <w:r w:rsidRPr="003E305A">
        <w:t xml:space="preserve">era a eliminação do bolchevismo judaico </w:t>
      </w:r>
      <w:r w:rsidR="00603621">
        <w:t>quer</w:t>
      </w:r>
      <w:r w:rsidRPr="003E305A">
        <w:t xml:space="preserve"> nas suas manifestações biológicas </w:t>
      </w:r>
      <w:r w:rsidR="00603621">
        <w:t>quer</w:t>
      </w:r>
      <w:r w:rsidRPr="003E305A">
        <w:t xml:space="preserve"> nas ideológicas</w:t>
      </w:r>
      <w:r w:rsidRPr="003E305A">
        <w:rPr>
          <w:rStyle w:val="Refdenotaderodap"/>
        </w:rPr>
        <w:footnoteReference w:id="627"/>
      </w:r>
      <w:r w:rsidRPr="003E305A">
        <w:t xml:space="preserve">. </w:t>
      </w:r>
      <w:r w:rsidR="0013210B">
        <w:t>Os «judeus do Leste» são, disse Heydrich, o «reservatório intelectual do bolchevismo»</w:t>
      </w:r>
      <w:r w:rsidR="003A50E5">
        <w:rPr>
          <w:rStyle w:val="Refdenotaderodap"/>
        </w:rPr>
        <w:footnoteReference w:id="628"/>
      </w:r>
      <w:r w:rsidR="0013210B">
        <w:t xml:space="preserve">. </w:t>
      </w:r>
      <w:r w:rsidR="00636BEB">
        <w:t xml:space="preserve">Em 2 de Julho </w:t>
      </w:r>
      <w:r w:rsidR="00763F0C">
        <w:t>desse ano</w:t>
      </w:r>
      <w:r w:rsidR="00636BEB">
        <w:t xml:space="preserve">, nas instruções enviadas aos chefes </w:t>
      </w:r>
      <w:r w:rsidR="00576212">
        <w:t>destes</w:t>
      </w:r>
      <w:r w:rsidR="005C482B">
        <w:t xml:space="preserve"> Comandos </w:t>
      </w:r>
      <w:r w:rsidR="00636BEB">
        <w:t xml:space="preserve">actuantes na União Soviética, Heydrich </w:t>
      </w:r>
      <w:r w:rsidR="005C482B">
        <w:t>lembrou que deviam ser liquidados todos os funcionários do Partido Comunista e do Komintern, os comissários e os judeus, quanto a estes, aliás, «ocupando posições no Partido e no Estado»</w:t>
      </w:r>
      <w:r w:rsidR="005C482B">
        <w:rPr>
          <w:rStyle w:val="Refdenotaderodap"/>
        </w:rPr>
        <w:footnoteReference w:id="629"/>
      </w:r>
      <w:r w:rsidR="005C482B">
        <w:t xml:space="preserve">. </w:t>
      </w:r>
      <w:r w:rsidRPr="003E305A">
        <w:t xml:space="preserve">E no final </w:t>
      </w:r>
      <w:r w:rsidR="008D7055">
        <w:t xml:space="preserve">de 1941 </w:t>
      </w:r>
      <w:r w:rsidRPr="003E305A">
        <w:t>as autoridades SS decidiram que os campos de concentração usados para deter os comunistas soviéticos albergariam igualmente judeus</w:t>
      </w:r>
      <w:r w:rsidRPr="003E305A">
        <w:rPr>
          <w:rStyle w:val="Refdenotaderodap"/>
        </w:rPr>
        <w:footnoteReference w:id="630"/>
      </w:r>
      <w:r w:rsidRPr="003E305A">
        <w:t xml:space="preserve">, </w:t>
      </w:r>
      <w:r w:rsidR="00603621">
        <w:t xml:space="preserve">confundindo </w:t>
      </w:r>
      <w:r w:rsidR="00D344AF" w:rsidRPr="003E305A">
        <w:t>na prática</w:t>
      </w:r>
      <w:r w:rsidR="00D344AF">
        <w:t xml:space="preserve"> </w:t>
      </w:r>
      <w:r w:rsidRPr="003E305A">
        <w:t xml:space="preserve">uns e outros. </w:t>
      </w:r>
    </w:p>
    <w:p w:rsidR="00321E01" w:rsidRPr="003E305A" w:rsidRDefault="00321E01" w:rsidP="00321E01">
      <w:r w:rsidRPr="003E305A">
        <w:t xml:space="preserve">A quem pertenciam os montes de cadáveres que os </w:t>
      </w:r>
      <w:r w:rsidR="001F5539" w:rsidRPr="003E305A">
        <w:t xml:space="preserve">Einsatzgruppen </w:t>
      </w:r>
      <w:r w:rsidRPr="003E305A">
        <w:t xml:space="preserve">deixavam por onde quer que passassem? </w:t>
      </w:r>
      <w:r w:rsidR="004403B5">
        <w:t xml:space="preserve">Sucedeu muitas vezes que os relatórios dos executores discriminassem as vítimas, </w:t>
      </w:r>
      <w:r w:rsidR="00E14E6C">
        <w:t>contando</w:t>
      </w:r>
      <w:r w:rsidR="004403B5">
        <w:t xml:space="preserve"> separadamente comunistas, </w:t>
      </w:r>
      <w:r w:rsidR="00410F59">
        <w:t xml:space="preserve">guerrilheiros, criminosos, </w:t>
      </w:r>
      <w:r w:rsidR="004403B5">
        <w:t>judeus</w:t>
      </w:r>
      <w:r w:rsidR="001B68ED">
        <w:t>,</w:t>
      </w:r>
      <w:r w:rsidR="004403B5">
        <w:t xml:space="preserve"> </w:t>
      </w:r>
      <w:r w:rsidR="001B68ED">
        <w:t xml:space="preserve">eslavos </w:t>
      </w:r>
      <w:r w:rsidR="004403B5">
        <w:t>e ciganos</w:t>
      </w:r>
      <w:r w:rsidR="00AC7DC8">
        <w:rPr>
          <w:rStyle w:val="Refdenotaderodap"/>
        </w:rPr>
        <w:footnoteReference w:id="631"/>
      </w:r>
      <w:r w:rsidR="004403B5">
        <w:t xml:space="preserve">, embora os corpos se empilhassem nas mesmas covas ou fossem queimados juntos. </w:t>
      </w:r>
      <w:r w:rsidR="00B7136B">
        <w:t xml:space="preserve">No entanto, para quem assimilava conceptualmente judeus e comunistas, não devia ser fácil </w:t>
      </w:r>
      <w:r w:rsidR="00AC7DC8">
        <w:t>destrinçá</w:t>
      </w:r>
      <w:r w:rsidR="00B7136B">
        <w:t>-los</w:t>
      </w:r>
      <w:r w:rsidR="008C538F">
        <w:t>.</w:t>
      </w:r>
      <w:r w:rsidR="00B7136B">
        <w:t xml:space="preserve"> </w:t>
      </w:r>
      <w:r w:rsidR="008C538F">
        <w:t>Pelo menos num caso, o relatório que assinala o número de «judeus» mortos em certos lugares da Ucrânia refere noutro lugar «comunistas e judeus»</w:t>
      </w:r>
      <w:r w:rsidR="008C538F">
        <w:rPr>
          <w:rStyle w:val="Refdenotaderodap"/>
        </w:rPr>
        <w:footnoteReference w:id="632"/>
      </w:r>
      <w:r w:rsidR="008C538F">
        <w:t xml:space="preserve">. E </w:t>
      </w:r>
      <w:r w:rsidR="00B7136B">
        <w:t>parece</w:t>
      </w:r>
      <w:r w:rsidR="00F302ED">
        <w:t xml:space="preserve"> que </w:t>
      </w:r>
      <w:r w:rsidR="00F302ED" w:rsidRPr="003E305A">
        <w:t xml:space="preserve">na </w:t>
      </w:r>
      <w:r w:rsidRPr="003E305A">
        <w:t xml:space="preserve">maioria dos relatórios </w:t>
      </w:r>
      <w:r w:rsidR="00894A17">
        <w:t xml:space="preserve">apresentados pelos </w:t>
      </w:r>
      <w:r w:rsidR="00894A17" w:rsidRPr="003E305A">
        <w:t xml:space="preserve">Einsatzgruppen </w:t>
      </w:r>
      <w:r w:rsidRPr="003E305A">
        <w:t xml:space="preserve">as execuções de judeus e de membros do Partido Comunista soviético foram enumeradas em conjunto, sem que possamos </w:t>
      </w:r>
      <w:r w:rsidR="00F302ED">
        <w:t>distinguir</w:t>
      </w:r>
      <w:r w:rsidRPr="003E305A">
        <w:t xml:space="preserve"> as duas categorias de vítimas</w:t>
      </w:r>
      <w:r w:rsidRPr="003E305A">
        <w:rPr>
          <w:rStyle w:val="Refdenotaderodap"/>
        </w:rPr>
        <w:footnoteReference w:id="633"/>
      </w:r>
      <w:r w:rsidRPr="003E305A">
        <w:t xml:space="preserve">. Como sempre, é na contabilidade que se desvendam os pressupostos ideológicos mais profundos. Já em Dezembro de 1941 o chefe da Gestapo, quando comunicou a representantes da Wehrmacht e de diversos ministérios a liquidação de dezasseis mil prisioneiros de guerra soviéticos, se </w:t>
      </w:r>
      <w:r w:rsidR="001F5539">
        <w:t>absteve</w:t>
      </w:r>
      <w:r w:rsidRPr="003E305A">
        <w:t xml:space="preserve"> de indicar quantos eram os etnicamente judeus e quantos os </w:t>
      </w:r>
      <w:r w:rsidR="00935563">
        <w:t>politicamente</w:t>
      </w:r>
      <w:r w:rsidRPr="003E305A">
        <w:t xml:space="preserve"> comunistas</w:t>
      </w:r>
      <w:r w:rsidRPr="003E305A">
        <w:rPr>
          <w:rStyle w:val="Refdenotaderodap"/>
        </w:rPr>
        <w:footnoteReference w:id="634"/>
      </w:r>
      <w:r w:rsidRPr="003E305A">
        <w:t xml:space="preserve">. Esta situação reproduziu-se por </w:t>
      </w:r>
      <w:r w:rsidRPr="003E305A">
        <w:lastRenderedPageBreak/>
        <w:t>tod</w:t>
      </w:r>
      <w:r w:rsidR="00CF30F3">
        <w:t>a</w:t>
      </w:r>
      <w:r w:rsidRPr="003E305A">
        <w:t xml:space="preserve"> a Europa submetida ao Reich. Fernand de Brinon, por exemplo, representante do governo de Vichy junto às autoridades </w:t>
      </w:r>
      <w:r w:rsidR="005A2E8B">
        <w:t>germânicas</w:t>
      </w:r>
      <w:r w:rsidRPr="003E305A">
        <w:t xml:space="preserve"> de ocupação, protestou no final de 1941 contra o fuzilamento de reféns escolhidos, consoante as suas próprias palavras, entre «judeus, comunistas e anarquistas»</w:t>
      </w:r>
      <w:r w:rsidRPr="003E305A">
        <w:rPr>
          <w:rStyle w:val="Refdenotaderodap"/>
        </w:rPr>
        <w:footnoteReference w:id="635"/>
      </w:r>
      <w:r w:rsidRPr="003E305A">
        <w:t xml:space="preserve">. Empregando termos idênticos, Galtier-Boissière mencionou no seu diário, numa entrada de 15 de Dezembro de 1941, o «fuzilamento de cem reféns, segundo certos jornais, “não pertencendo ao </w:t>
      </w:r>
      <w:r w:rsidRPr="003E305A">
        <w:rPr>
          <w:i/>
        </w:rPr>
        <w:t>povo de França</w:t>
      </w:r>
      <w:r w:rsidRPr="003E305A">
        <w:t>” (judeus, comunistas, anarquistas)»</w:t>
      </w:r>
      <w:r w:rsidRPr="003E305A">
        <w:rPr>
          <w:rStyle w:val="Refdenotaderodap"/>
        </w:rPr>
        <w:footnoteReference w:id="636"/>
      </w:r>
      <w:r w:rsidRPr="003E305A">
        <w:t xml:space="preserve">. </w:t>
      </w:r>
      <w:r w:rsidR="00087E8A">
        <w:t>A</w:t>
      </w:r>
      <w:r w:rsidR="00910D2D">
        <w:t xml:space="preserve"> nomenclatura </w:t>
      </w:r>
      <w:r w:rsidR="00087E8A">
        <w:t>fo</w:t>
      </w:r>
      <w:r w:rsidR="00910D2D">
        <w:t>i</w:t>
      </w:r>
      <w:r w:rsidR="00087E8A">
        <w:t xml:space="preserve"> a</w:t>
      </w:r>
      <w:r w:rsidR="00910D2D">
        <w:t xml:space="preserve"> mesma</w:t>
      </w:r>
      <w:r w:rsidR="00087E8A">
        <w:t xml:space="preserve"> numa ordem de Hitler, de 3 de Março de 1942, transferindo da Wehrmacht para os SS a responsabilidade pelas represálias </w:t>
      </w:r>
      <w:r w:rsidR="006940F9">
        <w:t xml:space="preserve">exercidas em França </w:t>
      </w:r>
      <w:r w:rsidR="0051391C">
        <w:t>«</w:t>
      </w:r>
      <w:r w:rsidR="00087E8A">
        <w:t>contra comunistas e judeus»</w:t>
      </w:r>
      <w:r w:rsidR="006940F9">
        <w:rPr>
          <w:rStyle w:val="Refdenotaderodap"/>
        </w:rPr>
        <w:footnoteReference w:id="637"/>
      </w:r>
      <w:r w:rsidR="00087E8A">
        <w:t xml:space="preserve">. </w:t>
      </w:r>
      <w:r w:rsidRPr="003E305A">
        <w:t xml:space="preserve">Na mesma ocasião, na Sérvia, era similar a composição dos reféns seleccionados pelos </w:t>
      </w:r>
      <w:r w:rsidR="005A2E8B">
        <w:t>nacionais-socialistas</w:t>
      </w:r>
      <w:r w:rsidRPr="003E305A">
        <w:rPr>
          <w:rStyle w:val="Refdenotaderodap"/>
        </w:rPr>
        <w:footnoteReference w:id="638"/>
      </w:r>
      <w:r w:rsidRPr="003E305A">
        <w:t>. E no Trieste a liquidação física dos judeus operou-se juntamente com a dos comunistas e outros antifascistas, tanto eslavos como italianos</w:t>
      </w:r>
      <w:r w:rsidRPr="003E305A">
        <w:rPr>
          <w:rStyle w:val="Refdenotaderodap"/>
        </w:rPr>
        <w:footnoteReference w:id="639"/>
      </w:r>
      <w:r w:rsidRPr="003E305A">
        <w:t>. Também o célebre massacre de trezentos e trinta e cinco reféns nas caves da Via Ardeatina, perto de Roma, em Março de 1944, vitimou tanto prisioneiros políticos como judeus</w:t>
      </w:r>
      <w:r w:rsidRPr="003E305A">
        <w:rPr>
          <w:rStyle w:val="Refdenotaderodap"/>
        </w:rPr>
        <w:footnoteReference w:id="640"/>
      </w:r>
      <w:r w:rsidRPr="003E305A">
        <w:t xml:space="preserve">. Socialistas e comunistas sem nenhum antepassado judaico eram condenados como judeus, do mesmo modo que o eram judeus conservadores </w:t>
      </w:r>
      <w:r w:rsidRPr="002F53DC">
        <w:t xml:space="preserve">ou </w:t>
      </w:r>
      <w:r w:rsidRPr="003E305A">
        <w:t>francamente reaccionários. Por is</w:t>
      </w:r>
      <w:r w:rsidR="00D8464F">
        <w:t>s</w:t>
      </w:r>
      <w:r w:rsidRPr="003E305A">
        <w:t xml:space="preserve">o o que os </w:t>
      </w:r>
      <w:r w:rsidR="005A2E8B">
        <w:t>hitlerianos</w:t>
      </w:r>
      <w:r w:rsidRPr="003E305A">
        <w:t xml:space="preserve"> concebiam em termos de raça só adquire significado em termos sociais e ideológicos. </w:t>
      </w:r>
    </w:p>
    <w:p w:rsidR="007068C5" w:rsidRPr="003E305A" w:rsidRDefault="00321E01" w:rsidP="00321E01">
      <w:r w:rsidRPr="003E305A">
        <w:t>Contudo, a impossibilidade de estabelecer uma fronteira entre as vítimas marxistas e os denominados judeus, que devia servir para elucidar a questão, parece que só confunde os historiadores. Vejamos o caso de um deles, a maior autoridade no estudo do genocídio dos judeus. Ao abordar pela primeira vez os Einsatzgruppen, ele limit</w:t>
      </w:r>
      <w:r>
        <w:t>ou</w:t>
      </w:r>
      <w:r w:rsidRPr="003E305A">
        <w:t xml:space="preserve"> erroneamente o seu alvo à população judaica dos territórios soviéticos ocupados</w:t>
      </w:r>
      <w:r w:rsidRPr="003E305A">
        <w:rPr>
          <w:rStyle w:val="Refdenotaderodap"/>
        </w:rPr>
        <w:footnoteReference w:id="641"/>
      </w:r>
      <w:r w:rsidRPr="003E305A">
        <w:t>. Todavia, noutra passagem da obra escreve</w:t>
      </w:r>
      <w:r>
        <w:t>u</w:t>
      </w:r>
      <w:r w:rsidRPr="003E305A">
        <w:t xml:space="preserve"> que «os comandos móveis de extermínio deviam fuzilar tanto judeus e ciganos como comissários e membros da resistência»</w:t>
      </w:r>
      <w:r w:rsidRPr="003E305A">
        <w:rPr>
          <w:rStyle w:val="Refdenotaderodap"/>
        </w:rPr>
        <w:footnoteReference w:id="642"/>
      </w:r>
      <w:r w:rsidRPr="003E305A">
        <w:t>. Com efeito, quando procede</w:t>
      </w:r>
      <w:r>
        <w:t>u</w:t>
      </w:r>
      <w:r w:rsidRPr="003E305A">
        <w:t xml:space="preserve"> a relatos detalhados e analis</w:t>
      </w:r>
      <w:r>
        <w:t>ou</w:t>
      </w:r>
      <w:r w:rsidRPr="003E305A">
        <w:t xml:space="preserve"> a documentação, este historiador mostr</w:t>
      </w:r>
      <w:r>
        <w:t>ou</w:t>
      </w:r>
      <w:r w:rsidRPr="003E305A">
        <w:t xml:space="preserve"> que os </w:t>
      </w:r>
      <w:r w:rsidR="006D7AAF" w:rsidRPr="003E305A">
        <w:t xml:space="preserve">Einsatzgruppen </w:t>
      </w:r>
      <w:r w:rsidRPr="003E305A">
        <w:t>visavam igualmente a guerrilha comunista e os membros de organismos comunistas, fossem judeus ou eslavos ou de outras etnias</w:t>
      </w:r>
      <w:r w:rsidRPr="003E305A">
        <w:rPr>
          <w:rStyle w:val="Refdenotaderodap"/>
        </w:rPr>
        <w:footnoteReference w:id="643"/>
      </w:r>
      <w:r w:rsidRPr="003E305A">
        <w:t xml:space="preserve">. </w:t>
      </w:r>
      <w:r w:rsidR="000B54FE">
        <w:t>Com igual ambiguidade</w:t>
      </w:r>
      <w:r w:rsidRPr="003E305A">
        <w:t>, afirm</w:t>
      </w:r>
      <w:r>
        <w:t>ou</w:t>
      </w:r>
      <w:r w:rsidRPr="003E305A">
        <w:t xml:space="preserve"> que o acordo estabelecido em Julho de 1941 entre os SS e a Wehrmacht se destinava a «matar prisioneiros de guerra judeus»</w:t>
      </w:r>
      <w:r w:rsidRPr="003E305A">
        <w:rPr>
          <w:rStyle w:val="Refdenotaderodap"/>
        </w:rPr>
        <w:footnoteReference w:id="644"/>
      </w:r>
      <w:r w:rsidRPr="003E305A">
        <w:t xml:space="preserve">, mas nos </w:t>
      </w:r>
      <w:r w:rsidRPr="003E305A">
        <w:lastRenderedPageBreak/>
        <w:t>documentos apresentados encontramos entre as vítimas tanto judeus como comunistas soviéticos</w:t>
      </w:r>
      <w:r w:rsidRPr="003E305A">
        <w:rPr>
          <w:rStyle w:val="Refdenotaderodap"/>
        </w:rPr>
        <w:footnoteReference w:id="645"/>
      </w:r>
      <w:r w:rsidRPr="003E305A">
        <w:t xml:space="preserve">. Especialmente interessante é um relatório de Setembro de 1941, emanado do Einsatzgruppe C, onde se lê que «o aparelho organizacional bolchevista de modo </w:t>
      </w:r>
      <w:r w:rsidR="008D338E">
        <w:t>nenhum</w:t>
      </w:r>
      <w:r w:rsidRPr="003E305A">
        <w:t xml:space="preserve"> é idêntico à população judaica» e que para destruir o comunismo não basta exterminar os judeus, porque em muitos outros grupos étnicos se encontram também comunistas</w:t>
      </w:r>
      <w:r w:rsidRPr="003E305A">
        <w:rPr>
          <w:rStyle w:val="Refdenotaderodap"/>
        </w:rPr>
        <w:footnoteReference w:id="646"/>
      </w:r>
      <w:r w:rsidRPr="003E305A">
        <w:t>. Este historiador coment</w:t>
      </w:r>
      <w:r>
        <w:t>ou</w:t>
      </w:r>
      <w:r w:rsidRPr="003E305A">
        <w:t xml:space="preserve"> que «raramente os nazis procederam a uma distinção tão clara entre os judeus e o comunismo»</w:t>
      </w:r>
      <w:r w:rsidRPr="003E305A">
        <w:rPr>
          <w:rStyle w:val="Refdenotaderodap"/>
        </w:rPr>
        <w:footnoteReference w:id="647"/>
      </w:r>
      <w:r w:rsidRPr="003E305A">
        <w:t xml:space="preserve">, mas o que eu </w:t>
      </w:r>
      <w:r>
        <w:t>ali</w:t>
      </w:r>
      <w:r w:rsidRPr="003E305A">
        <w:t xml:space="preserve"> encontro é uma articulação entre ambas as categorias, ficando os judeus incluídos no número mais vasto dos comunistas. </w:t>
      </w:r>
      <w:r w:rsidR="00911274" w:rsidRPr="003E305A">
        <w:t xml:space="preserve">Se </w:t>
      </w:r>
      <w:r w:rsidRPr="003E305A">
        <w:t>recordarmos as palavras de Hitler ao dizer que era possível «pertence[r] em espírito a uma certa raça» e que «a raça judaica é antes de mais uma raça mental»</w:t>
      </w:r>
      <w:r w:rsidRPr="003E305A">
        <w:rPr>
          <w:rStyle w:val="Refdenotaderodap"/>
        </w:rPr>
        <w:footnoteReference w:id="648"/>
      </w:r>
      <w:r w:rsidRPr="003E305A">
        <w:t>, entendemos que ele pudesse procurar no plano rácico as suas vítimas ideológicas e no plano ideológico as vítimas raciais. A estratégia de genocídio dos judeus não se distinguiu da estratégia de erradicação do marxismo</w:t>
      </w:r>
      <w:r>
        <w:t xml:space="preserve">, e neste mortífero círculo vicioso os </w:t>
      </w:r>
      <w:r w:rsidRPr="003E305A">
        <w:t xml:space="preserve">problemas de ordem cultural e política </w:t>
      </w:r>
      <w:r>
        <w:t xml:space="preserve">eram </w:t>
      </w:r>
      <w:r w:rsidRPr="003E305A">
        <w:t xml:space="preserve">apresentados como problemas rácicos. </w:t>
      </w:r>
    </w:p>
    <w:p w:rsidR="000C0211" w:rsidRDefault="00D52CBB" w:rsidP="000C0211">
      <w:pPr>
        <w:keepNext/>
        <w:spacing w:before="240" w:after="120"/>
        <w:ind w:firstLine="0"/>
        <w:jc w:val="center"/>
      </w:pPr>
      <w:r>
        <w:rPr>
          <w:b/>
          <w:sz w:val="28"/>
          <w:szCs w:val="28"/>
        </w:rPr>
        <w:t>5</w:t>
      </w:r>
    </w:p>
    <w:p w:rsidR="00AA7A4B" w:rsidRDefault="00536430" w:rsidP="000C0211">
      <w:r w:rsidRPr="003E305A">
        <w:t xml:space="preserve">As </w:t>
      </w:r>
      <w:r w:rsidR="000C0211" w:rsidRPr="003E305A">
        <w:t xml:space="preserve">mesmas características desagregadoras </w:t>
      </w:r>
      <w:r w:rsidRPr="003E305A">
        <w:t xml:space="preserve">e a mesma origem marginal </w:t>
      </w:r>
      <w:r>
        <w:t xml:space="preserve">atribuídas aos judeus </w:t>
      </w:r>
      <w:r w:rsidR="000C0211" w:rsidRPr="003E305A">
        <w:t xml:space="preserve">eram </w:t>
      </w:r>
      <w:r>
        <w:t xml:space="preserve">imputadas </w:t>
      </w:r>
      <w:r w:rsidR="000C0211" w:rsidRPr="003E305A">
        <w:t>pelo nacional-socialismo aos ciganos</w:t>
      </w:r>
      <w:r w:rsidR="000C0211">
        <w:t>,</w:t>
      </w:r>
      <w:r w:rsidR="000C0211" w:rsidRPr="003E305A">
        <w:t xml:space="preserve"> </w:t>
      </w:r>
      <w:r>
        <w:t xml:space="preserve">também eles </w:t>
      </w:r>
      <w:r w:rsidR="000C0211" w:rsidRPr="003E305A">
        <w:t>vítimas do conjunto de legislação racial conhecido como Leis de Nuremberga e perseguidos e liquidados tanto pelos Einsatzgruppen como em campos de concentração</w:t>
      </w:r>
      <w:r>
        <w:t>.</w:t>
      </w:r>
      <w:r w:rsidR="000C0211" w:rsidRPr="003E305A">
        <w:t xml:space="preserve"> </w:t>
      </w:r>
      <w:r w:rsidRPr="003E305A">
        <w:t>Calcula</w:t>
      </w:r>
      <w:r w:rsidR="000C0211" w:rsidRPr="003E305A">
        <w:t xml:space="preserve">-se que cerca de meio milhão </w:t>
      </w:r>
      <w:r>
        <w:t xml:space="preserve">de ciganos </w:t>
      </w:r>
      <w:r w:rsidR="000C0211" w:rsidRPr="003E305A">
        <w:t>tivesse sido exterminado</w:t>
      </w:r>
      <w:r w:rsidR="000C0211">
        <w:t xml:space="preserve"> no Reich e nos territórios ocupados</w:t>
      </w:r>
      <w:r w:rsidR="000C0211" w:rsidRPr="003E305A">
        <w:rPr>
          <w:rStyle w:val="Refdenotaderodap"/>
        </w:rPr>
        <w:footnoteReference w:id="649"/>
      </w:r>
      <w:r w:rsidR="000C0211" w:rsidRPr="003E305A">
        <w:t xml:space="preserve">. </w:t>
      </w:r>
      <w:r w:rsidR="000C0211">
        <w:t>Daqueles que existiam na Alemanha em 1939, só um quinto sobrevivia no final da guerra</w:t>
      </w:r>
      <w:r w:rsidR="000C0211">
        <w:rPr>
          <w:rStyle w:val="Refdenotaderodap"/>
        </w:rPr>
        <w:footnoteReference w:id="650"/>
      </w:r>
      <w:r w:rsidR="000C0211">
        <w:t xml:space="preserve">. </w:t>
      </w:r>
      <w:r w:rsidR="000C0211" w:rsidRPr="003E305A">
        <w:t xml:space="preserve">Mas a limitada importância dos ciganos no mundo contemporâneo fez com que não ocupassem </w:t>
      </w:r>
      <w:r w:rsidR="007255CA">
        <w:t>nenhum</w:t>
      </w:r>
      <w:r w:rsidR="000C0211" w:rsidRPr="003E305A">
        <w:t xml:space="preserve"> lugar de relevo na encenação </w:t>
      </w:r>
      <w:r w:rsidR="000C0211">
        <w:t>hitleriana</w:t>
      </w:r>
      <w:r w:rsidR="000C0211" w:rsidRPr="003E305A">
        <w:t xml:space="preserve"> do grande mito rácico </w:t>
      </w:r>
      <w:r w:rsidR="00C6184F">
        <w:t xml:space="preserve">e </w:t>
      </w:r>
      <w:r w:rsidR="000C0211" w:rsidRPr="003E305A">
        <w:t xml:space="preserve">viram-se reduzidos pelos fabricantes da história ao </w:t>
      </w:r>
      <w:r w:rsidR="000C0211">
        <w:t>papel</w:t>
      </w:r>
      <w:r w:rsidR="000C0211" w:rsidRPr="003E305A">
        <w:t xml:space="preserve"> de figurantes mudos. </w:t>
      </w:r>
    </w:p>
    <w:p w:rsidR="000C0211" w:rsidRPr="003E305A" w:rsidRDefault="000C0211" w:rsidP="000C0211">
      <w:r w:rsidRPr="003E305A">
        <w:lastRenderedPageBreak/>
        <w:t>O tribunal militar internacional de Nuremberga não mencionou sequer o genocídio dos ciganos</w:t>
      </w:r>
      <w:r w:rsidRPr="003E305A">
        <w:rPr>
          <w:rStyle w:val="Refdenotaderodap"/>
        </w:rPr>
        <w:footnoteReference w:id="651"/>
      </w:r>
      <w:r w:rsidRPr="003E305A">
        <w:t xml:space="preserve"> e em 1950 o psiquiatra que exercera as funções de responsável científico pelo recenseamento deste povo, organizado com vista ao seu extermínio, foi absolvido pelos juízes alemães</w:t>
      </w:r>
      <w:r w:rsidRPr="003E305A">
        <w:rPr>
          <w:rStyle w:val="Refdenotaderodap"/>
        </w:rPr>
        <w:footnoteReference w:id="652"/>
      </w:r>
      <w:r>
        <w:t>,</w:t>
      </w:r>
      <w:r w:rsidRPr="003E305A">
        <w:t xml:space="preserve"> </w:t>
      </w:r>
      <w:r>
        <w:t>o que não espanta, porque o governo alemão recusou-se a conceder aos ciganos as compensações pecuniárias devidas às vítimas do nacional-socialismo</w:t>
      </w:r>
      <w:r>
        <w:rPr>
          <w:rStyle w:val="Refdenotaderodap"/>
        </w:rPr>
        <w:footnoteReference w:id="653"/>
      </w:r>
      <w:r>
        <w:t>. O ministro do Interior do estado de Württemberg chegou a declarar, em Maio de 1950, que «os ciganos foram perseguidos sob o nazismo não por nenhuns motivos raciais mas devido a um comportamento anti-social e criminoso»</w:t>
      </w:r>
      <w:r>
        <w:rPr>
          <w:rStyle w:val="Refdenotaderodap"/>
        </w:rPr>
        <w:footnoteReference w:id="654"/>
      </w:r>
      <w:r>
        <w:t xml:space="preserve">. </w:t>
      </w:r>
      <w:r w:rsidRPr="003E305A">
        <w:t xml:space="preserve">Mais grave ainda é o facto de a deliberada indiferença </w:t>
      </w:r>
      <w:r w:rsidR="007255CA">
        <w:t>pelo</w:t>
      </w:r>
      <w:r w:rsidRPr="003E305A">
        <w:t xml:space="preserve"> destino dos ciganos ter sido partilhada por destacados representantes das outras vítimas. O procurador-geral israelita, encarregado da acusação no julgamento de Adolf Eichmann, admitiu, numa conversa privada, que o genocídio dos judeus pelos </w:t>
      </w:r>
      <w:r>
        <w:t>nacionais-socialistas</w:t>
      </w:r>
      <w:r w:rsidRPr="003E305A">
        <w:t xml:space="preserve"> teria constituído um acto mais criminoso do que a chacina dos ciganos, um povo alegadamente desprovido de cultura própria. Opiniões deste género permitem compreender que, apesar de Eichmann ter reconhecido no interrogatório a que foi sujeito pela polícia israelita que o seu departamento organizara a liquidação de dezenas de milhares de ciganos, o tribunal considerasse o facto como não provado</w:t>
      </w:r>
      <w:r w:rsidRPr="003E305A">
        <w:rPr>
          <w:rStyle w:val="Refdenotaderodap"/>
        </w:rPr>
        <w:footnoteReference w:id="655"/>
      </w:r>
      <w:r w:rsidRPr="003E305A">
        <w:t>. O mesmo argumento de que os ciganos não se destacavam na vida cultural e económica da Europa, enquanto os judeus constituíam «uma elite universalizadora no domínio científico, na teoria política, nas comunicações, na literatura, no teatro, na filosofia e no comércio, que estava a dar novos moldes à vida europeia e a orientá-la para além dos limites do Estado-nação», serviu a um académico judeu norte-americano para atribuir ao genocídio dos judeus um carácter historicamente único</w:t>
      </w:r>
      <w:r w:rsidRPr="003E305A">
        <w:rPr>
          <w:rStyle w:val="Refdenotaderodap"/>
        </w:rPr>
        <w:footnoteReference w:id="656"/>
      </w:r>
      <w:r w:rsidRPr="003E305A">
        <w:t xml:space="preserve">. </w:t>
      </w:r>
      <w:r w:rsidR="00784388" w:rsidRPr="003E305A">
        <w:t xml:space="preserve">Com </w:t>
      </w:r>
      <w:r w:rsidRPr="003E305A">
        <w:t>este tipo de raciocínios, ou pretextos, uma eminente personalidade judaica norte-americana, que durante vários anos presidiu ao US Holocaust Memorial Council, recusou</w:t>
      </w:r>
      <w:r w:rsidR="00784388">
        <w:t>-</w:t>
      </w:r>
      <w:r w:rsidR="00784388" w:rsidRPr="003E305A">
        <w:t xml:space="preserve">se </w:t>
      </w:r>
      <w:r w:rsidRPr="003E305A">
        <w:t>repetidamente a incluir nesta instituição delegados dos ciganos ao lado das representações dos judeus, dos polacos, dos ucranianos e dos russos, o que não a impediu de ser homenageada com o Prémio Nobel da Paz em 1986</w:t>
      </w:r>
      <w:r w:rsidRPr="003E305A">
        <w:rPr>
          <w:rStyle w:val="Refdenotaderodap"/>
        </w:rPr>
        <w:footnoteReference w:id="657"/>
      </w:r>
      <w:r w:rsidRPr="003E305A">
        <w:t xml:space="preserve">. </w:t>
      </w:r>
      <w:r>
        <w:t>Aliás,</w:t>
      </w:r>
      <w:r w:rsidRPr="003E305A">
        <w:t xml:space="preserve"> por que razão </w:t>
      </w:r>
      <w:r w:rsidRPr="003E305A">
        <w:lastRenderedPageBreak/>
        <w:t>aquela atitude seria um óbice? No ano anterior, quando o Conselho Central dos Judeus na Alemanha decidira comemorar os quarenta anos da libertação do campo de concentração de Bergen-Belsen, fora em vão que o Conselho Central cigano pedira para participar nas cerimónias, embora muitos ciganos tivessem perecido naquele campo</w:t>
      </w:r>
      <w:r w:rsidRPr="003E305A">
        <w:rPr>
          <w:rStyle w:val="Refdenotaderodap"/>
        </w:rPr>
        <w:footnoteReference w:id="658"/>
      </w:r>
      <w:r w:rsidRPr="003E305A">
        <w:t>. A mesma história que regista o destino fatal de uns esquece o de outros</w:t>
      </w:r>
      <w:r>
        <w:rPr>
          <w:rStyle w:val="Refdenotaderodap"/>
        </w:rPr>
        <w:footnoteReference w:id="659"/>
      </w:r>
      <w:r w:rsidRPr="003E305A">
        <w:t xml:space="preserve">. </w:t>
      </w:r>
    </w:p>
    <w:p w:rsidR="00321E01" w:rsidRPr="003E305A" w:rsidRDefault="00321E01" w:rsidP="003F04F9">
      <w:pPr>
        <w:keepNext/>
        <w:spacing w:before="720" w:after="360"/>
        <w:ind w:firstLine="0"/>
        <w:jc w:val="center"/>
        <w:rPr>
          <w:b/>
          <w:sz w:val="28"/>
        </w:rPr>
      </w:pPr>
      <w:r>
        <w:rPr>
          <w:b/>
          <w:sz w:val="28"/>
        </w:rPr>
        <w:t>6</w:t>
      </w:r>
      <w:r w:rsidRPr="003E305A">
        <w:rPr>
          <w:b/>
          <w:sz w:val="28"/>
        </w:rPr>
        <w:t xml:space="preserve">. </w:t>
      </w:r>
      <w:r>
        <w:rPr>
          <w:b/>
          <w:sz w:val="28"/>
        </w:rPr>
        <w:t>A dialéctica das três raças</w:t>
      </w:r>
    </w:p>
    <w:p w:rsidR="00321E01" w:rsidRDefault="00321E01" w:rsidP="00321E01">
      <w:r w:rsidRPr="003E305A">
        <w:t xml:space="preserve">A dialéctica racista desenvolvida ao longo de </w:t>
      </w:r>
      <w:r w:rsidR="00B16FBD">
        <w:t>várias</w:t>
      </w:r>
      <w:r w:rsidRPr="003E305A">
        <w:t xml:space="preserve"> décadas na área da cultura germânica foi sistematizada por Hitler mediante a articulação de uma antinomia externa, entre nórdicos e eslavos, com um antagonismo interno, resultante da acção dissolvente atribuída aos judeus no seio dos germanos. Estas duas modalidades de contradição, a antinomia e o antagonismo, </w:t>
      </w:r>
      <w:r w:rsidR="00D74F91">
        <w:t xml:space="preserve">conferiram uma forma lógica ao </w:t>
      </w:r>
      <w:r w:rsidRPr="003E305A">
        <w:t xml:space="preserve">racismo </w:t>
      </w:r>
      <w:r w:rsidR="00F704B4">
        <w:t xml:space="preserve">hitleriano </w:t>
      </w:r>
      <w:r w:rsidRPr="003E305A">
        <w:t xml:space="preserve">e inspiraram-lhe os pavores. Sem entendermos o triângulo formado pelos nórdicos, os eslavos e os judeus, e a assimetria das relações entre os três vértices, não podemos compreender o racismo dos nacionais-socialistas e muito menos a lógica que presidiu à sua actuação. </w:t>
      </w:r>
    </w:p>
    <w:p w:rsidR="00712E41" w:rsidRDefault="00321E01" w:rsidP="005C1B14">
      <w:r w:rsidRPr="003E305A">
        <w:t xml:space="preserve">Os </w:t>
      </w:r>
      <w:r w:rsidRPr="003E305A">
        <w:rPr>
          <w:i/>
        </w:rPr>
        <w:t>Untermenschen</w:t>
      </w:r>
      <w:r w:rsidRPr="003E305A">
        <w:t xml:space="preserve"> seriam incapazes de se dotar sozinhos de uma coesão política e de uma organização estatal. Poderiam fazê-lo </w:t>
      </w:r>
      <w:r w:rsidR="007972FD">
        <w:t xml:space="preserve">com duas condições. </w:t>
      </w:r>
      <w:r w:rsidR="00AF449C">
        <w:t>Por um lado</w:t>
      </w:r>
      <w:r w:rsidR="007972FD">
        <w:t xml:space="preserve">, </w:t>
      </w:r>
      <w:r w:rsidRPr="003E305A">
        <w:t xml:space="preserve">se os guiassem elementos de sangue nórdico, restos de antigas migrações que mantinham ainda uma certa pureza racial. </w:t>
      </w:r>
      <w:r w:rsidR="00712E41">
        <w:t xml:space="preserve">Por outro lado, se os judeus se colocassem à cabeça da sub-humanidade. Qual a resposta dos nacionais-socialistas a estas duas alternativas? </w:t>
      </w:r>
    </w:p>
    <w:p w:rsidR="006A102F" w:rsidRDefault="00D36E2D" w:rsidP="005C1B14">
      <w:r>
        <w:t>Em 12 de Setembro de 1940 Himmler preveniu que é «frequentemente observado, especialmente nas imediações da cidade de Posen, que o elemento nórdico entre os polacos politicamente activos é especialmente forte»</w:t>
      </w:r>
      <w:r>
        <w:rPr>
          <w:rStyle w:val="Refdenotaderodap"/>
        </w:rPr>
        <w:footnoteReference w:id="660"/>
      </w:r>
      <w:r>
        <w:t>. E duas semanas depois de ter lançado as suas tropas contra a União Soviética, o Führer disse aos comensais que «se, apesar de tudo» o russo «consegue obedecer a alguma forma de organização, isso deve-se à gota de sangue ariano que lhe corre nas veias»</w:t>
      </w:r>
      <w:r>
        <w:rPr>
          <w:rStyle w:val="Refdenotaderodap"/>
        </w:rPr>
        <w:footnoteReference w:id="661"/>
      </w:r>
      <w:r>
        <w:t xml:space="preserve">. </w:t>
      </w:r>
      <w:r w:rsidRPr="003E305A">
        <w:t xml:space="preserve">«Entre os insurrectos», </w:t>
      </w:r>
      <w:r>
        <w:t>indicaram</w:t>
      </w:r>
      <w:r w:rsidRPr="003E305A">
        <w:t xml:space="preserve"> dois historiadores, «destacam-se os </w:t>
      </w:r>
      <w:r w:rsidRPr="003E305A">
        <w:lastRenderedPageBreak/>
        <w:t>“nórdicos” e “nórdico-dináricos” como especialmente perigosos devido à sua capacidade de formar um núcleo racicamente são e susceptíveis de chefiar a maior parte dos guerrilheiros, camponeses predominantemente “ósticos” ou “bálticos orientais”. Os “peritos” aconselharão, assim, que a luta contra a guerrilha, para ser completa, implica, além da repressão armada, não só o extermínio dos “melhores”, mas também a germanização da sua prole»</w:t>
      </w:r>
      <w:r w:rsidRPr="003E305A">
        <w:rPr>
          <w:rStyle w:val="Refdenotaderodap"/>
        </w:rPr>
        <w:footnoteReference w:id="662"/>
      </w:r>
      <w:r w:rsidRPr="003E305A">
        <w:t xml:space="preserve">. </w:t>
      </w:r>
      <w:r w:rsidR="00AF449C" w:rsidRPr="003E305A">
        <w:t xml:space="preserve">Foi para </w:t>
      </w:r>
      <w:r w:rsidR="00AF449C">
        <w:t xml:space="preserve">privar os eslavos desta elite biológica </w:t>
      </w:r>
      <w:r w:rsidR="00AF449C" w:rsidRPr="003E305A">
        <w:t xml:space="preserve">que </w:t>
      </w:r>
      <w:r w:rsidR="00AF449C">
        <w:t xml:space="preserve">os Einsatzgruppen enforcaram e </w:t>
      </w:r>
      <w:r w:rsidR="00AF449C" w:rsidRPr="003E305A">
        <w:t>fuzilaram no leste da Europa resistentes e chefes guerrilheiro</w:t>
      </w:r>
      <w:r w:rsidR="00AF449C">
        <w:t xml:space="preserve">s tidos como </w:t>
      </w:r>
      <w:r w:rsidR="00B16FBD">
        <w:t xml:space="preserve">nórdicos ou </w:t>
      </w:r>
      <w:r w:rsidR="00AF449C">
        <w:t xml:space="preserve">seminórdicos. </w:t>
      </w:r>
    </w:p>
    <w:p w:rsidR="006A102F" w:rsidRDefault="005C1B14" w:rsidP="005C1B14">
      <w:r>
        <w:t xml:space="preserve">Mas </w:t>
      </w:r>
      <w:r w:rsidR="00B16FBD">
        <w:t xml:space="preserve">as razias </w:t>
      </w:r>
      <w:r>
        <w:t>não bastava</w:t>
      </w:r>
      <w:r w:rsidR="00B16FBD">
        <w:t>m</w:t>
      </w:r>
      <w:r>
        <w:t xml:space="preserve">, era necessário também que a raça nórdica se apropriasse </w:t>
      </w:r>
      <w:r w:rsidR="006A102F">
        <w:t xml:space="preserve">do que restava </w:t>
      </w:r>
      <w:r w:rsidR="00B16FBD">
        <w:t>daquela elite disseminada entre os eslavos</w:t>
      </w:r>
      <w:r>
        <w:t xml:space="preserve">. </w:t>
      </w:r>
      <w:r w:rsidR="00AF449C">
        <w:t>Uma política era o reverso da outra.</w:t>
      </w:r>
      <w:r>
        <w:t xml:space="preserve"> </w:t>
      </w:r>
      <w:r w:rsidR="006A102F">
        <w:t>Em 30 de Janeiro de 1942, numa roda de comensais</w:t>
      </w:r>
      <w:r w:rsidR="009A7C8A">
        <w:t xml:space="preserve"> em </w:t>
      </w:r>
      <w:r w:rsidR="006A102F">
        <w:t>se encontrava Heydrich, o Führer disse, a propósito da Boémia e Morávia, que «uma grande parte dos checos é de origem germânica e não é impossível germanizá-los de novo»</w:t>
      </w:r>
      <w:r w:rsidR="006A102F">
        <w:rPr>
          <w:rStyle w:val="Refdenotaderodap"/>
        </w:rPr>
        <w:footnoteReference w:id="663"/>
      </w:r>
      <w:r w:rsidR="006A102F">
        <w:t xml:space="preserve">. Esta ideia teve uma aplicação na Polónia graças às </w:t>
      </w:r>
      <w:r w:rsidR="00D36E2D" w:rsidRPr="003E305A">
        <w:t>directivas para a ge</w:t>
      </w:r>
      <w:r w:rsidR="008C1463">
        <w:t>rmanização das famílias polacas</w:t>
      </w:r>
      <w:r w:rsidR="00D36E2D" w:rsidRPr="003E305A">
        <w:t>, promulgadas em Março de 1942, estipula</w:t>
      </w:r>
      <w:r w:rsidR="006A102F">
        <w:t>ndo</w:t>
      </w:r>
      <w:r w:rsidR="00D36E2D" w:rsidRPr="003E305A">
        <w:t xml:space="preserve"> que «a germanização de famílias de outras nacionalidades não tem como objectivo principal aumentar as fileiras da nação alemã [...] mas minar a qualidade da classe dirigente nas etnias estrangeiras»</w:t>
      </w:r>
      <w:r w:rsidR="00D36E2D">
        <w:t>.</w:t>
      </w:r>
      <w:r w:rsidR="00D36E2D" w:rsidRPr="003E305A">
        <w:t xml:space="preserve"> </w:t>
      </w:r>
      <w:r w:rsidR="00C6230D">
        <w:t>Es</w:t>
      </w:r>
      <w:r w:rsidR="00632157">
        <w:t>s</w:t>
      </w:r>
      <w:r w:rsidR="00C6230D">
        <w:t>as</w:t>
      </w:r>
      <w:r w:rsidR="00D36E2D">
        <w:t xml:space="preserve"> directivas partiam do princípio de que </w:t>
      </w:r>
      <w:r w:rsidR="00D36E2D" w:rsidRPr="003E305A">
        <w:t>«em especial entre os dirigentes dos insurrectos polacos e do movimento de resistência</w:t>
      </w:r>
      <w:r w:rsidR="00D36E2D">
        <w:t>,</w:t>
      </w:r>
      <w:r w:rsidR="00D36E2D" w:rsidRPr="003E305A">
        <w:t xml:space="preserve"> um acentuado predomínio de sangue nórdico predispõe-os a desempenhar um papel mais activo nos acontecimentos do </w:t>
      </w:r>
      <w:r w:rsidR="00D36E2D">
        <w:t xml:space="preserve">que </w:t>
      </w:r>
      <w:r w:rsidR="00D36E2D" w:rsidRPr="003E305A">
        <w:t>os elementos eslavos, mais fatalistas»</w:t>
      </w:r>
      <w:r w:rsidR="00D36E2D" w:rsidRPr="003E305A">
        <w:rPr>
          <w:rStyle w:val="Refdenotaderodap"/>
        </w:rPr>
        <w:footnoteReference w:id="664"/>
      </w:r>
      <w:r w:rsidR="00D36E2D" w:rsidRPr="003E305A">
        <w:t>.</w:t>
      </w:r>
      <w:r w:rsidR="000E23D8">
        <w:t xml:space="preserve"> </w:t>
      </w:r>
    </w:p>
    <w:p w:rsidR="00EA0A77" w:rsidRDefault="006A102F" w:rsidP="005C1B14">
      <w:r>
        <w:t>H</w:t>
      </w:r>
      <w:r w:rsidR="005C1B14">
        <w:t xml:space="preserve">ouve </w:t>
      </w:r>
      <w:r>
        <w:t xml:space="preserve">ainda </w:t>
      </w:r>
      <w:r w:rsidR="005C1B14">
        <w:t xml:space="preserve">uma forma mais radical de </w:t>
      </w:r>
      <w:r w:rsidR="00EA0A77" w:rsidRPr="003E305A">
        <w:t>apropriação do melhor sangue que se encontra</w:t>
      </w:r>
      <w:r w:rsidR="00EA0A77">
        <w:t>sse</w:t>
      </w:r>
      <w:r w:rsidR="00EA0A77" w:rsidRPr="003E305A">
        <w:t xml:space="preserve"> entre os eslavos para o incorporar na raça nórdica. </w:t>
      </w:r>
      <w:r w:rsidR="00A7236A">
        <w:t>Num memorando endereç</w:t>
      </w:r>
      <w:r w:rsidR="00935E2A">
        <w:t>ado</w:t>
      </w:r>
      <w:r w:rsidR="00A7236A">
        <w:t xml:space="preserve"> a Lammers em 11 de Março de 1939 o </w:t>
      </w:r>
      <w:r w:rsidR="00A7236A" w:rsidRPr="003E305A">
        <w:t>Reichsführer</w:t>
      </w:r>
      <w:r w:rsidR="00390EAA">
        <w:t>-SS</w:t>
      </w:r>
      <w:r w:rsidR="00A7236A" w:rsidRPr="003E305A">
        <w:t xml:space="preserve"> </w:t>
      </w:r>
      <w:r w:rsidR="00A7236A">
        <w:t xml:space="preserve">Himmler, </w:t>
      </w:r>
      <w:r w:rsidR="00BE5795">
        <w:t xml:space="preserve">que em breve seria nomeado </w:t>
      </w:r>
      <w:r w:rsidR="00A7236A" w:rsidRPr="003E305A">
        <w:t>comissário do Reich para o Reforço do Germanismo</w:t>
      </w:r>
      <w:r w:rsidR="00A7236A">
        <w:t xml:space="preserve">, considerou que «todas as pessoas nórdicas que retirarmos aos outros povos representarão para eles a perda de um sangue com capacidade </w:t>
      </w:r>
      <w:r w:rsidR="00AE5677">
        <w:t>de chefia</w:t>
      </w:r>
      <w:r w:rsidR="00A7236A">
        <w:t xml:space="preserve"> e para nós </w:t>
      </w:r>
      <w:r w:rsidR="00AE5677">
        <w:t xml:space="preserve">representarão </w:t>
      </w:r>
      <w:r w:rsidR="00A7236A">
        <w:t xml:space="preserve">um ganho. </w:t>
      </w:r>
      <w:r w:rsidR="009E0316">
        <w:t xml:space="preserve">Por cada acção conduzida com êxito obtemos duas pessoas, uma que os nossos </w:t>
      </w:r>
      <w:r w:rsidR="00844580">
        <w:t>adversários</w:t>
      </w:r>
      <w:r w:rsidR="009E0316">
        <w:t xml:space="preserve"> perdem e </w:t>
      </w:r>
      <w:r w:rsidR="00844580">
        <w:t xml:space="preserve">já não </w:t>
      </w:r>
      <w:r w:rsidR="009E0316">
        <w:t>se erguer</w:t>
      </w:r>
      <w:r w:rsidR="00844580">
        <w:t>á</w:t>
      </w:r>
      <w:r w:rsidR="009E0316">
        <w:t xml:space="preserve"> contra nós como um inimigo, e outra que passará a estar </w:t>
      </w:r>
      <w:r w:rsidR="00844580">
        <w:t>do</w:t>
      </w:r>
      <w:r w:rsidR="009E0316">
        <w:t xml:space="preserve"> nosso lado e lutará a nosso favor»</w:t>
      </w:r>
      <w:r w:rsidR="00844580">
        <w:rPr>
          <w:rStyle w:val="Refdenotaderodap"/>
        </w:rPr>
        <w:footnoteReference w:id="665"/>
      </w:r>
      <w:r w:rsidR="009E0316">
        <w:t xml:space="preserve">. Baseando-se nesta peculiar aritmética, Himmler, noutro </w:t>
      </w:r>
      <w:r w:rsidR="00EA0A77">
        <w:t>memorando datado de 15 de Maio de 1940</w:t>
      </w:r>
      <w:r w:rsidR="00EA0A77" w:rsidRPr="003E305A">
        <w:t xml:space="preserve">, </w:t>
      </w:r>
      <w:r w:rsidR="00931D70">
        <w:t>admitiu</w:t>
      </w:r>
      <w:r w:rsidR="00EA0A77">
        <w:t xml:space="preserve"> que o Reich precisava de recuperar as crianças oriundas de ancestrais </w:t>
      </w:r>
      <w:r w:rsidR="00EA0A77">
        <w:lastRenderedPageBreak/>
        <w:t>germânicos para «evitar o perigo de que a população sub-humana de Leste possa obter uma classe dirigente formada por essas pessoas de bom sangue»</w:t>
      </w:r>
      <w:r w:rsidR="00EA0A77">
        <w:rPr>
          <w:rStyle w:val="Refdenotaderodap"/>
        </w:rPr>
        <w:footnoteReference w:id="666"/>
      </w:r>
      <w:r w:rsidR="00EA0A77">
        <w:t xml:space="preserve">. </w:t>
      </w:r>
      <w:r w:rsidR="00EA0A77" w:rsidRPr="003E305A">
        <w:t xml:space="preserve">Num discurso </w:t>
      </w:r>
      <w:r w:rsidR="00EA0A77">
        <w:t xml:space="preserve">proferido no mesmo ano ele </w:t>
      </w:r>
      <w:r w:rsidR="00EA0A77" w:rsidRPr="003E305A">
        <w:t xml:space="preserve">declarou </w:t>
      </w:r>
      <w:r w:rsidR="00EA0A77">
        <w:t xml:space="preserve">que </w:t>
      </w:r>
      <w:r w:rsidR="00EA0A77" w:rsidRPr="003E305A">
        <w:t>é necessário «captarmos para nós todo o sangue nórdico do mundo, tomarmos este sangue ao nosso adversário e introduzirmo-lo em nós»</w:t>
      </w:r>
      <w:r w:rsidR="00EA0A77" w:rsidRPr="003E305A">
        <w:rPr>
          <w:rStyle w:val="Refdenotaderodap"/>
        </w:rPr>
        <w:footnoteReference w:id="667"/>
      </w:r>
      <w:r w:rsidR="00EA0A77" w:rsidRPr="003E305A">
        <w:t xml:space="preserve">. </w:t>
      </w:r>
      <w:r w:rsidR="00D13EF7">
        <w:t>Hitler deu o aval a esta modali</w:t>
      </w:r>
      <w:r w:rsidR="00EC29E2">
        <w:t>d</w:t>
      </w:r>
      <w:r w:rsidR="00D13EF7">
        <w:t>ade de conquista biológica, declarando em Fevereiro de 1942: «Onde quer que se</w:t>
      </w:r>
      <w:r w:rsidR="00EC29E2">
        <w:t xml:space="preserve"> </w:t>
      </w:r>
      <w:r w:rsidR="00D13EF7">
        <w:t>encontr</w:t>
      </w:r>
      <w:r w:rsidR="00EC29E2">
        <w:t>e</w:t>
      </w:r>
      <w:r w:rsidR="00D13EF7">
        <w:t xml:space="preserve"> sangue germânico, em qualquer parte do mundo, tomaremos para nós aquele que for bom. Com o que restar, os outros serão incapazes de se opor ao Reich </w:t>
      </w:r>
      <w:r w:rsidR="00EC29E2">
        <w:t>germânico</w:t>
      </w:r>
      <w:r w:rsidR="00D13EF7">
        <w:t>»</w:t>
      </w:r>
      <w:r w:rsidR="00EC29E2">
        <w:rPr>
          <w:rStyle w:val="Refdenotaderodap"/>
        </w:rPr>
        <w:footnoteReference w:id="668"/>
      </w:r>
      <w:r w:rsidR="00D13EF7">
        <w:t xml:space="preserve">. Na mesma perspectiva, Himmler </w:t>
      </w:r>
      <w:r w:rsidR="00EA0A77" w:rsidRPr="003E305A">
        <w:t>escreveu nas anotações para um discurso pronunci</w:t>
      </w:r>
      <w:r w:rsidR="00EA0A77">
        <w:t>ado</w:t>
      </w:r>
      <w:r w:rsidR="00EA0A77" w:rsidRPr="003E305A">
        <w:t xml:space="preserve"> em </w:t>
      </w:r>
      <w:r w:rsidR="00D13EF7">
        <w:t xml:space="preserve">Setembro de </w:t>
      </w:r>
      <w:r w:rsidR="00EA0A77" w:rsidRPr="003E305A">
        <w:t>1942: «Todo o sangue germânico para nós, ou suprimido»</w:t>
      </w:r>
      <w:r w:rsidR="00EA0A77" w:rsidRPr="003E305A">
        <w:rPr>
          <w:rStyle w:val="Refdenotaderodap"/>
        </w:rPr>
        <w:footnoteReference w:id="669"/>
      </w:r>
      <w:r w:rsidR="00EA0A77" w:rsidRPr="003E305A">
        <w:t xml:space="preserve">. </w:t>
      </w:r>
      <w:r w:rsidR="00EA0A77">
        <w:t xml:space="preserve">Também em 1942, o chefe do </w:t>
      </w:r>
      <w:r w:rsidR="00EA0A77" w:rsidRPr="002C33F6">
        <w:t>Departamento Central de Raça e Colonização dos SS</w:t>
      </w:r>
      <w:r w:rsidR="00EA0A77">
        <w:t xml:space="preserve"> em Breslau, depois de afirmar que «a experiência demonstrou que a camada dirigente polaca, em especial a do movimento de insurrectos ou da resistência, tem uma proporção significativa de sangue nórdico», determinou que por isso as crianças polacas racicamente valiosas deveriam ser retiradas às famílias e enviadas para o Reich</w:t>
      </w:r>
      <w:r w:rsidR="00EA0A77">
        <w:rPr>
          <w:rStyle w:val="Refdenotaderodap"/>
        </w:rPr>
        <w:footnoteReference w:id="670"/>
      </w:r>
      <w:r w:rsidR="00EA0A77">
        <w:t xml:space="preserve">. </w:t>
      </w:r>
      <w:r w:rsidR="00EA0A77" w:rsidRPr="003E305A">
        <w:t xml:space="preserve">No ano seguinte </w:t>
      </w:r>
      <w:r w:rsidR="00EA0A77">
        <w:t>foi</w:t>
      </w:r>
      <w:r w:rsidR="00EA0A77" w:rsidRPr="003E305A">
        <w:t xml:space="preserve"> esta uma das missões que Himmler apresent</w:t>
      </w:r>
      <w:r w:rsidR="00EA0A77">
        <w:t>ou</w:t>
      </w:r>
      <w:r w:rsidR="00EA0A77" w:rsidRPr="003E305A">
        <w:t xml:space="preserve"> perante um grupo de oficiais da Wehrmacht</w:t>
      </w:r>
      <w:r w:rsidR="000C0988">
        <w:t>:</w:t>
      </w:r>
      <w:r w:rsidR="00EA0A77" w:rsidRPr="003E305A">
        <w:t xml:space="preserve"> «Ou obtemos todo o bom sangue que pudermos usar e lhe damos um lugar no seio do nosso povo ou, meus senhores </w:t>
      </w:r>
      <w:r w:rsidR="000C0988">
        <w:t>—</w:t>
      </w:r>
      <w:r w:rsidR="00EA0A77" w:rsidRPr="003E305A">
        <w:t xml:space="preserve"> talvez achem isto cruel, mas a natureza é cruel </w:t>
      </w:r>
      <w:r w:rsidR="000C0988">
        <w:t>—</w:t>
      </w:r>
      <w:r w:rsidR="00EA0A77" w:rsidRPr="003E305A">
        <w:t xml:space="preserve"> destruímos esse sangue»</w:t>
      </w:r>
      <w:r w:rsidR="00EA0A77" w:rsidRPr="003E305A">
        <w:rPr>
          <w:rStyle w:val="Refdenotaderodap"/>
        </w:rPr>
        <w:footnoteReference w:id="671"/>
      </w:r>
      <w:r w:rsidR="00EA0A77" w:rsidRPr="003E305A">
        <w:t xml:space="preserve">. Os cientistas SS </w:t>
      </w:r>
      <w:r w:rsidR="00EA0A77">
        <w:t xml:space="preserve">invocavam a genética, </w:t>
      </w:r>
      <w:r w:rsidR="00EA0A77" w:rsidRPr="003E305A">
        <w:t xml:space="preserve">mediam crânios, analisavam nomes, consultavam arquivos, inspiravam-se nas fisionomias e metodicamente, família a família, pessoa a pessoa, seleccionavam aqueles que conservariam ainda algumas gotas do precioso sangue </w:t>
      </w:r>
      <w:r w:rsidR="00043DD4" w:rsidRPr="003E305A">
        <w:t xml:space="preserve">levado </w:t>
      </w:r>
      <w:r w:rsidR="00EA0A77" w:rsidRPr="003E305A">
        <w:t xml:space="preserve">séculos atrás </w:t>
      </w:r>
      <w:r w:rsidR="00043DD4">
        <w:t>pel</w:t>
      </w:r>
      <w:r w:rsidR="00EA0A77" w:rsidRPr="003E305A">
        <w:t>as migrações germânicas</w:t>
      </w:r>
      <w:r w:rsidR="00EA0A77">
        <w:rPr>
          <w:rStyle w:val="Refdenotaderodap"/>
        </w:rPr>
        <w:footnoteReference w:id="672"/>
      </w:r>
      <w:r w:rsidR="00EA0A77" w:rsidRPr="003E305A">
        <w:t>. Nada disto era científico, se é que a ciência podia ter ainda pretensões à exactidão ou sequer ao bom senso. Tudo eram fantasias absurdas, a que o carácter burocrático do procedimento e o uso da quantificação conferiam o prestígio das actividades académicas. Mas na história as tolices têm consequências práticas e convertem-se por isso em horrores. Não se tratava de solicitar os eleitos a partir para o Reich ou de atraí-los com promessas, mas de os transferir compulsivamente</w:t>
      </w:r>
      <w:r w:rsidR="00EA0A77" w:rsidRPr="003E305A">
        <w:rPr>
          <w:rStyle w:val="Refdenotaderodap"/>
        </w:rPr>
        <w:footnoteReference w:id="673"/>
      </w:r>
      <w:r w:rsidR="00EA0A77" w:rsidRPr="003E305A">
        <w:t xml:space="preserve">. Uma pessoa nada mais era do que o receptáculo temporário de um sangue eterno, e o apelo da raça devia imperar sobre quaisquer vocações individuais. Esta </w:t>
      </w:r>
      <w:r w:rsidR="00EA0A77" w:rsidRPr="003E305A">
        <w:lastRenderedPageBreak/>
        <w:t xml:space="preserve">reapropriação do sangue nórdico foi considerada especialmente promissora no caso das crianças, que facilmente perdiam a memória do meio de origem. A administração SS conferia-lhes outro nome e entregava-as para educar a casais </w:t>
      </w:r>
      <w:r w:rsidR="001741E8">
        <w:t>germânicos</w:t>
      </w:r>
      <w:r w:rsidR="00EA0A77" w:rsidRPr="003E305A">
        <w:t xml:space="preserve"> de boa raça, que as cria</w:t>
      </w:r>
      <w:r w:rsidR="00043DD4">
        <w:t>ria</w:t>
      </w:r>
      <w:r w:rsidR="00EA0A77" w:rsidRPr="003E305A">
        <w:t>m como filhos e lhes da</w:t>
      </w:r>
      <w:r w:rsidR="00043DD4">
        <w:t>ri</w:t>
      </w:r>
      <w:r w:rsidR="00EA0A77" w:rsidRPr="003E305A">
        <w:t xml:space="preserve">am a mentalidade desejada. Calcula-se que </w:t>
      </w:r>
      <w:r w:rsidR="00EA0A77">
        <w:t>tivessem</w:t>
      </w:r>
      <w:r w:rsidR="00EA0A77" w:rsidRPr="003E305A">
        <w:t xml:space="preserve"> sido submetidas a esta forma de rapto administrativo 50.000 crianças da Ruténia checoslovaca e praticamente outr</w:t>
      </w:r>
      <w:r w:rsidR="00043DD4">
        <w:t>as</w:t>
      </w:r>
      <w:r w:rsidR="00EA0A77" w:rsidRPr="003E305A">
        <w:t xml:space="preserve"> tant</w:t>
      </w:r>
      <w:r w:rsidR="00043DD4">
        <w:t>as</w:t>
      </w:r>
      <w:r w:rsidR="00EA0A77" w:rsidRPr="003E305A">
        <w:t xml:space="preserve"> dos territórios soviéticos conquistados, além de 200.000 crianças polacas, das quais só um quinto conseguiu regressar ao país natal, no final da guerra, sei lá como, através de uma Europa em destroços</w:t>
      </w:r>
      <w:r w:rsidR="00EA0A77" w:rsidRPr="003E305A">
        <w:rPr>
          <w:rStyle w:val="Refdenotaderodap"/>
        </w:rPr>
        <w:footnoteReference w:id="674"/>
      </w:r>
      <w:r w:rsidR="00EA0A77" w:rsidRPr="003E305A">
        <w:t xml:space="preserve">. </w:t>
      </w:r>
    </w:p>
    <w:p w:rsidR="004B298E" w:rsidRDefault="006A102F" w:rsidP="00321E01">
      <w:r>
        <w:t xml:space="preserve">Mediante esta dupla política, a </w:t>
      </w:r>
      <w:r w:rsidR="009A5BF2">
        <w:t xml:space="preserve">supressão do sangue e a apropriação do sangue, </w:t>
      </w:r>
      <w:r w:rsidR="00AF449C" w:rsidRPr="003E305A">
        <w:t>os eslavos fica</w:t>
      </w:r>
      <w:r w:rsidR="00AF449C">
        <w:t>ri</w:t>
      </w:r>
      <w:r w:rsidR="00AF449C" w:rsidRPr="003E305A">
        <w:t xml:space="preserve">am privados </w:t>
      </w:r>
      <w:r w:rsidR="009A5BF2">
        <w:t xml:space="preserve">de uma elite biológica </w:t>
      </w:r>
      <w:r w:rsidR="00AF449C" w:rsidRPr="003E305A">
        <w:t xml:space="preserve">que, se continuasse a existir entre eles, contribuiria para </w:t>
      </w:r>
      <w:r w:rsidR="004E4C7A">
        <w:t xml:space="preserve">a </w:t>
      </w:r>
      <w:r w:rsidR="00AF449C" w:rsidRPr="003E305A">
        <w:t>organiza</w:t>
      </w:r>
      <w:r w:rsidR="004E4C7A">
        <w:t>ção de</w:t>
      </w:r>
      <w:r w:rsidR="00AF449C" w:rsidRPr="003E305A">
        <w:t xml:space="preserve"> guerrilhas e outras </w:t>
      </w:r>
      <w:r w:rsidR="004E4C7A">
        <w:t xml:space="preserve">iniciativas </w:t>
      </w:r>
      <w:r w:rsidR="00AF449C" w:rsidRPr="003E305A">
        <w:t>de resistência.</w:t>
      </w:r>
      <w:r w:rsidR="00AF449C">
        <w:t xml:space="preserve"> </w:t>
      </w:r>
      <w:r>
        <w:t xml:space="preserve">Ora, </w:t>
      </w:r>
      <w:r w:rsidRPr="003E305A">
        <w:t xml:space="preserve">além </w:t>
      </w:r>
      <w:r w:rsidR="009A5BF2">
        <w:t xml:space="preserve">deste </w:t>
      </w:r>
      <w:r w:rsidR="00321E01" w:rsidRPr="003E305A">
        <w:t xml:space="preserve">risco surgia outro, já que os judeus, incapazes de </w:t>
      </w:r>
      <w:r w:rsidR="004E4C7A">
        <w:t>união</w:t>
      </w:r>
      <w:r w:rsidR="00321E01" w:rsidRPr="003E305A">
        <w:t xml:space="preserve"> e solidariedade quando deixados a </w:t>
      </w:r>
      <w:r w:rsidR="00980327">
        <w:t>si</w:t>
      </w:r>
      <w:r w:rsidR="00321E01" w:rsidRPr="003E305A">
        <w:t xml:space="preserve"> próprios, </w:t>
      </w:r>
      <w:r>
        <w:t>t</w:t>
      </w:r>
      <w:r w:rsidR="00321E01" w:rsidRPr="003E305A">
        <w:t xml:space="preserve">eriam a arte de pôr de lado os egoísmos naturais ao depararem com um inimigo da sua raça. </w:t>
      </w:r>
      <w:r w:rsidR="007972FD">
        <w:t xml:space="preserve">Seria esta a segunda condição para que </w:t>
      </w:r>
      <w:r w:rsidR="007972FD" w:rsidRPr="003E305A">
        <w:t xml:space="preserve">os </w:t>
      </w:r>
      <w:r w:rsidR="007972FD" w:rsidRPr="003E305A">
        <w:rPr>
          <w:i/>
        </w:rPr>
        <w:t>Untermenschen</w:t>
      </w:r>
      <w:r w:rsidR="007972FD" w:rsidRPr="003E305A">
        <w:t xml:space="preserve"> </w:t>
      </w:r>
      <w:r w:rsidR="007972FD">
        <w:t xml:space="preserve">se dotassem </w:t>
      </w:r>
      <w:r w:rsidR="007972FD" w:rsidRPr="003E305A">
        <w:t xml:space="preserve">de coesão política e </w:t>
      </w:r>
      <w:r w:rsidR="00672EDA">
        <w:t xml:space="preserve">de </w:t>
      </w:r>
      <w:r w:rsidR="007972FD" w:rsidRPr="003E305A">
        <w:t xml:space="preserve">uma organização estatal. </w:t>
      </w:r>
      <w:r w:rsidR="00321E01" w:rsidRPr="003E305A">
        <w:t>Levando à letra esta sucessão de absurdos, o nacional-socialismo hitleriano considerava o regime soviético como uma massa de eslavos e asiáticos chefiada por uma elite perversa de judeus</w:t>
      </w:r>
      <w:r w:rsidR="00321E01" w:rsidRPr="003E305A">
        <w:rPr>
          <w:rStyle w:val="Refdenotaderodap"/>
        </w:rPr>
        <w:footnoteReference w:id="675"/>
      </w:r>
      <w:r w:rsidR="00321E01" w:rsidRPr="003E305A">
        <w:t xml:space="preserve">. </w:t>
      </w:r>
      <w:r w:rsidR="004E4C7A">
        <w:t xml:space="preserve">A tese não era inédita, </w:t>
      </w:r>
      <w:r w:rsidR="00321E01" w:rsidRPr="003E305A">
        <w:t>toda a extrema-direita anti-semita</w:t>
      </w:r>
      <w:r w:rsidR="004E4C7A">
        <w:t xml:space="preserve"> a conhecia desde 1917</w:t>
      </w:r>
      <w:r w:rsidR="00321E01" w:rsidRPr="003E305A">
        <w:t xml:space="preserve">. </w:t>
      </w:r>
      <w:r w:rsidR="00321E01">
        <w:t>«[...] a revolução bolchevista foi um empreendimento ampla e cuidadosamente preparado pela alta finança internacional judaica», proclam</w:t>
      </w:r>
      <w:r w:rsidR="004E4C7A">
        <w:t xml:space="preserve">ara </w:t>
      </w:r>
      <w:r w:rsidR="00321E01">
        <w:t xml:space="preserve">Henry Ford em </w:t>
      </w:r>
      <w:r w:rsidR="00321E01" w:rsidRPr="00012DA7">
        <w:rPr>
          <w:i/>
        </w:rPr>
        <w:t>The International Jew,</w:t>
      </w:r>
      <w:r w:rsidR="00321E01">
        <w:t xml:space="preserve"> acrescentando que «o bolchevismo russo foi apoiado pelo ouro judeu proveniente da América», uma frase a que atribuiu tanta importância que mandou pô-la em itálico</w:t>
      </w:r>
      <w:r w:rsidR="00321E01">
        <w:rPr>
          <w:rStyle w:val="Refdenotaderodap"/>
        </w:rPr>
        <w:footnoteReference w:id="676"/>
      </w:r>
      <w:r w:rsidR="00321E01">
        <w:t xml:space="preserve">. E no ano seguinte, em 1921, um exemplo entre muitos, </w:t>
      </w:r>
      <w:r w:rsidR="00321E01" w:rsidRPr="00B1724E">
        <w:t xml:space="preserve">Georges Valois, </w:t>
      </w:r>
      <w:r w:rsidR="00321E01">
        <w:t xml:space="preserve">que </w:t>
      </w:r>
      <w:r w:rsidR="00321E01" w:rsidRPr="009E6219">
        <w:t xml:space="preserve">então </w:t>
      </w:r>
      <w:r w:rsidR="00321E01" w:rsidRPr="00B1724E">
        <w:t xml:space="preserve">era ainda uma figura destacada da Action Française, </w:t>
      </w:r>
      <w:r w:rsidR="00321E01">
        <w:t xml:space="preserve">escreveu </w:t>
      </w:r>
      <w:r w:rsidR="00321E01" w:rsidRPr="00B1724E">
        <w:t>que a revolução russa fora feita «por hordas asiáticas comandadas por judeus»</w:t>
      </w:r>
      <w:r w:rsidR="00321E01">
        <w:rPr>
          <w:rStyle w:val="Refdenotaderodap"/>
        </w:rPr>
        <w:footnoteReference w:id="677"/>
      </w:r>
      <w:r w:rsidR="00321E01" w:rsidRPr="00B1724E">
        <w:t xml:space="preserve">. </w:t>
      </w:r>
      <w:r w:rsidR="00321E01">
        <w:t>Mas Hitler e os seus seguidores souberam extrair des</w:t>
      </w:r>
      <w:r w:rsidR="00980327">
        <w:t>s</w:t>
      </w:r>
      <w:r w:rsidR="00321E01">
        <w:t xml:space="preserve">a tese a conclusão lógica e aplicá-la na prática. </w:t>
      </w:r>
      <w:r w:rsidR="00321E01" w:rsidRPr="003E305A">
        <w:t>A Rússia, declar</w:t>
      </w:r>
      <w:r w:rsidR="00321E01">
        <w:t>ou</w:t>
      </w:r>
      <w:r w:rsidR="00321E01" w:rsidRPr="003E305A">
        <w:t xml:space="preserve"> Hitler em Maio de 1930 no encontro com Otto Strasser que levou à ruptura entre ambos, é </w:t>
      </w:r>
      <w:r w:rsidR="002705C2">
        <w:t>«</w:t>
      </w:r>
      <w:r w:rsidR="00321E01" w:rsidRPr="003E305A">
        <w:t>um corpo eslavo-tártaro com uma cabeça judaica</w:t>
      </w:r>
      <w:r w:rsidR="002705C2">
        <w:t>»</w:t>
      </w:r>
      <w:r w:rsidR="00321E01" w:rsidRPr="009E6219">
        <w:rPr>
          <w:vertAlign w:val="superscript"/>
        </w:rPr>
        <w:footnoteReference w:id="678"/>
      </w:r>
      <w:r w:rsidR="00321E01" w:rsidRPr="003E305A">
        <w:t xml:space="preserve">. </w:t>
      </w:r>
      <w:r w:rsidR="00321E01">
        <w:t xml:space="preserve">O perigo mortal representado pelo judaísmo foi um dos eixos condutores da política externa do Terceiro Reich, e nesta perspectiva a União Soviética era apresentada como uma massa sub-humana governada por judeus. Goebbels nunca esquecia </w:t>
      </w:r>
      <w:r w:rsidR="00321E01">
        <w:lastRenderedPageBreak/>
        <w:t>este tema quando discursava em Nuremberga nos congressos anuais do NSDAP</w:t>
      </w:r>
      <w:r w:rsidR="00321E01">
        <w:rPr>
          <w:rStyle w:val="Refdenotaderodap"/>
        </w:rPr>
        <w:footnoteReference w:id="679"/>
      </w:r>
      <w:r w:rsidR="00321E01">
        <w:t xml:space="preserve">. Mesmo </w:t>
      </w:r>
      <w:r w:rsidR="00321E01" w:rsidRPr="003E305A">
        <w:t xml:space="preserve">antes </w:t>
      </w:r>
      <w:r w:rsidR="00321E01">
        <w:t xml:space="preserve">do começo </w:t>
      </w:r>
      <w:r w:rsidR="00321E01" w:rsidRPr="003E305A">
        <w:t xml:space="preserve">da guerra, não só os SS como também o Ministério dos Negócios Estrangeiros não se cansaram de repetir que a deportação dos judeus era </w:t>
      </w:r>
      <w:r w:rsidR="008B6AB2">
        <w:t xml:space="preserve">indispensável </w:t>
      </w:r>
      <w:r w:rsidR="00321E01" w:rsidRPr="003E305A">
        <w:t>para pôr termo à agitação e às revoltas</w:t>
      </w:r>
      <w:r w:rsidR="00321E01" w:rsidRPr="003E305A">
        <w:rPr>
          <w:rStyle w:val="Refdenotaderodap"/>
        </w:rPr>
        <w:footnoteReference w:id="680"/>
      </w:r>
      <w:r w:rsidR="00321E01" w:rsidRPr="003E305A">
        <w:t xml:space="preserve">. </w:t>
      </w:r>
      <w:r w:rsidR="00321E01">
        <w:t xml:space="preserve">Ora, desencadeada a guerra, </w:t>
      </w:r>
      <w:r w:rsidR="007D741F">
        <w:t>decerto</w:t>
      </w:r>
      <w:r w:rsidR="00321E01" w:rsidRPr="003E305A">
        <w:t xml:space="preserve"> </w:t>
      </w:r>
      <w:r w:rsidR="00321E01">
        <w:t xml:space="preserve">seria </w:t>
      </w:r>
      <w:r w:rsidR="00321E01" w:rsidRPr="003E305A">
        <w:t xml:space="preserve">muito maior </w:t>
      </w:r>
      <w:r w:rsidR="00321E01">
        <w:t xml:space="preserve">o </w:t>
      </w:r>
      <w:r w:rsidR="00321E01" w:rsidRPr="003E305A">
        <w:t xml:space="preserve">perigo </w:t>
      </w:r>
      <w:r w:rsidR="00321E01">
        <w:t xml:space="preserve">com que </w:t>
      </w:r>
      <w:r w:rsidR="00321E01" w:rsidRPr="003E305A">
        <w:t>depara</w:t>
      </w:r>
      <w:r w:rsidR="00321E01">
        <w:t xml:space="preserve">va </w:t>
      </w:r>
      <w:r w:rsidR="00321E01" w:rsidRPr="003E305A">
        <w:t xml:space="preserve">a raça de senhores se nos territórios de </w:t>
      </w:r>
      <w:r w:rsidR="009F6645" w:rsidRPr="003E305A">
        <w:t>Leste</w:t>
      </w:r>
      <w:r w:rsidR="00321E01" w:rsidRPr="003E305A">
        <w:t xml:space="preserve"> </w:t>
      </w:r>
      <w:r w:rsidR="004E4C7A">
        <w:t xml:space="preserve">os judeus </w:t>
      </w:r>
      <w:r w:rsidR="00321E01" w:rsidRPr="003E305A">
        <w:t>mobilizasse</w:t>
      </w:r>
      <w:r w:rsidR="004E4C7A">
        <w:t>m</w:t>
      </w:r>
      <w:r w:rsidR="00321E01" w:rsidRPr="003E305A">
        <w:t xml:space="preserve"> </w:t>
      </w:r>
      <w:r w:rsidR="004E4C7A">
        <w:t>os</w:t>
      </w:r>
      <w:r w:rsidR="00321E01" w:rsidRPr="003E305A">
        <w:t xml:space="preserve"> sub-</w:t>
      </w:r>
      <w:r w:rsidR="004E4C7A">
        <w:t xml:space="preserve">homens </w:t>
      </w:r>
      <w:r w:rsidR="00321E01" w:rsidRPr="003E305A">
        <w:t xml:space="preserve">e </w:t>
      </w:r>
      <w:r w:rsidR="004E4C7A">
        <w:t xml:space="preserve">os </w:t>
      </w:r>
      <w:r w:rsidR="00321E01" w:rsidRPr="003E305A">
        <w:t>conduzisse</w:t>
      </w:r>
      <w:r w:rsidR="004E4C7A">
        <w:t>m</w:t>
      </w:r>
      <w:r w:rsidR="00321E01" w:rsidRPr="003E305A">
        <w:t xml:space="preserve"> numa insurreição</w:t>
      </w:r>
      <w:r w:rsidR="007D741F">
        <w:t>.</w:t>
      </w:r>
      <w:r w:rsidR="00321E01" w:rsidRPr="003E305A">
        <w:t xml:space="preserve"> </w:t>
      </w:r>
      <w:r w:rsidR="009B6208">
        <w:t>«O objectivo do bolchevismo é a revolução mundial dos judeus», gritou Goebbels no discurso de 18 de Fevereiro de 1943 em que anunciou a «guerra total»</w:t>
      </w:r>
      <w:r w:rsidR="00883BC1">
        <w:rPr>
          <w:rStyle w:val="Refdenotaderodap"/>
        </w:rPr>
        <w:footnoteReference w:id="681"/>
      </w:r>
      <w:r w:rsidR="009B6208">
        <w:t xml:space="preserve">. </w:t>
      </w:r>
    </w:p>
    <w:p w:rsidR="00672EDA" w:rsidRDefault="00862DE9" w:rsidP="00321E01">
      <w:r>
        <w:t>Logo em 21 de Setembro de 1939, não estava ainda terminada a campanha na Polónia, Heydrich afirmou nas instruções enviadas ao</w:t>
      </w:r>
      <w:r w:rsidR="00AB18DB">
        <w:t>s</w:t>
      </w:r>
      <w:r>
        <w:t xml:space="preserve"> chefes dos Einsatzgruppen no território </w:t>
      </w:r>
      <w:r w:rsidR="00AB18DB">
        <w:t>recém-</w:t>
      </w:r>
      <w:r>
        <w:t>ocupado que «os judeus desempenharam um papel relevante nas emboscadas e n</w:t>
      </w:r>
      <w:r w:rsidR="00986895">
        <w:t>as pilhagens</w:t>
      </w:r>
      <w:r>
        <w:t>»</w:t>
      </w:r>
      <w:r w:rsidR="00986895">
        <w:rPr>
          <w:rStyle w:val="Refdenotaderodap"/>
        </w:rPr>
        <w:footnoteReference w:id="682"/>
      </w:r>
      <w:r>
        <w:t xml:space="preserve">. </w:t>
      </w:r>
      <w:r w:rsidR="00321E01">
        <w:t xml:space="preserve">«E este mundo inferior de sub-homens encontrou um guia: o Judeu eterno», anunciou um panfleto distribuído pelo </w:t>
      </w:r>
      <w:r w:rsidR="00321E01" w:rsidRPr="00D516CC">
        <w:t>quartel-ge</w:t>
      </w:r>
      <w:r w:rsidR="0096637A">
        <w:t>ne</w:t>
      </w:r>
      <w:r w:rsidR="00321E01" w:rsidRPr="00D516CC">
        <w:t xml:space="preserve">ral SS </w:t>
      </w:r>
      <w:r w:rsidR="00321E01">
        <w:t xml:space="preserve">aos soldados que combatiam no </w:t>
      </w:r>
      <w:r w:rsidR="009F6645">
        <w:t>Leste</w:t>
      </w:r>
      <w:r w:rsidR="00321E01">
        <w:rPr>
          <w:rStyle w:val="Refdenotaderodap"/>
        </w:rPr>
        <w:footnoteReference w:id="683"/>
      </w:r>
      <w:r w:rsidR="00321E01">
        <w:t xml:space="preserve">. </w:t>
      </w:r>
      <w:r w:rsidR="0057208F">
        <w:t xml:space="preserve">Durante </w:t>
      </w:r>
      <w:r w:rsidR="00E9076F">
        <w:t xml:space="preserve">a preparação da campanha contra a União Soviética </w:t>
      </w:r>
      <w:r w:rsidR="00ED3430">
        <w:t>o Führer</w:t>
      </w:r>
      <w:r w:rsidR="00E9076F">
        <w:t xml:space="preserve"> insistiu várias vezes na necessidade de destruir os judeus enquanto elite dirigente do bolchevismo</w:t>
      </w:r>
      <w:r w:rsidR="00E9076F">
        <w:rPr>
          <w:rStyle w:val="Refdenotaderodap"/>
        </w:rPr>
        <w:footnoteReference w:id="684"/>
      </w:r>
      <w:r w:rsidR="00E9076F">
        <w:t xml:space="preserve"> </w:t>
      </w:r>
      <w:r w:rsidR="00ED3430">
        <w:t xml:space="preserve">e nas directivas transmitidas em 3 de Março de 1941 ao chefe de operações do Alto Comando da Wehrmacht deixou claro que «a </w:t>
      </w:r>
      <w:r w:rsidR="00ED3430" w:rsidRPr="00817328">
        <w:rPr>
          <w:i/>
        </w:rPr>
        <w:t>intelligentsia</w:t>
      </w:r>
      <w:r w:rsidR="00ED3430">
        <w:t xml:space="preserve"> judaico-bolchevista [...] tem de ser eliminada»</w:t>
      </w:r>
      <w:r w:rsidR="00ED3430">
        <w:rPr>
          <w:rStyle w:val="Refdenotaderodap"/>
        </w:rPr>
        <w:footnoteReference w:id="685"/>
      </w:r>
      <w:r w:rsidR="00ED3430">
        <w:t xml:space="preserve">. </w:t>
      </w:r>
      <w:r w:rsidR="0096786C">
        <w:t xml:space="preserve">Por seu lado, em </w:t>
      </w:r>
      <w:r w:rsidR="000061E2">
        <w:t>2 ou 3 de Agosto de 1941 Himmler explicou a um comandante SS que «os judeus são a força de reserva da guerrilha»</w:t>
      </w:r>
      <w:r w:rsidR="008505DC">
        <w:rPr>
          <w:rStyle w:val="Refdenotaderodap"/>
        </w:rPr>
        <w:footnoteReference w:id="686"/>
      </w:r>
      <w:r w:rsidR="000061E2">
        <w:t xml:space="preserve"> </w:t>
      </w:r>
      <w:r w:rsidR="008505DC">
        <w:t xml:space="preserve">e depois </w:t>
      </w:r>
      <w:r w:rsidR="001B4025">
        <w:t>de se ter encontrado com o Führer em 18 de Dezembro de</w:t>
      </w:r>
      <w:r w:rsidR="0096786C">
        <w:t>sse ano</w:t>
      </w:r>
      <w:r w:rsidR="001B4025">
        <w:t xml:space="preserve">, </w:t>
      </w:r>
      <w:r w:rsidR="00F4787E">
        <w:t xml:space="preserve">já </w:t>
      </w:r>
      <w:r w:rsidR="007B4EA2">
        <w:t>ia em</w:t>
      </w:r>
      <w:r w:rsidR="00F4787E">
        <w:t xml:space="preserve"> seis meses </w:t>
      </w:r>
      <w:r w:rsidR="007B4EA2">
        <w:t>a</w:t>
      </w:r>
      <w:r w:rsidR="00F4787E">
        <w:t xml:space="preserve"> guerra contra </w:t>
      </w:r>
      <w:r w:rsidR="00307DE1">
        <w:t>os soviéticos</w:t>
      </w:r>
      <w:r w:rsidR="00F4787E">
        <w:t xml:space="preserve">, </w:t>
      </w:r>
      <w:r w:rsidR="008505DC">
        <w:t>ele</w:t>
      </w:r>
      <w:r w:rsidR="001B4025">
        <w:t xml:space="preserve"> anotou no seu diário as instruções recebidas: «Questão judaica</w:t>
      </w:r>
      <w:r w:rsidR="00724953">
        <w:t xml:space="preserve"> | </w:t>
      </w:r>
      <w:r w:rsidR="001B4025">
        <w:t>exterminados enquanto guerrilheiros»</w:t>
      </w:r>
      <w:r w:rsidR="00C407D0">
        <w:rPr>
          <w:rStyle w:val="Refdenotaderodap"/>
        </w:rPr>
        <w:footnoteReference w:id="687"/>
      </w:r>
      <w:r w:rsidR="001B4025">
        <w:t xml:space="preserve">. </w:t>
      </w:r>
      <w:r w:rsidR="00446ABA">
        <w:t xml:space="preserve">O imperativo ideológico era tanto mais forte quanto sabemos </w:t>
      </w:r>
      <w:r w:rsidR="00446ABA" w:rsidRPr="003E305A">
        <w:t xml:space="preserve">que </w:t>
      </w:r>
      <w:r w:rsidR="00F339B5" w:rsidRPr="003E305A">
        <w:t xml:space="preserve">em Dezembro de 1941 um perito do departamento económico das forças armadas, </w:t>
      </w:r>
      <w:r w:rsidR="00F339B5">
        <w:t>n</w:t>
      </w:r>
      <w:r w:rsidR="00446ABA" w:rsidRPr="003E305A">
        <w:t>um relatório interno em que adopt</w:t>
      </w:r>
      <w:r w:rsidR="00F339B5">
        <w:t>ou</w:t>
      </w:r>
      <w:r w:rsidR="00446ABA" w:rsidRPr="003E305A">
        <w:t xml:space="preserve"> critérios de racionalidade deliberadamente alhei</w:t>
      </w:r>
      <w:r w:rsidR="00F339B5">
        <w:t>os</w:t>
      </w:r>
      <w:r w:rsidR="00446ABA" w:rsidRPr="003E305A">
        <w:t xml:space="preserve"> à ideologia racial, reconheceu que os judeus da Ucrânia se esforçaram por agradar aos ocupantes </w:t>
      </w:r>
      <w:r w:rsidR="00446ABA">
        <w:t>nacional-socialistas</w:t>
      </w:r>
      <w:r w:rsidR="00446ABA" w:rsidRPr="003E305A">
        <w:t xml:space="preserve"> e não tiveram </w:t>
      </w:r>
      <w:r w:rsidR="00446ABA">
        <w:t>nenhuma</w:t>
      </w:r>
      <w:r w:rsidR="00446ABA" w:rsidRPr="003E305A">
        <w:t xml:space="preserve"> </w:t>
      </w:r>
      <w:r w:rsidR="00446ABA" w:rsidRPr="003E305A">
        <w:lastRenderedPageBreak/>
        <w:t>participação significativa nas acções da resistência</w:t>
      </w:r>
      <w:r w:rsidR="00446ABA">
        <w:rPr>
          <w:rStyle w:val="Refdenotaderodap"/>
        </w:rPr>
        <w:footnoteReference w:id="688"/>
      </w:r>
      <w:r w:rsidR="00446ABA" w:rsidRPr="003E305A">
        <w:t xml:space="preserve">. </w:t>
      </w:r>
      <w:r w:rsidR="00446ABA">
        <w:t>Mas o preconceito estava disseminado. Também</w:t>
      </w:r>
      <w:r w:rsidR="00446ABA" w:rsidRPr="00345760">
        <w:t xml:space="preserve"> </w:t>
      </w:r>
      <w:r w:rsidR="00321E01" w:rsidRPr="00345760">
        <w:t xml:space="preserve">entre os </w:t>
      </w:r>
      <w:r w:rsidR="00756F4C">
        <w:t>oficiais</w:t>
      </w:r>
      <w:r w:rsidR="00321E01" w:rsidRPr="00345760">
        <w:t xml:space="preserve"> da Wehrmacht era corrente a opinião de que cabia aos judeus a responsabilidade pelas acções de resistência</w:t>
      </w:r>
      <w:r w:rsidR="00A45871">
        <w:t>, e actuaram de acordo com esta convicção</w:t>
      </w:r>
      <w:r w:rsidR="00321E01" w:rsidRPr="00345760">
        <w:rPr>
          <w:vertAlign w:val="superscript"/>
        </w:rPr>
        <w:footnoteReference w:id="689"/>
      </w:r>
      <w:r w:rsidR="00321E01" w:rsidRPr="00345760">
        <w:t xml:space="preserve">. </w:t>
      </w:r>
      <w:r w:rsidR="00363BCF">
        <w:t xml:space="preserve">«A luta contra o bolchevismo», explicou </w:t>
      </w:r>
      <w:r w:rsidR="003E2A05">
        <w:t xml:space="preserve">em Setembro de 1941 </w:t>
      </w:r>
      <w:r w:rsidR="00363BCF">
        <w:t xml:space="preserve">o marechal Keitel, </w:t>
      </w:r>
      <w:r w:rsidR="003E2A05">
        <w:t xml:space="preserve">chefe do </w:t>
      </w:r>
      <w:r w:rsidR="00346863">
        <w:t xml:space="preserve">Alto </w:t>
      </w:r>
      <w:r w:rsidR="003E2A05">
        <w:t xml:space="preserve">Comando das Forças Armadas, </w:t>
      </w:r>
      <w:r w:rsidR="00363BCF">
        <w:t>«exige medidas impiedosas e enérgicas, sobretudo contra os judeus, os principais portador</w:t>
      </w:r>
      <w:r w:rsidR="00341D02">
        <w:t>e</w:t>
      </w:r>
      <w:r w:rsidR="00363BCF">
        <w:t>s do bolchevismo»</w:t>
      </w:r>
      <w:r w:rsidR="00341D02">
        <w:rPr>
          <w:rStyle w:val="Refdenotaderodap"/>
        </w:rPr>
        <w:footnoteReference w:id="690"/>
      </w:r>
      <w:r w:rsidR="00363BCF">
        <w:t xml:space="preserve">. E </w:t>
      </w:r>
      <w:r w:rsidR="00363BCF" w:rsidRPr="00345760">
        <w:t xml:space="preserve">numa </w:t>
      </w:r>
      <w:r w:rsidR="00321E01" w:rsidRPr="00345760">
        <w:t>proclamação de Outubro de 1941, que Hitler considerou «excelente», o comandante do Sexto Exército, marechal von Reichenau, sintetizou es</w:t>
      </w:r>
      <w:r w:rsidR="00E13634">
        <w:t>s</w:t>
      </w:r>
      <w:r w:rsidR="00321E01" w:rsidRPr="00345760">
        <w:t>es receios explicando que eram sempre judeus quem instigava os levantamentos na retaguarda das suas tropas</w:t>
      </w:r>
      <w:r w:rsidR="00944F7D">
        <w:t xml:space="preserve"> e afirmando que a obrigação dos soldados </w:t>
      </w:r>
      <w:r w:rsidR="00F17B56">
        <w:t>naquela «campanha contra o sistema judaico-bolchevista» era «exterminar a influência asiática na esfera da cultura europeia»</w:t>
      </w:r>
      <w:r w:rsidR="00321E01" w:rsidRPr="00345760">
        <w:rPr>
          <w:vertAlign w:val="superscript"/>
        </w:rPr>
        <w:footnoteReference w:id="691"/>
      </w:r>
      <w:r w:rsidR="005D34EC">
        <w:t>.</w:t>
      </w:r>
      <w:r w:rsidR="00321E01" w:rsidRPr="00345760">
        <w:t xml:space="preserve"> </w:t>
      </w:r>
      <w:r w:rsidR="00D42B7F">
        <w:t xml:space="preserve">Vários </w:t>
      </w:r>
      <w:r w:rsidR="00CC4EE3">
        <w:t>generais emitiram então proclamações no mesmo sentido</w:t>
      </w:r>
      <w:r w:rsidR="006F4B0D" w:rsidRPr="006F4B0D">
        <w:t xml:space="preserve"> </w:t>
      </w:r>
      <w:r w:rsidR="006F4B0D">
        <w:t>e o marechal von Rundstedt apoiou publicamente aquela declaração</w:t>
      </w:r>
      <w:r w:rsidR="00CC4EE3">
        <w:rPr>
          <w:rStyle w:val="Refdenotaderodap"/>
        </w:rPr>
        <w:footnoteReference w:id="692"/>
      </w:r>
      <w:r w:rsidR="00CC4EE3">
        <w:t xml:space="preserve">. </w:t>
      </w:r>
      <w:r w:rsidR="00920A3E">
        <w:t xml:space="preserve">Em Novembro de 1941 coube ao </w:t>
      </w:r>
      <w:r w:rsidR="002720AA">
        <w:t xml:space="preserve">então </w:t>
      </w:r>
      <w:r w:rsidR="00920A3E">
        <w:t>general von Manstein</w:t>
      </w:r>
      <w:r w:rsidR="00B7424D">
        <w:t>,</w:t>
      </w:r>
      <w:r w:rsidR="00920A3E">
        <w:t xml:space="preserve"> </w:t>
      </w:r>
      <w:r w:rsidR="00B7424D">
        <w:t>à frente do Décimo</w:t>
      </w:r>
      <w:r w:rsidR="0061126F">
        <w:t xml:space="preserve"> </w:t>
      </w:r>
      <w:r w:rsidR="00B7424D">
        <w:t xml:space="preserve">Primeiro Exército, </w:t>
      </w:r>
      <w:r w:rsidR="00920A3E">
        <w:t xml:space="preserve">consignar numa ordem do dia que «os judeus são os intermediários entre o inimigo na nossa rectaguarda e os restos que ainda </w:t>
      </w:r>
      <w:r w:rsidR="002720AA">
        <w:t>pelejam</w:t>
      </w:r>
      <w:r w:rsidR="00920A3E">
        <w:t xml:space="preserve"> do Exército Vermelho e dos chefes vermelhos»</w:t>
      </w:r>
      <w:r w:rsidR="002720AA">
        <w:rPr>
          <w:rStyle w:val="Refdenotaderodap"/>
        </w:rPr>
        <w:footnoteReference w:id="693"/>
      </w:r>
      <w:r w:rsidR="00920A3E">
        <w:t xml:space="preserve">. </w:t>
      </w:r>
      <w:r w:rsidR="004F1512">
        <w:t>Até o general Giovanni Messe, comandan</w:t>
      </w:r>
      <w:r w:rsidR="00A5445D">
        <w:t>te</w:t>
      </w:r>
      <w:r w:rsidR="004F1512">
        <w:t xml:space="preserve"> </w:t>
      </w:r>
      <w:r w:rsidR="00A5445D">
        <w:t>d</w:t>
      </w:r>
      <w:r w:rsidR="00DF6627">
        <w:t xml:space="preserve">o Corpo Expedicionário Italiano </w:t>
      </w:r>
      <w:r w:rsidR="004F1512">
        <w:t xml:space="preserve">na frente </w:t>
      </w:r>
      <w:r w:rsidR="00DF6627">
        <w:t>leste</w:t>
      </w:r>
      <w:r w:rsidR="004F1512">
        <w:t xml:space="preserve">, emitiu </w:t>
      </w:r>
      <w:r w:rsidR="00DF6627">
        <w:t xml:space="preserve">em 1941 </w:t>
      </w:r>
      <w:r w:rsidR="004F1512">
        <w:t>várias proclamações responsabilizando os judeus e os comunistas pelas sabotagens e acções da guerrilha</w:t>
      </w:r>
      <w:r w:rsidR="00A5445D">
        <w:rPr>
          <w:rStyle w:val="Refdenotaderodap"/>
        </w:rPr>
        <w:footnoteReference w:id="694"/>
      </w:r>
      <w:r w:rsidR="004F1512">
        <w:t xml:space="preserve">. E </w:t>
      </w:r>
      <w:r w:rsidR="00A5445D">
        <w:t>e</w:t>
      </w:r>
      <w:r w:rsidR="00ED28EC">
        <w:t xml:space="preserve">m Agosto do 1942, discorrendo </w:t>
      </w:r>
      <w:r w:rsidR="006B2EBF">
        <w:t>perante</w:t>
      </w:r>
      <w:r w:rsidR="00ED28EC">
        <w:t xml:space="preserve"> os comensais no seu posto de comando, o Führer preveniu que «até </w:t>
      </w:r>
      <w:r w:rsidR="00FE123C">
        <w:t xml:space="preserve">serem </w:t>
      </w:r>
      <w:r w:rsidR="00B11321">
        <w:t xml:space="preserve">exterminados os judeus, que constituem o Serviço de Informações dos bandidos, </w:t>
      </w:r>
      <w:r w:rsidR="0027779A">
        <w:t xml:space="preserve">não </w:t>
      </w:r>
      <w:r w:rsidR="00A97773">
        <w:t xml:space="preserve">damos por terminado </w:t>
      </w:r>
      <w:r w:rsidR="0027779A">
        <w:t>o nosso trabalho»</w:t>
      </w:r>
      <w:r w:rsidR="00DC3D37">
        <w:rPr>
          <w:rStyle w:val="Refdenotaderodap"/>
        </w:rPr>
        <w:footnoteReference w:id="695"/>
      </w:r>
      <w:r w:rsidR="0027779A">
        <w:t xml:space="preserve">. </w:t>
      </w:r>
      <w:r w:rsidR="007B6CD4">
        <w:t>Aliás,</w:t>
      </w:r>
      <w:r w:rsidR="00B54F86">
        <w:t xml:space="preserve"> e</w:t>
      </w:r>
      <w:r w:rsidR="00321E01" w:rsidRPr="00EF05D9">
        <w:t xml:space="preserve">m Outubro </w:t>
      </w:r>
      <w:r w:rsidR="00DC3D37">
        <w:t>desse</w:t>
      </w:r>
      <w:r w:rsidR="00321E01">
        <w:t xml:space="preserve"> ano </w:t>
      </w:r>
      <w:r w:rsidR="00321E01" w:rsidRPr="00EF05D9">
        <w:t>a chancelaria do NSDAP envi</w:t>
      </w:r>
      <w:r w:rsidR="00321E01">
        <w:t>ou</w:t>
      </w:r>
      <w:r w:rsidR="00321E01" w:rsidRPr="00EF05D9">
        <w:t xml:space="preserve"> ao aparelho regional do partido instruções confidenciais recomenda</w:t>
      </w:r>
      <w:r w:rsidR="00321E01">
        <w:t>ndo</w:t>
      </w:r>
      <w:r w:rsidR="00321E01" w:rsidRPr="00EF05D9">
        <w:t xml:space="preserve"> a discrição acerca do genocídio dos judeus</w:t>
      </w:r>
      <w:r w:rsidR="00321E01">
        <w:t xml:space="preserve"> e</w:t>
      </w:r>
      <w:r w:rsidR="00321E01" w:rsidRPr="00EF05D9">
        <w:t xml:space="preserve"> explicando que os alemães que não tinham ainda compreendido o verdadeiro carácter do bolchevismo teriam </w:t>
      </w:r>
      <w:r w:rsidR="00321E01" w:rsidRPr="00EF05D9">
        <w:lastRenderedPageBreak/>
        <w:t>dificuldade em admitir aquele tipo de medidas</w:t>
      </w:r>
      <w:r w:rsidR="00321E01" w:rsidRPr="00EF05D9">
        <w:rPr>
          <w:vertAlign w:val="superscript"/>
        </w:rPr>
        <w:footnoteReference w:id="696"/>
      </w:r>
      <w:r w:rsidR="00321E01" w:rsidRPr="00EF05D9">
        <w:t>. Não podia fica</w:t>
      </w:r>
      <w:r w:rsidR="00321E01">
        <w:t>r</w:t>
      </w:r>
      <w:r w:rsidR="00321E01" w:rsidRPr="00EF05D9">
        <w:t xml:space="preserve"> melhor estabelecida a íntima relação entre a anti-raça e o perigo de revolta dos sub-homens. </w:t>
      </w:r>
    </w:p>
    <w:p w:rsidR="00321E01" w:rsidRPr="003E305A" w:rsidRDefault="0009188F" w:rsidP="00321E01">
      <w:r>
        <w:t xml:space="preserve">A </w:t>
      </w:r>
      <w:r w:rsidR="00321E01" w:rsidRPr="0065734E">
        <w:t xml:space="preserve">obsessão transformou-se em monomania após a catástrofe do </w:t>
      </w:r>
      <w:r w:rsidR="00672EDA">
        <w:t xml:space="preserve">Sexto </w:t>
      </w:r>
      <w:r w:rsidR="00672EDA" w:rsidRPr="0065734E">
        <w:t xml:space="preserve">Exército </w:t>
      </w:r>
      <w:r w:rsidR="00321E01" w:rsidRPr="0065734E">
        <w:t xml:space="preserve">em Stalingrado, e os serviços de propaganda </w:t>
      </w:r>
      <w:r w:rsidR="00321E01">
        <w:t>repetiram</w:t>
      </w:r>
      <w:r w:rsidR="00321E01" w:rsidRPr="0065734E">
        <w:t xml:space="preserve"> </w:t>
      </w:r>
      <w:r w:rsidR="00321E01">
        <w:t xml:space="preserve">incansavelmente </w:t>
      </w:r>
      <w:r w:rsidR="00321E01" w:rsidRPr="0065734E">
        <w:t>que os judeus, que haviam sido os causadores da guerra, eram agora os promotores da resistência e os organizadores do terrorismo</w:t>
      </w:r>
      <w:r w:rsidR="00321E01" w:rsidRPr="0065734E">
        <w:rPr>
          <w:vertAlign w:val="superscript"/>
        </w:rPr>
        <w:footnoteReference w:id="697"/>
      </w:r>
      <w:r w:rsidR="00321E01" w:rsidRPr="0065734E">
        <w:t xml:space="preserve">. </w:t>
      </w:r>
      <w:r w:rsidRPr="00EF05D9">
        <w:t xml:space="preserve">Durante </w:t>
      </w:r>
      <w:r>
        <w:t xml:space="preserve">o conflito </w:t>
      </w:r>
      <w:r w:rsidR="00321E01" w:rsidRPr="00EF05D9">
        <w:t>Goebbels</w:t>
      </w:r>
      <w:r w:rsidR="00321E01" w:rsidRPr="00B90D6B">
        <w:t>, ministro da Propaganda,</w:t>
      </w:r>
      <w:r w:rsidR="00321E01" w:rsidRPr="00EF05D9">
        <w:t xml:space="preserve"> consagr</w:t>
      </w:r>
      <w:r>
        <w:t>ou</w:t>
      </w:r>
      <w:r w:rsidR="00321E01" w:rsidRPr="00EF05D9">
        <w:t xml:space="preserve"> a temas anti-semitas entre 70% e 80% das emissões radiofónicas destinadas ao estrangeiro</w:t>
      </w:r>
      <w:r w:rsidR="00321E01" w:rsidRPr="00EF05D9">
        <w:rPr>
          <w:vertAlign w:val="superscript"/>
        </w:rPr>
        <w:footnoteReference w:id="698"/>
      </w:r>
      <w:r w:rsidR="00321E01" w:rsidRPr="00EF05D9">
        <w:t>. Mesmo no coração do Reich Goebbels não se sentia seguro</w:t>
      </w:r>
      <w:r w:rsidR="00041E68">
        <w:t xml:space="preserve"> e,</w:t>
      </w:r>
      <w:r w:rsidR="00D345AA">
        <w:t xml:space="preserve"> </w:t>
      </w:r>
      <w:r w:rsidR="00041E68">
        <w:t xml:space="preserve">apesar de </w:t>
      </w:r>
      <w:r w:rsidR="00041E68" w:rsidRPr="00D345AA">
        <w:t xml:space="preserve">em Fevereiro de 1943 </w:t>
      </w:r>
      <w:r w:rsidR="00041E68">
        <w:t>terem sido</w:t>
      </w:r>
      <w:r w:rsidR="00041E68" w:rsidRPr="00D345AA">
        <w:t xml:space="preserve"> enviados para campos de concentração praticamente todos os oito mil judeus que restavam em Berlim</w:t>
      </w:r>
      <w:r w:rsidR="00041E68">
        <w:rPr>
          <w:rStyle w:val="Refdenotaderodap"/>
        </w:rPr>
        <w:footnoteReference w:id="699"/>
      </w:r>
      <w:r w:rsidR="00041E68">
        <w:t xml:space="preserve">, </w:t>
      </w:r>
      <w:r w:rsidR="00D345AA">
        <w:t xml:space="preserve">em Março e Abril </w:t>
      </w:r>
      <w:r w:rsidR="00041E68">
        <w:t xml:space="preserve">ele </w:t>
      </w:r>
      <w:r w:rsidR="00321E01" w:rsidRPr="00EF05D9">
        <w:t>tem</w:t>
      </w:r>
      <w:r w:rsidR="00041E68">
        <w:t xml:space="preserve">ia ainda </w:t>
      </w:r>
      <w:r w:rsidR="00321E01" w:rsidRPr="00EF05D9">
        <w:t xml:space="preserve">que os intelectuais judeus </w:t>
      </w:r>
      <w:r w:rsidR="00041E68">
        <w:t xml:space="preserve">da cidade </w:t>
      </w:r>
      <w:r w:rsidR="00321E01" w:rsidRPr="00EF05D9">
        <w:t>se pusessem à frente dos operários estrangeiros integrados no Serviço de Trabalho Obrigatório e os levassem a revoltar-se</w:t>
      </w:r>
      <w:r w:rsidR="00321E01" w:rsidRPr="00EF05D9">
        <w:rPr>
          <w:vertAlign w:val="superscript"/>
        </w:rPr>
        <w:footnoteReference w:id="700"/>
      </w:r>
      <w:r w:rsidR="00321E01" w:rsidRPr="00EF05D9">
        <w:t xml:space="preserve">. </w:t>
      </w:r>
      <w:r w:rsidR="00E5309B">
        <w:t>Quanto a isto o Führer parecia estar mais tranquilo</w:t>
      </w:r>
      <w:r w:rsidR="00C722EF">
        <w:t>,</w:t>
      </w:r>
      <w:r w:rsidR="00E5309B">
        <w:t xml:space="preserve"> porque em </w:t>
      </w:r>
      <w:r w:rsidR="00AF0EBE">
        <w:t xml:space="preserve">8 de </w:t>
      </w:r>
      <w:r w:rsidR="00E5309B">
        <w:t xml:space="preserve">Maio desse ano, num discurso aos Gauleiter, </w:t>
      </w:r>
      <w:r w:rsidR="00AF0EBE">
        <w:t xml:space="preserve">depois de asegurar que «nunca haverá uma rebelião no Reich contra a nossa </w:t>
      </w:r>
      <w:r w:rsidR="00C722EF">
        <w:t>chefia</w:t>
      </w:r>
      <w:r w:rsidR="00AF0EBE">
        <w:t xml:space="preserve">», explicou que «não existe aqui nenhuma </w:t>
      </w:r>
      <w:r w:rsidR="00C722EF">
        <w:t>chefia</w:t>
      </w:r>
      <w:r w:rsidR="00AF0EBE">
        <w:t xml:space="preserve"> judaica para tal»</w:t>
      </w:r>
      <w:r w:rsidR="009743BF">
        <w:rPr>
          <w:rStyle w:val="Refdenotaderodap"/>
        </w:rPr>
        <w:footnoteReference w:id="701"/>
      </w:r>
      <w:r w:rsidR="00AF0EBE">
        <w:t xml:space="preserve">. </w:t>
      </w:r>
      <w:r w:rsidR="009743BF">
        <w:t xml:space="preserve">Hitler </w:t>
      </w:r>
      <w:r w:rsidR="00321E01">
        <w:t>recorre</w:t>
      </w:r>
      <w:r w:rsidR="0088443F">
        <w:t>u</w:t>
      </w:r>
      <w:r w:rsidR="00321E01">
        <w:t xml:space="preserve"> </w:t>
      </w:r>
      <w:r w:rsidR="009743BF">
        <w:t xml:space="preserve">ainda </w:t>
      </w:r>
      <w:r w:rsidR="00321E01">
        <w:t xml:space="preserve">a este tipo de </w:t>
      </w:r>
      <w:r w:rsidR="00321E01" w:rsidRPr="003E305A">
        <w:t>argumento</w:t>
      </w:r>
      <w:r w:rsidR="00321E01">
        <w:t>s</w:t>
      </w:r>
      <w:r w:rsidR="00321E01" w:rsidRPr="003E305A">
        <w:t xml:space="preserve"> em Abril de 1943, tent</w:t>
      </w:r>
      <w:r>
        <w:t>ando</w:t>
      </w:r>
      <w:r w:rsidR="00321E01" w:rsidRPr="003E305A">
        <w:t xml:space="preserve"> persuadir Horthy, regente da Hungria, a colaborar no extermínio dos judeus</w:t>
      </w:r>
      <w:r w:rsidR="00321E01" w:rsidRPr="003E305A">
        <w:rPr>
          <w:rStyle w:val="Refdenotaderodap"/>
        </w:rPr>
        <w:footnoteReference w:id="702"/>
      </w:r>
      <w:r w:rsidR="00321E01" w:rsidRPr="003E305A">
        <w:t xml:space="preserve">. </w:t>
      </w:r>
      <w:r w:rsidR="00321E01">
        <w:t xml:space="preserve">E </w:t>
      </w:r>
      <w:r w:rsidR="00321E01" w:rsidRPr="003E305A">
        <w:t>Himmler justific</w:t>
      </w:r>
      <w:r w:rsidR="00321E01">
        <w:t>ou</w:t>
      </w:r>
      <w:r w:rsidR="00321E01" w:rsidRPr="003E305A">
        <w:t xml:space="preserve"> a liquidação dos judeus</w:t>
      </w:r>
      <w:r w:rsidR="00321E01">
        <w:t>,</w:t>
      </w:r>
      <w:r w:rsidR="00321E01" w:rsidRPr="003E305A">
        <w:t xml:space="preserve"> </w:t>
      </w:r>
      <w:r w:rsidR="00321E01">
        <w:t xml:space="preserve">num discurso proferido </w:t>
      </w:r>
      <w:r w:rsidR="00321E01" w:rsidRPr="003E305A">
        <w:t xml:space="preserve">em Junho de 1944 perante os outros comandantes dos SS, </w:t>
      </w:r>
      <w:r w:rsidR="00321E01">
        <w:t xml:space="preserve">dizendo </w:t>
      </w:r>
      <w:r w:rsidR="00321E01" w:rsidRPr="003E305A">
        <w:t>que eram eles os organizadores do terrorismo e que enquanto existissem nem podia haver ordem na retaguarda nem as linhas de frente podiam ser mantidas</w:t>
      </w:r>
      <w:r w:rsidR="00321E01" w:rsidRPr="003E305A">
        <w:rPr>
          <w:rStyle w:val="Refdenotaderodap"/>
        </w:rPr>
        <w:footnoteReference w:id="703"/>
      </w:r>
      <w:r w:rsidR="00321E01" w:rsidRPr="003E305A">
        <w:t>. O Gauleiter da Saxónia aprendeu a lição e no mês seguinte enviou uma carta a Himmler, repetindo que enquanto houvesse judeus na Europa os guerrilheiros, os sabotadores e os criminosos encontrariam neles os seus chefes naturais</w:t>
      </w:r>
      <w:r w:rsidR="00321E01" w:rsidRPr="003E305A">
        <w:rPr>
          <w:rStyle w:val="Refdenotaderodap"/>
        </w:rPr>
        <w:footnoteReference w:id="704"/>
      </w:r>
      <w:r w:rsidR="00321E01" w:rsidRPr="003E305A">
        <w:t xml:space="preserve">. </w:t>
      </w:r>
      <w:r>
        <w:t xml:space="preserve">Em suma, </w:t>
      </w:r>
      <w:r w:rsidR="00321E01" w:rsidRPr="003E305A">
        <w:t xml:space="preserve">para manter os eslavos em estado de submissão era necessário exterminar os judeus. </w:t>
      </w:r>
      <w:r w:rsidR="00321E01">
        <w:t>«Só as aldeias livres de judeus é que não se tornam bases de guerrilha», afirmou lapidarmente um general SS muito ligado a Himmler</w:t>
      </w:r>
      <w:r w:rsidR="00321E01">
        <w:rPr>
          <w:rStyle w:val="Refdenotaderodap"/>
        </w:rPr>
        <w:footnoteReference w:id="705"/>
      </w:r>
      <w:r w:rsidR="00321E01">
        <w:t xml:space="preserve">. </w:t>
      </w:r>
    </w:p>
    <w:p w:rsidR="00321E01" w:rsidRPr="003E305A" w:rsidRDefault="00321E01" w:rsidP="00321E01">
      <w:r w:rsidRPr="003E305A">
        <w:lastRenderedPageBreak/>
        <w:t xml:space="preserve">A segunda fase do programa anti-semita exigira apenas que os judeus fossem afastados da sociedade germânica, sem que </w:t>
      </w:r>
      <w:r>
        <w:t xml:space="preserve">parecesse necessária </w:t>
      </w:r>
      <w:r w:rsidRPr="003E305A">
        <w:t xml:space="preserve">a sua liquidação física </w:t>
      </w:r>
      <w:r>
        <w:t xml:space="preserve">imediata e </w:t>
      </w:r>
      <w:r w:rsidRPr="003E305A">
        <w:t xml:space="preserve">generalizada. </w:t>
      </w:r>
      <w:r>
        <w:t xml:space="preserve">Para resolver o problema bastariam </w:t>
      </w:r>
      <w:r w:rsidRPr="003E305A">
        <w:t xml:space="preserve">a emigração em massa e o sistema concentracionário. Só quando os </w:t>
      </w:r>
      <w:r w:rsidR="00672EDA">
        <w:t>nacionais-socialistas</w:t>
      </w:r>
      <w:r w:rsidRPr="003E305A">
        <w:t xml:space="preserve"> começaram a ocupar as terras eslavas e a escravizar os </w:t>
      </w:r>
      <w:r w:rsidRPr="003E305A">
        <w:rPr>
          <w:i/>
        </w:rPr>
        <w:t>Untermenschen</w:t>
      </w:r>
      <w:r w:rsidRPr="003E305A">
        <w:t xml:space="preserve"> é que, dentro </w:t>
      </w:r>
      <w:r w:rsidR="00672EDA">
        <w:t xml:space="preserve">de uma </w:t>
      </w:r>
      <w:r w:rsidRPr="003E305A">
        <w:t xml:space="preserve">lógica absurda mas não menos imperiosa, se tornou iminente o perigo de os judeus se colocarem à frente dos eslavos. Na mitologia racial hitleriana passou então a ser urgente o extermínio dos judeus, inaugurando-se a terceira fase do programa </w:t>
      </w:r>
      <w:r w:rsidR="00CA7847">
        <w:t xml:space="preserve">de violência </w:t>
      </w:r>
      <w:r w:rsidRPr="003E305A">
        <w:t>anti-semita</w:t>
      </w:r>
      <w:r w:rsidR="008363B5">
        <w:rPr>
          <w:rStyle w:val="Refdenotaderodap"/>
        </w:rPr>
        <w:footnoteReference w:id="706"/>
      </w:r>
      <w:r w:rsidRPr="003E305A">
        <w:t>. A «solução final» do problema judaico</w:t>
      </w:r>
      <w:r w:rsidR="00672EDA">
        <w:t>,</w:t>
      </w:r>
      <w:r w:rsidRPr="003E305A">
        <w:t xml:space="preserve"> </w:t>
      </w:r>
      <w:r w:rsidR="00672EDA">
        <w:t xml:space="preserve">acompanhada pela </w:t>
      </w:r>
      <w:r w:rsidR="00516767">
        <w:t>supressão</w:t>
      </w:r>
      <w:r w:rsidR="00672EDA">
        <w:t xml:space="preserve"> ou a apropriação do sangue nórdico que pudesse restar entre os eslavos, </w:t>
      </w:r>
      <w:r w:rsidRPr="003E305A">
        <w:t xml:space="preserve">anularia de maneira definitiva os riscos de instabilidade social nos territórios de </w:t>
      </w:r>
      <w:r w:rsidR="009F6645" w:rsidRPr="003E305A">
        <w:t>Leste</w:t>
      </w:r>
      <w:r w:rsidRPr="003E305A">
        <w:t xml:space="preserve">. </w:t>
      </w:r>
    </w:p>
    <w:p w:rsidR="00321E01" w:rsidRPr="009704EE" w:rsidRDefault="00321E01" w:rsidP="00321E01">
      <w:r w:rsidRPr="009704EE">
        <w:t xml:space="preserve">É nesta escala que devemos analisar o racismo </w:t>
      </w:r>
      <w:r w:rsidR="00D40802">
        <w:t>hitleriano</w:t>
      </w:r>
      <w:r w:rsidRPr="009704EE">
        <w:t xml:space="preserve">. </w:t>
      </w:r>
      <w:r w:rsidR="00CB7A55">
        <w:t xml:space="preserve">Pelas razões do costume, </w:t>
      </w:r>
      <w:r w:rsidRPr="009704EE">
        <w:t>durante a guerra fria os meios de comunicação de massa ocidentais ocultar</w:t>
      </w:r>
      <w:r>
        <w:t>am</w:t>
      </w:r>
      <w:r w:rsidRPr="009704EE">
        <w:t xml:space="preserve"> que a chacina </w:t>
      </w:r>
      <w:r w:rsidR="00516767">
        <w:t xml:space="preserve">e a escravização </w:t>
      </w:r>
      <w:r w:rsidRPr="009704EE">
        <w:t>dos eslavos constituíra</w:t>
      </w:r>
      <w:r w:rsidR="00516767">
        <w:t>m</w:t>
      </w:r>
      <w:r w:rsidRPr="009704EE">
        <w:t xml:space="preserve"> um dos eixos norteadores da estratégia racial de Hitler</w:t>
      </w:r>
      <w:r w:rsidR="00CB7A55">
        <w:t xml:space="preserve">, o que deixou sem explicação lógica o programa de extermínio dos judeus, simultâneo </w:t>
      </w:r>
      <w:r w:rsidR="00B31AA2">
        <w:t xml:space="preserve">com </w:t>
      </w:r>
      <w:r w:rsidR="00CB7A55">
        <w:t>a campanha contra a União Soviética</w:t>
      </w:r>
      <w:r w:rsidRPr="009704EE">
        <w:t xml:space="preserve">. </w:t>
      </w:r>
      <w:r w:rsidR="0061589F">
        <w:t xml:space="preserve">Aliás, convém saber que </w:t>
      </w:r>
      <w:r w:rsidR="009321DC">
        <w:t xml:space="preserve">o </w:t>
      </w:r>
      <w:r w:rsidR="00CF4B63">
        <w:t>método</w:t>
      </w:r>
      <w:r w:rsidR="009321DC">
        <w:t xml:space="preserve"> de liquidação de grupos de judeus em </w:t>
      </w:r>
      <w:r w:rsidR="00652730">
        <w:t xml:space="preserve">camiões </w:t>
      </w:r>
      <w:r w:rsidR="009321DC">
        <w:t xml:space="preserve">mediante os gases emanados do </w:t>
      </w:r>
      <w:r w:rsidR="00652730">
        <w:t>motor foi primeiro experimentado</w:t>
      </w:r>
      <w:r w:rsidR="009321DC">
        <w:t>, no Outono de 1941, com prisioneiros de guerra soviéticos</w:t>
      </w:r>
      <w:r w:rsidR="009321DC">
        <w:rPr>
          <w:rStyle w:val="Refdenotaderodap"/>
        </w:rPr>
        <w:footnoteReference w:id="707"/>
      </w:r>
      <w:r w:rsidR="009321DC">
        <w:t xml:space="preserve"> e que </w:t>
      </w:r>
      <w:r w:rsidR="0061589F">
        <w:t xml:space="preserve">no campo de extermínio de Auschwitz as primeiras vítimas do gás Zyklon B foram </w:t>
      </w:r>
      <w:r w:rsidR="00E26EF2">
        <w:t xml:space="preserve">várias centenas de militares </w:t>
      </w:r>
      <w:r w:rsidR="0061589F">
        <w:t>soviéticos, liquidados no início de Setembro de 1941</w:t>
      </w:r>
      <w:r w:rsidR="0061589F">
        <w:rPr>
          <w:rStyle w:val="Refdenotaderodap"/>
        </w:rPr>
        <w:footnoteReference w:id="708"/>
      </w:r>
      <w:r w:rsidR="0061589F">
        <w:t xml:space="preserve">. Ainda </w:t>
      </w:r>
      <w:r w:rsidR="0061589F" w:rsidRPr="009704EE">
        <w:t xml:space="preserve">hoje </w:t>
      </w:r>
      <w:r w:rsidRPr="009704EE">
        <w:t>os órgãos de informação resume</w:t>
      </w:r>
      <w:r w:rsidR="00D40802">
        <w:t>m</w:t>
      </w:r>
      <w:r w:rsidRPr="009704EE">
        <w:t xml:space="preserve"> o </w:t>
      </w:r>
      <w:r w:rsidR="0017072C">
        <w:t xml:space="preserve">Terceiro Reich </w:t>
      </w:r>
      <w:r w:rsidRPr="009704EE">
        <w:t xml:space="preserve">ao genocídio dos judeus e, como </w:t>
      </w:r>
      <w:r>
        <w:t xml:space="preserve">muitos </w:t>
      </w:r>
      <w:r w:rsidRPr="009704EE">
        <w:t>académicos segui</w:t>
      </w:r>
      <w:r>
        <w:t>ram</w:t>
      </w:r>
      <w:r w:rsidRPr="009704EE">
        <w:t xml:space="preserve"> na peugada dos jornalistas, a especificidade daquele tipo de anti-semitismo deixou de ser entendida. Mas o </w:t>
      </w:r>
      <w:r w:rsidR="00B31AA2">
        <w:t xml:space="preserve">núcleo </w:t>
      </w:r>
      <w:r w:rsidRPr="009704EE">
        <w:t>do fascismo hitleriano</w:t>
      </w:r>
      <w:r w:rsidR="007453B9">
        <w:t xml:space="preserve"> </w:t>
      </w:r>
      <w:r w:rsidRPr="009704EE">
        <w:t xml:space="preserve">consistiu nas medidas destinadas a criar uma raça </w:t>
      </w:r>
      <w:r>
        <w:t>de senhores</w:t>
      </w:r>
      <w:r w:rsidR="004B2332">
        <w:t>,</w:t>
      </w:r>
      <w:r w:rsidRPr="009704EE">
        <w:t xml:space="preserve"> </w:t>
      </w:r>
      <w:r w:rsidR="004B2332">
        <w:t xml:space="preserve">e evocar o </w:t>
      </w:r>
      <w:r w:rsidR="004B2332" w:rsidRPr="009704EE">
        <w:t xml:space="preserve">anti-semitismo </w:t>
      </w:r>
      <w:r w:rsidR="004B2332">
        <w:t xml:space="preserve">omitindo o antieslavismo </w:t>
      </w:r>
      <w:r w:rsidR="004B2332" w:rsidRPr="009704EE">
        <w:t xml:space="preserve">corresponde </w:t>
      </w:r>
      <w:r w:rsidR="004B2332">
        <w:t xml:space="preserve">a ignorar </w:t>
      </w:r>
      <w:r w:rsidR="004B2332" w:rsidRPr="009704EE">
        <w:t xml:space="preserve">o fundamento das instituições usadas na manutenção da ordem e a esquecer um ensaio de economia escravista. </w:t>
      </w:r>
      <w:r w:rsidR="004B2332">
        <w:t xml:space="preserve">Na </w:t>
      </w:r>
      <w:r>
        <w:t>lógica</w:t>
      </w:r>
      <w:r w:rsidR="004B2332">
        <w:t xml:space="preserve"> nacional-socialista</w:t>
      </w:r>
      <w:r>
        <w:t xml:space="preserve"> </w:t>
      </w:r>
      <w:r w:rsidRPr="009704EE">
        <w:t xml:space="preserve">a liquidação dos judeus era necessária para assegurar a submissão definitiva dos eslavos </w:t>
      </w:r>
      <w:r w:rsidRPr="00D10BD0">
        <w:t xml:space="preserve">e </w:t>
      </w:r>
      <w:r w:rsidRPr="009704EE">
        <w:t xml:space="preserve">a estabilidade do domínio nórdico. </w:t>
      </w:r>
    </w:p>
    <w:p w:rsidR="00F54358" w:rsidRDefault="00321E01" w:rsidP="00321E01">
      <w:r w:rsidRPr="009704EE">
        <w:lastRenderedPageBreak/>
        <w:t xml:space="preserve">Por outro lado, desde há algum tempo vários historiadores de extrema-direita, no intuito de apaladar o Terceiro Reich ao gosto do público democrático, têm pretendido que o genocídio planificado dos judeus </w:t>
      </w:r>
      <w:r w:rsidR="00190486" w:rsidRPr="009704EE">
        <w:t xml:space="preserve">mediante o emprego de câmaras de gás </w:t>
      </w:r>
      <w:r w:rsidRPr="009704EE">
        <w:t xml:space="preserve">em campos de concentração </w:t>
      </w:r>
      <w:r w:rsidR="00190486">
        <w:t xml:space="preserve">e graças aos </w:t>
      </w:r>
      <w:r w:rsidR="003A5631" w:rsidRPr="00E110F1">
        <w:t>Einsatzgruppen</w:t>
      </w:r>
      <w:r w:rsidR="003A5631">
        <w:t xml:space="preserve"> </w:t>
      </w:r>
      <w:r w:rsidR="00190486">
        <w:t xml:space="preserve">nos territórios soviéticos ocupados </w:t>
      </w:r>
      <w:r w:rsidRPr="009704EE">
        <w:t xml:space="preserve">seria um mito, elaborado no pós-guerra com base em testemunhos contraditórios. </w:t>
      </w:r>
      <w:r w:rsidR="00225CED">
        <w:t xml:space="preserve">É certo que as contradições abundam, e mais neste assunto do que </w:t>
      </w:r>
      <w:r w:rsidR="00F54358">
        <w:t xml:space="preserve">em alguns </w:t>
      </w:r>
      <w:r w:rsidR="00225CED">
        <w:t xml:space="preserve">outros, porque os decretos secretos do Führer constituíam uma figura jurídica e podiam assumir a forma de instruções </w:t>
      </w:r>
      <w:r w:rsidR="003E3A00">
        <w:t>orais</w:t>
      </w:r>
      <w:r w:rsidR="0075326C">
        <w:rPr>
          <w:rStyle w:val="Refdenotaderodap"/>
        </w:rPr>
        <w:footnoteReference w:id="709"/>
      </w:r>
      <w:r w:rsidR="00225CED">
        <w:t xml:space="preserve">, e também porque </w:t>
      </w:r>
      <w:r w:rsidR="00D20BC0">
        <w:t xml:space="preserve">o </w:t>
      </w:r>
      <w:r w:rsidR="003A5631">
        <w:t>regime</w:t>
      </w:r>
      <w:r w:rsidR="00D20BC0">
        <w:t xml:space="preserve"> se base</w:t>
      </w:r>
      <w:r w:rsidR="005A341B">
        <w:t>a</w:t>
      </w:r>
      <w:r w:rsidR="00D20BC0">
        <w:t xml:space="preserve">va na multiplicação dos órgãos </w:t>
      </w:r>
      <w:r w:rsidR="00F54358">
        <w:t>de poder</w:t>
      </w:r>
      <w:r w:rsidR="00D20BC0">
        <w:t xml:space="preserve"> e na sua concorrência recíproca. </w:t>
      </w:r>
      <w:r w:rsidR="00C90C99">
        <w:t xml:space="preserve">Por isso é </w:t>
      </w:r>
      <w:r w:rsidR="00395C7F">
        <w:t xml:space="preserve">inútil procurar os </w:t>
      </w:r>
      <w:r w:rsidR="00AF48F7">
        <w:t>traços</w:t>
      </w:r>
      <w:r w:rsidR="00395C7F">
        <w:t xml:space="preserve"> escritos de uma decisão única, forçosamente esquivos </w:t>
      </w:r>
      <w:r w:rsidR="008024D2">
        <w:t xml:space="preserve">no caso </w:t>
      </w:r>
      <w:r w:rsidR="00395C7F">
        <w:t>de ordens verbais tomadas por instâncias rivais</w:t>
      </w:r>
      <w:r w:rsidR="00AF48F7">
        <w:t>, sobretudo existindo o comprovado desejo de manter a operação tanto quanto possível secreta e lhe apagar os vestígios</w:t>
      </w:r>
      <w:r w:rsidR="00395C7F">
        <w:t xml:space="preserve">. </w:t>
      </w:r>
      <w:r w:rsidR="003E501B">
        <w:t xml:space="preserve">Para mais, </w:t>
      </w:r>
      <w:r w:rsidR="00C56873" w:rsidRPr="001F54CA">
        <w:t xml:space="preserve">parece que com </w:t>
      </w:r>
      <w:r w:rsidR="003E501B">
        <w:t xml:space="preserve">o intuito de chegar a uma paz com os Aliados ocidentais para prosseguir a guerra a Leste, Himmler </w:t>
      </w:r>
      <w:r w:rsidR="003E501B" w:rsidRPr="001F54CA">
        <w:t xml:space="preserve">deu ordens </w:t>
      </w:r>
      <w:r w:rsidR="00C56873" w:rsidRPr="001F54CA">
        <w:t>em Novembro de 1944 para se interrompe</w:t>
      </w:r>
      <w:r w:rsidR="003E501B">
        <w:t>r</w:t>
      </w:r>
      <w:r w:rsidR="00C56873" w:rsidRPr="001F54CA">
        <w:t xml:space="preserve"> o programa de genocídio dos judeus e se desmantela</w:t>
      </w:r>
      <w:r w:rsidR="003E501B">
        <w:t>r</w:t>
      </w:r>
      <w:r w:rsidR="00C56873" w:rsidRPr="001F54CA">
        <w:t xml:space="preserve">em as câmaras de gás de Auschwitz, as únicas instalações de extermínio que </w:t>
      </w:r>
      <w:r w:rsidR="00C56873" w:rsidRPr="00665020">
        <w:t xml:space="preserve">então </w:t>
      </w:r>
      <w:r w:rsidR="00C56873" w:rsidRPr="001F54CA">
        <w:t>se encontravam ainda em funcionamento</w:t>
      </w:r>
      <w:r w:rsidR="008D67A8">
        <w:rPr>
          <w:rStyle w:val="Refdenotaderodap"/>
        </w:rPr>
        <w:footnoteReference w:id="710"/>
      </w:r>
      <w:r w:rsidR="00C56873" w:rsidRPr="001F54CA">
        <w:t xml:space="preserve">. </w:t>
      </w:r>
      <w:r w:rsidR="00395C7F" w:rsidRPr="009704EE">
        <w:t xml:space="preserve">O </w:t>
      </w:r>
      <w:r w:rsidRPr="009704EE">
        <w:t xml:space="preserve">que os promotores </w:t>
      </w:r>
      <w:r w:rsidR="007D6208">
        <w:t>daquele</w:t>
      </w:r>
      <w:r w:rsidRPr="009704EE">
        <w:t xml:space="preserve"> </w:t>
      </w:r>
      <w:r w:rsidRPr="009704EE">
        <w:rPr>
          <w:i/>
        </w:rPr>
        <w:lastRenderedPageBreak/>
        <w:t>aggiornamento</w:t>
      </w:r>
      <w:r w:rsidRPr="009704EE">
        <w:t xml:space="preserve"> do </w:t>
      </w:r>
      <w:r w:rsidR="00BB44D3">
        <w:t>nacional-socialismo</w:t>
      </w:r>
      <w:r w:rsidRPr="009704EE">
        <w:t xml:space="preserve"> se abstêm de referir é que </w:t>
      </w:r>
      <w:r w:rsidR="003A5631">
        <w:t xml:space="preserve">a liquidação </w:t>
      </w:r>
      <w:r w:rsidRPr="009704EE">
        <w:t xml:space="preserve">dos judeus </w:t>
      </w:r>
      <w:r w:rsidR="003E501B">
        <w:t>teve</w:t>
      </w:r>
      <w:r w:rsidRPr="009704EE">
        <w:t xml:space="preserve"> o seu lugar exactamente marcado na ideologia hitleriana desde que ela começou a formular-se e que toda a prática política promovida por Hitler </w:t>
      </w:r>
      <w:r w:rsidR="003E501B">
        <w:t>supôs</w:t>
      </w:r>
      <w:r w:rsidRPr="009704EE">
        <w:t xml:space="preserve"> necessariamente a «solução final»</w:t>
      </w:r>
      <w:r>
        <w:t>.</w:t>
      </w:r>
      <w:r w:rsidRPr="009704EE">
        <w:t xml:space="preserve"> </w:t>
      </w:r>
      <w:r w:rsidR="00F54358">
        <w:t xml:space="preserve">A razão de ser do Terceiro Reich era a implantação de um escravismo de Estado no Leste, e </w:t>
      </w:r>
      <w:r w:rsidR="001D7586">
        <w:t xml:space="preserve">nem </w:t>
      </w:r>
      <w:r w:rsidR="00297614">
        <w:t xml:space="preserve">os nórdicos poderiam afirmar-se como </w:t>
      </w:r>
      <w:r w:rsidR="001D7586">
        <w:t xml:space="preserve">raça de senhores sem </w:t>
      </w:r>
      <w:r w:rsidR="00297614">
        <w:t>prevenir a acção desagregadora d</w:t>
      </w:r>
      <w:r w:rsidR="00297614" w:rsidRPr="009704EE">
        <w:t>a anti-raça consubstanciada no Judeu</w:t>
      </w:r>
      <w:r w:rsidR="00297614">
        <w:t xml:space="preserve">, </w:t>
      </w:r>
      <w:r w:rsidR="001D7586">
        <w:t xml:space="preserve">nem </w:t>
      </w:r>
      <w:r w:rsidR="00297614">
        <w:t xml:space="preserve">a </w:t>
      </w:r>
      <w:r w:rsidR="00297614" w:rsidRPr="009704EE">
        <w:t>sub-humanidade eslava</w:t>
      </w:r>
      <w:r w:rsidR="00297614">
        <w:t xml:space="preserve"> </w:t>
      </w:r>
      <w:r w:rsidR="001D7586">
        <w:t xml:space="preserve">poderia </w:t>
      </w:r>
      <w:r w:rsidR="00F54358">
        <w:t>fica</w:t>
      </w:r>
      <w:r w:rsidR="001D7586">
        <w:t>r</w:t>
      </w:r>
      <w:r w:rsidR="00F54358">
        <w:t xml:space="preserve"> definitivamente submetid</w:t>
      </w:r>
      <w:r w:rsidR="00297614">
        <w:t>a</w:t>
      </w:r>
      <w:r w:rsidR="00F54358">
        <w:t xml:space="preserve"> </w:t>
      </w:r>
      <w:r w:rsidR="001D7586">
        <w:t xml:space="preserve">sem se </w:t>
      </w:r>
      <w:r w:rsidR="00F54358">
        <w:t xml:space="preserve">eliminar </w:t>
      </w:r>
      <w:r w:rsidR="002022EC">
        <w:t xml:space="preserve">a acção subversora </w:t>
      </w:r>
      <w:r w:rsidR="003A5631">
        <w:t>da</w:t>
      </w:r>
      <w:r w:rsidR="002022EC">
        <w:t xml:space="preserve"> </w:t>
      </w:r>
      <w:r w:rsidR="00F54358">
        <w:t xml:space="preserve">anti-raça. Só assim poderia erguer-se o Reich de Mil Anos. </w:t>
      </w:r>
      <w:r w:rsidR="00297614" w:rsidRPr="009704EE">
        <w:t xml:space="preserve">Nesta dialéctica tripla, o genocídio dos judeus </w:t>
      </w:r>
      <w:r w:rsidR="00297614">
        <w:t>—</w:t>
      </w:r>
      <w:r w:rsidR="00297614" w:rsidRPr="009704EE">
        <w:t xml:space="preserve"> de todos os que eram representados como judeus </w:t>
      </w:r>
      <w:r w:rsidR="00297614">
        <w:t>—</w:t>
      </w:r>
      <w:r w:rsidR="00297614" w:rsidRPr="009704EE">
        <w:t xml:space="preserve"> surgia enquanto necessidade estrutural e é isto que verdadeiramente confere aos factos o peso histórico e demonstra a sua realidade.</w:t>
      </w:r>
      <w:r w:rsidR="00297614">
        <w:t xml:space="preserve"> </w:t>
      </w:r>
    </w:p>
    <w:p w:rsidR="00321E01" w:rsidRPr="009704EE" w:rsidRDefault="00321E01" w:rsidP="00321E01">
      <w:r w:rsidRPr="009704EE">
        <w:t xml:space="preserve">Já em </w:t>
      </w:r>
      <w:r w:rsidRPr="009704EE">
        <w:rPr>
          <w:i/>
        </w:rPr>
        <w:t>Mein Kampf</w:t>
      </w:r>
      <w:r w:rsidRPr="009704EE">
        <w:t xml:space="preserve"> o futuro Führer pronunciara a sentença</w:t>
      </w:r>
      <w:r w:rsidR="00297614">
        <w:t>:</w:t>
      </w:r>
      <w:r w:rsidRPr="009704EE">
        <w:t xml:space="preserve"> «A recuperação nacional das nossas massas só terá êxito quando, para além de toda a luta positiva pela alma do nosso povo, forem exterminados os seus envenenadores internacionais»</w:t>
      </w:r>
      <w:r w:rsidRPr="009704EE">
        <w:rPr>
          <w:vertAlign w:val="superscript"/>
        </w:rPr>
        <w:footnoteReference w:id="711"/>
      </w:r>
      <w:r w:rsidRPr="009704EE">
        <w:t xml:space="preserve">. </w:t>
      </w:r>
      <w:r w:rsidR="007E3937">
        <w:t xml:space="preserve">Nos últimos anos do Reich a obsessão </w:t>
      </w:r>
      <w:r w:rsidR="00A46C99">
        <w:t>não mudara</w:t>
      </w:r>
      <w:r w:rsidR="00297614">
        <w:t>.</w:t>
      </w:r>
      <w:r w:rsidR="007E3937">
        <w:t xml:space="preserve"> «Ora, aquele que destr</w:t>
      </w:r>
      <w:r w:rsidR="00A877C9">
        <w:t>ó</w:t>
      </w:r>
      <w:r w:rsidR="007E3937">
        <w:t xml:space="preserve">i a vida arrisca-se ele próprio a morrer», disse o Führer no final de 1941. </w:t>
      </w:r>
      <w:r w:rsidR="007E3937" w:rsidRPr="007E3937">
        <w:t>«</w:t>
      </w:r>
      <w:r w:rsidR="00A46C99" w:rsidRPr="007E3937">
        <w:t xml:space="preserve">É </w:t>
      </w:r>
      <w:r w:rsidR="007E3937" w:rsidRPr="007E3937">
        <w:t>este o se</w:t>
      </w:r>
      <w:r w:rsidR="007E3937">
        <w:t>g</w:t>
      </w:r>
      <w:r w:rsidR="007E3937" w:rsidRPr="007E3937">
        <w:t xml:space="preserve">redo do </w:t>
      </w:r>
      <w:r w:rsidR="007E3937">
        <w:t xml:space="preserve">que </w:t>
      </w:r>
      <w:r w:rsidR="007E3937" w:rsidRPr="007E3937">
        <w:t>está a acontecer aos judeus»</w:t>
      </w:r>
      <w:r w:rsidR="00A877C9">
        <w:rPr>
          <w:rStyle w:val="Refdenotaderodap"/>
        </w:rPr>
        <w:footnoteReference w:id="712"/>
      </w:r>
      <w:r w:rsidR="007E3937">
        <w:t xml:space="preserve">. </w:t>
      </w:r>
      <w:r w:rsidR="00590B70" w:rsidRPr="00590B70">
        <w:t>E no ano seguinte concluiu terminantemente: «Toda e qualquer nação que deixe de e</w:t>
      </w:r>
      <w:r w:rsidR="007B56A8">
        <w:t>x</w:t>
      </w:r>
      <w:r w:rsidR="00590B70">
        <w:t>terminar os judeus no seu seio acabará mais cedo ou mais tarde sendo devorada por eles»</w:t>
      </w:r>
      <w:r w:rsidR="007B56A8">
        <w:rPr>
          <w:rStyle w:val="Refdenotaderodap"/>
        </w:rPr>
        <w:footnoteReference w:id="713"/>
      </w:r>
      <w:r w:rsidR="00590B70">
        <w:t xml:space="preserve">. </w:t>
      </w:r>
      <w:r w:rsidR="00DF3EB4" w:rsidRPr="005F10F7">
        <w:t xml:space="preserve">Também </w:t>
      </w:r>
      <w:r w:rsidRPr="005F10F7">
        <w:t xml:space="preserve">a técnica usada na chacina, mediante o emprego de gases venenosos, fora </w:t>
      </w:r>
      <w:r w:rsidR="007A4F11">
        <w:t xml:space="preserve">já </w:t>
      </w:r>
      <w:r w:rsidRPr="005F10F7">
        <w:t>anunciada com precisão</w:t>
      </w:r>
      <w:r w:rsidR="00C808BF" w:rsidRPr="005F10F7">
        <w:t xml:space="preserve"> em </w:t>
      </w:r>
      <w:r w:rsidR="00C808BF" w:rsidRPr="005F10F7">
        <w:rPr>
          <w:i/>
        </w:rPr>
        <w:t>Mein Kampf</w:t>
      </w:r>
      <w:r w:rsidRPr="009704EE">
        <w:rPr>
          <w:vertAlign w:val="superscript"/>
        </w:rPr>
        <w:footnoteReference w:id="714"/>
      </w:r>
      <w:r w:rsidRPr="005F10F7">
        <w:t xml:space="preserve">. </w:t>
      </w:r>
      <w:r w:rsidR="008F0E2E">
        <w:t xml:space="preserve">Na sua obra principal, </w:t>
      </w:r>
      <w:r w:rsidR="00B67FBC">
        <w:t xml:space="preserve">cuja primeira edição foi </w:t>
      </w:r>
      <w:r w:rsidR="008F0E2E">
        <w:t>publicada em 1930, o ideólogo oficial</w:t>
      </w:r>
      <w:r w:rsidR="00DC2ECA">
        <w:t xml:space="preserve"> do NSDAP</w:t>
      </w:r>
      <w:r w:rsidR="008F0E2E">
        <w:t xml:space="preserve">, </w:t>
      </w:r>
      <w:r w:rsidR="00DC2ECA">
        <w:t xml:space="preserve">Rosenberg, </w:t>
      </w:r>
      <w:r w:rsidR="00B44BCF">
        <w:t>desejou</w:t>
      </w:r>
      <w:r w:rsidR="00DC2ECA">
        <w:t xml:space="preserve"> para os judeus o mesmo destino que coubera aos fenícios de Cartago</w:t>
      </w:r>
      <w:r w:rsidR="00B67FBC">
        <w:rPr>
          <w:rStyle w:val="Refdenotaderodap"/>
        </w:rPr>
        <w:footnoteReference w:id="715"/>
      </w:r>
      <w:r w:rsidR="00DC2ECA">
        <w:t xml:space="preserve">, e os termos não eram duvidosos </w:t>
      </w:r>
      <w:r w:rsidR="00C21BBD">
        <w:t xml:space="preserve">se </w:t>
      </w:r>
      <w:r w:rsidR="0007333B">
        <w:t>recordarmos</w:t>
      </w:r>
      <w:r w:rsidR="00C21BBD">
        <w:t xml:space="preserve"> que </w:t>
      </w:r>
      <w:r w:rsidR="00C21BBD" w:rsidRPr="003E305A">
        <w:t>Houston Stewart Chamberlain</w:t>
      </w:r>
      <w:r w:rsidR="00C21BBD">
        <w:t xml:space="preserve"> considerara os fenícios como antecessores dos judeus</w:t>
      </w:r>
      <w:r w:rsidR="005900A9" w:rsidRPr="003E305A">
        <w:rPr>
          <w:rStyle w:val="Refdenotaderodap"/>
        </w:rPr>
        <w:footnoteReference w:id="716"/>
      </w:r>
      <w:r w:rsidR="00C21BBD">
        <w:t xml:space="preserve">. </w:t>
      </w:r>
      <w:r w:rsidR="00753D80" w:rsidRPr="00753D80">
        <w:t xml:space="preserve">Rosenberg explicou-se </w:t>
      </w:r>
      <w:r w:rsidR="0086567F">
        <w:t xml:space="preserve">ainda mais </w:t>
      </w:r>
      <w:r w:rsidR="00753D80" w:rsidRPr="00753D80">
        <w:t xml:space="preserve">claramente ao </w:t>
      </w:r>
      <w:r w:rsidR="003B5160">
        <w:t>indicar</w:t>
      </w:r>
      <w:r w:rsidR="00753D80" w:rsidRPr="00753D80">
        <w:t xml:space="preserve"> que «aqu</w:t>
      </w:r>
      <w:r w:rsidR="00FA6CCF">
        <w:t xml:space="preserve">ilo </w:t>
      </w:r>
      <w:r w:rsidR="00753D80" w:rsidRPr="00753D80">
        <w:t xml:space="preserve">que nos </w:t>
      </w:r>
      <w:r w:rsidR="00FA6CCF">
        <w:t xml:space="preserve">é </w:t>
      </w:r>
      <w:r w:rsidR="00753D80" w:rsidRPr="00753D80">
        <w:t xml:space="preserve">racial e espiritualmente </w:t>
      </w:r>
      <w:r w:rsidR="00753D80">
        <w:t>afi</w:t>
      </w:r>
      <w:r w:rsidR="00FA6CCF">
        <w:t>m</w:t>
      </w:r>
      <w:r w:rsidR="002C1B87">
        <w:t xml:space="preserve"> </w:t>
      </w:r>
      <w:r w:rsidR="002C1B87" w:rsidRPr="00753D80">
        <w:t>pode</w:t>
      </w:r>
      <w:r w:rsidR="002C1B87">
        <w:t xml:space="preserve"> ser </w:t>
      </w:r>
      <w:r w:rsidR="002C1B87" w:rsidRPr="00753D80">
        <w:t>assimila</w:t>
      </w:r>
      <w:r w:rsidR="002C1B87">
        <w:t>do</w:t>
      </w:r>
      <w:r w:rsidR="00753D80">
        <w:t xml:space="preserve">, mas </w:t>
      </w:r>
      <w:r w:rsidR="00FA6CCF">
        <w:t xml:space="preserve">aquilo </w:t>
      </w:r>
      <w:r w:rsidR="00753D80">
        <w:t xml:space="preserve">que nos </w:t>
      </w:r>
      <w:r w:rsidR="00FA6CCF">
        <w:t xml:space="preserve">é </w:t>
      </w:r>
      <w:r w:rsidR="00753D80">
        <w:t xml:space="preserve">estranho deve ser resolutamente </w:t>
      </w:r>
      <w:r w:rsidR="008A65D8">
        <w:t xml:space="preserve">extirpado </w:t>
      </w:r>
      <w:r w:rsidR="008C2570">
        <w:t xml:space="preserve">ou, se necessário, destruído </w:t>
      </w:r>
      <w:r w:rsidR="008C2570" w:rsidRPr="008C2570">
        <w:t>Não por</w:t>
      </w:r>
      <w:r w:rsidR="00305006">
        <w:t xml:space="preserve"> ser </w:t>
      </w:r>
      <w:r w:rsidR="008C2570" w:rsidRPr="008C2570">
        <w:t xml:space="preserve">falso ou mau em si, mas porque nos </w:t>
      </w:r>
      <w:r w:rsidR="00FA6CCF">
        <w:t xml:space="preserve">é </w:t>
      </w:r>
      <w:r w:rsidR="008C2570" w:rsidRPr="008C2570">
        <w:t xml:space="preserve">racialmente estranho e </w:t>
      </w:r>
      <w:r w:rsidR="008C2570">
        <w:t>fata</w:t>
      </w:r>
      <w:r w:rsidR="00FA6CCF">
        <w:t>l</w:t>
      </w:r>
      <w:r w:rsidR="008C2570">
        <w:t xml:space="preserve"> à estrutura íntima do nosso ser»</w:t>
      </w:r>
      <w:r w:rsidR="00B11135">
        <w:rPr>
          <w:rStyle w:val="Refdenotaderodap"/>
        </w:rPr>
        <w:footnoteReference w:id="717"/>
      </w:r>
      <w:r w:rsidR="008C2570">
        <w:t xml:space="preserve">. </w:t>
      </w:r>
    </w:p>
    <w:p w:rsidR="00321E01" w:rsidRPr="003E305A" w:rsidRDefault="00321E01" w:rsidP="00321E01">
      <w:r w:rsidRPr="003E305A">
        <w:t xml:space="preserve">Pode talvez deduzir-se que o genocídio estivesse já contido na fase concentracionária se </w:t>
      </w:r>
      <w:r>
        <w:t>admitirmos</w:t>
      </w:r>
      <w:r w:rsidRPr="003E305A">
        <w:t xml:space="preserve">, </w:t>
      </w:r>
      <w:r w:rsidR="008B5E5C">
        <w:t xml:space="preserve">seguindo </w:t>
      </w:r>
      <w:r w:rsidRPr="003E305A">
        <w:t xml:space="preserve">um dos historiadores que mais engenhosamente analisou estas </w:t>
      </w:r>
      <w:r w:rsidRPr="003E305A">
        <w:lastRenderedPageBreak/>
        <w:t xml:space="preserve">questões, que </w:t>
      </w:r>
      <w:r w:rsidR="003452E9">
        <w:t>—</w:t>
      </w:r>
      <w:r w:rsidRPr="008B02BC">
        <w:t xml:space="preserve"> apesar da existência d</w:t>
      </w:r>
      <w:r w:rsidR="00980272">
        <w:t>e um</w:t>
      </w:r>
      <w:r w:rsidRPr="008B02BC">
        <w:t xml:space="preserve"> </w:t>
      </w:r>
      <w:r w:rsidR="00330BAF">
        <w:t>SS-</w:t>
      </w:r>
      <w:r w:rsidR="00330BAF" w:rsidRPr="005C6692">
        <w:t xml:space="preserve">Sonderkommando </w:t>
      </w:r>
      <w:r w:rsidRPr="008B02BC">
        <w:t xml:space="preserve">formado por presidiários </w:t>
      </w:r>
      <w:r w:rsidR="003452E9">
        <w:t>—</w:t>
      </w:r>
      <w:r w:rsidRPr="008B02BC">
        <w:t xml:space="preserve"> </w:t>
      </w:r>
      <w:r w:rsidRPr="003E305A">
        <w:t xml:space="preserve">Himmler considerava </w:t>
      </w:r>
      <w:r w:rsidR="008B5E5C">
        <w:t xml:space="preserve">como </w:t>
      </w:r>
      <w:r w:rsidRPr="003E305A">
        <w:t>uma anti-raça a população dos campos de concentração</w:t>
      </w:r>
      <w:r w:rsidRPr="003E305A">
        <w:rPr>
          <w:rStyle w:val="Refdenotaderodap"/>
        </w:rPr>
        <w:footnoteReference w:id="718"/>
      </w:r>
      <w:r w:rsidRPr="003E305A">
        <w:t xml:space="preserve">. Com efeito, num discurso de Setembro de 1940 </w:t>
      </w:r>
      <w:r w:rsidR="00980272">
        <w:t xml:space="preserve">ele </w:t>
      </w:r>
      <w:r w:rsidRPr="003E305A">
        <w:t>denominou «homens negativos» os detidos nos campos</w:t>
      </w:r>
      <w:r w:rsidRPr="003E305A">
        <w:rPr>
          <w:rStyle w:val="Refdenotaderodap"/>
        </w:rPr>
        <w:footnoteReference w:id="719"/>
      </w:r>
      <w:r w:rsidRPr="003E305A">
        <w:t xml:space="preserve">, e bastaria isto para explicar que não tivessem sido alvo de </w:t>
      </w:r>
      <w:r w:rsidR="00980272">
        <w:t>nenhuma</w:t>
      </w:r>
      <w:r w:rsidRPr="003E305A">
        <w:t xml:space="preserve"> propaganda ideológica nacional-socialista</w:t>
      </w:r>
      <w:r w:rsidRPr="003E305A">
        <w:rPr>
          <w:rStyle w:val="Refdenotaderodap"/>
        </w:rPr>
        <w:footnoteReference w:id="720"/>
      </w:r>
      <w:r w:rsidRPr="003E305A">
        <w:t xml:space="preserve">. A doutrina dos senhores não poderia ter curso entre a anti-raça. Haveria assim uma notável simetria entre o começo e o fim do destino judaico, porque vimos que, de acordo com as fábulas que os nacionais-socialistas herdaram dos seus predecessores imediatos, os judeus teriam resultado de cruzamentos prosseguidos entre criminosos e anti-sociais, excluídos das comunidades organizadas. Não foi só para facilitar a repressão, mas </w:t>
      </w:r>
      <w:r w:rsidR="003452E9">
        <w:t>ainda</w:t>
      </w:r>
      <w:r w:rsidRPr="003E305A">
        <w:t xml:space="preserve"> devido à sua mitologia racial, que os </w:t>
      </w:r>
      <w:r w:rsidR="003452E9">
        <w:t xml:space="preserve">nacionais-socialistas </w:t>
      </w:r>
      <w:r w:rsidRPr="003E305A">
        <w:t xml:space="preserve">internaram todos os tipos de subversores </w:t>
      </w:r>
      <w:r w:rsidR="003452E9">
        <w:t>—</w:t>
      </w:r>
      <w:r w:rsidRPr="003E305A">
        <w:t xml:space="preserve"> ladrões, marxistas, judeus, quem quer que, por uma razão ou por outra, não coubesse no molde. Tal como teria sucedido no passado mítico, </w:t>
      </w:r>
      <w:r w:rsidRPr="00424F54">
        <w:t xml:space="preserve">os marginais e os fautores de desordem ficavam convertidos numa anti-raça </w:t>
      </w:r>
      <w:r w:rsidRPr="003E305A">
        <w:t xml:space="preserve">ao serem confinados num espaço comum. </w:t>
      </w:r>
      <w:r>
        <w:t xml:space="preserve">Ora, </w:t>
      </w:r>
      <w:r w:rsidRPr="003E305A">
        <w:t>torna-se evidente que os SS nunca aceitariam a proliferação de um tal perigo, o que aliás os levou a matar as presas que estivessem grávidas</w:t>
      </w:r>
      <w:r w:rsidRPr="003E305A">
        <w:rPr>
          <w:rStyle w:val="Refdenotaderodap"/>
        </w:rPr>
        <w:footnoteReference w:id="721"/>
      </w:r>
      <w:r w:rsidRPr="003E305A">
        <w:t xml:space="preserve">. Em vez de corresponder </w:t>
      </w:r>
      <w:r>
        <w:t xml:space="preserve">a uma </w:t>
      </w:r>
      <w:r w:rsidRPr="003E305A">
        <w:t>génese</w:t>
      </w:r>
      <w:r>
        <w:t xml:space="preserve"> racial</w:t>
      </w:r>
      <w:r w:rsidRPr="003E305A">
        <w:t xml:space="preserve">, a criação concentracionária de uma anti-raça implicava obrigatoriamente a sua liquidação. Nos termos estritos desta hipótese, porém, o extermínio físico não se impunha como uma necessidade urgente e </w:t>
      </w:r>
      <w:r w:rsidR="00980272">
        <w:t xml:space="preserve">poderia </w:t>
      </w:r>
      <w:r>
        <w:t xml:space="preserve">ocorrer consoante </w:t>
      </w:r>
      <w:r w:rsidRPr="003E305A">
        <w:t>um processo mais ou menos lento, resultante da multiplicação dos óbitos devid</w:t>
      </w:r>
      <w:r>
        <w:t>o</w:t>
      </w:r>
      <w:r w:rsidRPr="003E305A">
        <w:t xml:space="preserve">s às péssimas condições de </w:t>
      </w:r>
      <w:r>
        <w:t>existência</w:t>
      </w:r>
      <w:r w:rsidRPr="003E305A">
        <w:t xml:space="preserve">. Entretanto, </w:t>
      </w:r>
      <w:r w:rsidR="00C50585">
        <w:t xml:space="preserve">o espectáculo </w:t>
      </w:r>
      <w:r w:rsidR="003452E9">
        <w:t xml:space="preserve">da anti-raça </w:t>
      </w:r>
      <w:r w:rsidR="00C50585">
        <w:t>empilhad</w:t>
      </w:r>
      <w:r w:rsidR="003452E9">
        <w:t>a</w:t>
      </w:r>
      <w:r w:rsidR="00C50585">
        <w:t xml:space="preserve"> abjectamente em circunst</w:t>
      </w:r>
      <w:r w:rsidR="008D1EBD">
        <w:t>â</w:t>
      </w:r>
      <w:r w:rsidR="00C50585">
        <w:t xml:space="preserve">ncias miseráveis serviria para reforçar nos germanos o sentido da superioridade, e durante </w:t>
      </w:r>
      <w:r w:rsidR="008D1EBD">
        <w:t xml:space="preserve">vários </w:t>
      </w:r>
      <w:r w:rsidR="00C50585">
        <w:t xml:space="preserve">anos </w:t>
      </w:r>
      <w:r w:rsidR="008D1EBD">
        <w:t xml:space="preserve">foram organizadas </w:t>
      </w:r>
      <w:r w:rsidR="00C50585">
        <w:t xml:space="preserve">excursões ao </w:t>
      </w:r>
      <w:r w:rsidR="00C50585" w:rsidRPr="00C50585">
        <w:rPr>
          <w:i/>
        </w:rPr>
        <w:t>ghetto</w:t>
      </w:r>
      <w:r w:rsidR="00C50585">
        <w:t xml:space="preserve"> de Varsóvia, dando oportunidade </w:t>
      </w:r>
      <w:r w:rsidR="008D1EBD">
        <w:t>par</w:t>
      </w:r>
      <w:r w:rsidR="00C50585">
        <w:t>a que os visitantes se divertissem a chicotear os cativos ou a fotografá-los como aos animais num jardim zoológico</w:t>
      </w:r>
      <w:r w:rsidR="008D1EBD">
        <w:rPr>
          <w:rStyle w:val="Refdenotaderodap"/>
        </w:rPr>
        <w:footnoteReference w:id="722"/>
      </w:r>
      <w:r w:rsidR="00C50585">
        <w:t xml:space="preserve">. </w:t>
      </w:r>
      <w:r w:rsidR="000E4DB7">
        <w:t xml:space="preserve">«Se ainda restar alguém que </w:t>
      </w:r>
      <w:r w:rsidR="00020321">
        <w:t>tenha</w:t>
      </w:r>
      <w:r w:rsidR="008E11E3">
        <w:t xml:space="preserve"> </w:t>
      </w:r>
      <w:r w:rsidR="000E4DB7">
        <w:t xml:space="preserve">qualquer simpatia pelos judeus», escreveu Rosenberg no Verão de 1941, depois de ter visitado o </w:t>
      </w:r>
      <w:r w:rsidR="000E4DB7" w:rsidRPr="000E4DB7">
        <w:rPr>
          <w:i/>
        </w:rPr>
        <w:t>ghettto</w:t>
      </w:r>
      <w:r w:rsidR="000E4DB7">
        <w:t xml:space="preserve"> de Varsóvia, </w:t>
      </w:r>
      <w:r w:rsidR="00F8001D">
        <w:t xml:space="preserve">«deve ser aconselhado a </w:t>
      </w:r>
      <w:r w:rsidR="008E11E3">
        <w:t xml:space="preserve">observar </w:t>
      </w:r>
      <w:r w:rsidR="00F8001D">
        <w:t xml:space="preserve">um </w:t>
      </w:r>
      <w:r w:rsidR="007C5AA0">
        <w:t>desses</w:t>
      </w:r>
      <w:r w:rsidR="007C5AA0" w:rsidRPr="008E11E3">
        <w:rPr>
          <w:i/>
        </w:rPr>
        <w:t xml:space="preserve"> </w:t>
      </w:r>
      <w:r w:rsidR="00F8001D" w:rsidRPr="008E11E3">
        <w:rPr>
          <w:i/>
        </w:rPr>
        <w:t>ghetto</w:t>
      </w:r>
      <w:r w:rsidR="007C5AA0">
        <w:rPr>
          <w:i/>
        </w:rPr>
        <w:t>s</w:t>
      </w:r>
      <w:r w:rsidR="00F8001D">
        <w:t xml:space="preserve">. </w:t>
      </w:r>
      <w:r w:rsidR="00322E8B">
        <w:t xml:space="preserve">Ver </w:t>
      </w:r>
      <w:r w:rsidR="008E11E3">
        <w:t xml:space="preserve">em massa </w:t>
      </w:r>
      <w:r w:rsidR="002B1790">
        <w:t>aquela</w:t>
      </w:r>
      <w:r w:rsidR="008E11E3">
        <w:t xml:space="preserve"> raça</w:t>
      </w:r>
      <w:r w:rsidR="00322E8B">
        <w:t xml:space="preserve"> decadente, em decomposição e p</w:t>
      </w:r>
      <w:r w:rsidR="008E11E3">
        <w:t>o</w:t>
      </w:r>
      <w:r w:rsidR="00322E8B">
        <w:t xml:space="preserve">dre até à medula </w:t>
      </w:r>
      <w:r w:rsidR="008E11E3">
        <w:t xml:space="preserve">liquidará todo o </w:t>
      </w:r>
      <w:r w:rsidR="00322E8B">
        <w:t>humanitarismo sentimental»</w:t>
      </w:r>
      <w:r w:rsidR="008E11E3">
        <w:rPr>
          <w:rStyle w:val="Refdenotaderodap"/>
        </w:rPr>
        <w:footnoteReference w:id="723"/>
      </w:r>
      <w:r w:rsidR="00322E8B">
        <w:t xml:space="preserve">. </w:t>
      </w:r>
      <w:r w:rsidR="00176C4A">
        <w:t xml:space="preserve">Era para espectáculos assim que os SS estavam permanentemente convocados, e o domínio absoluto que exerciam </w:t>
      </w:r>
      <w:r w:rsidRPr="003E305A">
        <w:t xml:space="preserve">sobre os internados nos campos de concentração representaria, de uma maneira não só real mas também simbólica, a </w:t>
      </w:r>
      <w:r w:rsidRPr="003E305A">
        <w:lastRenderedPageBreak/>
        <w:t>supremacia da raça de senhores</w:t>
      </w:r>
      <w:r w:rsidRPr="003E305A">
        <w:rPr>
          <w:rStyle w:val="Refdenotaderodap"/>
        </w:rPr>
        <w:footnoteReference w:id="724"/>
      </w:r>
      <w:r w:rsidRPr="003E305A">
        <w:t>. Para o novo paganismo que tanto interessava Himmler</w:t>
      </w:r>
      <w:r w:rsidR="005261CC">
        <w:t xml:space="preserve"> e Rosenberg</w:t>
      </w:r>
      <w:r w:rsidRPr="003E305A">
        <w:t xml:space="preserve">, os horrores do universo concentracionário assumiriam uma dimensão verdadeiramente litúrgica, manifestando ritualmente a hegemonia racial da milícia negra. </w:t>
      </w:r>
    </w:p>
    <w:p w:rsidR="00321E01" w:rsidRPr="003E305A" w:rsidRDefault="00D330A7" w:rsidP="00321E01">
      <w:r>
        <w:t xml:space="preserve">Só pelo factor tempo aquela solução do problema judaico se distinguiria da solução final, tal como foi adoptada. </w:t>
      </w:r>
      <w:r w:rsidR="00784882" w:rsidRPr="003E305A">
        <w:t xml:space="preserve">O </w:t>
      </w:r>
      <w:r w:rsidR="00321E01" w:rsidRPr="003E305A">
        <w:t xml:space="preserve">carácter gradual </w:t>
      </w:r>
      <w:r>
        <w:t xml:space="preserve">do </w:t>
      </w:r>
      <w:r w:rsidR="00321E01" w:rsidRPr="003E305A">
        <w:t xml:space="preserve">extermínio </w:t>
      </w:r>
      <w:r w:rsidR="00784882">
        <w:t xml:space="preserve">no sistema concentracionário </w:t>
      </w:r>
      <w:r w:rsidR="008D11ED">
        <w:t xml:space="preserve">não correspondia às </w:t>
      </w:r>
      <w:r w:rsidR="00321E01" w:rsidRPr="003E305A">
        <w:t>necessidades imaginárias do nacional-socialismo</w:t>
      </w:r>
      <w:r w:rsidR="009D438B">
        <w:t>,</w:t>
      </w:r>
      <w:r w:rsidR="00CF6343">
        <w:t xml:space="preserve"> e além do morticínio nos campos e nos </w:t>
      </w:r>
      <w:r w:rsidR="00CF6343" w:rsidRPr="00320235">
        <w:rPr>
          <w:i/>
        </w:rPr>
        <w:t>ghettos,</w:t>
      </w:r>
      <w:r w:rsidR="00CF6343">
        <w:t xml:space="preserve"> devido </w:t>
      </w:r>
      <w:r w:rsidR="00506DB5">
        <w:t xml:space="preserve">à sobrelotação, </w:t>
      </w:r>
      <w:r w:rsidR="00CF6343">
        <w:t xml:space="preserve">à fome, às doenças e ao excesso de trabalho, recorreu-se a outro tipo de </w:t>
      </w:r>
      <w:r w:rsidR="00320235">
        <w:t>medidas</w:t>
      </w:r>
      <w:r w:rsidR="00CF6343">
        <w:t xml:space="preserve">. </w:t>
      </w:r>
      <w:r w:rsidR="00321E01" w:rsidRPr="00FF4877">
        <w:t xml:space="preserve">A terceira e última fase do programa anti-semita caracterizou-se pela rapidez com que </w:t>
      </w:r>
      <w:r w:rsidR="008D11ED">
        <w:t xml:space="preserve">foi </w:t>
      </w:r>
      <w:r w:rsidR="00321E01" w:rsidRPr="00FF4877">
        <w:t xml:space="preserve">conduzida, para evitar que os sub-homens encontrassem entre os judeus agitadores e chefes insurreccionais. </w:t>
      </w:r>
      <w:r w:rsidR="00321E01" w:rsidRPr="003E305A">
        <w:t>Fica assim esclarecida a cronologia dos morticínios. Na Polónia a eliminação sistemática da totalidade da população judaica foi decidida logo no começo do conflito, em Setembro de 1939, e foi projectada e levada a cabo em conjugação com a chacina das elites sociais e intelectuais e com a evacuação de milhões de trabalhadores e o seu estabelecimento em habitats primitivos e insalubres, onde ficariam convertidos numa massa de escravos do Estado</w:t>
      </w:r>
      <w:r w:rsidR="00321E01" w:rsidRPr="003E305A">
        <w:rPr>
          <w:rStyle w:val="Refdenotaderodap"/>
        </w:rPr>
        <w:footnoteReference w:id="725"/>
      </w:r>
      <w:r w:rsidR="00321E01" w:rsidRPr="003E305A">
        <w:t xml:space="preserve">. </w:t>
      </w:r>
      <w:r w:rsidR="00022364" w:rsidRPr="003E305A">
        <w:t xml:space="preserve">Estes </w:t>
      </w:r>
      <w:r w:rsidR="00321E01" w:rsidRPr="003E305A">
        <w:t xml:space="preserve">três tipos de medidas </w:t>
      </w:r>
      <w:r w:rsidR="00022364">
        <w:t xml:space="preserve">integraram-se </w:t>
      </w:r>
      <w:r w:rsidR="00321E01" w:rsidRPr="003E305A">
        <w:t>num programa único porque</w:t>
      </w:r>
      <w:r w:rsidR="00022364">
        <w:t xml:space="preserve"> </w:t>
      </w:r>
      <w:r w:rsidR="00321E01" w:rsidRPr="003E305A">
        <w:t xml:space="preserve">a resistência dos </w:t>
      </w:r>
      <w:r w:rsidR="00321E01" w:rsidRPr="003E305A">
        <w:rPr>
          <w:i/>
        </w:rPr>
        <w:t>Untermenschen</w:t>
      </w:r>
      <w:r w:rsidR="00321E01" w:rsidRPr="003E305A">
        <w:t xml:space="preserve"> tornar-se-ia impossível a partir do momento em que se vissem privados </w:t>
      </w:r>
      <w:r w:rsidR="008D11ED">
        <w:t xml:space="preserve">tanto </w:t>
      </w:r>
      <w:r w:rsidR="00321E01" w:rsidRPr="003E305A">
        <w:t xml:space="preserve">de dirigentes naturais </w:t>
      </w:r>
      <w:r w:rsidR="008D11ED">
        <w:t xml:space="preserve">como </w:t>
      </w:r>
      <w:r w:rsidR="00321E01" w:rsidRPr="003E305A">
        <w:t xml:space="preserve">da condução política e ideológica fornecida pelo espírito subversivo atribuído ao judaísmo. A ofensiva contra a União Soviética, desencadeada em 22 de Junho de 1941, colocou o mesmo problema numa escala muitíssimo mais ampla, o que levou o Führer e os seus principais acólitos a organizarem, por um lado, </w:t>
      </w:r>
      <w:r w:rsidR="007A7C08" w:rsidRPr="00E110F1">
        <w:t>Einsatzgruppen</w:t>
      </w:r>
      <w:r w:rsidR="007A7C08" w:rsidRPr="003E305A">
        <w:t xml:space="preserve"> </w:t>
      </w:r>
      <w:r w:rsidR="00321E01" w:rsidRPr="003E305A">
        <w:t>móveis que, cobertos pelo avanço da Wehrmacht, actuaram nos territórios conquistados e incluíram sistematicamente os judeus entre as suas vítimas</w:t>
      </w:r>
      <w:r w:rsidR="000F7047">
        <w:t xml:space="preserve">, além de incitarem as populações locais a cometer </w:t>
      </w:r>
      <w:r w:rsidR="000F7047" w:rsidRPr="000F7047">
        <w:rPr>
          <w:i/>
        </w:rPr>
        <w:t>pogroms</w:t>
      </w:r>
      <w:r w:rsidR="00321E01" w:rsidRPr="003E305A">
        <w:t>. Por outro lado, mandaram-se construir seis campos de extermínio fixos, para onde os judeus foram transportados</w:t>
      </w:r>
      <w:r w:rsidR="00321E01" w:rsidRPr="003E305A">
        <w:rPr>
          <w:rStyle w:val="Refdenotaderodap"/>
        </w:rPr>
        <w:footnoteReference w:id="726"/>
      </w:r>
      <w:r w:rsidR="00321E01" w:rsidRPr="003E305A">
        <w:t xml:space="preserve">. </w:t>
      </w:r>
      <w:r w:rsidR="009D438B">
        <w:t xml:space="preserve">E entretanto a acção da fome e da doença era apressada pela deterioração das condições no sistema concentracionário. </w:t>
      </w:r>
      <w:r w:rsidR="00321E01" w:rsidRPr="003E305A">
        <w:t xml:space="preserve">A liquidação da anti-raça e a escravização da sub-raça constituíram </w:t>
      </w:r>
      <w:r w:rsidR="00BE0267">
        <w:t xml:space="preserve">as </w:t>
      </w:r>
      <w:r w:rsidR="00321E01" w:rsidRPr="003E305A">
        <w:t xml:space="preserve">duas </w:t>
      </w:r>
      <w:r w:rsidR="00BE0267">
        <w:t xml:space="preserve">indissociáveis </w:t>
      </w:r>
      <w:r w:rsidR="00321E01" w:rsidRPr="003E305A">
        <w:t xml:space="preserve">facetas da mesma estratégia, por isso obedeceram à mesma cronologia. </w:t>
      </w:r>
    </w:p>
    <w:p w:rsidR="00976308" w:rsidRDefault="00321E01" w:rsidP="00321E01">
      <w:r w:rsidRPr="003E305A">
        <w:t xml:space="preserve">Enquanto forma de preservação da ordem </w:t>
      </w:r>
      <w:r w:rsidR="00CB1E49">
        <w:t>racial</w:t>
      </w:r>
      <w:r w:rsidRPr="003E305A">
        <w:t xml:space="preserve">, o genocídio dos judeus esteve </w:t>
      </w:r>
      <w:r w:rsidR="00B63C14">
        <w:t xml:space="preserve">também </w:t>
      </w:r>
      <w:r w:rsidRPr="003E305A">
        <w:t xml:space="preserve">ligado, </w:t>
      </w:r>
      <w:r w:rsidR="00B63C14">
        <w:t xml:space="preserve">até </w:t>
      </w:r>
      <w:r w:rsidRPr="003E305A">
        <w:t xml:space="preserve">na cronologia, ao extermínio dos doentes mentais e dos portadores de deficiências físicas graves. </w:t>
      </w:r>
      <w:r w:rsidR="007F435F">
        <w:t>Rosenberg anunci</w:t>
      </w:r>
      <w:r w:rsidR="00C05373">
        <w:t>ara</w:t>
      </w:r>
      <w:r w:rsidR="007F435F">
        <w:t xml:space="preserve"> o </w:t>
      </w:r>
      <w:r w:rsidR="002B1154">
        <w:t xml:space="preserve">futuro </w:t>
      </w:r>
      <w:r w:rsidR="007F435F">
        <w:t xml:space="preserve">quando </w:t>
      </w:r>
      <w:r w:rsidR="002B1154">
        <w:t>lastimou</w:t>
      </w:r>
      <w:r w:rsidR="007F435F">
        <w:t xml:space="preserve"> em 1930 que «graças </w:t>
      </w:r>
      <w:r w:rsidR="00A645EE">
        <w:t xml:space="preserve">à solicitude humanitária para com os indivíduos existem nos Estados europeus instituições de luxo </w:t>
      </w:r>
      <w:r w:rsidR="00CB0DAE">
        <w:lastRenderedPageBreak/>
        <w:t xml:space="preserve">destinadas a acolher </w:t>
      </w:r>
      <w:r w:rsidR="00A645EE">
        <w:t>os doentes incuráveis e os loucos»</w:t>
      </w:r>
      <w:r w:rsidR="00CB0DAE">
        <w:rPr>
          <w:rStyle w:val="Refdenotaderodap"/>
        </w:rPr>
        <w:footnoteReference w:id="727"/>
      </w:r>
      <w:r w:rsidR="00A645EE">
        <w:t xml:space="preserve">. </w:t>
      </w:r>
      <w:r w:rsidR="005234D8">
        <w:t xml:space="preserve">Nada foi ocasional, e assim como a necessidade do genocídio dos judeus esteve desde início inscrita no programa </w:t>
      </w:r>
      <w:r w:rsidR="00691D59">
        <w:t>hitleriano</w:t>
      </w:r>
      <w:r w:rsidR="005234D8">
        <w:t xml:space="preserve">, também </w:t>
      </w:r>
      <w:r w:rsidR="005234D8" w:rsidRPr="003E305A">
        <w:t xml:space="preserve">o extermínio dos doentes </w:t>
      </w:r>
      <w:r w:rsidR="005234D8">
        <w:t>incuráveis constituiu uma das conclusões lógicas da eugenia</w:t>
      </w:r>
      <w:r w:rsidR="000F5F6D">
        <w:rPr>
          <w:rStyle w:val="Refdenotaderodap"/>
        </w:rPr>
        <w:footnoteReference w:id="728"/>
      </w:r>
      <w:r w:rsidR="005234D8" w:rsidRPr="003E305A">
        <w:t xml:space="preserve">. </w:t>
      </w:r>
      <w:r w:rsidR="005B3150">
        <w:t xml:space="preserve">No início </w:t>
      </w:r>
      <w:r w:rsidR="00991EDC">
        <w:t>as autoridades do Reich empregaram a esterilização para impedir que doentes e deficientes mentais tivessem filhos</w:t>
      </w:r>
      <w:r w:rsidR="00991EDC">
        <w:rPr>
          <w:rStyle w:val="Refdenotaderodap"/>
        </w:rPr>
        <w:footnoteReference w:id="729"/>
      </w:r>
      <w:r w:rsidR="00991EDC">
        <w:t xml:space="preserve">, mas </w:t>
      </w:r>
      <w:r w:rsidR="00991EDC" w:rsidRPr="003E305A">
        <w:t xml:space="preserve">logo </w:t>
      </w:r>
      <w:r w:rsidRPr="003E305A">
        <w:t>no</w:t>
      </w:r>
      <w:r w:rsidR="00ED1C25">
        <w:t>s</w:t>
      </w:r>
      <w:r w:rsidRPr="003E305A">
        <w:t xml:space="preserve"> </w:t>
      </w:r>
      <w:r w:rsidR="00ED1C25">
        <w:t xml:space="preserve">primeiros dias </w:t>
      </w:r>
      <w:r w:rsidRPr="003E305A">
        <w:t xml:space="preserve">da guerra, ao mesmo tempo que decidiram eliminar a totalidade da população judaica da Polónia, decretaram também a liquidação dos doentes incuráveis. </w:t>
      </w:r>
      <w:r w:rsidR="00E93B84">
        <w:t>Alguns meses antes de Setembro de 1939 começ</w:t>
      </w:r>
      <w:r w:rsidR="009D516D">
        <w:t>ara</w:t>
      </w:r>
      <w:r w:rsidR="00E93B84">
        <w:t xml:space="preserve"> a cria</w:t>
      </w:r>
      <w:r w:rsidR="009D516D">
        <w:t>r-se</w:t>
      </w:r>
      <w:r w:rsidR="00E93B84">
        <w:t xml:space="preserve"> o aparelho burocrático </w:t>
      </w:r>
      <w:r w:rsidR="00B76321">
        <w:t>destinado a executar na prática esse extermínio</w:t>
      </w:r>
      <w:r w:rsidR="00DE1200">
        <w:rPr>
          <w:rStyle w:val="Refdenotaderodap"/>
        </w:rPr>
        <w:footnoteReference w:id="730"/>
      </w:r>
      <w:r w:rsidR="00B96B13">
        <w:t>,</w:t>
      </w:r>
      <w:r w:rsidR="00B76321">
        <w:t xml:space="preserve"> </w:t>
      </w:r>
      <w:r w:rsidR="00D46E1B">
        <w:t>e</w:t>
      </w:r>
      <w:r w:rsidR="00B96B13">
        <w:t xml:space="preserve"> a solução final do problema dos doentes incuráveis começou a ser aplicada na Polónia </w:t>
      </w:r>
      <w:r w:rsidR="007B3C52">
        <w:t xml:space="preserve">ocupada </w:t>
      </w:r>
      <w:r w:rsidR="00B96B13">
        <w:t>antes ainda de ser inaugurada oficialmente no Reich</w:t>
      </w:r>
      <w:r w:rsidR="00B96B13">
        <w:rPr>
          <w:rStyle w:val="Refdenotaderodap"/>
        </w:rPr>
        <w:footnoteReference w:id="731"/>
      </w:r>
      <w:r w:rsidR="00B96B13">
        <w:t xml:space="preserve">. </w:t>
      </w:r>
      <w:r w:rsidRPr="003E305A">
        <w:t xml:space="preserve">Foi para </w:t>
      </w:r>
      <w:r w:rsidR="002B4AEE">
        <w:t>os d</w:t>
      </w:r>
      <w:r w:rsidR="002B4AEE" w:rsidRPr="003E305A">
        <w:t>oentes mentais e os portadores de deficiências físicas graves</w:t>
      </w:r>
      <w:r w:rsidR="002B4AEE">
        <w:t xml:space="preserve"> e para os irremediavelmente </w:t>
      </w:r>
      <w:r w:rsidR="00810466">
        <w:t>caducos</w:t>
      </w:r>
      <w:r w:rsidR="002B4AEE">
        <w:t xml:space="preserve"> </w:t>
      </w:r>
      <w:r w:rsidRPr="003E305A">
        <w:t xml:space="preserve">que se construíram as primeiras câmaras de gás, foi com eles que se experimentou a eficácia letal do ácido prússico, que seria depois amplamente usado nos campos de extermínio dedicados aos judeus, e foi a matá-los em massa que se treinaram as primeiras equipas de SS, que em seguida exerceriam </w:t>
      </w:r>
      <w:r w:rsidR="00691D59">
        <w:t xml:space="preserve">estas habilitações </w:t>
      </w:r>
      <w:r w:rsidRPr="003E305A">
        <w:t xml:space="preserve">sobre os judeus </w:t>
      </w:r>
      <w:r w:rsidR="00691D59">
        <w:t>polacos</w:t>
      </w:r>
      <w:r w:rsidRPr="003E305A">
        <w:rPr>
          <w:rStyle w:val="Refdenotaderodap"/>
        </w:rPr>
        <w:footnoteReference w:id="732"/>
      </w:r>
      <w:r w:rsidRPr="003E305A">
        <w:t xml:space="preserve">. </w:t>
      </w:r>
      <w:r w:rsidR="00740EED">
        <w:t xml:space="preserve">O facto de </w:t>
      </w:r>
      <w:r w:rsidR="00D72417">
        <w:t>o chefe de um dos Einsatzgruppen, que dirigira na Polónia a liquidação de doentes mentais em camiões pelos gases emanados do motor, ter sido encarregado de estudar formas de extermínio em massa</w:t>
      </w:r>
      <w:r w:rsidR="00D72417">
        <w:rPr>
          <w:rStyle w:val="Refdenotaderodap"/>
        </w:rPr>
        <w:footnoteReference w:id="733"/>
      </w:r>
      <w:r w:rsidR="00D72417">
        <w:t xml:space="preserve">, e o facto de </w:t>
      </w:r>
      <w:r w:rsidR="00740EED">
        <w:t xml:space="preserve">o primeiro comandante do campo </w:t>
      </w:r>
      <w:r w:rsidR="007909A2">
        <w:t xml:space="preserve">de Sobibor ter vindo de um dos centros de eutanásia e de o primeiro comandante do campo de </w:t>
      </w:r>
      <w:r w:rsidR="00740EED">
        <w:t>Treblinka ter sido um médico responsável pela liquidação de dezoito mil doentes germânicos inseri</w:t>
      </w:r>
      <w:r w:rsidR="007909A2">
        <w:t>ram</w:t>
      </w:r>
      <w:r w:rsidR="00740EED">
        <w:t xml:space="preserve">-se </w:t>
      </w:r>
      <w:r w:rsidR="00966CF3">
        <w:t>num quadro perfeitamente estabelecido</w:t>
      </w:r>
      <w:r w:rsidR="00E52084">
        <w:rPr>
          <w:rStyle w:val="Refdenotaderodap"/>
        </w:rPr>
        <w:footnoteReference w:id="734"/>
      </w:r>
      <w:r w:rsidR="00037E2D">
        <w:t xml:space="preserve">, pois verificou-se uma transferência </w:t>
      </w:r>
      <w:r w:rsidR="005631BA">
        <w:t>massiva</w:t>
      </w:r>
      <w:r w:rsidR="00037E2D">
        <w:t xml:space="preserve"> dos técnicos do programa de eutanásia para o programa de liquidação dos judeus, onde aplicaram as suas competências</w:t>
      </w:r>
      <w:r w:rsidR="00E614F0">
        <w:rPr>
          <w:rStyle w:val="Refdenotaderodap"/>
        </w:rPr>
        <w:footnoteReference w:id="735"/>
      </w:r>
      <w:r w:rsidR="00037E2D">
        <w:t xml:space="preserve">. </w:t>
      </w:r>
    </w:p>
    <w:p w:rsidR="00976308" w:rsidRDefault="00966CF3" w:rsidP="00321E01">
      <w:r>
        <w:lastRenderedPageBreak/>
        <w:t xml:space="preserve">Porém, </w:t>
      </w:r>
      <w:r w:rsidR="00D26F81">
        <w:t xml:space="preserve">mesmo apesar de o programa de eutanásia se basear na figura jurídica dos decretos secretos do Führer e ser organizado e executado por organismos </w:t>
      </w:r>
      <w:r w:rsidR="00927710">
        <w:t>com denominações enganadoras</w:t>
      </w:r>
      <w:r w:rsidR="00E86FE4">
        <w:rPr>
          <w:rStyle w:val="Refdenotaderodap"/>
        </w:rPr>
        <w:footnoteReference w:id="736"/>
      </w:r>
      <w:r w:rsidR="00927710">
        <w:t xml:space="preserve">, </w:t>
      </w:r>
      <w:r w:rsidRPr="003E305A">
        <w:t xml:space="preserve">as </w:t>
      </w:r>
      <w:r w:rsidR="00321E01" w:rsidRPr="003E305A">
        <w:t>autoridades não conseguiram mant</w:t>
      </w:r>
      <w:r w:rsidR="00323440">
        <w:t>ê-lo</w:t>
      </w:r>
      <w:r w:rsidR="00321E01" w:rsidRPr="003E305A">
        <w:t xml:space="preserve"> </w:t>
      </w:r>
      <w:r w:rsidR="00AC7040">
        <w:t>oculto</w:t>
      </w:r>
      <w:r w:rsidR="00DC069F">
        <w:rPr>
          <w:rStyle w:val="Refdenotaderodap"/>
        </w:rPr>
        <w:footnoteReference w:id="737"/>
      </w:r>
      <w:r w:rsidR="00803299">
        <w:t xml:space="preserve"> </w:t>
      </w:r>
      <w:r w:rsidR="00321E01" w:rsidRPr="003E305A">
        <w:t xml:space="preserve">e </w:t>
      </w:r>
      <w:r w:rsidR="00803299">
        <w:t xml:space="preserve">houve protestos em vários </w:t>
      </w:r>
      <w:r w:rsidR="00321E01" w:rsidRPr="003E305A">
        <w:t>meios</w:t>
      </w:r>
      <w:r w:rsidR="00803299">
        <w:t>.</w:t>
      </w:r>
      <w:r w:rsidR="00321E01" w:rsidRPr="003E305A">
        <w:t xml:space="preserve"> </w:t>
      </w:r>
      <w:r w:rsidR="00AB0723">
        <w:t xml:space="preserve">Como </w:t>
      </w:r>
      <w:r w:rsidR="00976308">
        <w:t>foi hábito</w:t>
      </w:r>
      <w:r w:rsidR="00AB0723">
        <w:t xml:space="preserve"> durante o Terceiro Reich, as Igrejas preferiram esquecer os seus princípios doutrinários e manter boas relações com o regime</w:t>
      </w:r>
      <w:r w:rsidR="00663F29">
        <w:t>, mas apesar dis</w:t>
      </w:r>
      <w:r w:rsidR="00623291">
        <w:t>t</w:t>
      </w:r>
      <w:r w:rsidR="00663F29">
        <w:t xml:space="preserve">o </w:t>
      </w:r>
      <w:r w:rsidR="001B36CC">
        <w:t xml:space="preserve">o bispo de Münster, </w:t>
      </w:r>
      <w:r w:rsidR="00AA3836">
        <w:t xml:space="preserve">von Galen, </w:t>
      </w:r>
      <w:r w:rsidR="001B36CC">
        <w:t>pregou em 3 de Agosto de 1941 um sermão contra o extermínio dos doentes</w:t>
      </w:r>
      <w:r w:rsidR="008D1728">
        <w:t xml:space="preserve"> e outros bispos tanto luteranos como católicos protestaram</w:t>
      </w:r>
      <w:r w:rsidR="00AD29A0">
        <w:t xml:space="preserve"> igualmente</w:t>
      </w:r>
      <w:r w:rsidR="00F324FD">
        <w:rPr>
          <w:rStyle w:val="Refdenotaderodap"/>
        </w:rPr>
        <w:footnoteReference w:id="738"/>
      </w:r>
      <w:r w:rsidR="008D1728">
        <w:t>.</w:t>
      </w:r>
      <w:r w:rsidR="00AB0723">
        <w:t xml:space="preserve"> </w:t>
      </w:r>
      <w:r w:rsidR="008D1728">
        <w:t xml:space="preserve">Até figuras gradas do NSDAP </w:t>
      </w:r>
      <w:r w:rsidR="00AD29A0">
        <w:t>exprimiram</w:t>
      </w:r>
      <w:r w:rsidR="008D1728">
        <w:t xml:space="preserve"> o seu desacordo</w:t>
      </w:r>
      <w:r w:rsidR="00AD29A0">
        <w:t xml:space="preserve"> e o temor da repressão não impediu que a população comum se manifestasse também</w:t>
      </w:r>
      <w:r w:rsidR="00E747A2">
        <w:t>, num caso contra o próprio Führer</w:t>
      </w:r>
      <w:r w:rsidR="008D1728">
        <w:rPr>
          <w:rStyle w:val="Refdenotaderodap"/>
        </w:rPr>
        <w:footnoteReference w:id="739"/>
      </w:r>
      <w:r w:rsidR="00AD29A0">
        <w:t xml:space="preserve">. </w:t>
      </w:r>
      <w:r w:rsidR="00976308" w:rsidRPr="003E305A">
        <w:t xml:space="preserve">A </w:t>
      </w:r>
      <w:r w:rsidR="00321E01" w:rsidRPr="003E305A">
        <w:t xml:space="preserve">emoção parece ter sido grande, maior pelo menos do que </w:t>
      </w:r>
      <w:r w:rsidR="00D46E1B">
        <w:t xml:space="preserve">a respeito </w:t>
      </w:r>
      <w:r w:rsidR="00321E01" w:rsidRPr="003E305A">
        <w:t xml:space="preserve">dos judeus, </w:t>
      </w:r>
      <w:r w:rsidR="00976308">
        <w:t>e</w:t>
      </w:r>
      <w:r w:rsidR="00321E01" w:rsidRPr="003E305A">
        <w:t xml:space="preserve"> em </w:t>
      </w:r>
      <w:r w:rsidR="00976308">
        <w:t xml:space="preserve">24 de </w:t>
      </w:r>
      <w:r w:rsidR="00321E01" w:rsidRPr="003E305A">
        <w:t xml:space="preserve">Agosto de 1941 </w:t>
      </w:r>
      <w:r w:rsidR="00976308">
        <w:t xml:space="preserve">Hitler ordenou que se encerrassem </w:t>
      </w:r>
      <w:r w:rsidR="00321E01" w:rsidRPr="003E305A">
        <w:t>os centros de extermínio de doentes através do gás</w:t>
      </w:r>
      <w:r w:rsidR="00976308">
        <w:rPr>
          <w:rStyle w:val="Refdenotaderodap"/>
        </w:rPr>
        <w:footnoteReference w:id="740"/>
      </w:r>
      <w:r w:rsidR="00321E01" w:rsidRPr="003E305A">
        <w:t xml:space="preserve">. </w:t>
      </w:r>
      <w:r w:rsidR="00FB6716">
        <w:t>De qualquer modo, como observa</w:t>
      </w:r>
      <w:r w:rsidR="0050023C">
        <w:t>ra</w:t>
      </w:r>
      <w:r w:rsidR="00FB6716">
        <w:t xml:space="preserve">m dois historiadores, «o alvo original do programa de “eutanásia” já havia sido atingido quando Hitler deu ordem para </w:t>
      </w:r>
      <w:r w:rsidR="00E408FD">
        <w:t xml:space="preserve">se </w:t>
      </w:r>
      <w:r w:rsidR="00FB6716">
        <w:t>lhe pôr termo»</w:t>
      </w:r>
      <w:r w:rsidR="004521A5">
        <w:rPr>
          <w:rStyle w:val="Refdenotaderodap"/>
        </w:rPr>
        <w:footnoteReference w:id="741"/>
      </w:r>
      <w:r w:rsidR="00FB6716">
        <w:t xml:space="preserve">. </w:t>
      </w:r>
    </w:p>
    <w:p w:rsidR="00321E01" w:rsidRPr="003E305A" w:rsidRDefault="009F0539" w:rsidP="00321E01">
      <w:r>
        <w:t xml:space="preserve">Essa ordem foi em boa medida ilusória, porque </w:t>
      </w:r>
      <w:r w:rsidRPr="003E305A">
        <w:t xml:space="preserve">de então em diante recorreu-se ao emprego de gás em instalações móveis e à administração de injecções tóxicas, e ainda a outro método mais barato e igualmente eficaz, que viria a ser usado também para os eslavos, o de </w:t>
      </w:r>
      <w:r>
        <w:t>liquidar</w:t>
      </w:r>
      <w:r w:rsidRPr="003E305A">
        <w:t xml:space="preserve"> </w:t>
      </w:r>
      <w:r>
        <w:t>pela inanição</w:t>
      </w:r>
      <w:r w:rsidRPr="003E305A">
        <w:t xml:space="preserve">. </w:t>
      </w:r>
      <w:r>
        <w:t>«A natureza teria deixado morrer à fome esta criatura inviável», prevenira em 1937 o órgão dos SS, referindo-se a um deficiente mental incurável. «Nós podemos ser mais humanos e dar-lhe sem dor uma morte misericordiosa»</w:t>
      </w:r>
      <w:r>
        <w:rPr>
          <w:rStyle w:val="Refdenotaderodap"/>
        </w:rPr>
        <w:footnoteReference w:id="742"/>
      </w:r>
      <w:r>
        <w:t xml:space="preserve">. Nem isso foram, porque parece </w:t>
      </w:r>
      <w:r w:rsidRPr="003E305A">
        <w:t>que só nos asilos, entre 1942 e 1945, teria havido cem mil mortos por desnutrição</w:t>
      </w:r>
      <w:r>
        <w:t xml:space="preserve">. </w:t>
      </w:r>
      <w:r w:rsidR="00321E01" w:rsidRPr="003E305A">
        <w:t xml:space="preserve">Consoante as estatísticas oficiais, </w:t>
      </w:r>
      <w:r>
        <w:t xml:space="preserve">entre </w:t>
      </w:r>
      <w:r w:rsidR="005D1732">
        <w:t>meados de 1939 e Agosto de 1941</w:t>
      </w:r>
      <w:r>
        <w:t xml:space="preserve"> </w:t>
      </w:r>
      <w:r w:rsidR="00321E01" w:rsidRPr="003E305A">
        <w:t>dera-se cabo de setenta mil doentes, mas alguns historiadores calcula</w:t>
      </w:r>
      <w:r w:rsidR="00321E01">
        <w:t>ra</w:t>
      </w:r>
      <w:r w:rsidR="00321E01" w:rsidRPr="003E305A">
        <w:t xml:space="preserve">m </w:t>
      </w:r>
      <w:r w:rsidR="00623291">
        <w:t xml:space="preserve">um </w:t>
      </w:r>
      <w:r w:rsidR="00321E01" w:rsidRPr="003E305A">
        <w:t xml:space="preserve">número de vítimas superior. Um documento datado de Dezembro de 1941 admite que tivessem já sido mortos duzentos mil doentes mentais e setenta e cinco mil idosos, </w:t>
      </w:r>
      <w:r w:rsidR="00842E80">
        <w:t>e</w:t>
      </w:r>
      <w:r w:rsidR="00321E01" w:rsidRPr="003E305A">
        <w:t xml:space="preserve"> um historiador consider</w:t>
      </w:r>
      <w:r w:rsidR="00321E01">
        <w:t>ou</w:t>
      </w:r>
      <w:r w:rsidR="00321E01" w:rsidRPr="003E305A">
        <w:t xml:space="preserve"> que a quantidade total de vítimas deste extermínio, em todo o território abrangido e controlado pelo Reich, somaria várias centenas de </w:t>
      </w:r>
      <w:r w:rsidR="00321E01" w:rsidRPr="003E305A">
        <w:lastRenderedPageBreak/>
        <w:t>milhar</w:t>
      </w:r>
      <w:r w:rsidR="00321E01">
        <w:t>es</w:t>
      </w:r>
      <w:r w:rsidR="00321E01" w:rsidRPr="003E305A">
        <w:rPr>
          <w:rStyle w:val="Refdenotaderodap"/>
        </w:rPr>
        <w:footnoteReference w:id="743"/>
      </w:r>
      <w:r w:rsidR="00321E01" w:rsidRPr="003E305A">
        <w:t>. Experimentados os gases letais com os doentes e os deficientes, este sistema foi inaugurado nos campos de concentração com presos comuns, nomeadamente os acusados de ultrajes sexuais, e com presos políticos, passando em seguida a ser aplicado aos judeus</w:t>
      </w:r>
      <w:r w:rsidR="00321E01" w:rsidRPr="003E305A">
        <w:rPr>
          <w:rStyle w:val="Refdenotaderodap"/>
        </w:rPr>
        <w:footnoteReference w:id="744"/>
      </w:r>
      <w:r w:rsidR="00A64765">
        <w:t xml:space="preserve">, mas </w:t>
      </w:r>
      <w:r w:rsidR="00C55DDD" w:rsidRPr="003E305A">
        <w:t xml:space="preserve">só </w:t>
      </w:r>
      <w:r w:rsidR="00A64765">
        <w:t xml:space="preserve">depois de a sua eficácia ter sido testada </w:t>
      </w:r>
      <w:r w:rsidR="00135A3D">
        <w:t>em</w:t>
      </w:r>
      <w:r w:rsidR="00A64765">
        <w:t xml:space="preserve"> prisioneiros de guerra soviéticos</w:t>
      </w:r>
      <w:r w:rsidR="00A64765">
        <w:rPr>
          <w:rStyle w:val="Refdenotaderodap"/>
        </w:rPr>
        <w:footnoteReference w:id="745"/>
      </w:r>
      <w:r w:rsidR="00321E01" w:rsidRPr="003E305A">
        <w:t xml:space="preserve">. </w:t>
      </w:r>
      <w:r w:rsidR="005C3DE4">
        <w:t xml:space="preserve">Aliás, o extermínio dos doentes considerados incuráveis ou nocivos </w:t>
      </w:r>
      <w:r w:rsidR="00B83A31">
        <w:t xml:space="preserve">— tanto germânicos como eslavos ou judeus — </w:t>
      </w:r>
      <w:r w:rsidR="005C3DE4">
        <w:t xml:space="preserve">e o extermínio justificado por motivos raciais nunca deixaram de se sobrepor, porque </w:t>
      </w:r>
      <w:r w:rsidR="008D41AC">
        <w:t xml:space="preserve">nos territórios ocupados de Leste </w:t>
      </w:r>
      <w:r w:rsidR="00B22335">
        <w:t>vários campos de concentração foram usados para ambos os fins</w:t>
      </w:r>
      <w:r w:rsidR="008D41AC">
        <w:t>, assim como os Einsatzgruppen se dedicaram aos dois tipos de tarefa</w:t>
      </w:r>
      <w:r w:rsidR="0040664B">
        <w:rPr>
          <w:rStyle w:val="Refdenotaderodap"/>
        </w:rPr>
        <w:footnoteReference w:id="746"/>
      </w:r>
      <w:r w:rsidR="00B22335">
        <w:t xml:space="preserve">. </w:t>
      </w:r>
      <w:r w:rsidR="0085729D">
        <w:t>A interligação d</w:t>
      </w:r>
      <w:r w:rsidR="00FE435A">
        <w:t>est</w:t>
      </w:r>
      <w:r w:rsidR="0085729D">
        <w:t xml:space="preserve">as questões tornou-se mais estreita ainda a partir de Dezembro de 1941, quando Himmler </w:t>
      </w:r>
      <w:r w:rsidR="00FE435A">
        <w:t xml:space="preserve">determinou </w:t>
      </w:r>
      <w:r w:rsidR="0085729D">
        <w:t>que equipas médicas visitassem os campos de concentração e seleccionassem os doentes físicos e mentais para serem mortos por gás</w:t>
      </w:r>
      <w:r w:rsidR="00FE435A">
        <w:rPr>
          <w:rStyle w:val="Refdenotaderodap"/>
        </w:rPr>
        <w:footnoteReference w:id="747"/>
      </w:r>
      <w:r w:rsidR="0085729D">
        <w:t xml:space="preserve">. </w:t>
      </w:r>
      <w:r w:rsidR="00321E01" w:rsidRPr="003E305A">
        <w:t xml:space="preserve">No quadro de pensamento </w:t>
      </w:r>
      <w:r w:rsidR="0050023C">
        <w:t>nacional-socialista</w:t>
      </w:r>
      <w:r w:rsidR="00321E01" w:rsidRPr="003E305A">
        <w:t xml:space="preserve">, a eliminação dos deficientes físicos graves e dos doentes mentais, a liquidação de inimigos da ordem, de perversos e de subversivos, o extermínio dos judeus e a condenação dos eslavos a condições de vida infra-humanas faziam parte da mesma ciência da raça. </w:t>
      </w:r>
    </w:p>
    <w:p w:rsidR="00321E01" w:rsidRPr="003E305A" w:rsidRDefault="00321E01" w:rsidP="00321E01">
      <w:r w:rsidRPr="003E305A">
        <w:t xml:space="preserve">Prosseguir com métodos de tal forma racionais um objectivo completamente irracional representa o grau supremo da alucinação. </w:t>
      </w:r>
      <w:r w:rsidR="00FD32FA">
        <w:t xml:space="preserve">«[...] há um ponto além do qual a </w:t>
      </w:r>
      <w:r w:rsidR="002E2319">
        <w:t>tenacidade</w:t>
      </w:r>
      <w:r w:rsidR="00FD32FA">
        <w:t xml:space="preserve"> se converte numa loucura desesperada», prevenira Clausewitz</w:t>
      </w:r>
      <w:r w:rsidR="002E2319">
        <w:rPr>
          <w:rStyle w:val="Refdenotaderodap"/>
        </w:rPr>
        <w:footnoteReference w:id="748"/>
      </w:r>
      <w:r w:rsidR="0050023C">
        <w:t>,</w:t>
      </w:r>
      <w:r w:rsidR="00FD32FA">
        <w:t xml:space="preserve"> </w:t>
      </w:r>
      <w:r w:rsidR="0050023C">
        <w:t xml:space="preserve">e </w:t>
      </w:r>
      <w:r w:rsidR="00C37C6E">
        <w:t xml:space="preserve">Ernst Jünger observou no seu diário que </w:t>
      </w:r>
      <w:r w:rsidR="00BF0660">
        <w:t>a guerra total declarada pelo Reich</w:t>
      </w:r>
      <w:r w:rsidR="00BF0660" w:rsidRPr="00BF0660">
        <w:t xml:space="preserve"> </w:t>
      </w:r>
      <w:r w:rsidR="00BF0660">
        <w:t>era a outra face d</w:t>
      </w:r>
      <w:r w:rsidR="00C37C6E">
        <w:t xml:space="preserve">a rendição incondicional exigida pelos </w:t>
      </w:r>
      <w:r w:rsidR="007F38AD">
        <w:t>Aliados</w:t>
      </w:r>
      <w:r w:rsidR="00A554B3">
        <w:rPr>
          <w:rStyle w:val="Refdenotaderodap"/>
        </w:rPr>
        <w:footnoteReference w:id="749"/>
      </w:r>
      <w:r w:rsidR="00C37C6E">
        <w:t xml:space="preserve">. </w:t>
      </w:r>
      <w:r w:rsidR="0050023C">
        <w:t xml:space="preserve">Encontrara o seu termo </w:t>
      </w:r>
      <w:r w:rsidR="00C508D0">
        <w:t>a premonição de catástrofe que sempre havia acompanhad</w:t>
      </w:r>
      <w:r w:rsidR="007F38AD">
        <w:t xml:space="preserve">o o racismo </w:t>
      </w:r>
      <w:r w:rsidR="00BF0660">
        <w:t>hitleriano</w:t>
      </w:r>
      <w:r w:rsidR="0050023C">
        <w:t>.</w:t>
      </w:r>
      <w:r w:rsidR="007F38AD">
        <w:t xml:space="preserve"> </w:t>
      </w:r>
      <w:r w:rsidR="0050023C">
        <w:t>P</w:t>
      </w:r>
      <w:r w:rsidR="007F38AD">
        <w:t xml:space="preserve">erante a intimação dos Aliados a guerra total convertia-se em imolação total. </w:t>
      </w:r>
      <w:r w:rsidR="003A3D08">
        <w:t xml:space="preserve">Aquilo que Paulus não ousara fazer diante de Stalingrado no Inverno de 1942-1943 iria Hitler cumprir na Primavera de 1945 na capital do que havia sido o seu Reich. </w:t>
      </w:r>
      <w:r w:rsidR="008B70DA">
        <w:t xml:space="preserve">Faltava o coro dos heróis. </w:t>
      </w:r>
      <w:r w:rsidR="00DC6714">
        <w:t xml:space="preserve">As ordens emanadas do Führer e dos Gauleiter e dos </w:t>
      </w:r>
      <w:r w:rsidR="008B70DA">
        <w:t>comandantes</w:t>
      </w:r>
      <w:r w:rsidR="00DC6714">
        <w:t xml:space="preserve"> da </w:t>
      </w:r>
      <w:r w:rsidR="00DC6714">
        <w:lastRenderedPageBreak/>
        <w:t xml:space="preserve">Wehrmacht para impedir a evacuação e a fuga das populações perante os exércitos invasores a Leste e a Oeste tiveram um objectivo único, arrastar todos os germanos para o grande sacrifício final, e se a população comum tentou das mais diversas maneiras escapar à rede </w:t>
      </w:r>
      <w:r w:rsidR="002E30CF">
        <w:t xml:space="preserve">com </w:t>
      </w:r>
      <w:r w:rsidR="00DC6714">
        <w:t>que a envolvia</w:t>
      </w:r>
      <w:r w:rsidR="002E30CF">
        <w:t>m</w:t>
      </w:r>
      <w:r w:rsidR="00DC6714">
        <w:t xml:space="preserve"> </w:t>
      </w:r>
      <w:r w:rsidR="002E30CF">
        <w:t xml:space="preserve">as </w:t>
      </w:r>
      <w:r w:rsidR="00DC6714">
        <w:t>autoridades estabelecidas e as novas autoridades ambulantes que proliferavam</w:t>
      </w:r>
      <w:r w:rsidR="009D4DD5">
        <w:rPr>
          <w:rStyle w:val="Refdenotaderodap"/>
        </w:rPr>
        <w:footnoteReference w:id="750"/>
      </w:r>
      <w:r w:rsidR="00DC6714">
        <w:t xml:space="preserve">, </w:t>
      </w:r>
      <w:r w:rsidR="009D4DD5">
        <w:t>is</w:t>
      </w:r>
      <w:r w:rsidR="008B70DA">
        <w:t>t</w:t>
      </w:r>
      <w:r w:rsidR="009D4DD5">
        <w:t xml:space="preserve">o só serviu para confirmar a </w:t>
      </w:r>
      <w:r w:rsidR="00274111">
        <w:t>opinião</w:t>
      </w:r>
      <w:r w:rsidR="009D4DD5">
        <w:t xml:space="preserve"> que a elite tinha das massas. </w:t>
      </w:r>
      <w:r w:rsidRPr="003E305A">
        <w:t xml:space="preserve">Como um prisioneiro no </w:t>
      </w:r>
      <w:r w:rsidR="00313456" w:rsidRPr="00313456">
        <w:t>bunker</w:t>
      </w:r>
      <w:r w:rsidRPr="00313456">
        <w:t>,</w:t>
      </w:r>
      <w:r w:rsidRPr="003E305A">
        <w:t xml:space="preserve"> o Führer de um império em escombros reflectia sobre as causas da derrota e dava instruções </w:t>
      </w:r>
      <w:r w:rsidR="00D31522">
        <w:t xml:space="preserve">a </w:t>
      </w:r>
      <w:r w:rsidR="00D31522" w:rsidRPr="003E305A">
        <w:t>Albert Speer</w:t>
      </w:r>
      <w:r w:rsidR="00D31522">
        <w:t>,</w:t>
      </w:r>
      <w:r w:rsidR="00D31522" w:rsidRPr="003E305A">
        <w:t xml:space="preserve"> </w:t>
      </w:r>
      <w:r w:rsidRPr="003E305A">
        <w:t xml:space="preserve">ministro do Armamento e da </w:t>
      </w:r>
      <w:r w:rsidR="00487C3A">
        <w:t>Indústria Bélica</w:t>
      </w:r>
      <w:r w:rsidR="00EF61BE">
        <w:t>,</w:t>
      </w:r>
      <w:r w:rsidRPr="003E305A">
        <w:t xml:space="preserve"> para proceder à destruição total das instalações militares e industriais e mesmo das infra-estruturas sem as quais a população não poderia sustentar a mais rudimentar das existências</w:t>
      </w:r>
      <w:r w:rsidRPr="003E305A">
        <w:rPr>
          <w:rStyle w:val="Refdenotaderodap"/>
        </w:rPr>
        <w:footnoteReference w:id="751"/>
      </w:r>
      <w:r w:rsidRPr="003E305A">
        <w:t xml:space="preserve">. </w:t>
      </w:r>
      <w:r w:rsidR="00680DE5">
        <w:t>A imolação incluiria a colecção de milhares de obras de arte que Hitler havia depositado em Altausee, sob pena de morte se estas instruções não fossem cumpridas, como não o foram</w:t>
      </w:r>
      <w:r w:rsidR="00680DE5">
        <w:rPr>
          <w:rStyle w:val="Refdenotaderodap"/>
        </w:rPr>
        <w:footnoteReference w:id="752"/>
      </w:r>
      <w:r w:rsidR="00680DE5">
        <w:t xml:space="preserve">. </w:t>
      </w:r>
      <w:r w:rsidR="000B43C7">
        <w:t xml:space="preserve">Às ruínas </w:t>
      </w:r>
      <w:r w:rsidR="00D157B6">
        <w:t xml:space="preserve">materiais corresponderia </w:t>
      </w:r>
      <w:r w:rsidR="000B43C7">
        <w:t xml:space="preserve">o vazio </w:t>
      </w:r>
      <w:r w:rsidR="00EF61BE">
        <w:t>institucional</w:t>
      </w:r>
      <w:r w:rsidR="00D157B6">
        <w:t xml:space="preserve">, e nos últimos meses da guerra foram mortas cerca de cinco mil pessoas, conservadoras ou moderadas, não porque estivessem implicadas na tentativa de golpe de Julho de 1944 mas para impedir o ressurgimento </w:t>
      </w:r>
      <w:r w:rsidR="00EF61BE">
        <w:t xml:space="preserve">político </w:t>
      </w:r>
      <w:r w:rsidR="00E21F9A">
        <w:t xml:space="preserve">de um </w:t>
      </w:r>
      <w:r w:rsidR="00EF61BE">
        <w:t>Reich derrotado</w:t>
      </w:r>
      <w:r w:rsidR="001B678A">
        <w:rPr>
          <w:rStyle w:val="Refdenotaderodap"/>
        </w:rPr>
        <w:footnoteReference w:id="753"/>
      </w:r>
      <w:r w:rsidR="00D157B6">
        <w:t>.</w:t>
      </w:r>
      <w:r w:rsidR="000B43C7">
        <w:t xml:space="preserve"> </w:t>
      </w:r>
      <w:r w:rsidRPr="003E305A">
        <w:t xml:space="preserve">Não era </w:t>
      </w:r>
      <w:r w:rsidR="00D157B6">
        <w:t xml:space="preserve">do Führer </w:t>
      </w:r>
      <w:r w:rsidRPr="003E305A">
        <w:t>o malogro, mas do povo que não soubera estar à altura do chefe. Se a lei da vida era a vitória do mais forte sobre o mais fraco, ao ser vencido o povo germânico demonstrou que não era a raça superior. Outros o seriam. Os sub-homens haviam-se revelado afinal como a super-humanidade, os eslavos triunfavam sobre os nórdicos. É interessante considerar que mesmo antes da guerra o receio de que os eslavos adquirissem a supremacia rácica constituíra um dos temas do Führer nos longos monólogos com que brindava os íntimos em Obersalzberg, enquanto bebiam golinhos de chá e provavam a pastelaria vienense</w:t>
      </w:r>
      <w:r w:rsidRPr="003E305A">
        <w:rPr>
          <w:rStyle w:val="Refdenotaderodap"/>
        </w:rPr>
        <w:footnoteReference w:id="754"/>
      </w:r>
      <w:r w:rsidRPr="003E305A">
        <w:t>. «Hoje, prosseguia ele [Hitler] por vezes, e curiosamente já antes da guerra, os siberianos, os russos brancos e os homens da estepe têm um modo de vida muitíssimo são. Por isso, é possível que evoluam e adquiram a longo prazo uma superioridade biológica sobre os alemães»</w:t>
      </w:r>
      <w:r w:rsidRPr="003E305A">
        <w:rPr>
          <w:rStyle w:val="Refdenotaderodap"/>
        </w:rPr>
        <w:footnoteReference w:id="755"/>
      </w:r>
      <w:r w:rsidRPr="003E305A">
        <w:t>. A</w:t>
      </w:r>
      <w:r w:rsidR="004A4D5E">
        <w:t>o</w:t>
      </w:r>
      <w:r w:rsidRPr="003E305A">
        <w:t xml:space="preserve"> </w:t>
      </w:r>
      <w:r w:rsidR="004A4D5E">
        <w:t xml:space="preserve">vencedor </w:t>
      </w:r>
      <w:r w:rsidRPr="003E305A">
        <w:t xml:space="preserve">a </w:t>
      </w:r>
      <w:r w:rsidRPr="003E305A">
        <w:lastRenderedPageBreak/>
        <w:t xml:space="preserve">supremacia. </w:t>
      </w:r>
      <w:r w:rsidR="009E0FFD">
        <w:t xml:space="preserve">A lógica racial tinha dois gumes. </w:t>
      </w:r>
      <w:r w:rsidRPr="003E305A">
        <w:t>«Se a guerra está perdida», declar</w:t>
      </w:r>
      <w:r>
        <w:t>ou</w:t>
      </w:r>
      <w:r w:rsidRPr="003E305A">
        <w:t xml:space="preserve"> Hitler a Speer na noite de 18 para 19 de Março de 1945, «o povo alemão está perdido também. É inútil preocuparmo-nos com as condições necessárias à sobrevivência mais elementar do povo. Pelo contrário, é preferível que até isso seja destruído. Porque este povo mostrou ser o mais fraco, e o futuro pertence exclusivamente ao povo do </w:t>
      </w:r>
      <w:r w:rsidR="009F6645" w:rsidRPr="003E305A">
        <w:t>Leste</w:t>
      </w:r>
      <w:r w:rsidRPr="003E305A">
        <w:t>, que se revelou mais forte. Depois deste combate só ficarão os medíocres, porque os bons terão sucumbido»</w:t>
      </w:r>
      <w:r w:rsidRPr="003E305A">
        <w:rPr>
          <w:rStyle w:val="Refdenotaderodap"/>
        </w:rPr>
        <w:footnoteReference w:id="756"/>
      </w:r>
      <w:r w:rsidRPr="003E305A">
        <w:t>. Nos últimos dias, quando reconheceu enfim que tudo terminara, o Führer desinteressou-se do comando militar, reduzido à organização de operações de retirada e à capitulação</w:t>
      </w:r>
      <w:r w:rsidRPr="003E305A">
        <w:rPr>
          <w:rStyle w:val="Refdenotaderodap"/>
        </w:rPr>
        <w:footnoteReference w:id="757"/>
      </w:r>
      <w:r w:rsidRPr="003E305A">
        <w:t xml:space="preserve">. De pouco lhe interessava a sorte dos «medíocres», dos que não haviam tombado. Os figurantes tinham sido necessários para encenar o poder, mas estavam a mais na representação da catástrofe. </w:t>
      </w:r>
    </w:p>
    <w:p w:rsidR="00DA3C45" w:rsidRDefault="00321E01" w:rsidP="00321E01">
      <w:r w:rsidRPr="003E305A">
        <w:t>A poucas horas de pôr cobro à vida, ao ditar o seu testamento político, foi diferente o tom empregue por Hitler, deixando antever a esperança de que o sacrifício dos soldados germânicos fizesse germinar a semente e um dia, no futuro, se reconstituísse a unidade da raça e renascesse o nacional-socialismo</w:t>
      </w:r>
      <w:r w:rsidRPr="003E305A">
        <w:rPr>
          <w:rStyle w:val="Refdenotaderodap"/>
        </w:rPr>
        <w:footnoteReference w:id="758"/>
      </w:r>
      <w:r w:rsidRPr="003E305A">
        <w:t xml:space="preserve">. Mas talvez este optimismo de circunstância se destinasse apenas a estimular os soldados ao cumprimento das derradeiras ordens que o Führer lhes dava, de resistir até ao fim. Com efeito, para todos os que não se pretendessem artistas como ele e não sentissem o prazer de levar à cena a própria morte junto com a dos outros entre as ruínas </w:t>
      </w:r>
      <w:r w:rsidR="00260328">
        <w:t>do império</w:t>
      </w:r>
      <w:r w:rsidRPr="003E305A">
        <w:t>, para que serviria a imolação sem a esperança de uma recompensa, mesmo nas névoas do mito? São muito poucos os que fruem, do interior, a estética da desolação</w:t>
      </w:r>
      <w:r w:rsidRPr="003E305A">
        <w:rPr>
          <w:rStyle w:val="Refdenotaderodap"/>
        </w:rPr>
        <w:footnoteReference w:id="759"/>
      </w:r>
      <w:r w:rsidRPr="003E305A">
        <w:t xml:space="preserve">. A verdadeira coda do Terceiro Reich não é no testamento do Führer que a encontramos, mas nas repetidas ordens dadas a Speer, nos últimos meses da guerra, de desmantelar tudo o que restava da Alemanha moderna. </w:t>
      </w:r>
    </w:p>
    <w:p w:rsidR="00F21840" w:rsidRPr="00321E01" w:rsidRDefault="00321E01" w:rsidP="00321E01">
      <w:r w:rsidRPr="003E305A">
        <w:lastRenderedPageBreak/>
        <w:t xml:space="preserve">Estes acordes de catástrofe </w:t>
      </w:r>
      <w:r w:rsidR="000C6DC8">
        <w:t xml:space="preserve">não eram novos. </w:t>
      </w:r>
      <w:r w:rsidR="00416B78">
        <w:t>Já num memorando de 1936 o Führer havia observado que «</w:t>
      </w:r>
      <w:r w:rsidR="005E47B5">
        <w:t>um</w:t>
      </w:r>
      <w:r w:rsidR="00416B78">
        <w:t>a vitória do bolchevismo sobre a Alemanha levaria não a um tratado de Versailles mas à destruição final, na verdade à aniquilação do povo alemão»</w:t>
      </w:r>
      <w:r w:rsidR="00416B78">
        <w:rPr>
          <w:rStyle w:val="Refdenotaderodap"/>
        </w:rPr>
        <w:footnoteReference w:id="760"/>
      </w:r>
      <w:r w:rsidR="00416B78">
        <w:t xml:space="preserve">, e </w:t>
      </w:r>
      <w:r w:rsidR="000C6DC8" w:rsidRPr="003E305A">
        <w:t>prevenira os generais de que «se a Alemanha não ganhar a guerra é porque não triunfou nesta prova de força, e deverá então sucumbir, e sucumbirá»</w:t>
      </w:r>
      <w:r w:rsidR="000C6DC8" w:rsidRPr="003E305A">
        <w:rPr>
          <w:rStyle w:val="Refdenotaderodap"/>
        </w:rPr>
        <w:footnoteReference w:id="761"/>
      </w:r>
      <w:r w:rsidR="00416B78">
        <w:t>,</w:t>
      </w:r>
      <w:r w:rsidR="000C6DC8">
        <w:t xml:space="preserve"> </w:t>
      </w:r>
      <w:r w:rsidR="00416B78">
        <w:t xml:space="preserve">tal como </w:t>
      </w:r>
      <w:r w:rsidR="000C6DC8">
        <w:t>em Novembro de 1941, quando mal começava a afirmar-se a resistência das tro</w:t>
      </w:r>
      <w:r w:rsidR="00B74518">
        <w:t>pas soviéticas contra a invasão</w:t>
      </w:r>
      <w:r w:rsidR="000C6DC8">
        <w:t>, declar</w:t>
      </w:r>
      <w:r w:rsidR="00416B78">
        <w:t xml:space="preserve">ara </w:t>
      </w:r>
      <w:r w:rsidR="000C6DC8">
        <w:t>aos ministros dos Negócios Estrangeiros da Dinamarca e da Croácia que «se um dia a nação alemã já não for suficientemente forte ou suficientemente pronta ao sacrifício para arriscar o seu sangue pela sua existência, então que termine e seja aniquilada por algum outro poder mais forte»</w:t>
      </w:r>
      <w:r w:rsidR="000C6DC8">
        <w:rPr>
          <w:rStyle w:val="Refdenotaderodap"/>
        </w:rPr>
        <w:footnoteReference w:id="762"/>
      </w:r>
      <w:r w:rsidR="000C6DC8">
        <w:t xml:space="preserve">. </w:t>
      </w:r>
      <w:r w:rsidR="00B622B5">
        <w:t xml:space="preserve">Não eram palavras ao acaso e o tema tornava-se um </w:t>
      </w:r>
      <w:r w:rsidR="00357CED" w:rsidRPr="00B622B5">
        <w:rPr>
          <w:i/>
        </w:rPr>
        <w:t>Leitmotiv</w:t>
      </w:r>
      <w:r w:rsidR="00B622B5" w:rsidRPr="00B622B5">
        <w:rPr>
          <w:i/>
        </w:rPr>
        <w:t>,</w:t>
      </w:r>
      <w:r w:rsidR="00B622B5">
        <w:t xml:space="preserve"> porque em Janeiro de 1942 o Führer </w:t>
      </w:r>
      <w:r w:rsidR="00DA3C45">
        <w:t>advertiu</w:t>
      </w:r>
      <w:r w:rsidR="00B622B5">
        <w:t xml:space="preserve"> que «se o povo germânico não está pronto para se empenhar totalmente na luta pela sobrevivência, muito bem, então deve desaparecer!»</w:t>
      </w:r>
      <w:r w:rsidR="00B622B5">
        <w:rPr>
          <w:rStyle w:val="Refdenotaderodap"/>
        </w:rPr>
        <w:footnoteReference w:id="763"/>
      </w:r>
      <w:r w:rsidR="00B622B5">
        <w:t xml:space="preserve">. </w:t>
      </w:r>
      <w:r w:rsidR="000C6DC8">
        <w:t xml:space="preserve">Ouvimos o mesmo som </w:t>
      </w:r>
      <w:r w:rsidRPr="003E305A">
        <w:t xml:space="preserve">quando os desenvolvimentos do tema se aproximavam do final. </w:t>
      </w:r>
      <w:r w:rsidR="00AB4120">
        <w:t>Reunindo os Gauleiter a 7 de Fevereiro de 1943, poucos dias depois de consumada a catástrofe em Stalingrado, o Führer anunci</w:t>
      </w:r>
      <w:r w:rsidR="000C6DC8">
        <w:t>ou</w:t>
      </w:r>
      <w:r w:rsidR="00AB4120">
        <w:t xml:space="preserve"> um dos </w:t>
      </w:r>
      <w:r w:rsidR="002650E6">
        <w:t>horizontes</w:t>
      </w:r>
      <w:r w:rsidR="00AB4120">
        <w:t xml:space="preserve"> possíveis</w:t>
      </w:r>
      <w:r w:rsidR="00B74518">
        <w:t>:</w:t>
      </w:r>
      <w:r w:rsidR="00AB4120">
        <w:t xml:space="preserve"> «Se o povo germânico fracassar, então não merece que lutemos pelo seu futuro; então podemos, com serenidade, pô-lo de lado»</w:t>
      </w:r>
      <w:r w:rsidR="00AB4120">
        <w:rPr>
          <w:rStyle w:val="Refdenotaderodap"/>
        </w:rPr>
        <w:footnoteReference w:id="764"/>
      </w:r>
      <w:r w:rsidR="00AB4120">
        <w:t xml:space="preserve">. </w:t>
      </w:r>
      <w:r w:rsidR="009400DA" w:rsidRPr="003E305A">
        <w:t xml:space="preserve">Num </w:t>
      </w:r>
      <w:r w:rsidRPr="003E305A">
        <w:t xml:space="preserve">discurso que proferiu </w:t>
      </w:r>
      <w:r w:rsidR="00AB4120">
        <w:t xml:space="preserve">também </w:t>
      </w:r>
      <w:r w:rsidRPr="003E305A">
        <w:t>perante os Gauleiter</w:t>
      </w:r>
      <w:r w:rsidR="000C6DC8">
        <w:t>,</w:t>
      </w:r>
      <w:r w:rsidRPr="003E305A">
        <w:t xml:space="preserve"> em Agosto de 1944, declar</w:t>
      </w:r>
      <w:r w:rsidR="000C6DC8">
        <w:t>ou</w:t>
      </w:r>
      <w:r w:rsidRPr="003E305A">
        <w:t>: «Mas se agora o povo alemão sucumbir neste combate [...] é porque foi demasiado fraco. Não triunfou dos desafios da história e a morte teria sido o seu único destino»</w:t>
      </w:r>
      <w:r w:rsidRPr="003E305A">
        <w:rPr>
          <w:rStyle w:val="Refdenotaderodap"/>
        </w:rPr>
        <w:footnoteReference w:id="765"/>
      </w:r>
      <w:r w:rsidRPr="003E305A">
        <w:t xml:space="preserve">. </w:t>
      </w:r>
      <w:r w:rsidR="009400DA">
        <w:t xml:space="preserve">E </w:t>
      </w:r>
      <w:r>
        <w:t xml:space="preserve">numa alocução pronunciada em Dezembro de 1944 perante as altas patentes militares da frente oeste </w:t>
      </w:r>
      <w:r w:rsidR="009400DA">
        <w:t xml:space="preserve">o Führer anunciou </w:t>
      </w:r>
      <w:r>
        <w:t>que, se o Reich fosse derrotado, isto demonstraria que a sua população era biologicamente mais fraca e teria de pagar o devido preço</w:t>
      </w:r>
      <w:r>
        <w:rPr>
          <w:rStyle w:val="Refdenotaderodap"/>
        </w:rPr>
        <w:footnoteReference w:id="766"/>
      </w:r>
      <w:r>
        <w:t xml:space="preserve">. </w:t>
      </w:r>
      <w:r w:rsidRPr="003E305A">
        <w:t xml:space="preserve">O racismo hitleriano morreu da mesma maneira </w:t>
      </w:r>
      <w:r w:rsidR="00357CED">
        <w:t>como</w:t>
      </w:r>
      <w:r w:rsidRPr="003E305A">
        <w:t xml:space="preserve"> começou. Ao opor a sua concepção excludente às doutrinas rácicas abrangentes defendidas por </w:t>
      </w:r>
      <w:r w:rsidR="00B74518">
        <w:t xml:space="preserve">Röhm, por </w:t>
      </w:r>
      <w:r w:rsidRPr="003E305A">
        <w:t>Gregor Strasser e pela ala propensa ao nacional-bolchevismo, ao insistir na assimetria heróica de um sangue puro, incapaz de resgatar as outras raças</w:t>
      </w:r>
      <w:r>
        <w:t xml:space="preserve"> e </w:t>
      </w:r>
      <w:r w:rsidRPr="003E305A">
        <w:t xml:space="preserve">sempre exposto a ser abastardado por elas, Hitler parecia ter desde início uma premonição de tragédia. Deixando o seu Reich em ruínas, responsabilizando o seu povo pela derrota, proclamando esta derrota como a derradeira confirmação das suas </w:t>
      </w:r>
      <w:r w:rsidR="00B74518">
        <w:t>ideias</w:t>
      </w:r>
      <w:r w:rsidRPr="003E305A">
        <w:t xml:space="preserve">, </w:t>
      </w:r>
      <w:r>
        <w:t>o Führer</w:t>
      </w:r>
      <w:r w:rsidRPr="003E305A">
        <w:t xml:space="preserve"> </w:t>
      </w:r>
      <w:r w:rsidR="00402FFC">
        <w:t xml:space="preserve">e os seus acólitos </w:t>
      </w:r>
      <w:r w:rsidRPr="003E305A">
        <w:t>termin</w:t>
      </w:r>
      <w:r w:rsidR="00402FFC">
        <w:t>aram</w:t>
      </w:r>
      <w:r w:rsidRPr="003E305A">
        <w:t xml:space="preserve"> como todos os delirantes, devorado</w:t>
      </w:r>
      <w:r w:rsidR="00402FFC">
        <w:t>s</w:t>
      </w:r>
      <w:r w:rsidRPr="003E305A">
        <w:t xml:space="preserve"> pela teia de ilusões que ele</w:t>
      </w:r>
      <w:r w:rsidR="00402FFC">
        <w:t>s</w:t>
      </w:r>
      <w:r w:rsidRPr="003E305A">
        <w:t xml:space="preserve"> próprio</w:t>
      </w:r>
      <w:r w:rsidR="00402FFC">
        <w:t>s</w:t>
      </w:r>
      <w:r w:rsidRPr="003E305A">
        <w:t xml:space="preserve"> produzira</w:t>
      </w:r>
      <w:r w:rsidR="00402FFC">
        <w:t>m</w:t>
      </w:r>
      <w:r w:rsidRPr="003E305A">
        <w:t xml:space="preserve">. </w:t>
      </w:r>
    </w:p>
    <w:sectPr w:rsidR="00F21840" w:rsidRPr="00321E01" w:rsidSect="008F5861">
      <w:headerReference w:type="even" r:id="rId7"/>
      <w:footerReference w:type="even" r:id="rId8"/>
      <w:footerReference w:type="default" r:id="rId9"/>
      <w:pgSz w:w="11906" w:h="16838"/>
      <w:pgMar w:top="1417" w:right="1701" w:bottom="1417" w:left="1701" w:header="709" w:footer="709" w:gutter="0"/>
      <w:pgNumType w:start="87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40C" w:rsidRDefault="00FF240C" w:rsidP="00321E01">
      <w:pPr>
        <w:spacing w:line="240" w:lineRule="auto"/>
      </w:pPr>
      <w:r>
        <w:separator/>
      </w:r>
    </w:p>
  </w:endnote>
  <w:endnote w:type="continuationSeparator" w:id="0">
    <w:p w:rsidR="00FF240C" w:rsidRDefault="00FF240C" w:rsidP="00321E0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E0D" w:rsidRDefault="009B3103" w:rsidP="00E50EAC">
    <w:pPr>
      <w:pStyle w:val="Rodap"/>
      <w:framePr w:wrap="around" w:vAnchor="text" w:hAnchor="margin" w:xAlign="center" w:y="1"/>
      <w:rPr>
        <w:rStyle w:val="Nmerodepgina"/>
      </w:rPr>
    </w:pPr>
    <w:r>
      <w:rPr>
        <w:rStyle w:val="Nmerodepgina"/>
      </w:rPr>
      <w:fldChar w:fldCharType="begin"/>
    </w:r>
    <w:r w:rsidR="00392E0D">
      <w:rPr>
        <w:rStyle w:val="Nmerodepgina"/>
      </w:rPr>
      <w:instrText xml:space="preserve">PAGE  </w:instrText>
    </w:r>
    <w:r>
      <w:rPr>
        <w:rStyle w:val="Nmerodepgina"/>
      </w:rPr>
      <w:fldChar w:fldCharType="end"/>
    </w:r>
  </w:p>
  <w:p w:rsidR="00392E0D" w:rsidRDefault="00392E0D">
    <w:pPr>
      <w:pStyle w:val="Rodap"/>
    </w:pPr>
  </w:p>
  <w:p w:rsidR="00392E0D" w:rsidRDefault="00392E0D"/>
  <w:p w:rsidR="00392E0D" w:rsidRDefault="00392E0D" w:rsidP="00E50EA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E0D" w:rsidRPr="006519B8" w:rsidRDefault="009B3103" w:rsidP="00E50EAC">
    <w:pPr>
      <w:pStyle w:val="Rodap"/>
      <w:framePr w:wrap="around" w:vAnchor="text" w:hAnchor="margin" w:xAlign="center" w:y="1"/>
      <w:ind w:firstLine="0"/>
      <w:rPr>
        <w:rStyle w:val="Nmerodepgina"/>
        <w:rFonts w:ascii="Arial Narrow" w:hAnsi="Arial Narrow"/>
        <w:i/>
      </w:rPr>
    </w:pPr>
    <w:r w:rsidRPr="006519B8">
      <w:rPr>
        <w:rStyle w:val="Nmerodepgina"/>
        <w:rFonts w:ascii="Arial Narrow" w:hAnsi="Arial Narrow"/>
        <w:i/>
      </w:rPr>
      <w:fldChar w:fldCharType="begin"/>
    </w:r>
    <w:r w:rsidR="00392E0D" w:rsidRPr="006519B8">
      <w:rPr>
        <w:rStyle w:val="Nmerodepgina"/>
        <w:rFonts w:ascii="Arial Narrow" w:hAnsi="Arial Narrow"/>
        <w:i/>
      </w:rPr>
      <w:instrText xml:space="preserve">PAGE  </w:instrText>
    </w:r>
    <w:r w:rsidRPr="006519B8">
      <w:rPr>
        <w:rStyle w:val="Nmerodepgina"/>
        <w:rFonts w:ascii="Arial Narrow" w:hAnsi="Arial Narrow"/>
        <w:i/>
      </w:rPr>
      <w:fldChar w:fldCharType="separate"/>
    </w:r>
    <w:r w:rsidR="00075F53">
      <w:rPr>
        <w:rStyle w:val="Nmerodepgina"/>
        <w:rFonts w:ascii="Arial Narrow" w:hAnsi="Arial Narrow"/>
        <w:i/>
        <w:noProof/>
      </w:rPr>
      <w:t>888</w:t>
    </w:r>
    <w:r w:rsidRPr="006519B8">
      <w:rPr>
        <w:rStyle w:val="Nmerodepgina"/>
        <w:rFonts w:ascii="Arial Narrow" w:hAnsi="Arial Narrow"/>
        <w:i/>
      </w:rPr>
      <w:fldChar w:fldCharType="end"/>
    </w:r>
  </w:p>
  <w:p w:rsidR="00392E0D" w:rsidRDefault="00392E0D" w:rsidP="00A70DE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40C" w:rsidRDefault="00FF240C" w:rsidP="00321E01">
      <w:pPr>
        <w:spacing w:line="240" w:lineRule="auto"/>
        <w:ind w:firstLine="0"/>
      </w:pPr>
      <w:r>
        <w:separator/>
      </w:r>
    </w:p>
  </w:footnote>
  <w:footnote w:type="continuationSeparator" w:id="0">
    <w:p w:rsidR="00FF240C" w:rsidRDefault="00FF240C" w:rsidP="00321E01">
      <w:pPr>
        <w:spacing w:line="240" w:lineRule="auto"/>
        <w:ind w:firstLine="0"/>
      </w:pPr>
      <w:r>
        <w:continuationSeparator/>
      </w:r>
    </w:p>
  </w:footnote>
  <w:footnote w:id="1">
    <w:p w:rsidR="00392E0D" w:rsidRPr="00A52982" w:rsidRDefault="00392E0D" w:rsidP="002B1C6D">
      <w:pPr>
        <w:pStyle w:val="Textodenotaderodap"/>
        <w:rPr>
          <w:rFonts w:ascii="Arial Narrow" w:hAnsi="Arial Narrow"/>
        </w:rPr>
      </w:pPr>
      <w:r w:rsidRPr="00A52982">
        <w:rPr>
          <w:rStyle w:val="Refdenotaderodap"/>
          <w:rFonts w:ascii="Arial Narrow" w:hAnsi="Arial Narrow"/>
        </w:rPr>
        <w:footnoteRef/>
      </w:r>
      <w:r w:rsidRPr="00A52982">
        <w:rPr>
          <w:rFonts w:ascii="Arial Narrow" w:hAnsi="Arial Narrow"/>
        </w:rPr>
        <w:t xml:space="preserve"> </w:t>
      </w:r>
      <w:r w:rsidRPr="003E305A">
        <w:rPr>
          <w:rFonts w:ascii="Arial Narrow" w:hAnsi="Arial Narrow"/>
        </w:rPr>
        <w:t>Acerca do racismo de escopo abrangente consultar E. Conte et al. (1995) 85-88, 93-99, 104-105, 108-110</w:t>
      </w:r>
      <w:r>
        <w:rPr>
          <w:rFonts w:ascii="Arial Narrow" w:hAnsi="Arial Narrow"/>
        </w:rPr>
        <w:t>,</w:t>
      </w:r>
      <w:r w:rsidRPr="003E305A">
        <w:rPr>
          <w:rFonts w:ascii="Arial Narrow" w:hAnsi="Arial Narrow"/>
        </w:rPr>
        <w:t xml:space="preserve"> 349-350</w:t>
      </w:r>
      <w:r>
        <w:rPr>
          <w:rFonts w:ascii="Arial Narrow" w:hAnsi="Arial Narrow"/>
        </w:rPr>
        <w:t xml:space="preserve"> e </w:t>
      </w:r>
      <w:r w:rsidRPr="003C7C7C">
        <w:rPr>
          <w:rFonts w:ascii="Arial Narrow" w:hAnsi="Arial Narrow"/>
        </w:rPr>
        <w:t>A. Quinchon-Caudal (2013) 148-149</w:t>
      </w:r>
      <w:r w:rsidRPr="003E305A">
        <w:rPr>
          <w:rFonts w:ascii="Arial Narrow" w:hAnsi="Arial Narrow"/>
        </w:rPr>
        <w:t>.</w:t>
      </w:r>
      <w:r>
        <w:rPr>
          <w:rFonts w:ascii="Arial Narrow" w:hAnsi="Arial Narrow"/>
        </w:rPr>
        <w:t xml:space="preserve"> A opinião de Otto Strasser quanto a este assunto encontra-se em </w:t>
      </w:r>
      <w:r w:rsidRPr="003E305A">
        <w:rPr>
          <w:rFonts w:ascii="Arial Narrow" w:hAnsi="Arial Narrow"/>
        </w:rPr>
        <w:t>D. Reed (1944) 101.</w:t>
      </w:r>
    </w:p>
  </w:footnote>
  <w:footnote w:id="2">
    <w:p w:rsidR="00392E0D" w:rsidRPr="00A45413" w:rsidRDefault="00392E0D">
      <w:pPr>
        <w:pStyle w:val="Textodenotaderodap"/>
        <w:rPr>
          <w:rFonts w:ascii="Arial Narrow" w:hAnsi="Arial Narrow"/>
          <w:lang w:val="en-US"/>
        </w:rPr>
      </w:pPr>
      <w:r w:rsidRPr="00A45413">
        <w:rPr>
          <w:rStyle w:val="Refdenotaderodap"/>
          <w:rFonts w:ascii="Arial Narrow" w:hAnsi="Arial Narrow"/>
        </w:rPr>
        <w:footnoteRef/>
      </w:r>
      <w:r w:rsidRPr="00A45413">
        <w:rPr>
          <w:rFonts w:ascii="Arial Narrow" w:hAnsi="Arial Narrow"/>
          <w:lang w:val="en-US"/>
        </w:rPr>
        <w:t xml:space="preserve"> </w:t>
      </w:r>
      <w:r w:rsidRPr="003C7C7C">
        <w:rPr>
          <w:rFonts w:ascii="Arial Narrow" w:hAnsi="Arial Narrow"/>
          <w:lang w:val="en-US"/>
        </w:rPr>
        <w:t xml:space="preserve">E. Conte et al. (1995) 108-109; </w:t>
      </w:r>
      <w:r w:rsidRPr="00A45413">
        <w:rPr>
          <w:rFonts w:ascii="Arial Narrow" w:hAnsi="Arial Narrow"/>
          <w:lang w:val="en-US"/>
        </w:rPr>
        <w:t>A. Quinchon-Caudal (2013)</w:t>
      </w:r>
      <w:r>
        <w:rPr>
          <w:rFonts w:ascii="Arial Narrow" w:hAnsi="Arial Narrow"/>
          <w:lang w:val="en-US"/>
        </w:rPr>
        <w:t xml:space="preserve"> 149.</w:t>
      </w:r>
    </w:p>
  </w:footnote>
  <w:footnote w:id="3">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H. S. Chamberlain (1913) 8, 10, 392, 633 e segs., 657, 831, 943, 990.</w:t>
      </w:r>
    </w:p>
  </w:footnote>
  <w:footnote w:id="4">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9, 642-643, 904, 954.</w:t>
      </w:r>
    </w:p>
  </w:footnote>
  <w:footnote w:id="5">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xml:space="preserve">, ibid., 954-955. </w:t>
      </w:r>
      <w:r w:rsidRPr="003E305A">
        <w:rPr>
          <w:rFonts w:ascii="Arial Narrow" w:hAnsi="Arial Narrow"/>
        </w:rPr>
        <w:t>Houston Stewart Chamberlain escreveu também (pág. 967) acerca da Rússia da sua época: «[...] um monarca de pura raça germânica, chefiando um povo cujos elementos activos e criadores são no mínimo semigermânicos, começou a submeter aquele domínio gigantesco e a instaurar nele a ordem».</w:t>
      </w:r>
    </w:p>
  </w:footnote>
  <w:footnote w:id="6">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A45AD9">
        <w:rPr>
          <w:rFonts w:ascii="Arial Narrow" w:hAnsi="Arial Narrow"/>
        </w:rPr>
        <w:t>J. C. Fest (1974) 398</w:t>
      </w:r>
      <w:r>
        <w:rPr>
          <w:rFonts w:ascii="Arial Narrow" w:hAnsi="Arial Narrow"/>
        </w:rPr>
        <w:t>, 472</w:t>
      </w:r>
      <w:r w:rsidRPr="00A45AD9">
        <w:rPr>
          <w:rFonts w:ascii="Arial Narrow" w:hAnsi="Arial Narrow"/>
        </w:rPr>
        <w:t xml:space="preserve">; </w:t>
      </w:r>
      <w:r w:rsidRPr="003E305A">
        <w:rPr>
          <w:rFonts w:ascii="Arial Narrow" w:hAnsi="Arial Narrow"/>
        </w:rPr>
        <w:t>K. Heiden (1934) 203-205, 213, 216-217, 238-239</w:t>
      </w:r>
      <w:r>
        <w:rPr>
          <w:rFonts w:ascii="Arial Narrow" w:hAnsi="Arial Narrow"/>
        </w:rPr>
        <w:t xml:space="preserve">; F. Neumann em </w:t>
      </w:r>
      <w:r w:rsidRPr="00E14C99">
        <w:rPr>
          <w:rFonts w:ascii="Arial Narrow" w:hAnsi="Arial Narrow"/>
        </w:rPr>
        <w:t>R. Laudani (org. 2013)</w:t>
      </w:r>
      <w:r>
        <w:rPr>
          <w:rFonts w:ascii="Arial Narrow" w:hAnsi="Arial Narrow"/>
        </w:rPr>
        <w:t xml:space="preserve"> 276</w:t>
      </w:r>
      <w:r w:rsidRPr="003E305A">
        <w:rPr>
          <w:rFonts w:ascii="Arial Narrow" w:hAnsi="Arial Narrow"/>
        </w:rPr>
        <w:t xml:space="preserve">. Por </w:t>
      </w:r>
      <w:r>
        <w:rPr>
          <w:rFonts w:ascii="Arial Narrow" w:hAnsi="Arial Narrow"/>
        </w:rPr>
        <w:t>outro</w:t>
      </w:r>
      <w:r w:rsidRPr="003E305A">
        <w:rPr>
          <w:rFonts w:ascii="Arial Narrow" w:hAnsi="Arial Narrow"/>
        </w:rPr>
        <w:t xml:space="preserve"> lado, segundo J. Droz [s. d.] 13, em 1926 Otto Strasser não </w:t>
      </w:r>
      <w:r>
        <w:rPr>
          <w:rFonts w:ascii="Arial Narrow" w:hAnsi="Arial Narrow"/>
        </w:rPr>
        <w:t>propunha</w:t>
      </w:r>
      <w:r w:rsidRPr="003E305A">
        <w:rPr>
          <w:rFonts w:ascii="Arial Narrow" w:hAnsi="Arial Narrow"/>
        </w:rPr>
        <w:t xml:space="preserve"> uma orientação externa assente na colaboração com a União Soviética, mas durante as discussões que travou com Hitler em Maio de 1930, e que precederam de perto a sua saída do NSDAP, revelou-se favorável à aliança soviética, como se lê em D. Reed (1944) 103. </w:t>
      </w:r>
      <w:r>
        <w:rPr>
          <w:rFonts w:ascii="Arial Narrow" w:hAnsi="Arial Narrow"/>
        </w:rPr>
        <w:t xml:space="preserve">Também </w:t>
      </w:r>
      <w:r w:rsidRPr="00651915">
        <w:rPr>
          <w:rFonts w:ascii="Arial Narrow" w:hAnsi="Arial Narrow"/>
        </w:rPr>
        <w:t xml:space="preserve">D. Orlow (2010) 260 afirmou que em 1930 Otto Strasser defendia uma política externa favorável à União Soviética. </w:t>
      </w:r>
      <w:r w:rsidRPr="003E305A">
        <w:rPr>
          <w:rFonts w:ascii="Arial Narrow" w:hAnsi="Arial Narrow"/>
        </w:rPr>
        <w:t xml:space="preserve">Do mesmo modo, o manifesto </w:t>
      </w:r>
      <w:r w:rsidRPr="003E305A">
        <w:rPr>
          <w:rFonts w:ascii="Arial Narrow" w:hAnsi="Arial Narrow"/>
          <w:i/>
        </w:rPr>
        <w:t>Os Socialistas Abandonam o NSDAP,</w:t>
      </w:r>
      <w:r w:rsidRPr="003E305A">
        <w:rPr>
          <w:rFonts w:ascii="Arial Narrow" w:hAnsi="Arial Narrow"/>
        </w:rPr>
        <w:t xml:space="preserve"> com que Otto Strasser e os seus seguidores anunciaram a ruptura com Hitler, proclam</w:t>
      </w:r>
      <w:r>
        <w:rPr>
          <w:rFonts w:ascii="Arial Narrow" w:hAnsi="Arial Narrow"/>
        </w:rPr>
        <w:t>ou</w:t>
      </w:r>
      <w:r w:rsidRPr="003E305A">
        <w:rPr>
          <w:rFonts w:ascii="Arial Narrow" w:hAnsi="Arial Narrow"/>
        </w:rPr>
        <w:t xml:space="preserve"> que «a recusa da guerra de intervenção contra a Rússia» decorria necessariamente tanto do programa deste grupo como dos interesses da política externa alemã. Ver este manifesto em C. Klein (1968) 107-108.</w:t>
      </w:r>
    </w:p>
  </w:footnote>
  <w:footnote w:id="7">
    <w:p w:rsidR="00392E0D" w:rsidRPr="00321E01"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3E305A">
        <w:rPr>
          <w:rFonts w:ascii="Arial Narrow" w:hAnsi="Arial Narrow"/>
        </w:rPr>
        <w:t xml:space="preserve"> J. Droz [s. d.] 14-15. Ver igualmente E. Conte et al. </w:t>
      </w:r>
      <w:r w:rsidRPr="00321E01">
        <w:rPr>
          <w:rFonts w:ascii="Arial Narrow" w:hAnsi="Arial Narrow"/>
          <w:lang w:val="en-US"/>
        </w:rPr>
        <w:t>(1995) 108-109.</w:t>
      </w:r>
    </w:p>
  </w:footnote>
  <w:footnote w:id="8">
    <w:p w:rsidR="00392E0D" w:rsidRPr="007E75D1" w:rsidRDefault="00392E0D">
      <w:pPr>
        <w:pStyle w:val="Textodenotaderodap"/>
        <w:rPr>
          <w:rFonts w:ascii="Arial Narrow" w:hAnsi="Arial Narrow"/>
          <w:lang w:val="en-US"/>
        </w:rPr>
      </w:pPr>
      <w:r w:rsidRPr="00C60B3E">
        <w:rPr>
          <w:rStyle w:val="Refdenotaderodap"/>
          <w:rFonts w:ascii="Arial Narrow" w:hAnsi="Arial Narrow"/>
        </w:rPr>
        <w:footnoteRef/>
      </w:r>
      <w:r w:rsidRPr="007E75D1">
        <w:rPr>
          <w:rFonts w:ascii="Arial Narrow" w:hAnsi="Arial Narrow"/>
          <w:lang w:val="en-US"/>
        </w:rPr>
        <w:t xml:space="preserve"> J. Noakes et al. (orgs. </w:t>
      </w:r>
      <w:r>
        <w:rPr>
          <w:rFonts w:ascii="Arial Narrow" w:hAnsi="Arial Narrow"/>
          <w:lang w:val="en-US"/>
        </w:rPr>
        <w:t>2008-2010) III 44.</w:t>
      </w:r>
    </w:p>
  </w:footnote>
  <w:footnote w:id="9">
    <w:p w:rsidR="00392E0D" w:rsidRPr="00321E01" w:rsidRDefault="00392E0D" w:rsidP="00321E01">
      <w:pPr>
        <w:pStyle w:val="Textodenotaderodap"/>
        <w:rPr>
          <w:rFonts w:ascii="Arial Narrow" w:hAnsi="Arial Narrow"/>
          <w:lang w:val="en-US"/>
        </w:rPr>
      </w:pPr>
      <w:r w:rsidRPr="00081798">
        <w:rPr>
          <w:rStyle w:val="Refdenotaderodap"/>
          <w:rFonts w:ascii="Arial Narrow" w:hAnsi="Arial Narrow"/>
        </w:rPr>
        <w:footnoteRef/>
      </w:r>
      <w:r w:rsidRPr="00321E01">
        <w:rPr>
          <w:rFonts w:ascii="Arial Narrow" w:hAnsi="Arial Narrow"/>
          <w:lang w:val="en-US"/>
        </w:rPr>
        <w:t xml:space="preserve"> O. Spengler (1942-1944) III 239.</w:t>
      </w:r>
    </w:p>
  </w:footnote>
  <w:footnote w:id="10">
    <w:p w:rsidR="00392E0D" w:rsidRPr="00321E01" w:rsidRDefault="00392E0D" w:rsidP="00321E01">
      <w:pPr>
        <w:pStyle w:val="Textodenotaderodap"/>
        <w:rPr>
          <w:rFonts w:ascii="Arial Narrow" w:hAnsi="Arial Narrow"/>
          <w:lang w:val="en-US"/>
        </w:rPr>
      </w:pPr>
      <w:r w:rsidRPr="0044122C">
        <w:rPr>
          <w:rStyle w:val="Refdenotaderodap"/>
          <w:rFonts w:ascii="Arial Narrow" w:hAnsi="Arial Narrow"/>
        </w:rPr>
        <w:footnoteRef/>
      </w:r>
      <w:r w:rsidRPr="00321E01">
        <w:rPr>
          <w:rFonts w:ascii="Arial Narrow" w:hAnsi="Arial Narrow"/>
          <w:lang w:val="en-US"/>
        </w:rPr>
        <w:t xml:space="preserve"> Id., ibid., III 162.</w:t>
      </w:r>
    </w:p>
  </w:footnote>
  <w:footnote w:id="11">
    <w:p w:rsidR="00392E0D" w:rsidRPr="00321E01" w:rsidRDefault="00392E0D" w:rsidP="00321E01">
      <w:pPr>
        <w:pStyle w:val="Textodenotaderodap"/>
        <w:rPr>
          <w:rFonts w:ascii="Arial Narrow" w:hAnsi="Arial Narrow"/>
          <w:lang w:val="en-US"/>
        </w:rPr>
      </w:pPr>
      <w:r w:rsidRPr="005C4D59">
        <w:rPr>
          <w:rStyle w:val="Refdenotaderodap"/>
          <w:rFonts w:ascii="Arial Narrow" w:hAnsi="Arial Narrow"/>
        </w:rPr>
        <w:footnoteRef/>
      </w:r>
      <w:r w:rsidRPr="00321E01">
        <w:rPr>
          <w:rFonts w:ascii="Arial Narrow" w:hAnsi="Arial Narrow"/>
          <w:lang w:val="en-US"/>
        </w:rPr>
        <w:t xml:space="preserve"> Id., ibid., III 186.</w:t>
      </w:r>
    </w:p>
  </w:footnote>
  <w:footnote w:id="12">
    <w:p w:rsidR="00392E0D" w:rsidRPr="00321E01" w:rsidRDefault="00392E0D" w:rsidP="00321E01">
      <w:pPr>
        <w:pStyle w:val="Textodenotaderodap"/>
        <w:rPr>
          <w:rFonts w:ascii="Arial Narrow" w:hAnsi="Arial Narrow"/>
          <w:lang w:val="en-US"/>
        </w:rPr>
      </w:pPr>
      <w:r w:rsidRPr="00C74B31">
        <w:rPr>
          <w:rStyle w:val="Refdenotaderodap"/>
          <w:rFonts w:ascii="Arial Narrow" w:hAnsi="Arial Narrow"/>
        </w:rPr>
        <w:footnoteRef/>
      </w:r>
      <w:r w:rsidRPr="00321E01">
        <w:rPr>
          <w:rFonts w:ascii="Arial Narrow" w:hAnsi="Arial Narrow"/>
          <w:lang w:val="en-US"/>
        </w:rPr>
        <w:t xml:space="preserve"> Id., ibid., III 165.</w:t>
      </w:r>
    </w:p>
  </w:footnote>
  <w:footnote w:id="13">
    <w:p w:rsidR="00392E0D" w:rsidRPr="00321E01" w:rsidRDefault="00392E0D" w:rsidP="00321E01">
      <w:pPr>
        <w:pStyle w:val="Textodenotaderodap"/>
        <w:rPr>
          <w:rFonts w:ascii="Arial Narrow" w:hAnsi="Arial Narrow"/>
          <w:lang w:val="en-US"/>
        </w:rPr>
      </w:pPr>
      <w:r w:rsidRPr="004A5791">
        <w:rPr>
          <w:rStyle w:val="Refdenotaderodap"/>
          <w:rFonts w:ascii="Arial Narrow" w:hAnsi="Arial Narrow"/>
        </w:rPr>
        <w:footnoteRef/>
      </w:r>
      <w:r w:rsidRPr="00321E01">
        <w:rPr>
          <w:rFonts w:ascii="Arial Narrow" w:hAnsi="Arial Narrow"/>
          <w:lang w:val="en-US"/>
        </w:rPr>
        <w:t xml:space="preserve"> Id., ibid., III 184-185.</w:t>
      </w:r>
    </w:p>
  </w:footnote>
  <w:footnote w:id="14">
    <w:p w:rsidR="00392E0D" w:rsidRPr="00321E01" w:rsidRDefault="00392E0D" w:rsidP="00321E01">
      <w:pPr>
        <w:pStyle w:val="Textodenotaderodap"/>
        <w:rPr>
          <w:rFonts w:ascii="Arial Narrow" w:hAnsi="Arial Narrow"/>
          <w:lang w:val="en-US"/>
        </w:rPr>
      </w:pPr>
      <w:r w:rsidRPr="004733D2">
        <w:rPr>
          <w:rStyle w:val="Refdenotaderodap"/>
          <w:rFonts w:ascii="Arial Narrow" w:hAnsi="Arial Narrow"/>
        </w:rPr>
        <w:footnoteRef/>
      </w:r>
      <w:r w:rsidRPr="00321E01">
        <w:rPr>
          <w:rFonts w:ascii="Arial Narrow" w:hAnsi="Arial Narrow"/>
          <w:lang w:val="en-US"/>
        </w:rPr>
        <w:t xml:space="preserve"> Id., ibid., III 185.</w:t>
      </w:r>
    </w:p>
  </w:footnote>
  <w:footnote w:id="15">
    <w:p w:rsidR="00392E0D" w:rsidRPr="00321E01" w:rsidRDefault="00392E0D" w:rsidP="00321E01">
      <w:pPr>
        <w:pStyle w:val="Textodenotaderodap"/>
        <w:rPr>
          <w:rFonts w:ascii="Arial Narrow" w:hAnsi="Arial Narrow"/>
          <w:lang w:val="en-US"/>
        </w:rPr>
      </w:pPr>
      <w:r w:rsidRPr="004B4EB1">
        <w:rPr>
          <w:rStyle w:val="Refdenotaderodap"/>
          <w:rFonts w:ascii="Arial Narrow" w:hAnsi="Arial Narrow"/>
        </w:rPr>
        <w:footnoteRef/>
      </w:r>
      <w:r w:rsidRPr="00321E01">
        <w:rPr>
          <w:rFonts w:ascii="Arial Narrow" w:hAnsi="Arial Narrow"/>
          <w:lang w:val="en-US"/>
        </w:rPr>
        <w:t xml:space="preserve"> Id., ibid., III 169.</w:t>
      </w:r>
    </w:p>
  </w:footnote>
  <w:footnote w:id="16">
    <w:p w:rsidR="00392E0D" w:rsidRPr="00321E01" w:rsidRDefault="00392E0D" w:rsidP="00321E01">
      <w:pPr>
        <w:pStyle w:val="Textodenotaderodap"/>
        <w:rPr>
          <w:rFonts w:ascii="Arial Narrow" w:hAnsi="Arial Narrow"/>
          <w:lang w:val="en-US"/>
        </w:rPr>
      </w:pPr>
      <w:r w:rsidRPr="000B360C">
        <w:rPr>
          <w:rStyle w:val="Refdenotaderodap"/>
          <w:rFonts w:ascii="Arial Narrow" w:hAnsi="Arial Narrow"/>
        </w:rPr>
        <w:footnoteRef/>
      </w:r>
      <w:r w:rsidRPr="00321E01">
        <w:rPr>
          <w:rFonts w:ascii="Arial Narrow" w:hAnsi="Arial Narrow"/>
          <w:lang w:val="en-US"/>
        </w:rPr>
        <w:t xml:space="preserve"> Id., ibid., III 234.</w:t>
      </w:r>
    </w:p>
  </w:footnote>
  <w:footnote w:id="17">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da revisão do anti-semitismo empreendida pela ala populista do </w:t>
      </w:r>
      <w:r>
        <w:rPr>
          <w:rFonts w:ascii="Arial Narrow" w:hAnsi="Arial Narrow"/>
        </w:rPr>
        <w:t xml:space="preserve">NSDAP </w:t>
      </w:r>
      <w:r w:rsidRPr="003E305A">
        <w:rPr>
          <w:rFonts w:ascii="Arial Narrow" w:hAnsi="Arial Narrow"/>
        </w:rPr>
        <w:t>ver K. Heiden (1934) 204-205 e 255-256. Referindo-se a esta corrente do racismo, E. Conte et al. (1995) 98 observa</w:t>
      </w:r>
      <w:r>
        <w:rPr>
          <w:rFonts w:ascii="Arial Narrow" w:hAnsi="Arial Narrow"/>
        </w:rPr>
        <w:t>ra</w:t>
      </w:r>
      <w:r w:rsidRPr="003E305A">
        <w:rPr>
          <w:rFonts w:ascii="Arial Narrow" w:hAnsi="Arial Narrow"/>
        </w:rPr>
        <w:t xml:space="preserve">m que «os profetas de uma nova raça alemã tinham evitado formular uma posição clara acerca da “questão judaica” anteriormente a 1933». </w:t>
      </w:r>
      <w:r>
        <w:rPr>
          <w:rFonts w:ascii="Arial Narrow" w:hAnsi="Arial Narrow"/>
        </w:rPr>
        <w:t xml:space="preserve">Também F. Neumann em </w:t>
      </w:r>
      <w:r w:rsidRPr="00414F3F">
        <w:rPr>
          <w:rFonts w:ascii="Arial Narrow" w:hAnsi="Arial Narrow"/>
        </w:rPr>
        <w:t xml:space="preserve">R. Laudani (org. 2013) </w:t>
      </w:r>
      <w:r>
        <w:rPr>
          <w:rFonts w:ascii="Arial Narrow" w:hAnsi="Arial Narrow"/>
        </w:rPr>
        <w:t xml:space="preserve">276 afirmou, embora só de passagem, que a corrente de Gregor Strasser não era anti-semita. </w:t>
      </w:r>
      <w:r w:rsidRPr="003E305A">
        <w:rPr>
          <w:rFonts w:ascii="Arial Narrow" w:hAnsi="Arial Narrow"/>
        </w:rPr>
        <w:t xml:space="preserve">Todavia, Otto Strasser, pelo menos após a sua ruptura com Hitler, embora discordasse da estratégia seguida pelos </w:t>
      </w:r>
      <w:r>
        <w:rPr>
          <w:rFonts w:ascii="Arial Narrow" w:hAnsi="Arial Narrow"/>
        </w:rPr>
        <w:t>nacionais-socialistas</w:t>
      </w:r>
      <w:r w:rsidRPr="003E305A">
        <w:rPr>
          <w:rFonts w:ascii="Arial Narrow" w:hAnsi="Arial Narrow"/>
        </w:rPr>
        <w:t xml:space="preserve"> relativamente aos judeus, propu</w:t>
      </w:r>
      <w:r>
        <w:rPr>
          <w:rFonts w:ascii="Arial Narrow" w:hAnsi="Arial Narrow"/>
        </w:rPr>
        <w:t>ser</w:t>
      </w:r>
      <w:r w:rsidRPr="003E305A">
        <w:rPr>
          <w:rFonts w:ascii="Arial Narrow" w:hAnsi="Arial Narrow"/>
        </w:rPr>
        <w:t xml:space="preserve">a a adopção de «medidas restritivas, mas de forma mais digna, contra o aumento excessivo da influência hebraica», como </w:t>
      </w:r>
      <w:r>
        <w:rPr>
          <w:rFonts w:ascii="Arial Narrow" w:hAnsi="Arial Narrow"/>
        </w:rPr>
        <w:t>informou</w:t>
      </w:r>
      <w:r w:rsidRPr="003E305A">
        <w:rPr>
          <w:rFonts w:ascii="Arial Narrow" w:hAnsi="Arial Narrow"/>
        </w:rPr>
        <w:t xml:space="preserve"> D. Reed (1944) 171. E mais detalhadamente este autor, que proced</w:t>
      </w:r>
      <w:r>
        <w:rPr>
          <w:rFonts w:ascii="Arial Narrow" w:hAnsi="Arial Narrow"/>
        </w:rPr>
        <w:t>ia</w:t>
      </w:r>
      <w:r w:rsidRPr="003E305A">
        <w:rPr>
          <w:rFonts w:ascii="Arial Narrow" w:hAnsi="Arial Narrow"/>
        </w:rPr>
        <w:t xml:space="preserve"> como um verdadeiro agente de publicidade do seu biografado, explic</w:t>
      </w:r>
      <w:r>
        <w:rPr>
          <w:rFonts w:ascii="Arial Narrow" w:hAnsi="Arial Narrow"/>
        </w:rPr>
        <w:t>ou</w:t>
      </w:r>
      <w:r w:rsidRPr="003E305A">
        <w:rPr>
          <w:rFonts w:ascii="Arial Narrow" w:hAnsi="Arial Narrow"/>
        </w:rPr>
        <w:t xml:space="preserve"> </w:t>
      </w:r>
      <w:r>
        <w:rPr>
          <w:rFonts w:ascii="Arial Narrow" w:hAnsi="Arial Narrow"/>
        </w:rPr>
        <w:t>(</w:t>
      </w:r>
      <w:r w:rsidRPr="003E305A">
        <w:rPr>
          <w:rFonts w:ascii="Arial Narrow" w:hAnsi="Arial Narrow"/>
        </w:rPr>
        <w:t>págs. 260-263</w:t>
      </w:r>
      <w:r>
        <w:rPr>
          <w:rFonts w:ascii="Arial Narrow" w:hAnsi="Arial Narrow"/>
        </w:rPr>
        <w:t xml:space="preserve">) </w:t>
      </w:r>
      <w:r w:rsidRPr="003E305A">
        <w:rPr>
          <w:rFonts w:ascii="Arial Narrow" w:hAnsi="Arial Narrow"/>
        </w:rPr>
        <w:t>que, na opinião de Otto Strasser, só um número reduzido de judeus poderia ser assimilado; quanto aos restantes, considerados hostis ao povo entre quem viviam, seria necessário promulgar medidas que limitassem a sua alegada influência social, política e financeira. «Todo o movimento nacional era anti-semita», record</w:t>
      </w:r>
      <w:r>
        <w:rPr>
          <w:rFonts w:ascii="Arial Narrow" w:hAnsi="Arial Narrow"/>
        </w:rPr>
        <w:t>ou</w:t>
      </w:r>
      <w:r w:rsidRPr="003E305A">
        <w:rPr>
          <w:rFonts w:ascii="Arial Narrow" w:hAnsi="Arial Narrow"/>
        </w:rPr>
        <w:t xml:space="preserve"> E. Salomon (1993) 108, «embora em graus diversos». </w:t>
      </w:r>
      <w:r>
        <w:rPr>
          <w:rFonts w:ascii="Arial Narrow" w:hAnsi="Arial Narrow"/>
        </w:rPr>
        <w:t xml:space="preserve">Ernst </w:t>
      </w:r>
      <w:r w:rsidRPr="003E305A">
        <w:rPr>
          <w:rFonts w:ascii="Arial Narrow" w:hAnsi="Arial Narrow"/>
        </w:rPr>
        <w:t>von Salomon defendia (pág. 615) que a questão judaica devia ser resolvida através de uma opção cultural, não pelo acaso biológico do nascimento, e que seria alemão um judeu que se considerasse alemão.</w:t>
      </w:r>
    </w:p>
  </w:footnote>
  <w:footnote w:id="18">
    <w:p w:rsidR="00392E0D" w:rsidRPr="002D203C" w:rsidRDefault="00392E0D">
      <w:pPr>
        <w:pStyle w:val="Textodenotaderodap"/>
        <w:rPr>
          <w:rFonts w:ascii="Arial Narrow" w:hAnsi="Arial Narrow"/>
          <w:lang w:val="en-US"/>
        </w:rPr>
      </w:pPr>
      <w:r w:rsidRPr="002D203C">
        <w:rPr>
          <w:rStyle w:val="Refdenotaderodap"/>
          <w:rFonts w:ascii="Arial Narrow" w:hAnsi="Arial Narrow"/>
        </w:rPr>
        <w:footnoteRef/>
      </w:r>
      <w:r w:rsidRPr="002D203C">
        <w:rPr>
          <w:rFonts w:ascii="Arial Narrow" w:hAnsi="Arial Narrow"/>
          <w:lang w:val="en-US"/>
        </w:rPr>
        <w:t xml:space="preserve"> A. Quinchon-Caudal (2013)</w:t>
      </w:r>
      <w:r>
        <w:rPr>
          <w:rFonts w:ascii="Arial Narrow" w:hAnsi="Arial Narrow"/>
          <w:lang w:val="en-US"/>
        </w:rPr>
        <w:t xml:space="preserve"> 149.</w:t>
      </w:r>
    </w:p>
  </w:footnote>
  <w:footnote w:id="1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2D203C">
        <w:rPr>
          <w:rFonts w:ascii="Arial Narrow" w:hAnsi="Arial Narrow"/>
          <w:lang w:val="en-US"/>
        </w:rPr>
        <w:t xml:space="preserve"> J. Droz [s. d.] 3, 97. </w:t>
      </w:r>
      <w:r w:rsidRPr="003E305A">
        <w:rPr>
          <w:rFonts w:ascii="Arial Narrow" w:hAnsi="Arial Narrow"/>
        </w:rPr>
        <w:t>No entanto, ver H. Arendt (1972) 257 n. 34.</w:t>
      </w:r>
    </w:p>
  </w:footnote>
  <w:footnote w:id="20">
    <w:p w:rsidR="00392E0D" w:rsidRPr="00B0033E" w:rsidRDefault="00392E0D">
      <w:pPr>
        <w:pStyle w:val="Textodenotaderodap"/>
        <w:rPr>
          <w:rFonts w:ascii="Arial Narrow" w:hAnsi="Arial Narrow"/>
          <w:lang w:val="en-US"/>
        </w:rPr>
      </w:pPr>
      <w:r w:rsidRPr="00091A3B">
        <w:rPr>
          <w:rStyle w:val="Refdenotaderodap"/>
          <w:rFonts w:ascii="Arial Narrow" w:hAnsi="Arial Narrow"/>
        </w:rPr>
        <w:footnoteRef/>
      </w:r>
      <w:r w:rsidRPr="00B0033E">
        <w:rPr>
          <w:rFonts w:ascii="Arial Narrow" w:hAnsi="Arial Narrow"/>
          <w:lang w:val="en-US"/>
        </w:rPr>
        <w:t xml:space="preserve"> E. Röhm (1975) 4-5.</w:t>
      </w:r>
    </w:p>
  </w:footnote>
  <w:footnote w:id="21">
    <w:p w:rsidR="00392E0D" w:rsidRPr="00B0033E" w:rsidRDefault="00392E0D">
      <w:pPr>
        <w:pStyle w:val="Textodenotaderodap"/>
        <w:rPr>
          <w:rFonts w:ascii="Arial Narrow" w:hAnsi="Arial Narrow"/>
          <w:lang w:val="en-US"/>
        </w:rPr>
      </w:pPr>
      <w:r w:rsidRPr="00091A3B">
        <w:rPr>
          <w:rStyle w:val="Refdenotaderodap"/>
          <w:rFonts w:ascii="Arial Narrow" w:hAnsi="Arial Narrow"/>
        </w:rPr>
        <w:footnoteRef/>
      </w:r>
      <w:r w:rsidRPr="00B0033E">
        <w:rPr>
          <w:rFonts w:ascii="Arial Narrow" w:hAnsi="Arial Narrow"/>
          <w:lang w:val="en-US"/>
        </w:rPr>
        <w:t xml:space="preserve"> Id., ibid., 8, 9.</w:t>
      </w:r>
    </w:p>
  </w:footnote>
  <w:footnote w:id="22">
    <w:p w:rsidR="00392E0D" w:rsidRPr="00B0033E" w:rsidRDefault="00392E0D">
      <w:pPr>
        <w:pStyle w:val="Textodenotaderodap"/>
        <w:rPr>
          <w:rFonts w:ascii="Arial Narrow" w:hAnsi="Arial Narrow"/>
          <w:lang w:val="en-US"/>
        </w:rPr>
      </w:pPr>
      <w:r w:rsidRPr="00D62F5F">
        <w:rPr>
          <w:rStyle w:val="Refdenotaderodap"/>
          <w:rFonts w:ascii="Arial Narrow" w:hAnsi="Arial Narrow"/>
        </w:rPr>
        <w:footnoteRef/>
      </w:r>
      <w:r w:rsidRPr="00B0033E">
        <w:rPr>
          <w:rFonts w:ascii="Arial Narrow" w:hAnsi="Arial Narrow"/>
          <w:lang w:val="en-US"/>
        </w:rPr>
        <w:t xml:space="preserve"> Id., ibid., 9.</w:t>
      </w:r>
    </w:p>
  </w:footnote>
  <w:footnote w:id="23">
    <w:p w:rsidR="00392E0D" w:rsidRPr="00D62F5F" w:rsidRDefault="00392E0D">
      <w:pPr>
        <w:pStyle w:val="Textodenotaderodap"/>
        <w:rPr>
          <w:rFonts w:ascii="Arial Narrow" w:hAnsi="Arial Narrow"/>
        </w:rPr>
      </w:pPr>
      <w:r w:rsidRPr="00D62F5F">
        <w:rPr>
          <w:rStyle w:val="Refdenotaderodap"/>
          <w:rFonts w:ascii="Arial Narrow" w:hAnsi="Arial Narrow"/>
        </w:rPr>
        <w:footnoteRef/>
      </w:r>
      <w:r w:rsidRPr="00D62F5F">
        <w:rPr>
          <w:rFonts w:ascii="Arial Narrow" w:hAnsi="Arial Narrow"/>
        </w:rPr>
        <w:t xml:space="preserve"> </w:t>
      </w:r>
      <w:r>
        <w:rPr>
          <w:rFonts w:ascii="Arial Narrow" w:hAnsi="Arial Narrow"/>
        </w:rPr>
        <w:t>Id., ibid., 10.</w:t>
      </w:r>
    </w:p>
  </w:footnote>
  <w:footnote w:id="2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F. Boas (1938) 253.</w:t>
      </w:r>
    </w:p>
  </w:footnote>
  <w:footnote w:id="25">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Segundo Alfred Rosenberg, numa obra publicada em 1936 e mencionada por G. Lukács (1980) 577 e 715, Lagarde era um dos quatro precursores intelectuais do nacional-socialismo.</w:t>
      </w:r>
    </w:p>
  </w:footnote>
  <w:footnote w:id="26">
    <w:p w:rsidR="00392E0D" w:rsidRPr="00353204" w:rsidRDefault="00392E0D" w:rsidP="00321E01">
      <w:pPr>
        <w:pStyle w:val="Textodenotaderodap"/>
        <w:rPr>
          <w:rFonts w:ascii="Arial Narrow" w:hAnsi="Arial Narrow"/>
        </w:rPr>
      </w:pPr>
      <w:r w:rsidRPr="00353204">
        <w:rPr>
          <w:rStyle w:val="Refdenotaderodap"/>
          <w:rFonts w:ascii="Arial Narrow" w:hAnsi="Arial Narrow"/>
        </w:rPr>
        <w:footnoteRef/>
      </w:r>
      <w:r w:rsidRPr="00353204">
        <w:rPr>
          <w:rFonts w:ascii="Arial Narrow" w:hAnsi="Arial Narrow"/>
        </w:rPr>
        <w:t xml:space="preserve"> N</w:t>
      </w:r>
      <w:r>
        <w:rPr>
          <w:rFonts w:ascii="Arial Narrow" w:hAnsi="Arial Narrow"/>
        </w:rPr>
        <w:t xml:space="preserve">. </w:t>
      </w:r>
      <w:r w:rsidRPr="00353204">
        <w:rPr>
          <w:rFonts w:ascii="Arial Narrow" w:hAnsi="Arial Narrow"/>
        </w:rPr>
        <w:t>Cohn (1992)</w:t>
      </w:r>
      <w:r>
        <w:rPr>
          <w:rFonts w:ascii="Arial Narrow" w:hAnsi="Arial Narrow"/>
        </w:rPr>
        <w:t xml:space="preserve"> </w:t>
      </w:r>
      <w:r w:rsidRPr="00353204">
        <w:rPr>
          <w:rFonts w:ascii="Arial Narrow" w:hAnsi="Arial Narrow"/>
        </w:rPr>
        <w:t>169</w:t>
      </w:r>
      <w:r>
        <w:rPr>
          <w:rFonts w:ascii="Arial Narrow" w:hAnsi="Arial Narrow"/>
        </w:rPr>
        <w:t>.</w:t>
      </w:r>
      <w:r w:rsidRPr="007576CD">
        <w:rPr>
          <w:rFonts w:ascii="Arial Narrow" w:hAnsi="Arial Narrow"/>
          <w:noProof/>
          <w:sz w:val="24"/>
          <w:szCs w:val="24"/>
          <w:lang w:eastAsia="en-US"/>
        </w:rPr>
        <w:t xml:space="preserve"> </w:t>
      </w:r>
      <w:r w:rsidRPr="00345AEC">
        <w:rPr>
          <w:rFonts w:ascii="Arial Narrow" w:hAnsi="Arial Narrow"/>
          <w:noProof/>
          <w:lang w:eastAsia="en-US"/>
        </w:rPr>
        <w:t>Segundo</w:t>
      </w:r>
      <w:r>
        <w:rPr>
          <w:rFonts w:ascii="Arial Narrow" w:hAnsi="Arial Narrow"/>
          <w:noProof/>
          <w:lang w:eastAsia="en-US"/>
        </w:rPr>
        <w:t xml:space="preserve"> </w:t>
      </w:r>
      <w:r w:rsidRPr="005705E4">
        <w:rPr>
          <w:rFonts w:ascii="Arial Narrow" w:hAnsi="Arial Narrow"/>
          <w:noProof/>
          <w:lang w:eastAsia="en-US"/>
        </w:rPr>
        <w:t xml:space="preserve">A. Quinchon-Caudal (2013) 36, Lagarde nunca aderiu ao racismo biológico. </w:t>
      </w:r>
      <w:r w:rsidRPr="007576CD">
        <w:rPr>
          <w:rFonts w:ascii="Arial Narrow" w:hAnsi="Arial Narrow"/>
        </w:rPr>
        <w:t>Opondo-se ao tipo abrangente de racismo, H. S. Chamberlain (1913) 658 achou necessário esclarecer a sua posição</w:t>
      </w:r>
      <w:r>
        <w:rPr>
          <w:rFonts w:ascii="Arial Narrow" w:hAnsi="Arial Narrow"/>
        </w:rPr>
        <w:t>:</w:t>
      </w:r>
      <w:r w:rsidRPr="007576CD">
        <w:rPr>
          <w:rFonts w:ascii="Arial Narrow" w:hAnsi="Arial Narrow"/>
        </w:rPr>
        <w:t xml:space="preserve"> «[...] Paul de Lagarde [...] considera que o </w:t>
      </w:r>
      <w:r w:rsidRPr="007576CD">
        <w:rPr>
          <w:rFonts w:ascii="Arial Narrow" w:hAnsi="Arial Narrow"/>
          <w:i/>
        </w:rPr>
        <w:t>Deutschtum</w:t>
      </w:r>
      <w:r w:rsidRPr="007576CD">
        <w:rPr>
          <w:rFonts w:ascii="Arial Narrow" w:hAnsi="Arial Narrow"/>
        </w:rPr>
        <w:t xml:space="preserve"> [carácter germânico] reside não no sangue, mas no sentimento, não na raça, mas na mentalidade. É certo que na esfera individual pode suceder que o sentimento domine o sangue e a vitória caiba às ideias; mas tratando-se de uma multidão, de uma grande multidão, jamais isso acontece!». E na pág. 1433 da sua grande </w:t>
      </w:r>
      <w:r>
        <w:rPr>
          <w:rFonts w:ascii="Arial Narrow" w:hAnsi="Arial Narrow"/>
        </w:rPr>
        <w:t>—</w:t>
      </w:r>
      <w:r w:rsidRPr="007576CD">
        <w:rPr>
          <w:rFonts w:ascii="Arial Narrow" w:hAnsi="Arial Narrow"/>
        </w:rPr>
        <w:t xml:space="preserve"> no tamanho, pelo menos </w:t>
      </w:r>
      <w:r>
        <w:rPr>
          <w:rFonts w:ascii="Arial Narrow" w:hAnsi="Arial Narrow"/>
        </w:rPr>
        <w:t>—</w:t>
      </w:r>
      <w:r w:rsidRPr="007576CD">
        <w:rPr>
          <w:rFonts w:ascii="Arial Narrow" w:hAnsi="Arial Narrow"/>
        </w:rPr>
        <w:t xml:space="preserve"> obra, Chamberlain mencionou ironicamente o «admirável Lagarde, tão fértil em conjecturas de todo o género, especialmente do género aventuroso». Como se as suas próprias fossem mais sensatas!</w:t>
      </w:r>
    </w:p>
  </w:footnote>
  <w:footnote w:id="27">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 xml:space="preserve">Este </w:t>
      </w:r>
      <w:r w:rsidRPr="003E305A">
        <w:rPr>
          <w:rFonts w:ascii="Arial Narrow" w:hAnsi="Arial Narrow"/>
        </w:rPr>
        <w:t xml:space="preserve">ensaio de Paul de Lagarde </w:t>
      </w:r>
      <w:r>
        <w:rPr>
          <w:rFonts w:ascii="Arial Narrow" w:hAnsi="Arial Narrow"/>
        </w:rPr>
        <w:t xml:space="preserve">está </w:t>
      </w:r>
      <w:r w:rsidRPr="003E305A">
        <w:rPr>
          <w:rFonts w:ascii="Arial Narrow" w:hAnsi="Arial Narrow"/>
        </w:rPr>
        <w:t>antologiad</w:t>
      </w:r>
      <w:r>
        <w:rPr>
          <w:rFonts w:ascii="Arial Narrow" w:hAnsi="Arial Narrow"/>
        </w:rPr>
        <w:t>o em R. Griffin (org. 1995) 99.</w:t>
      </w:r>
    </w:p>
  </w:footnote>
  <w:footnote w:id="2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 xml:space="preserve">Este </w:t>
      </w:r>
      <w:r w:rsidRPr="003E305A">
        <w:rPr>
          <w:rFonts w:ascii="Arial Narrow" w:hAnsi="Arial Narrow"/>
        </w:rPr>
        <w:t>artigo de Gregor Strasser</w:t>
      </w:r>
      <w:r>
        <w:rPr>
          <w:rFonts w:ascii="Arial Narrow" w:hAnsi="Arial Narrow"/>
        </w:rPr>
        <w:t>,</w:t>
      </w:r>
      <w:r w:rsidRPr="003E305A">
        <w:rPr>
          <w:rFonts w:ascii="Arial Narrow" w:hAnsi="Arial Narrow"/>
        </w:rPr>
        <w:t xml:space="preserve"> publicado em 1926, </w:t>
      </w:r>
      <w:r>
        <w:rPr>
          <w:rFonts w:ascii="Arial Narrow" w:hAnsi="Arial Narrow"/>
        </w:rPr>
        <w:t xml:space="preserve">foi </w:t>
      </w:r>
      <w:r w:rsidRPr="003E305A">
        <w:rPr>
          <w:rFonts w:ascii="Arial Narrow" w:hAnsi="Arial Narrow"/>
        </w:rPr>
        <w:t xml:space="preserve">antologiado em </w:t>
      </w:r>
      <w:r>
        <w:rPr>
          <w:rFonts w:ascii="Arial Narrow" w:hAnsi="Arial Narrow"/>
        </w:rPr>
        <w:t xml:space="preserve">id., ibid., </w:t>
      </w:r>
      <w:r w:rsidRPr="003E305A">
        <w:rPr>
          <w:rFonts w:ascii="Arial Narrow" w:hAnsi="Arial Narrow"/>
        </w:rPr>
        <w:t>123-124.</w:t>
      </w:r>
    </w:p>
  </w:footnote>
  <w:footnote w:id="29">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Benoist-Méchin (1964-1966) I 169.</w:t>
      </w:r>
    </w:p>
  </w:footnote>
  <w:footnote w:id="3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J. P. Faye (1980) 126-127.</w:t>
      </w:r>
      <w:r>
        <w:rPr>
          <w:rFonts w:ascii="Arial Narrow" w:hAnsi="Arial Narrow"/>
        </w:rPr>
        <w:t xml:space="preserve"> Robert Michels afirmou pela mesma altura que a diferença entre o fascismo italiano e o nacional-socialismo germânico era que o primeiro havia passado pelo purgatório das doutrinas socialistas. Ver </w:t>
      </w:r>
      <w:r w:rsidRPr="005717D2">
        <w:rPr>
          <w:rFonts w:ascii="Arial Narrow" w:hAnsi="Arial Narrow"/>
        </w:rPr>
        <w:t>D. Pels (1998) 3.</w:t>
      </w:r>
    </w:p>
  </w:footnote>
  <w:footnote w:id="31">
    <w:p w:rsidR="00392E0D" w:rsidRPr="00A30A01"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C378B7">
        <w:rPr>
          <w:rFonts w:ascii="Arial Narrow" w:hAnsi="Arial Narrow"/>
        </w:rPr>
        <w:t xml:space="preserve">O. Strasser (1940) </w:t>
      </w:r>
      <w:r>
        <w:rPr>
          <w:rFonts w:ascii="Arial Narrow" w:hAnsi="Arial Narrow"/>
        </w:rPr>
        <w:t xml:space="preserve">107. Revi a tradução consoante </w:t>
      </w:r>
      <w:r w:rsidRPr="003E305A">
        <w:rPr>
          <w:rFonts w:ascii="Arial Narrow" w:hAnsi="Arial Narrow"/>
        </w:rPr>
        <w:t>A. Bullock (1972) 157-158</w:t>
      </w:r>
      <w:r>
        <w:rPr>
          <w:rFonts w:ascii="Arial Narrow" w:hAnsi="Arial Narrow"/>
        </w:rPr>
        <w:t>,</w:t>
      </w:r>
      <w:r w:rsidRPr="003E305A">
        <w:rPr>
          <w:rFonts w:ascii="Arial Narrow" w:hAnsi="Arial Narrow"/>
        </w:rPr>
        <w:t xml:space="preserve"> J. Droz [s. d.] 16-17</w:t>
      </w:r>
      <w:r>
        <w:rPr>
          <w:rFonts w:ascii="Arial Narrow" w:hAnsi="Arial Narrow"/>
        </w:rPr>
        <w:t xml:space="preserve"> e J. Noakes et al. (orgs. 2008-2010) I 66-67</w:t>
      </w:r>
      <w:r w:rsidRPr="003E305A">
        <w:rPr>
          <w:rFonts w:ascii="Arial Narrow" w:hAnsi="Arial Narrow"/>
        </w:rPr>
        <w:t>. Ver igualmente D. Reed (1944) 101.</w:t>
      </w:r>
      <w:r>
        <w:rPr>
          <w:rFonts w:ascii="Arial Narrow" w:hAnsi="Arial Narrow"/>
        </w:rPr>
        <w:t xml:space="preserve"> O eugenista norte-americano Lothrop Stoddard escrevera uma dezena de anos antes que «o factor fundamental nas questões humanas não é a política mas a raça». </w:t>
      </w:r>
      <w:r w:rsidRPr="00A30A01">
        <w:rPr>
          <w:rFonts w:ascii="Arial Narrow" w:hAnsi="Arial Narrow"/>
        </w:rPr>
        <w:t>Ver L. Stoddard (1921) 5.</w:t>
      </w:r>
    </w:p>
  </w:footnote>
  <w:footnote w:id="32">
    <w:p w:rsidR="00392E0D" w:rsidRPr="00E06410" w:rsidRDefault="00392E0D">
      <w:pPr>
        <w:pStyle w:val="Textodenotaderodap"/>
        <w:rPr>
          <w:rFonts w:ascii="Arial Narrow" w:hAnsi="Arial Narrow"/>
        </w:rPr>
      </w:pPr>
      <w:r w:rsidRPr="0099656E">
        <w:rPr>
          <w:rStyle w:val="Refdenotaderodap"/>
          <w:rFonts w:ascii="Arial Narrow" w:hAnsi="Arial Narrow"/>
        </w:rPr>
        <w:footnoteRef/>
      </w:r>
      <w:r w:rsidRPr="00A30A01">
        <w:rPr>
          <w:rFonts w:ascii="Arial Narrow" w:hAnsi="Arial Narrow"/>
        </w:rPr>
        <w:t xml:space="preserve"> J. Lanz von Liebenfels [s. d.] 55. </w:t>
      </w:r>
      <w:r w:rsidRPr="00274082">
        <w:rPr>
          <w:rFonts w:ascii="Arial Narrow" w:hAnsi="Arial Narrow"/>
        </w:rPr>
        <w:t>Quanto à fome que Hitler teria sofrido nos seus dias de Viena, J. C. Fest (1974) 49, 53, 67</w:t>
      </w:r>
      <w:r>
        <w:rPr>
          <w:rFonts w:ascii="Arial Narrow" w:hAnsi="Arial Narrow"/>
        </w:rPr>
        <w:t xml:space="preserve"> e</w:t>
      </w:r>
      <w:r w:rsidRPr="00274082">
        <w:rPr>
          <w:rFonts w:ascii="Arial Narrow" w:hAnsi="Arial Narrow"/>
        </w:rPr>
        <w:t xml:space="preserve"> 75 indicou que até 1908 ele dispunha de alguns rendimentos.</w:t>
      </w:r>
    </w:p>
  </w:footnote>
  <w:footnote w:id="33">
    <w:p w:rsidR="00392E0D" w:rsidRPr="00A30A01" w:rsidRDefault="00392E0D" w:rsidP="00321E01">
      <w:pPr>
        <w:pStyle w:val="Textodenotaderodap"/>
        <w:rPr>
          <w:rFonts w:ascii="Arial Narrow" w:hAnsi="Arial Narrow"/>
        </w:rPr>
      </w:pPr>
      <w:r w:rsidRPr="003E305A">
        <w:rPr>
          <w:rStyle w:val="Refdenotaderodap"/>
          <w:rFonts w:ascii="Arial Narrow" w:hAnsi="Arial Narrow"/>
        </w:rPr>
        <w:footnoteRef/>
      </w:r>
      <w:r w:rsidRPr="00A30A01">
        <w:rPr>
          <w:rFonts w:ascii="Arial Narrow" w:hAnsi="Arial Narrow"/>
        </w:rPr>
        <w:t xml:space="preserve"> Citado por H. Rauschning (1939) 274.</w:t>
      </w:r>
    </w:p>
  </w:footnote>
  <w:footnote w:id="34">
    <w:p w:rsidR="00392E0D" w:rsidRPr="00A30A01" w:rsidRDefault="00392E0D" w:rsidP="00321E01">
      <w:pPr>
        <w:pStyle w:val="Textodenotaderodap"/>
        <w:rPr>
          <w:rFonts w:ascii="Arial Narrow" w:hAnsi="Arial Narrow"/>
        </w:rPr>
      </w:pPr>
      <w:r w:rsidRPr="003E305A">
        <w:rPr>
          <w:rStyle w:val="Refdenotaderodap"/>
          <w:rFonts w:ascii="Arial Narrow" w:hAnsi="Arial Narrow"/>
        </w:rPr>
        <w:footnoteRef/>
      </w:r>
      <w:r w:rsidRPr="00A30A01">
        <w:rPr>
          <w:rFonts w:ascii="Arial Narrow" w:hAnsi="Arial Narrow"/>
        </w:rPr>
        <w:t xml:space="preserve"> A. Hitler (1995) 285.</w:t>
      </w:r>
    </w:p>
  </w:footnote>
  <w:footnote w:id="3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289. Também o general Ludendorff atribuiu aos judeus a simultânea capacidade de, por um lado, usarem o domínio exercido sobre a «finança mundial» para atacar a Alemanha e, por outro lado, recorrerem às «doutrinas colectivistas e social-comunistas» para desagregar o povo alemão. Ver Ludendorff (1936) 27. Mas o antigo quartel-mestre general nunca separava os judeus da Igreja católica, como se vê </w:t>
      </w:r>
      <w:r>
        <w:rPr>
          <w:rFonts w:ascii="Arial Narrow" w:hAnsi="Arial Narrow"/>
        </w:rPr>
        <w:t xml:space="preserve">nas págs. </w:t>
      </w:r>
      <w:r w:rsidRPr="003E305A">
        <w:rPr>
          <w:rFonts w:ascii="Arial Narrow" w:hAnsi="Arial Narrow"/>
        </w:rPr>
        <w:t>10, 22, 27-29, 31, 32, 36 e segs., 43-44, 47, 52, 69, 70 e 215, e se bem que fosse sempre possível citar nomes judaicos entre os dirigentes socialistas, comunistas e anarquistas, ele ver-se-ia certamente em apuros se desejasse substanciar as suas fobias enumerando bispos ou mesmo padres que tivessem inspirado os revolucionários alemães em 1918 e 1919.</w:t>
      </w:r>
    </w:p>
  </w:footnote>
  <w:footnote w:id="36">
    <w:p w:rsidR="00392E0D" w:rsidRPr="005161A2" w:rsidRDefault="00392E0D">
      <w:pPr>
        <w:pStyle w:val="Textodenotaderodap"/>
        <w:rPr>
          <w:rFonts w:ascii="Arial Narrow" w:hAnsi="Arial Narrow"/>
        </w:rPr>
      </w:pPr>
      <w:r w:rsidRPr="005161A2">
        <w:rPr>
          <w:rStyle w:val="Refdenotaderodap"/>
          <w:rFonts w:ascii="Arial Narrow" w:hAnsi="Arial Narrow"/>
        </w:rPr>
        <w:footnoteRef/>
      </w:r>
      <w:r w:rsidRPr="005161A2">
        <w:rPr>
          <w:rFonts w:ascii="Arial Narrow" w:hAnsi="Arial Narrow"/>
        </w:rPr>
        <w:t xml:space="preserve"> S. Friedländer (2008)</w:t>
      </w:r>
      <w:r>
        <w:rPr>
          <w:rFonts w:ascii="Arial Narrow" w:hAnsi="Arial Narrow"/>
        </w:rPr>
        <w:t xml:space="preserve"> 949-950.</w:t>
      </w:r>
    </w:p>
  </w:footnote>
  <w:footnote w:id="37">
    <w:p w:rsidR="00392E0D" w:rsidRPr="003E305A" w:rsidRDefault="00392E0D" w:rsidP="00301048">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 xml:space="preserve">Quanto a saber quem redigiu os artigos publicados sob a assinatura de Henry Ford, conheço duas versões. </w:t>
      </w:r>
      <w:r w:rsidRPr="003E305A">
        <w:rPr>
          <w:rFonts w:ascii="Arial Narrow" w:hAnsi="Arial Narrow"/>
        </w:rPr>
        <w:t xml:space="preserve">Segundo A. Nevins et al. </w:t>
      </w:r>
      <w:r w:rsidRPr="003E305A">
        <w:rPr>
          <w:rFonts w:ascii="Arial Narrow" w:hAnsi="Arial Narrow"/>
          <w:smallCaps/>
        </w:rPr>
        <w:t>(</w:t>
      </w:r>
      <w:r w:rsidRPr="003E305A">
        <w:rPr>
          <w:rFonts w:ascii="Arial Narrow" w:hAnsi="Arial Narrow"/>
        </w:rPr>
        <w:t>1957) 12</w:t>
      </w:r>
      <w:r>
        <w:rPr>
          <w:rFonts w:ascii="Arial Narrow" w:hAnsi="Arial Narrow"/>
        </w:rPr>
        <w:t>5</w:t>
      </w:r>
      <w:r w:rsidRPr="003E305A">
        <w:rPr>
          <w:rFonts w:ascii="Arial Narrow" w:hAnsi="Arial Narrow"/>
        </w:rPr>
        <w:t>-128</w:t>
      </w:r>
      <w:r>
        <w:rPr>
          <w:rFonts w:ascii="Arial Narrow" w:hAnsi="Arial Narrow"/>
        </w:rPr>
        <w:t xml:space="preserve">, cabia ao </w:t>
      </w:r>
      <w:r w:rsidRPr="003E305A">
        <w:rPr>
          <w:rFonts w:ascii="Arial Narrow" w:hAnsi="Arial Narrow"/>
        </w:rPr>
        <w:t xml:space="preserve">jornalista William J. Cameron redigir </w:t>
      </w:r>
      <w:r>
        <w:rPr>
          <w:rFonts w:ascii="Arial Narrow" w:hAnsi="Arial Narrow"/>
        </w:rPr>
        <w:t xml:space="preserve">em </w:t>
      </w:r>
      <w:r>
        <w:rPr>
          <w:rFonts w:ascii="Arial Narrow" w:hAnsi="Arial Narrow"/>
          <w:i/>
        </w:rPr>
        <w:t xml:space="preserve">The </w:t>
      </w:r>
      <w:r w:rsidRPr="003E305A">
        <w:rPr>
          <w:rFonts w:ascii="Arial Narrow" w:hAnsi="Arial Narrow"/>
          <w:i/>
        </w:rPr>
        <w:t>Dearborn Independent</w:t>
      </w:r>
      <w:r w:rsidRPr="003E305A">
        <w:rPr>
          <w:rFonts w:ascii="Arial Narrow" w:hAnsi="Arial Narrow"/>
        </w:rPr>
        <w:t xml:space="preserve"> a página assinada por Ford. Cameron pertencia à estranha seita religiosa dos Israelitas Britânicos, que se apresentava como descendente das Tribos Perdidas de Israel, mencionadas na Bíblia, e se orgulhava de possuir uma sabedoria proveniente da grande pirâmide do Egipto. </w:t>
      </w:r>
      <w:r>
        <w:rPr>
          <w:rFonts w:ascii="Arial Narrow" w:hAnsi="Arial Narrow"/>
        </w:rPr>
        <w:t xml:space="preserve">Por seu lado, </w:t>
      </w:r>
      <w:r w:rsidRPr="00F83E89">
        <w:rPr>
          <w:rFonts w:ascii="Arial Narrow" w:hAnsi="Arial Narrow"/>
        </w:rPr>
        <w:t>N. Cohn (1992)</w:t>
      </w:r>
      <w:r>
        <w:rPr>
          <w:rFonts w:ascii="Arial Narrow" w:hAnsi="Arial Narrow"/>
        </w:rPr>
        <w:t xml:space="preserve"> 158-159 afirmou que </w:t>
      </w:r>
      <w:r>
        <w:rPr>
          <w:rFonts w:ascii="Arial Narrow" w:hAnsi="Arial Narrow"/>
          <w:i/>
        </w:rPr>
        <w:t>The International Jew</w:t>
      </w:r>
      <w:r>
        <w:rPr>
          <w:rFonts w:ascii="Arial Narrow" w:hAnsi="Arial Narrow"/>
        </w:rPr>
        <w:t xml:space="preserve"> fora «essencialmente um produto russo-germânico» e considerou como o seu principal autor August Müller, um alemão residente nos Estados Unidos, auxiliado pelo refugiado russo </w:t>
      </w:r>
      <w:r w:rsidRPr="00F27251">
        <w:rPr>
          <w:rFonts w:ascii="Arial Narrow" w:hAnsi="Arial Narrow"/>
        </w:rPr>
        <w:t>Boris Brasol</w:t>
      </w:r>
      <w:r>
        <w:rPr>
          <w:rFonts w:ascii="Arial Narrow" w:hAnsi="Arial Narrow"/>
        </w:rPr>
        <w:t>, que havia sido um activo anti-semita no seu país de origem e a partir de 1918 trabalhava para os serviços secretos norte-americanos.</w:t>
      </w:r>
    </w:p>
  </w:footnote>
  <w:footnote w:id="38">
    <w:p w:rsidR="00392E0D" w:rsidRPr="003C102F" w:rsidRDefault="00392E0D" w:rsidP="00301048">
      <w:pPr>
        <w:pStyle w:val="Textodenotaderodap"/>
        <w:rPr>
          <w:rFonts w:ascii="Arial Narrow" w:hAnsi="Arial Narrow"/>
        </w:rPr>
      </w:pPr>
      <w:r w:rsidRPr="00E55974">
        <w:rPr>
          <w:rStyle w:val="Refdenotaderodap"/>
          <w:rFonts w:ascii="Arial Narrow" w:hAnsi="Arial Narrow"/>
        </w:rPr>
        <w:footnoteRef/>
      </w:r>
      <w:r w:rsidRPr="00E55974">
        <w:rPr>
          <w:rFonts w:ascii="Arial Narrow" w:hAnsi="Arial Narrow"/>
          <w:lang w:val="en-GB"/>
        </w:rPr>
        <w:t xml:space="preserve"> N. Cohn (1992)</w:t>
      </w:r>
      <w:r>
        <w:rPr>
          <w:rFonts w:ascii="Arial Narrow" w:hAnsi="Arial Narrow"/>
          <w:lang w:val="en-GB"/>
        </w:rPr>
        <w:t xml:space="preserve"> 160; </w:t>
      </w:r>
      <w:r w:rsidRPr="00E55974">
        <w:rPr>
          <w:rFonts w:ascii="Arial Narrow" w:hAnsi="Arial Narrow"/>
          <w:lang w:val="en-GB"/>
        </w:rPr>
        <w:t xml:space="preserve">A. Nevins et al. </w:t>
      </w:r>
      <w:r w:rsidRPr="003C102F">
        <w:rPr>
          <w:rFonts w:ascii="Arial Narrow" w:hAnsi="Arial Narrow"/>
        </w:rPr>
        <w:t>(1957) 127-128.</w:t>
      </w:r>
    </w:p>
  </w:footnote>
  <w:footnote w:id="39">
    <w:p w:rsidR="00392E0D" w:rsidRPr="00023CDC" w:rsidRDefault="00392E0D" w:rsidP="00301048">
      <w:pPr>
        <w:pStyle w:val="Textodenotaderodap"/>
        <w:rPr>
          <w:rFonts w:ascii="Arial Narrow" w:hAnsi="Arial Narrow"/>
        </w:rPr>
      </w:pPr>
      <w:r w:rsidRPr="00D421CB">
        <w:rPr>
          <w:rStyle w:val="Refdenotaderodap"/>
          <w:rFonts w:ascii="Arial Narrow" w:hAnsi="Arial Narrow"/>
        </w:rPr>
        <w:footnoteRef/>
      </w:r>
      <w:r w:rsidRPr="00023CDC">
        <w:rPr>
          <w:rFonts w:ascii="Arial Narrow" w:hAnsi="Arial Narrow"/>
        </w:rPr>
        <w:t xml:space="preserve"> N. Cohn (1992) 157 e n. 2. </w:t>
      </w:r>
      <w:r>
        <w:rPr>
          <w:rFonts w:ascii="Arial Narrow" w:hAnsi="Arial Narrow"/>
        </w:rPr>
        <w:t>S</w:t>
      </w:r>
      <w:r w:rsidRPr="00023CDC">
        <w:rPr>
          <w:rFonts w:ascii="Arial Narrow" w:hAnsi="Arial Narrow"/>
        </w:rPr>
        <w:t xml:space="preserve">e </w:t>
      </w:r>
      <w:r>
        <w:rPr>
          <w:rFonts w:ascii="Arial Narrow" w:hAnsi="Arial Narrow"/>
        </w:rPr>
        <w:t xml:space="preserve">for </w:t>
      </w:r>
      <w:r w:rsidRPr="00023CDC">
        <w:rPr>
          <w:rFonts w:ascii="Arial Narrow" w:hAnsi="Arial Narrow"/>
        </w:rPr>
        <w:t>verdade</w:t>
      </w:r>
      <w:r>
        <w:rPr>
          <w:rFonts w:ascii="Arial Narrow" w:hAnsi="Arial Narrow"/>
        </w:rPr>
        <w:t>,</w:t>
      </w:r>
      <w:r w:rsidRPr="00023CDC">
        <w:rPr>
          <w:rFonts w:ascii="Arial Narrow" w:hAnsi="Arial Narrow"/>
        </w:rPr>
        <w:t xml:space="preserve"> </w:t>
      </w:r>
      <w:r>
        <w:rPr>
          <w:rFonts w:ascii="Arial Narrow" w:hAnsi="Arial Narrow"/>
        </w:rPr>
        <w:t xml:space="preserve">como este autor pretende, </w:t>
      </w:r>
      <w:r w:rsidRPr="00023CDC">
        <w:rPr>
          <w:rFonts w:ascii="Arial Narrow" w:hAnsi="Arial Narrow"/>
        </w:rPr>
        <w:t xml:space="preserve">que muitos </w:t>
      </w:r>
      <w:r>
        <w:rPr>
          <w:rFonts w:ascii="Arial Narrow" w:hAnsi="Arial Narrow"/>
        </w:rPr>
        <w:t xml:space="preserve">volumes </w:t>
      </w:r>
      <w:r w:rsidRPr="00023CDC">
        <w:rPr>
          <w:rFonts w:ascii="Arial Narrow" w:hAnsi="Arial Narrow"/>
        </w:rPr>
        <w:t xml:space="preserve">foram distribuídos gratuitamente e que os trezentos mil exemplares de </w:t>
      </w:r>
      <w:r w:rsidRPr="00023CDC">
        <w:rPr>
          <w:rFonts w:ascii="Arial Narrow" w:hAnsi="Arial Narrow"/>
          <w:i/>
        </w:rPr>
        <w:t>The Dearborn Independent</w:t>
      </w:r>
      <w:r w:rsidRPr="00023CDC">
        <w:rPr>
          <w:rFonts w:ascii="Arial Narrow" w:hAnsi="Arial Narrow"/>
        </w:rPr>
        <w:t xml:space="preserve"> incluíam aqueles que os agentes e representantes da Ford estavam obrigados a comprar</w:t>
      </w:r>
      <w:r>
        <w:rPr>
          <w:rFonts w:ascii="Arial Narrow" w:hAnsi="Arial Narrow"/>
        </w:rPr>
        <w:t xml:space="preserve">, por si só isto </w:t>
      </w:r>
      <w:r w:rsidRPr="00023CDC">
        <w:rPr>
          <w:rFonts w:ascii="Arial Narrow" w:hAnsi="Arial Narrow"/>
        </w:rPr>
        <w:t xml:space="preserve">não </w:t>
      </w:r>
      <w:r>
        <w:rPr>
          <w:rFonts w:ascii="Arial Narrow" w:hAnsi="Arial Narrow"/>
        </w:rPr>
        <w:t xml:space="preserve">indica que </w:t>
      </w:r>
      <w:r w:rsidRPr="00023CDC">
        <w:rPr>
          <w:rFonts w:ascii="Arial Narrow" w:hAnsi="Arial Narrow"/>
        </w:rPr>
        <w:t>a sua influência ideológica tivesse sido escassa</w:t>
      </w:r>
      <w:r>
        <w:rPr>
          <w:rFonts w:ascii="Arial Narrow" w:hAnsi="Arial Narrow"/>
        </w:rPr>
        <w:t>.</w:t>
      </w:r>
    </w:p>
  </w:footnote>
  <w:footnote w:id="40">
    <w:p w:rsidR="00392E0D" w:rsidRPr="003228B8" w:rsidRDefault="00392E0D" w:rsidP="00AC51FF">
      <w:pPr>
        <w:pStyle w:val="Textodenotaderodap"/>
        <w:rPr>
          <w:rFonts w:ascii="Arial Narrow" w:hAnsi="Arial Narrow"/>
          <w:lang w:val="de-DE"/>
        </w:rPr>
      </w:pPr>
      <w:r w:rsidRPr="00015DF2">
        <w:rPr>
          <w:rStyle w:val="Refdenotaderodap"/>
          <w:rFonts w:ascii="Arial Narrow" w:hAnsi="Arial Narrow"/>
        </w:rPr>
        <w:footnoteRef/>
      </w:r>
      <w:r w:rsidRPr="003228B8">
        <w:rPr>
          <w:rFonts w:ascii="Arial Narrow" w:hAnsi="Arial Narrow"/>
          <w:lang w:val="de-DE"/>
        </w:rPr>
        <w:t xml:space="preserve"> Id., ibid.</w:t>
      </w:r>
      <w:r>
        <w:rPr>
          <w:rFonts w:ascii="Arial Narrow" w:hAnsi="Arial Narrow"/>
          <w:lang w:val="de-DE"/>
        </w:rPr>
        <w:t>,</w:t>
      </w:r>
      <w:r w:rsidRPr="003228B8">
        <w:rPr>
          <w:rFonts w:ascii="Arial Narrow" w:hAnsi="Arial Narrow"/>
          <w:lang w:val="de-DE"/>
        </w:rPr>
        <w:t xml:space="preserve"> 157.</w:t>
      </w:r>
    </w:p>
  </w:footnote>
  <w:footnote w:id="41">
    <w:p w:rsidR="00392E0D" w:rsidRPr="00D92C29" w:rsidRDefault="00392E0D" w:rsidP="00301048">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E. Black (1999) 27; </w:t>
      </w:r>
      <w:r w:rsidRPr="0008299C">
        <w:rPr>
          <w:rFonts w:ascii="Arial Narrow" w:hAnsi="Arial Narrow"/>
          <w:lang w:val="en-GB"/>
        </w:rPr>
        <w:t xml:space="preserve">N. Cohn (1992) 143; </w:t>
      </w:r>
      <w:r w:rsidRPr="003E305A">
        <w:rPr>
          <w:rFonts w:ascii="Arial Narrow" w:hAnsi="Arial Narrow"/>
          <w:lang w:val="fr-FR"/>
        </w:rPr>
        <w:t xml:space="preserve">A. Nevins et al. </w:t>
      </w:r>
      <w:r w:rsidRPr="003E305A">
        <w:rPr>
          <w:rFonts w:ascii="Arial Narrow" w:hAnsi="Arial Narrow"/>
          <w:smallCaps/>
          <w:lang w:val="fr-FR"/>
        </w:rPr>
        <w:t>(</w:t>
      </w:r>
      <w:r w:rsidRPr="003E305A">
        <w:rPr>
          <w:rFonts w:ascii="Arial Narrow" w:hAnsi="Arial Narrow"/>
          <w:lang w:val="fr-FR"/>
        </w:rPr>
        <w:t>1957) 316.</w:t>
      </w:r>
      <w:r>
        <w:rPr>
          <w:rFonts w:ascii="Arial Narrow" w:hAnsi="Arial Narrow"/>
          <w:lang w:val="fr-FR"/>
        </w:rPr>
        <w:t xml:space="preserve"> Note-se que, </w:t>
      </w:r>
      <w:r w:rsidRPr="003E305A">
        <w:rPr>
          <w:rFonts w:ascii="Arial Narrow" w:hAnsi="Arial Narrow"/>
        </w:rPr>
        <w:t xml:space="preserve">segundo H. Arendt (1972) 257 n. 32, Hitler </w:t>
      </w:r>
      <w:r>
        <w:rPr>
          <w:rFonts w:ascii="Arial Narrow" w:hAnsi="Arial Narrow"/>
        </w:rPr>
        <w:t xml:space="preserve">recorreu </w:t>
      </w:r>
      <w:r w:rsidRPr="003E305A">
        <w:rPr>
          <w:rFonts w:ascii="Arial Narrow" w:hAnsi="Arial Narrow"/>
        </w:rPr>
        <w:t>pela primeira vez num discurso proferido em 1922</w:t>
      </w:r>
      <w:r>
        <w:rPr>
          <w:rFonts w:ascii="Arial Narrow" w:hAnsi="Arial Narrow"/>
        </w:rPr>
        <w:t xml:space="preserve"> àquele duplo modelo </w:t>
      </w:r>
      <w:r w:rsidRPr="003E305A">
        <w:rPr>
          <w:rFonts w:ascii="Arial Narrow" w:hAnsi="Arial Narrow"/>
        </w:rPr>
        <w:t xml:space="preserve">de interpretação </w:t>
      </w:r>
      <w:r>
        <w:rPr>
          <w:rFonts w:ascii="Arial Narrow" w:hAnsi="Arial Narrow"/>
        </w:rPr>
        <w:t xml:space="preserve">dos malefícios judaicos. Segundo </w:t>
      </w:r>
      <w:r w:rsidRPr="00FE7561">
        <w:rPr>
          <w:rFonts w:ascii="Arial Narrow" w:hAnsi="Arial Narrow"/>
        </w:rPr>
        <w:t xml:space="preserve">Norman </w:t>
      </w:r>
      <w:r w:rsidRPr="00347AEB">
        <w:rPr>
          <w:rFonts w:ascii="Arial Narrow" w:hAnsi="Arial Narrow"/>
        </w:rPr>
        <w:t>Cohn, op.</w:t>
      </w:r>
      <w:r>
        <w:rPr>
          <w:rFonts w:ascii="Arial Narrow" w:hAnsi="Arial Narrow"/>
        </w:rPr>
        <w:t xml:space="preserve"> cit., 157 e</w:t>
      </w:r>
      <w:r w:rsidRPr="00AC51FF">
        <w:rPr>
          <w:rFonts w:ascii="Arial Narrow" w:hAnsi="Arial Narrow"/>
        </w:rPr>
        <w:t xml:space="preserve"> 160</w:t>
      </w:r>
      <w:r>
        <w:rPr>
          <w:rFonts w:ascii="Arial Narrow" w:hAnsi="Arial Narrow"/>
        </w:rPr>
        <w:t xml:space="preserve">, </w:t>
      </w:r>
      <w:r w:rsidRPr="00FE7561">
        <w:rPr>
          <w:rFonts w:ascii="Arial Narrow" w:hAnsi="Arial Narrow"/>
        </w:rPr>
        <w:t xml:space="preserve">a editora de Fritsch publicou também o livro </w:t>
      </w:r>
      <w:r>
        <w:rPr>
          <w:rFonts w:ascii="Arial Narrow" w:hAnsi="Arial Narrow"/>
        </w:rPr>
        <w:t xml:space="preserve">de Ford </w:t>
      </w:r>
      <w:r w:rsidRPr="00FE7561">
        <w:rPr>
          <w:rFonts w:ascii="Arial Narrow" w:hAnsi="Arial Narrow"/>
        </w:rPr>
        <w:t>numa versão espanhola e ao todo a obra foi traduzida em dezasseis línguas, incluindo o russo</w:t>
      </w:r>
      <w:r>
        <w:rPr>
          <w:rFonts w:ascii="Arial Narrow" w:hAnsi="Arial Narrow"/>
        </w:rPr>
        <w:t>.</w:t>
      </w:r>
      <w:r w:rsidRPr="00FE7561">
        <w:rPr>
          <w:rFonts w:ascii="Arial Narrow" w:hAnsi="Arial Narrow"/>
        </w:rPr>
        <w:t xml:space="preserve"> </w:t>
      </w:r>
      <w:r w:rsidRPr="00AC51FF">
        <w:rPr>
          <w:rFonts w:ascii="Arial Narrow" w:hAnsi="Arial Narrow"/>
        </w:rPr>
        <w:t xml:space="preserve">Em 1923, no ano seguinte à sua publicação nos Estados Unidos, a autobiografia de Henry Ford, </w:t>
      </w:r>
      <w:r w:rsidRPr="00AC51FF">
        <w:rPr>
          <w:rFonts w:ascii="Arial Narrow" w:hAnsi="Arial Narrow"/>
          <w:i/>
        </w:rPr>
        <w:t>My Life and Work,</w:t>
      </w:r>
      <w:r w:rsidRPr="00AC51FF">
        <w:rPr>
          <w:rFonts w:ascii="Arial Narrow" w:hAnsi="Arial Narrow"/>
        </w:rPr>
        <w:t xml:space="preserve"> beneficiou também de uma edição alemã, mantendo-se durante meses na lista dos livros mais vendidos</w:t>
      </w:r>
      <w:r>
        <w:rPr>
          <w:rFonts w:ascii="Arial Narrow" w:hAnsi="Arial Narrow"/>
        </w:rPr>
        <w:t xml:space="preserve">. </w:t>
      </w:r>
      <w:r w:rsidRPr="003C102F">
        <w:rPr>
          <w:rFonts w:ascii="Arial Narrow" w:hAnsi="Arial Narrow"/>
          <w:lang w:val="en-US"/>
        </w:rPr>
        <w:t xml:space="preserve">Ver </w:t>
      </w:r>
      <w:r w:rsidRPr="003E305A">
        <w:rPr>
          <w:rFonts w:ascii="Arial Narrow" w:hAnsi="Arial Narrow"/>
          <w:lang w:val="fr-FR"/>
        </w:rPr>
        <w:t xml:space="preserve">A. Kaes et al. (orgs. </w:t>
      </w:r>
      <w:r w:rsidRPr="00B2463D">
        <w:rPr>
          <w:rFonts w:ascii="Arial Narrow" w:hAnsi="Arial Narrow"/>
          <w:lang w:val="de-DE"/>
        </w:rPr>
        <w:t>1995) 393</w:t>
      </w:r>
      <w:r>
        <w:rPr>
          <w:rFonts w:ascii="Arial Narrow" w:hAnsi="Arial Narrow"/>
          <w:lang w:val="de-DE"/>
        </w:rPr>
        <w:t xml:space="preserve"> e </w:t>
      </w:r>
      <w:r w:rsidRPr="00AC51FF">
        <w:rPr>
          <w:rFonts w:ascii="Arial Narrow" w:hAnsi="Arial Narrow"/>
          <w:lang w:val="en-GB"/>
        </w:rPr>
        <w:t xml:space="preserve">Allan </w:t>
      </w:r>
      <w:r w:rsidRPr="00B2463D">
        <w:rPr>
          <w:rFonts w:ascii="Arial Narrow" w:hAnsi="Arial Narrow"/>
          <w:lang w:val="de-DE"/>
        </w:rPr>
        <w:t>Nevins et al.</w:t>
      </w:r>
      <w:r>
        <w:rPr>
          <w:rFonts w:ascii="Arial Narrow" w:hAnsi="Arial Narrow"/>
          <w:lang w:val="de-DE"/>
        </w:rPr>
        <w:t>,</w:t>
      </w:r>
      <w:r w:rsidRPr="00B2463D">
        <w:rPr>
          <w:rFonts w:ascii="Arial Narrow" w:hAnsi="Arial Narrow"/>
          <w:lang w:val="de-DE"/>
        </w:rPr>
        <w:t xml:space="preserve"> </w:t>
      </w:r>
      <w:r>
        <w:rPr>
          <w:rFonts w:ascii="Arial Narrow" w:hAnsi="Arial Narrow"/>
          <w:lang w:val="de-DE"/>
        </w:rPr>
        <w:t xml:space="preserve">op. cit., </w:t>
      </w:r>
      <w:r w:rsidRPr="00B2463D">
        <w:rPr>
          <w:rFonts w:ascii="Arial Narrow" w:hAnsi="Arial Narrow"/>
          <w:lang w:val="de-DE"/>
        </w:rPr>
        <w:t>605.</w:t>
      </w:r>
    </w:p>
  </w:footnote>
  <w:footnote w:id="42">
    <w:p w:rsidR="00392E0D" w:rsidRPr="00C33939" w:rsidRDefault="00392E0D" w:rsidP="00760715">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K. Heiden (1934) 147; A. Hitler (1995) 583 n. 2. </w:t>
      </w:r>
      <w:r w:rsidRPr="003228B8">
        <w:rPr>
          <w:rFonts w:ascii="Arial Narrow" w:hAnsi="Arial Narrow"/>
          <w:lang w:val="de-DE"/>
        </w:rPr>
        <w:t>Se</w:t>
      </w:r>
      <w:r w:rsidRPr="003E305A">
        <w:rPr>
          <w:rFonts w:ascii="Arial Narrow" w:hAnsi="Arial Narrow"/>
        </w:rPr>
        <w:t xml:space="preserve">gundo L. I. Guintsberg (1957) 172 e M. Sayers et al. (1947) 177-178, em 1923 as autoridades da Baviera estavam convencidas de que Ford subsidiava o NSDAP. </w:t>
      </w:r>
      <w:r>
        <w:rPr>
          <w:rFonts w:ascii="Arial Narrow" w:hAnsi="Arial Narrow"/>
        </w:rPr>
        <w:t xml:space="preserve">Ver também G. Seldes (1943) 136. </w:t>
      </w:r>
      <w:r w:rsidRPr="003E305A">
        <w:rPr>
          <w:rFonts w:ascii="Arial Narrow" w:hAnsi="Arial Narrow"/>
        </w:rPr>
        <w:t>Neste contexto, talvez seja importante saber que em 1924 a companhia Ford criou em Colónia uma fábrica de automóveis, como indica</w:t>
      </w:r>
      <w:r>
        <w:rPr>
          <w:rFonts w:ascii="Arial Narrow" w:hAnsi="Arial Narrow"/>
        </w:rPr>
        <w:t>ra</w:t>
      </w:r>
      <w:r w:rsidRPr="003E305A">
        <w:rPr>
          <w:rFonts w:ascii="Arial Narrow" w:hAnsi="Arial Narrow"/>
        </w:rPr>
        <w:t xml:space="preserve">m A. Kaes et al. </w:t>
      </w:r>
      <w:r>
        <w:rPr>
          <w:rFonts w:ascii="Arial Narrow" w:hAnsi="Arial Narrow"/>
        </w:rPr>
        <w:t xml:space="preserve">(orgs. 1995) 393-394, e </w:t>
      </w:r>
      <w:r w:rsidRPr="0017209E">
        <w:rPr>
          <w:rFonts w:ascii="Arial Narrow" w:hAnsi="Arial Narrow"/>
        </w:rPr>
        <w:t>A. Tooze (2006)</w:t>
      </w:r>
      <w:r>
        <w:rPr>
          <w:rFonts w:ascii="Arial Narrow" w:hAnsi="Arial Narrow"/>
        </w:rPr>
        <w:t xml:space="preserve"> 133 informou que «Ford tinha uma administração extremamente pró-nazi na sua fábrica de Colónia».</w:t>
      </w:r>
    </w:p>
  </w:footnote>
  <w:footnote w:id="43">
    <w:p w:rsidR="00392E0D" w:rsidRPr="00A30A01" w:rsidRDefault="00392E0D" w:rsidP="00760715">
      <w:pPr>
        <w:pStyle w:val="Textodenotaderodap"/>
        <w:rPr>
          <w:rFonts w:ascii="Arial Narrow" w:hAnsi="Arial Narrow"/>
          <w:lang w:val="en-US"/>
        </w:rPr>
      </w:pPr>
      <w:r w:rsidRPr="003E305A">
        <w:rPr>
          <w:rStyle w:val="Refdenotaderodap"/>
          <w:rFonts w:ascii="Arial Narrow" w:hAnsi="Arial Narrow"/>
        </w:rPr>
        <w:footnoteRef/>
      </w:r>
      <w:r w:rsidRPr="00A30A01">
        <w:rPr>
          <w:rFonts w:ascii="Arial Narrow" w:hAnsi="Arial Narrow"/>
          <w:lang w:val="en-US"/>
        </w:rPr>
        <w:t xml:space="preserve"> A. Hitler (1995) 583.</w:t>
      </w:r>
    </w:p>
  </w:footnote>
  <w:footnote w:id="44">
    <w:p w:rsidR="00392E0D" w:rsidRPr="00A30A01" w:rsidRDefault="00392E0D" w:rsidP="00760715">
      <w:pPr>
        <w:pStyle w:val="Textodenotaderodap"/>
        <w:rPr>
          <w:rFonts w:ascii="Arial Narrow" w:hAnsi="Arial Narrow"/>
          <w:lang w:val="en-US"/>
        </w:rPr>
      </w:pPr>
      <w:r w:rsidRPr="00DA4347">
        <w:rPr>
          <w:rStyle w:val="Refdenotaderodap"/>
          <w:rFonts w:ascii="Arial Narrow" w:hAnsi="Arial Narrow"/>
        </w:rPr>
        <w:footnoteRef/>
      </w:r>
      <w:r w:rsidRPr="00A30A01">
        <w:rPr>
          <w:rFonts w:ascii="Arial Narrow" w:hAnsi="Arial Narrow"/>
          <w:lang w:val="en-US"/>
        </w:rPr>
        <w:t xml:space="preserve"> </w:t>
      </w:r>
      <w:r w:rsidRPr="00DA4347">
        <w:rPr>
          <w:rFonts w:ascii="Arial Narrow" w:hAnsi="Arial Narrow"/>
          <w:lang w:val="de-DE"/>
        </w:rPr>
        <w:t>N. Cohn (1992)</w:t>
      </w:r>
      <w:r>
        <w:rPr>
          <w:rFonts w:ascii="Arial Narrow" w:hAnsi="Arial Narrow"/>
          <w:lang w:val="de-DE"/>
        </w:rPr>
        <w:t xml:space="preserve"> 159.</w:t>
      </w:r>
    </w:p>
  </w:footnote>
  <w:footnote w:id="45">
    <w:p w:rsidR="00392E0D" w:rsidRPr="00BE2340" w:rsidRDefault="00392E0D" w:rsidP="00301048">
      <w:pPr>
        <w:pStyle w:val="Textodenotaderodap"/>
        <w:rPr>
          <w:rFonts w:ascii="Arial Narrow" w:hAnsi="Arial Narrow"/>
        </w:rPr>
      </w:pPr>
      <w:r w:rsidRPr="00BE2340">
        <w:rPr>
          <w:rStyle w:val="Refdenotaderodap"/>
          <w:rFonts w:ascii="Arial Narrow" w:hAnsi="Arial Narrow"/>
        </w:rPr>
        <w:footnoteRef/>
      </w:r>
      <w:r w:rsidRPr="00A30A01">
        <w:rPr>
          <w:rFonts w:ascii="Arial Narrow" w:hAnsi="Arial Narrow"/>
          <w:lang w:val="en-US"/>
        </w:rPr>
        <w:t xml:space="preserve"> A. Nevins et al. </w:t>
      </w:r>
      <w:r w:rsidRPr="008F7EA6">
        <w:rPr>
          <w:rFonts w:ascii="Arial Narrow" w:hAnsi="Arial Narrow"/>
        </w:rPr>
        <w:t>(1957) 311, 315</w:t>
      </w:r>
      <w:r>
        <w:rPr>
          <w:rFonts w:ascii="Arial Narrow" w:hAnsi="Arial Narrow"/>
        </w:rPr>
        <w:t>,</w:t>
      </w:r>
      <w:r w:rsidRPr="008F7EA6">
        <w:rPr>
          <w:rFonts w:ascii="Arial Narrow" w:hAnsi="Arial Narrow"/>
        </w:rPr>
        <w:t xml:space="preserve"> 316-321. </w:t>
      </w:r>
      <w:r>
        <w:rPr>
          <w:rFonts w:ascii="Arial Narrow" w:hAnsi="Arial Narrow"/>
        </w:rPr>
        <w:t xml:space="preserve">Segundo </w:t>
      </w:r>
      <w:r w:rsidRPr="008F7EA6">
        <w:rPr>
          <w:rFonts w:ascii="Arial Narrow" w:hAnsi="Arial Narrow"/>
        </w:rPr>
        <w:t>E. Black (1999) 28-29</w:t>
      </w:r>
      <w:r>
        <w:rPr>
          <w:rFonts w:ascii="Arial Narrow" w:hAnsi="Arial Narrow"/>
        </w:rPr>
        <w:t>,</w:t>
      </w:r>
      <w:r w:rsidRPr="008F7EA6">
        <w:rPr>
          <w:rFonts w:ascii="Arial Narrow" w:hAnsi="Arial Narrow"/>
        </w:rPr>
        <w:t xml:space="preserve"> aquela retractação devera</w:t>
      </w:r>
      <w:r>
        <w:rPr>
          <w:rFonts w:ascii="Arial Narrow" w:hAnsi="Arial Narrow"/>
        </w:rPr>
        <w:t>-se</w:t>
      </w:r>
      <w:r w:rsidRPr="008F7EA6">
        <w:rPr>
          <w:rFonts w:ascii="Arial Narrow" w:hAnsi="Arial Narrow"/>
        </w:rPr>
        <w:t xml:space="preserve"> ao facto de Ford, num momento em que os seus modelos estavam a ser ultrapassados pela concorrência da General Motors, ter receado que os judeus se recusassem a adquirir-lhe os carros. É certo que, como indicaram Allan Nevins et al.</w:t>
      </w:r>
      <w:r>
        <w:rPr>
          <w:rFonts w:ascii="Arial Narrow" w:hAnsi="Arial Narrow"/>
        </w:rPr>
        <w:t>,</w:t>
      </w:r>
      <w:r w:rsidRPr="008F7EA6">
        <w:rPr>
          <w:rFonts w:ascii="Arial Narrow" w:hAnsi="Arial Narrow"/>
        </w:rPr>
        <w:t xml:space="preserve"> </w:t>
      </w:r>
      <w:r w:rsidRPr="00104EF4">
        <w:rPr>
          <w:rFonts w:ascii="Arial Narrow" w:hAnsi="Arial Narrow"/>
        </w:rPr>
        <w:t>op. cit.,</w:t>
      </w:r>
      <w:r w:rsidRPr="008F7EA6">
        <w:rPr>
          <w:rFonts w:ascii="Arial Narrow" w:hAnsi="Arial Narrow"/>
        </w:rPr>
        <w:t xml:space="preserve"> 315, houve numerosos protestos contra a campanha anti-semita organizada por Ford e muitos meios judaicos se mobilizaram, mas embora estes autores afirmassem que «não há dúvida de que a campanha [anti-semita] contribui para reduzir o mercado dos automóveis Ford», eles acrescentaram (pág. 316)</w:t>
      </w:r>
      <w:r>
        <w:rPr>
          <w:rFonts w:ascii="Arial Narrow" w:hAnsi="Arial Narrow"/>
        </w:rPr>
        <w:t xml:space="preserve"> </w:t>
      </w:r>
      <w:r w:rsidRPr="008F7EA6">
        <w:rPr>
          <w:rFonts w:ascii="Arial Narrow" w:hAnsi="Arial Narrow"/>
        </w:rPr>
        <w:t>que «não existem dados que permitam avaliar o montante das perdas».</w:t>
      </w:r>
    </w:p>
  </w:footnote>
  <w:footnote w:id="46">
    <w:p w:rsidR="00392E0D" w:rsidRPr="004B1FAF" w:rsidRDefault="00392E0D" w:rsidP="00301048">
      <w:pPr>
        <w:pStyle w:val="Textodenotaderodap"/>
        <w:rPr>
          <w:rFonts w:ascii="Arial Narrow" w:hAnsi="Arial Narrow"/>
          <w:lang w:val="en-GB"/>
        </w:rPr>
      </w:pPr>
      <w:r w:rsidRPr="00012F9F">
        <w:rPr>
          <w:rStyle w:val="Refdenotaderodap"/>
          <w:rFonts w:ascii="Arial Narrow" w:hAnsi="Arial Narrow"/>
        </w:rPr>
        <w:footnoteRef/>
      </w:r>
      <w:r w:rsidRPr="004B1FAF">
        <w:rPr>
          <w:rFonts w:ascii="Arial Narrow" w:hAnsi="Arial Narrow"/>
          <w:lang w:val="en-GB"/>
        </w:rPr>
        <w:t xml:space="preserve"> N. Cohn (1992) 157, 160.</w:t>
      </w:r>
    </w:p>
  </w:footnote>
  <w:footnote w:id="47">
    <w:p w:rsidR="00392E0D" w:rsidRPr="004B1FAF" w:rsidRDefault="00392E0D" w:rsidP="00301048">
      <w:pPr>
        <w:pStyle w:val="Textodenotaderodap"/>
        <w:rPr>
          <w:rFonts w:ascii="Arial Narrow" w:hAnsi="Arial Narrow"/>
          <w:lang w:val="en-GB"/>
        </w:rPr>
      </w:pPr>
      <w:r w:rsidRPr="00012F9F">
        <w:rPr>
          <w:rStyle w:val="Refdenotaderodap"/>
          <w:rFonts w:ascii="Arial Narrow" w:hAnsi="Arial Narrow"/>
        </w:rPr>
        <w:footnoteRef/>
      </w:r>
      <w:r w:rsidRPr="004B1FAF">
        <w:rPr>
          <w:rFonts w:ascii="Arial Narrow" w:hAnsi="Arial Narrow"/>
          <w:lang w:val="en-GB"/>
        </w:rPr>
        <w:t xml:space="preserve"> </w:t>
      </w:r>
      <w:r w:rsidRPr="00DF4B40">
        <w:rPr>
          <w:rFonts w:ascii="Arial Narrow" w:hAnsi="Arial Narrow"/>
          <w:lang w:val="en-US"/>
        </w:rPr>
        <w:t>E. Black (1999) 28-29.</w:t>
      </w:r>
    </w:p>
  </w:footnote>
  <w:footnote w:id="48">
    <w:p w:rsidR="00392E0D" w:rsidRPr="004B1FAF" w:rsidRDefault="00392E0D" w:rsidP="00301048">
      <w:pPr>
        <w:pStyle w:val="Textodenotaderodap"/>
        <w:rPr>
          <w:rFonts w:ascii="Arial Narrow" w:hAnsi="Arial Narrow"/>
          <w:lang w:val="en-GB"/>
        </w:rPr>
      </w:pPr>
      <w:r w:rsidRPr="00BE2340">
        <w:rPr>
          <w:rStyle w:val="Refdenotaderodap"/>
          <w:rFonts w:ascii="Arial Narrow" w:hAnsi="Arial Narrow"/>
        </w:rPr>
        <w:footnoteRef/>
      </w:r>
      <w:r w:rsidRPr="004B1FAF">
        <w:rPr>
          <w:rFonts w:ascii="Arial Narrow" w:hAnsi="Arial Narrow"/>
          <w:lang w:val="en-GB"/>
        </w:rPr>
        <w:t xml:space="preserve"> N. Cohn (1992) 160.</w:t>
      </w:r>
    </w:p>
  </w:footnote>
  <w:footnote w:id="49">
    <w:p w:rsidR="00392E0D" w:rsidRPr="00B2463D" w:rsidRDefault="00392E0D" w:rsidP="00301048">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L. I. Guintsberg (1957) 172.</w:t>
      </w:r>
      <w:r>
        <w:rPr>
          <w:rFonts w:ascii="Arial Narrow" w:hAnsi="Arial Narrow"/>
          <w:lang w:val="de-DE"/>
        </w:rPr>
        <w:t xml:space="preserve"> Numa </w:t>
      </w:r>
      <w:r>
        <w:rPr>
          <w:rFonts w:ascii="Arial Narrow" w:hAnsi="Arial Narrow"/>
        </w:rPr>
        <w:t xml:space="preserve">entrevista concedida ao </w:t>
      </w:r>
      <w:r>
        <w:rPr>
          <w:rFonts w:ascii="Arial Narrow" w:hAnsi="Arial Narrow"/>
          <w:i/>
        </w:rPr>
        <w:t>New York Times</w:t>
      </w:r>
      <w:r>
        <w:rPr>
          <w:rFonts w:ascii="Arial Narrow" w:hAnsi="Arial Narrow"/>
        </w:rPr>
        <w:t xml:space="preserve"> em 10 de Julho de 1933, Hitler</w:t>
      </w:r>
      <w:r w:rsidRPr="00652CD1">
        <w:rPr>
          <w:rFonts w:ascii="Arial Narrow" w:hAnsi="Arial Narrow"/>
        </w:rPr>
        <w:t xml:space="preserve"> expressou a sua admiração por Ford, invocando não o racismo mas a produção em massa</w:t>
      </w:r>
      <w:r>
        <w:rPr>
          <w:rFonts w:ascii="Arial Narrow" w:hAnsi="Arial Narrow"/>
        </w:rPr>
        <w:t>:</w:t>
      </w:r>
      <w:r w:rsidRPr="00652CD1">
        <w:rPr>
          <w:rFonts w:ascii="Arial Narrow" w:hAnsi="Arial Narrow"/>
        </w:rPr>
        <w:t xml:space="preserve"> «Aquele carrinho dele contribuiu mais do que tudo para destruir as diferenças de classe»</w:t>
      </w:r>
      <w:r>
        <w:rPr>
          <w:rFonts w:ascii="Arial Narrow" w:hAnsi="Arial Narrow"/>
        </w:rPr>
        <w:t>. Citado em J. Goldberg (2009) 147.</w:t>
      </w:r>
    </w:p>
  </w:footnote>
  <w:footnote w:id="50">
    <w:p w:rsidR="00392E0D" w:rsidRPr="00A30A01" w:rsidRDefault="00392E0D" w:rsidP="00321E01">
      <w:pPr>
        <w:pStyle w:val="Textodenotaderodap"/>
        <w:rPr>
          <w:rFonts w:ascii="Arial Narrow" w:hAnsi="Arial Narrow"/>
        </w:rPr>
      </w:pPr>
      <w:r w:rsidRPr="00C77D5A">
        <w:rPr>
          <w:rStyle w:val="Refdenotaderodap"/>
          <w:rFonts w:ascii="Arial Narrow" w:hAnsi="Arial Narrow"/>
        </w:rPr>
        <w:footnoteRef/>
      </w:r>
      <w:r w:rsidRPr="00A30A01">
        <w:rPr>
          <w:rFonts w:ascii="Arial Narrow" w:hAnsi="Arial Narrow"/>
        </w:rPr>
        <w:t xml:space="preserve"> H. Ford (1932) 31-32.</w:t>
      </w:r>
    </w:p>
  </w:footnote>
  <w:footnote w:id="51">
    <w:p w:rsidR="00392E0D" w:rsidRPr="00E67E11" w:rsidRDefault="00392E0D" w:rsidP="00321E01">
      <w:pPr>
        <w:pStyle w:val="Textodenotaderodap"/>
        <w:rPr>
          <w:rFonts w:ascii="Arial Narrow" w:hAnsi="Arial Narrow"/>
        </w:rPr>
      </w:pPr>
      <w:r w:rsidRPr="00E67E11">
        <w:rPr>
          <w:rStyle w:val="Refdenotaderodap"/>
          <w:rFonts w:ascii="Arial Narrow" w:hAnsi="Arial Narrow"/>
        </w:rPr>
        <w:footnoteRef/>
      </w:r>
      <w:r w:rsidRPr="00E67E11">
        <w:rPr>
          <w:rFonts w:ascii="Arial Narrow" w:hAnsi="Arial Narrow"/>
        </w:rPr>
        <w:t xml:space="preserve"> </w:t>
      </w:r>
      <w:r>
        <w:rPr>
          <w:rFonts w:ascii="Arial Narrow" w:hAnsi="Arial Narrow"/>
        </w:rPr>
        <w:t>Id., ibid., 24-25. As passagens citadas encontram-se na pág. 24.</w:t>
      </w:r>
    </w:p>
  </w:footnote>
  <w:footnote w:id="52">
    <w:p w:rsidR="00392E0D" w:rsidRPr="00363050" w:rsidRDefault="00392E0D" w:rsidP="00321E01">
      <w:pPr>
        <w:pStyle w:val="Textodenotaderodap"/>
        <w:rPr>
          <w:rFonts w:ascii="Arial Narrow" w:hAnsi="Arial Narrow"/>
        </w:rPr>
      </w:pPr>
      <w:r w:rsidRPr="00363050">
        <w:rPr>
          <w:rStyle w:val="Refdenotaderodap"/>
          <w:rFonts w:ascii="Arial Narrow" w:hAnsi="Arial Narrow"/>
        </w:rPr>
        <w:footnoteRef/>
      </w:r>
      <w:r w:rsidRPr="00363050">
        <w:rPr>
          <w:rFonts w:ascii="Arial Narrow" w:hAnsi="Arial Narrow"/>
        </w:rPr>
        <w:t xml:space="preserve"> </w:t>
      </w:r>
      <w:r>
        <w:rPr>
          <w:rFonts w:ascii="Arial Narrow" w:hAnsi="Arial Narrow"/>
        </w:rPr>
        <w:t xml:space="preserve">Id., ibid., </w:t>
      </w:r>
      <w:r w:rsidRPr="00363050">
        <w:rPr>
          <w:rFonts w:ascii="Arial Narrow" w:hAnsi="Arial Narrow"/>
        </w:rPr>
        <w:t>144</w:t>
      </w:r>
      <w:r>
        <w:rPr>
          <w:rFonts w:ascii="Arial Narrow" w:hAnsi="Arial Narrow"/>
        </w:rPr>
        <w:t>. «O Judeu é o único e verdadeiro capitalista internacional», pretendeu Ford na pág. 18.</w:t>
      </w:r>
    </w:p>
  </w:footnote>
  <w:footnote w:id="53">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Hitler (1995) 288.</w:t>
      </w:r>
    </w:p>
  </w:footnote>
  <w:footnote w:id="5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Discurso de Hitler em 26 de Fevereiro de 1924, antologiado em R. Griffin (org. 1995) 117.</w:t>
      </w:r>
    </w:p>
  </w:footnote>
  <w:footnote w:id="55">
    <w:p w:rsidR="00392E0D" w:rsidRPr="008B3B31" w:rsidRDefault="00392E0D" w:rsidP="00321E01">
      <w:pPr>
        <w:pStyle w:val="Textodenotaderodap"/>
        <w:rPr>
          <w:rFonts w:ascii="Arial Narrow" w:hAnsi="Arial Narrow"/>
        </w:rPr>
      </w:pPr>
      <w:r w:rsidRPr="008B3B31">
        <w:rPr>
          <w:rStyle w:val="Refdenotaderodap"/>
          <w:rFonts w:ascii="Arial Narrow" w:hAnsi="Arial Narrow"/>
        </w:rPr>
        <w:footnoteRef/>
      </w:r>
      <w:r w:rsidRPr="008B3B31">
        <w:rPr>
          <w:rFonts w:ascii="Arial Narrow" w:hAnsi="Arial Narrow"/>
        </w:rPr>
        <w:t xml:space="preserve"> H. Ford (1932)</w:t>
      </w:r>
      <w:r>
        <w:rPr>
          <w:rFonts w:ascii="Arial Narrow" w:hAnsi="Arial Narrow"/>
        </w:rPr>
        <w:t xml:space="preserve"> 25.</w:t>
      </w:r>
    </w:p>
  </w:footnote>
  <w:footnote w:id="56">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Quanto à forma como, depois de terem conquistado o poder, os </w:t>
      </w:r>
      <w:r>
        <w:rPr>
          <w:rFonts w:ascii="Arial Narrow" w:hAnsi="Arial Narrow"/>
        </w:rPr>
        <w:t>nacionais-socialistas</w:t>
      </w:r>
      <w:r w:rsidRPr="003E305A">
        <w:rPr>
          <w:rFonts w:ascii="Arial Narrow" w:hAnsi="Arial Narrow"/>
        </w:rPr>
        <w:t xml:space="preserve"> interpretaram no quadro do antigo </w:t>
      </w:r>
      <w:r w:rsidRPr="003E305A">
        <w:rPr>
          <w:rFonts w:ascii="Arial Narrow" w:hAnsi="Arial Narrow"/>
          <w:i/>
        </w:rPr>
        <w:t>mundium</w:t>
      </w:r>
      <w:r w:rsidRPr="003E305A">
        <w:rPr>
          <w:rFonts w:ascii="Arial Narrow" w:hAnsi="Arial Narrow"/>
        </w:rPr>
        <w:t xml:space="preserve"> germânico as relações entre patrão e assalariados ver F. Neumann (1943) 462-466.</w:t>
      </w:r>
      <w:r>
        <w:rPr>
          <w:rFonts w:ascii="Arial Narrow" w:hAnsi="Arial Narrow"/>
        </w:rPr>
        <w:t xml:space="preserve"> P. Marion (1939) 198 evocou o uso pela propaganda nacional-socialista da palavra </w:t>
      </w:r>
      <w:r w:rsidRPr="00984431">
        <w:rPr>
          <w:rFonts w:ascii="Arial Narrow" w:hAnsi="Arial Narrow"/>
          <w:i/>
        </w:rPr>
        <w:t>Lehen,</w:t>
      </w:r>
      <w:r>
        <w:rPr>
          <w:rFonts w:ascii="Arial Narrow" w:hAnsi="Arial Narrow"/>
        </w:rPr>
        <w:t xml:space="preserve"> «que se adapta muito bem às concepções especificamente nazis sobre a propriedade entendida como “feudo” e sobre o proprietário considerado como uma espécie de vassalo do Estado-soberano».</w:t>
      </w:r>
    </w:p>
  </w:footnote>
  <w:footnote w:id="57">
    <w:p w:rsidR="00392E0D" w:rsidRPr="003E305A" w:rsidRDefault="00392E0D" w:rsidP="009A42B3">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Hitler (1995) 297.</w:t>
      </w:r>
      <w:r>
        <w:rPr>
          <w:rFonts w:ascii="Arial Narrow" w:hAnsi="Arial Narrow"/>
        </w:rPr>
        <w:t xml:space="preserve"> Em afirmações como esta nota-se a influência de um romance de Arthur Dinter que conseguiu a celebridade naquela época, </w:t>
      </w:r>
      <w:r w:rsidRPr="008954C7">
        <w:rPr>
          <w:rFonts w:ascii="Arial Narrow" w:hAnsi="Arial Narrow"/>
          <w:i/>
        </w:rPr>
        <w:t>O Pecado contra o Sangue</w:t>
      </w:r>
      <w:r>
        <w:rPr>
          <w:rFonts w:ascii="Arial Narrow" w:hAnsi="Arial Narrow"/>
        </w:rPr>
        <w:t xml:space="preserve">. Ver </w:t>
      </w:r>
      <w:r w:rsidRPr="005705E4">
        <w:rPr>
          <w:rFonts w:ascii="Arial Narrow" w:hAnsi="Arial Narrow"/>
        </w:rPr>
        <w:t>A. Quinchon-Caudal (2013) 55-60.</w:t>
      </w:r>
    </w:p>
  </w:footnote>
  <w:footnote w:id="58">
    <w:p w:rsidR="00392E0D" w:rsidRPr="00505BCE" w:rsidRDefault="00392E0D">
      <w:pPr>
        <w:pStyle w:val="Textodenotaderodap"/>
        <w:rPr>
          <w:rFonts w:ascii="Arial Narrow" w:hAnsi="Arial Narrow"/>
        </w:rPr>
      </w:pPr>
      <w:r w:rsidRPr="00505BCE">
        <w:rPr>
          <w:rStyle w:val="Refdenotaderodap"/>
          <w:rFonts w:ascii="Arial Narrow" w:hAnsi="Arial Narrow"/>
        </w:rPr>
        <w:footnoteRef/>
      </w:r>
      <w:r w:rsidRPr="00505BCE">
        <w:rPr>
          <w:rFonts w:ascii="Arial Narrow" w:hAnsi="Arial Narrow"/>
        </w:rPr>
        <w:t xml:space="preserve"> </w:t>
      </w:r>
      <w:r>
        <w:rPr>
          <w:rFonts w:ascii="Arial Narrow" w:hAnsi="Arial Narrow"/>
        </w:rPr>
        <w:t xml:space="preserve">«O “sangue”, na doutrina nazi», escreveu H. J. Morgenthau (1946) 135, «é essencialmente uma entidade mística, uma substância que cria a vida em todas as suas manifestações biológicas, psicológicas e culturais [...]». Por isso não teve razão </w:t>
      </w:r>
      <w:r w:rsidRPr="00A360E3">
        <w:rPr>
          <w:rFonts w:ascii="Arial Narrow" w:hAnsi="Arial Narrow"/>
        </w:rPr>
        <w:t>A. Quinchon-Caudal (2013) 60 ao considerar «grosseiramente materialista» o racismo de Hitler.</w:t>
      </w:r>
    </w:p>
  </w:footnote>
  <w:footnote w:id="59">
    <w:p w:rsidR="00392E0D" w:rsidRPr="002703A1" w:rsidRDefault="00392E0D">
      <w:pPr>
        <w:pStyle w:val="Textodenotaderodap"/>
        <w:rPr>
          <w:rFonts w:ascii="Arial Narrow" w:hAnsi="Arial Narrow"/>
        </w:rPr>
      </w:pPr>
      <w:r w:rsidRPr="00416283">
        <w:rPr>
          <w:rStyle w:val="Refdenotaderodap"/>
          <w:rFonts w:ascii="Arial Narrow" w:hAnsi="Arial Narrow"/>
        </w:rPr>
        <w:footnoteRef/>
      </w:r>
      <w:r w:rsidRPr="002703A1">
        <w:rPr>
          <w:rFonts w:ascii="Arial Narrow" w:hAnsi="Arial Narrow"/>
        </w:rPr>
        <w:t xml:space="preserve"> A. Rosenberg [s. d.</w:t>
      </w:r>
      <w:r>
        <w:rPr>
          <w:rFonts w:ascii="Arial Narrow" w:hAnsi="Arial Narrow"/>
        </w:rPr>
        <w:t xml:space="preserve"> 2</w:t>
      </w:r>
      <w:r w:rsidRPr="002703A1">
        <w:rPr>
          <w:rFonts w:ascii="Arial Narrow" w:hAnsi="Arial Narrow"/>
        </w:rPr>
        <w:t>] 55. A versão francesa, id.</w:t>
      </w:r>
      <w:r>
        <w:rPr>
          <w:rFonts w:ascii="Arial Narrow" w:hAnsi="Arial Narrow"/>
        </w:rPr>
        <w:t xml:space="preserve"> </w:t>
      </w:r>
      <w:r w:rsidRPr="002703A1">
        <w:rPr>
          <w:rFonts w:ascii="Arial Narrow" w:hAnsi="Arial Narrow"/>
        </w:rPr>
        <w:t>(1986) 24</w:t>
      </w:r>
      <w:r>
        <w:rPr>
          <w:rFonts w:ascii="Arial Narrow" w:hAnsi="Arial Narrow"/>
        </w:rPr>
        <w:t xml:space="preserve">, chega a escrever </w:t>
      </w:r>
      <w:r w:rsidRPr="00AA447C">
        <w:rPr>
          <w:rFonts w:ascii="Arial Narrow" w:hAnsi="Arial Narrow"/>
          <w:i/>
        </w:rPr>
        <w:t>«le sang fut privé d’âme»,</w:t>
      </w:r>
      <w:r>
        <w:rPr>
          <w:rFonts w:ascii="Arial Narrow" w:hAnsi="Arial Narrow"/>
        </w:rPr>
        <w:t xml:space="preserve"> «roubou-se a alma ao sangue». </w:t>
      </w:r>
      <w:r w:rsidRPr="005705E4">
        <w:rPr>
          <w:rFonts w:ascii="Arial Narrow" w:hAnsi="Arial Narrow"/>
        </w:rPr>
        <w:t xml:space="preserve">«A essência da raça </w:t>
      </w:r>
      <w:r>
        <w:rPr>
          <w:rFonts w:ascii="Arial Narrow" w:hAnsi="Arial Narrow"/>
        </w:rPr>
        <w:t xml:space="preserve">repousa no sangue», escrevera já Theodor Fritsch em 1904, «e o sangue é também em boa medida portador do espírito, da alma». Citado em </w:t>
      </w:r>
      <w:r w:rsidRPr="005705E4">
        <w:rPr>
          <w:rFonts w:ascii="Arial Narrow" w:hAnsi="Arial Narrow"/>
        </w:rPr>
        <w:t>A. Quinchon-Caudal (2013) 41.</w:t>
      </w:r>
    </w:p>
  </w:footnote>
  <w:footnote w:id="60">
    <w:p w:rsidR="00392E0D" w:rsidRPr="005705E4" w:rsidRDefault="00392E0D">
      <w:pPr>
        <w:pStyle w:val="Textodenotaderodap"/>
        <w:rPr>
          <w:rFonts w:ascii="Arial Narrow" w:hAnsi="Arial Narrow"/>
        </w:rPr>
      </w:pPr>
      <w:r w:rsidRPr="00416283">
        <w:rPr>
          <w:rStyle w:val="Refdenotaderodap"/>
          <w:rFonts w:ascii="Arial Narrow" w:hAnsi="Arial Narrow"/>
        </w:rPr>
        <w:footnoteRef/>
      </w:r>
      <w:r w:rsidRPr="00817716">
        <w:rPr>
          <w:rFonts w:ascii="Arial Narrow" w:hAnsi="Arial Narrow"/>
        </w:rPr>
        <w:t xml:space="preserve"> </w:t>
      </w:r>
      <w:r w:rsidRPr="002703A1">
        <w:rPr>
          <w:rFonts w:ascii="Arial Narrow" w:hAnsi="Arial Narrow"/>
        </w:rPr>
        <w:t xml:space="preserve">A. Rosenberg </w:t>
      </w:r>
      <w:r w:rsidRPr="00817716">
        <w:rPr>
          <w:rFonts w:ascii="Arial Narrow" w:hAnsi="Arial Narrow"/>
        </w:rPr>
        <w:t xml:space="preserve">(1986) 25; id. </w:t>
      </w:r>
      <w:r w:rsidRPr="005705E4">
        <w:rPr>
          <w:rFonts w:ascii="Arial Narrow" w:hAnsi="Arial Narrow"/>
        </w:rPr>
        <w:t xml:space="preserve">[s. d. 2] 56. </w:t>
      </w:r>
    </w:p>
  </w:footnote>
  <w:footnote w:id="61">
    <w:p w:rsidR="00392E0D" w:rsidRPr="00D12E6B" w:rsidRDefault="00392E0D">
      <w:pPr>
        <w:pStyle w:val="Textodenotaderodap"/>
        <w:rPr>
          <w:rFonts w:ascii="Arial Narrow" w:hAnsi="Arial Narrow"/>
        </w:rPr>
      </w:pPr>
      <w:r w:rsidRPr="00D12E6B">
        <w:rPr>
          <w:rStyle w:val="Refdenotaderodap"/>
          <w:rFonts w:ascii="Arial Narrow" w:hAnsi="Arial Narrow"/>
        </w:rPr>
        <w:footnoteRef/>
      </w:r>
      <w:r w:rsidRPr="00817716">
        <w:rPr>
          <w:rFonts w:ascii="Arial Narrow" w:hAnsi="Arial Narrow"/>
        </w:rPr>
        <w:t xml:space="preserve"> Id. (1986) 105; id. </w:t>
      </w:r>
      <w:r>
        <w:rPr>
          <w:rFonts w:ascii="Arial Narrow" w:hAnsi="Arial Narrow"/>
        </w:rPr>
        <w:t>[s. d. 2] 113.</w:t>
      </w:r>
    </w:p>
  </w:footnote>
  <w:footnote w:id="62">
    <w:p w:rsidR="00392E0D" w:rsidRPr="00BE4D9D" w:rsidRDefault="00392E0D">
      <w:pPr>
        <w:pStyle w:val="Textodenotaderodap"/>
        <w:rPr>
          <w:rFonts w:ascii="Arial Narrow" w:hAnsi="Arial Narrow"/>
        </w:rPr>
      </w:pPr>
      <w:r w:rsidRPr="00BE4D9D">
        <w:rPr>
          <w:rStyle w:val="Refdenotaderodap"/>
          <w:rFonts w:ascii="Arial Narrow" w:hAnsi="Arial Narrow"/>
        </w:rPr>
        <w:footnoteRef/>
      </w:r>
      <w:r w:rsidRPr="00BE4D9D">
        <w:rPr>
          <w:rFonts w:ascii="Arial Narrow" w:hAnsi="Arial Narrow"/>
        </w:rPr>
        <w:t xml:space="preserve"> </w:t>
      </w:r>
      <w:r>
        <w:rPr>
          <w:rFonts w:ascii="Arial Narrow" w:hAnsi="Arial Narrow"/>
        </w:rPr>
        <w:t>Segui a versão de id. [s. d. 2] 429 de preferência a id. (1986) 593.</w:t>
      </w:r>
    </w:p>
  </w:footnote>
  <w:footnote w:id="63">
    <w:p w:rsidR="00392E0D" w:rsidRPr="00D85846" w:rsidRDefault="00392E0D">
      <w:pPr>
        <w:pStyle w:val="Textodenotaderodap"/>
        <w:rPr>
          <w:rFonts w:ascii="Arial Narrow" w:hAnsi="Arial Narrow"/>
        </w:rPr>
      </w:pPr>
      <w:r w:rsidRPr="00D85846">
        <w:rPr>
          <w:rStyle w:val="Refdenotaderodap"/>
          <w:rFonts w:ascii="Arial Narrow" w:hAnsi="Arial Narrow"/>
        </w:rPr>
        <w:footnoteRef/>
      </w:r>
      <w:r w:rsidRPr="00D85846">
        <w:rPr>
          <w:rFonts w:ascii="Arial Narrow" w:hAnsi="Arial Narrow"/>
        </w:rPr>
        <w:t xml:space="preserve"> </w:t>
      </w:r>
      <w:r>
        <w:rPr>
          <w:rFonts w:ascii="Arial Narrow" w:hAnsi="Arial Narrow"/>
        </w:rPr>
        <w:t>Id. (1986) 227; id. [s. d. 2] 201.</w:t>
      </w:r>
    </w:p>
  </w:footnote>
  <w:footnote w:id="64">
    <w:p w:rsidR="00392E0D" w:rsidRPr="00D93DE5" w:rsidRDefault="00392E0D">
      <w:pPr>
        <w:pStyle w:val="Textodenotaderodap"/>
        <w:rPr>
          <w:rFonts w:ascii="Arial Narrow" w:hAnsi="Arial Narrow"/>
        </w:rPr>
      </w:pPr>
      <w:r w:rsidRPr="00D93DE5">
        <w:rPr>
          <w:rStyle w:val="Refdenotaderodap"/>
          <w:rFonts w:ascii="Arial Narrow" w:hAnsi="Arial Narrow"/>
        </w:rPr>
        <w:footnoteRef/>
      </w:r>
      <w:r w:rsidRPr="00D93DE5">
        <w:rPr>
          <w:rFonts w:ascii="Arial Narrow" w:hAnsi="Arial Narrow"/>
        </w:rPr>
        <w:t xml:space="preserve"> </w:t>
      </w:r>
      <w:r>
        <w:rPr>
          <w:rFonts w:ascii="Arial Narrow" w:hAnsi="Arial Narrow"/>
        </w:rPr>
        <w:t xml:space="preserve">Citado em Sh. F. Weiss (2010) 100. Traduzi </w:t>
      </w:r>
      <w:r w:rsidRPr="00ED1336">
        <w:rPr>
          <w:rFonts w:ascii="Arial Narrow" w:hAnsi="Arial Narrow"/>
          <w:i/>
        </w:rPr>
        <w:t>Volk</w:t>
      </w:r>
      <w:r>
        <w:rPr>
          <w:rFonts w:ascii="Arial Narrow" w:hAnsi="Arial Narrow"/>
        </w:rPr>
        <w:t xml:space="preserve"> por «povo», que neste contexto deve ser entendido numa acepção </w:t>
      </w:r>
      <w:r w:rsidRPr="00ED1336">
        <w:rPr>
          <w:rFonts w:ascii="Arial Narrow" w:hAnsi="Arial Narrow"/>
          <w:i/>
        </w:rPr>
        <w:t>völkisch,</w:t>
      </w:r>
      <w:r>
        <w:rPr>
          <w:rFonts w:ascii="Arial Narrow" w:hAnsi="Arial Narrow"/>
        </w:rPr>
        <w:t xml:space="preserve"> racista.</w:t>
      </w:r>
    </w:p>
  </w:footnote>
  <w:footnote w:id="65">
    <w:p w:rsidR="00392E0D" w:rsidRPr="009F45C8" w:rsidRDefault="00392E0D">
      <w:pPr>
        <w:pStyle w:val="Textodenotaderodap"/>
        <w:rPr>
          <w:rFonts w:ascii="Arial Narrow" w:hAnsi="Arial Narrow"/>
        </w:rPr>
      </w:pPr>
      <w:r w:rsidRPr="009F45C8">
        <w:rPr>
          <w:rStyle w:val="Refdenotaderodap"/>
          <w:rFonts w:ascii="Arial Narrow" w:hAnsi="Arial Narrow"/>
        </w:rPr>
        <w:footnoteRef/>
      </w:r>
      <w:r w:rsidRPr="009F45C8">
        <w:rPr>
          <w:rFonts w:ascii="Arial Narrow" w:hAnsi="Arial Narrow"/>
        </w:rPr>
        <w:t xml:space="preserve"> </w:t>
      </w:r>
      <w:r>
        <w:rPr>
          <w:rFonts w:ascii="Arial Narrow" w:hAnsi="Arial Narrow"/>
        </w:rPr>
        <w:t>Citado em P. Watson (2011) 652.</w:t>
      </w:r>
    </w:p>
  </w:footnote>
  <w:footnote w:id="66">
    <w:p w:rsidR="00392E0D" w:rsidRPr="00CE120F" w:rsidRDefault="00392E0D" w:rsidP="00321E01">
      <w:pPr>
        <w:pStyle w:val="Textodenotaderodap"/>
        <w:rPr>
          <w:rFonts w:ascii="Arial Narrow" w:hAnsi="Arial Narrow"/>
        </w:rPr>
      </w:pPr>
      <w:r w:rsidRPr="00CE120F">
        <w:rPr>
          <w:rStyle w:val="Refdenotaderodap"/>
          <w:rFonts w:ascii="Arial Narrow" w:hAnsi="Arial Narrow"/>
        </w:rPr>
        <w:footnoteRef/>
      </w:r>
      <w:r w:rsidRPr="00CE120F">
        <w:rPr>
          <w:rFonts w:ascii="Arial Narrow" w:hAnsi="Arial Narrow"/>
        </w:rPr>
        <w:t xml:space="preserve"> </w:t>
      </w:r>
      <w:r>
        <w:rPr>
          <w:rFonts w:ascii="Arial Narrow" w:hAnsi="Arial Narrow"/>
        </w:rPr>
        <w:t xml:space="preserve">Estas declarações de </w:t>
      </w:r>
      <w:r w:rsidRPr="00CE120F">
        <w:rPr>
          <w:rFonts w:ascii="Arial Narrow" w:hAnsi="Arial Narrow"/>
        </w:rPr>
        <w:t>Dieter Wisliceny</w:t>
      </w:r>
      <w:r>
        <w:rPr>
          <w:rFonts w:ascii="Arial Narrow" w:hAnsi="Arial Narrow"/>
        </w:rPr>
        <w:t xml:space="preserve"> estão citadas em </w:t>
      </w:r>
      <w:r w:rsidRPr="00CE120F">
        <w:rPr>
          <w:rFonts w:ascii="Arial Narrow" w:hAnsi="Arial Narrow"/>
        </w:rPr>
        <w:t>N</w:t>
      </w:r>
      <w:r>
        <w:rPr>
          <w:rFonts w:ascii="Arial Narrow" w:hAnsi="Arial Narrow"/>
        </w:rPr>
        <w:t xml:space="preserve">. </w:t>
      </w:r>
      <w:r w:rsidRPr="00CE120F">
        <w:rPr>
          <w:rFonts w:ascii="Arial Narrow" w:hAnsi="Arial Narrow"/>
        </w:rPr>
        <w:t>Cohn (1992)</w:t>
      </w:r>
      <w:r>
        <w:rPr>
          <w:rFonts w:ascii="Arial Narrow" w:hAnsi="Arial Narrow"/>
        </w:rPr>
        <w:t xml:space="preserve"> </w:t>
      </w:r>
      <w:r w:rsidRPr="00CE120F">
        <w:rPr>
          <w:rFonts w:ascii="Arial Narrow" w:hAnsi="Arial Narrow"/>
        </w:rPr>
        <w:t>178</w:t>
      </w:r>
      <w:r>
        <w:rPr>
          <w:rFonts w:ascii="Arial Narrow" w:hAnsi="Arial Narrow"/>
        </w:rPr>
        <w:t>.</w:t>
      </w:r>
    </w:p>
  </w:footnote>
  <w:footnote w:id="67">
    <w:p w:rsidR="00392E0D" w:rsidRPr="003C7C7C" w:rsidRDefault="00392E0D">
      <w:pPr>
        <w:pStyle w:val="Textodenotaderodap"/>
        <w:rPr>
          <w:rFonts w:ascii="Arial Narrow" w:hAnsi="Arial Narrow"/>
        </w:rPr>
      </w:pPr>
      <w:r w:rsidRPr="003C7C7C">
        <w:rPr>
          <w:rStyle w:val="Refdenotaderodap"/>
          <w:rFonts w:ascii="Arial Narrow" w:hAnsi="Arial Narrow"/>
        </w:rPr>
        <w:footnoteRef/>
      </w:r>
      <w:r w:rsidRPr="003C7C7C">
        <w:rPr>
          <w:rFonts w:ascii="Arial Narrow" w:hAnsi="Arial Narrow"/>
        </w:rPr>
        <w:t xml:space="preserve"> No artigo «What Is National Socialism?», escrito em </w:t>
      </w:r>
      <w:r>
        <w:rPr>
          <w:rFonts w:ascii="Arial Narrow" w:hAnsi="Arial Narrow"/>
        </w:rPr>
        <w:t xml:space="preserve">Junho de 1933 e antologiado em </w:t>
      </w:r>
      <w:r w:rsidRPr="003C7C7C">
        <w:rPr>
          <w:rFonts w:ascii="Arial Narrow" w:hAnsi="Arial Narrow"/>
          <w:i/>
        </w:rPr>
        <w:t>The Rise of German Fascism</w:t>
      </w:r>
      <w:r w:rsidRPr="003C7C7C">
        <w:rPr>
          <w:rFonts w:ascii="Arial Narrow" w:hAnsi="Arial Narrow"/>
        </w:rPr>
        <w:t>…</w:t>
      </w:r>
      <w:r>
        <w:rPr>
          <w:rFonts w:ascii="Arial Narrow" w:hAnsi="Arial Narrow"/>
        </w:rPr>
        <w:t>, 515-528. Ver especialmente as págs. 519-520.</w:t>
      </w:r>
    </w:p>
  </w:footnote>
  <w:footnote w:id="68">
    <w:p w:rsidR="00392E0D" w:rsidRPr="00453539" w:rsidRDefault="00392E0D">
      <w:pPr>
        <w:pStyle w:val="Textodenotaderodap"/>
        <w:rPr>
          <w:rFonts w:ascii="Arial Narrow" w:hAnsi="Arial Narrow"/>
        </w:rPr>
      </w:pPr>
      <w:r w:rsidRPr="00453539">
        <w:rPr>
          <w:rStyle w:val="Refdenotaderodap"/>
          <w:rFonts w:ascii="Arial Narrow" w:hAnsi="Arial Narrow"/>
        </w:rPr>
        <w:footnoteRef/>
      </w:r>
      <w:r w:rsidRPr="00453539">
        <w:rPr>
          <w:rFonts w:ascii="Arial Narrow" w:hAnsi="Arial Narrow"/>
        </w:rPr>
        <w:t xml:space="preserve"> </w:t>
      </w:r>
      <w:r>
        <w:rPr>
          <w:rFonts w:ascii="Arial Narrow" w:hAnsi="Arial Narrow"/>
        </w:rPr>
        <w:t xml:space="preserve">Na noite de </w:t>
      </w:r>
      <w:r w:rsidRPr="00453539">
        <w:rPr>
          <w:rFonts w:ascii="Arial Narrow" w:hAnsi="Arial Narrow"/>
          <w:iCs/>
        </w:rPr>
        <w:t>3</w:t>
      </w:r>
      <w:r>
        <w:rPr>
          <w:rFonts w:ascii="Arial Narrow" w:hAnsi="Arial Narrow"/>
          <w:iCs/>
        </w:rPr>
        <w:t xml:space="preserve"> para </w:t>
      </w:r>
      <w:r w:rsidRPr="00453539">
        <w:rPr>
          <w:rFonts w:ascii="Arial Narrow" w:hAnsi="Arial Narrow"/>
          <w:iCs/>
        </w:rPr>
        <w:t xml:space="preserve">4 de Janeiro de 1942, em </w:t>
      </w:r>
      <w:r w:rsidRPr="00453539">
        <w:rPr>
          <w:rFonts w:ascii="Arial Narrow" w:hAnsi="Arial Narrow"/>
          <w:bCs/>
          <w:i/>
          <w:iCs/>
        </w:rPr>
        <w:t>Hitler’s Table Talk</w:t>
      </w:r>
      <w:r w:rsidRPr="00453539">
        <w:rPr>
          <w:rFonts w:ascii="Arial Narrow" w:hAnsi="Arial Narrow"/>
          <w:iCs/>
        </w:rPr>
        <w:t>...,</w:t>
      </w:r>
      <w:r>
        <w:rPr>
          <w:rFonts w:ascii="Arial Narrow" w:hAnsi="Arial Narrow"/>
          <w:iCs/>
        </w:rPr>
        <w:t xml:space="preserve"> 167. Ver ainda </w:t>
      </w:r>
      <w:r w:rsidRPr="007650CD">
        <w:rPr>
          <w:rFonts w:ascii="Arial Narrow" w:hAnsi="Arial Narrow"/>
          <w:iCs/>
        </w:rPr>
        <w:t>H. F. Ziegler (1989) 7.</w:t>
      </w:r>
    </w:p>
  </w:footnote>
  <w:footnote w:id="69">
    <w:p w:rsidR="00392E0D" w:rsidRPr="00563251" w:rsidRDefault="00392E0D">
      <w:pPr>
        <w:pStyle w:val="Textodenotaderodap"/>
        <w:rPr>
          <w:rFonts w:ascii="Arial Narrow" w:hAnsi="Arial Narrow"/>
        </w:rPr>
      </w:pPr>
      <w:r w:rsidRPr="00170C91">
        <w:rPr>
          <w:rStyle w:val="Refdenotaderodap"/>
          <w:rFonts w:ascii="Arial Narrow" w:hAnsi="Arial Narrow"/>
        </w:rPr>
        <w:footnoteRef/>
      </w:r>
      <w:r w:rsidRPr="00170C91">
        <w:rPr>
          <w:rFonts w:ascii="Arial Narrow" w:hAnsi="Arial Narrow"/>
        </w:rPr>
        <w:t xml:space="preserve"> </w:t>
      </w:r>
      <w:r>
        <w:rPr>
          <w:rFonts w:ascii="Arial Narrow" w:hAnsi="Arial Narrow"/>
        </w:rPr>
        <w:t xml:space="preserve">Na página do diário de Darré referente a 9 de Janeiro de 1938, citada em </w:t>
      </w:r>
      <w:r w:rsidRPr="00563251">
        <w:rPr>
          <w:rFonts w:ascii="Arial Narrow" w:hAnsi="Arial Narrow"/>
        </w:rPr>
        <w:t>A. Bramwell (1985) 130</w:t>
      </w:r>
      <w:r>
        <w:rPr>
          <w:rFonts w:ascii="Arial Narrow" w:hAnsi="Arial Narrow"/>
        </w:rPr>
        <w:t>.</w:t>
      </w:r>
    </w:p>
  </w:footnote>
  <w:footnote w:id="70">
    <w:p w:rsidR="00392E0D" w:rsidRPr="00563251" w:rsidRDefault="00392E0D">
      <w:pPr>
        <w:pStyle w:val="Textodenotaderodap"/>
        <w:rPr>
          <w:rFonts w:ascii="Arial Narrow" w:hAnsi="Arial Narrow"/>
        </w:rPr>
      </w:pPr>
      <w:r w:rsidRPr="00563251">
        <w:rPr>
          <w:rStyle w:val="Refdenotaderodap"/>
          <w:rFonts w:ascii="Arial Narrow" w:hAnsi="Arial Narrow"/>
        </w:rPr>
        <w:footnoteRef/>
      </w:r>
      <w:r w:rsidRPr="00563251">
        <w:rPr>
          <w:rFonts w:ascii="Arial Narrow" w:hAnsi="Arial Narrow"/>
        </w:rPr>
        <w:t xml:space="preserve"> </w:t>
      </w:r>
      <w:r>
        <w:rPr>
          <w:rFonts w:ascii="Arial Narrow" w:hAnsi="Arial Narrow"/>
          <w:iCs/>
        </w:rPr>
        <w:t>M. Bardèche (1994) 126.</w:t>
      </w:r>
    </w:p>
  </w:footnote>
  <w:footnote w:id="7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da concepção excludente, ou nórdica, ver E. Conte et al. (1995) 84-85, 94, 99-101, 105-107, 214 e 349. Consultar igualmente J. Billig (2000) 215-217 e A. Bullock (1972) 399-400. Por seu lado, P. Cadars et al. (1972) 274 observa</w:t>
      </w:r>
      <w:r>
        <w:rPr>
          <w:rFonts w:ascii="Arial Narrow" w:hAnsi="Arial Narrow"/>
        </w:rPr>
        <w:t>ra</w:t>
      </w:r>
      <w:r w:rsidRPr="003E305A">
        <w:rPr>
          <w:rFonts w:ascii="Arial Narrow" w:hAnsi="Arial Narrow"/>
        </w:rPr>
        <w:t xml:space="preserve">m «a predilecção dos cineastas do Terceiro Reich pelas províncias nórdicas </w:t>
      </w:r>
      <w:r>
        <w:rPr>
          <w:rFonts w:ascii="Arial Narrow" w:hAnsi="Arial Narrow"/>
        </w:rPr>
        <w:t>—</w:t>
      </w:r>
      <w:r w:rsidRPr="003E305A">
        <w:rPr>
          <w:rFonts w:ascii="Arial Narrow" w:hAnsi="Arial Narrow"/>
        </w:rPr>
        <w:t xml:space="preserve"> a Frísia, o Schleswig, a Prússia </w:t>
      </w:r>
      <w:r>
        <w:rPr>
          <w:rFonts w:ascii="Arial Narrow" w:hAnsi="Arial Narrow"/>
        </w:rPr>
        <w:t>—</w:t>
      </w:r>
      <w:r w:rsidRPr="003E305A">
        <w:rPr>
          <w:rFonts w:ascii="Arial Narrow" w:hAnsi="Arial Narrow"/>
        </w:rPr>
        <w:t xml:space="preserve"> berço dos grandes construtores do Império</w:t>
      </w:r>
      <w:r>
        <w:rPr>
          <w:rFonts w:ascii="Arial Narrow" w:hAnsi="Arial Narrow"/>
        </w:rPr>
        <w:t xml:space="preserve"> e dos arianos de sangue puro».</w:t>
      </w:r>
    </w:p>
  </w:footnote>
  <w:footnote w:id="72">
    <w:p w:rsidR="00392E0D" w:rsidRPr="00A270EB" w:rsidRDefault="00392E0D">
      <w:pPr>
        <w:pStyle w:val="Textodenotaderodap"/>
        <w:rPr>
          <w:rFonts w:ascii="Arial Narrow" w:hAnsi="Arial Narrow"/>
          <w:lang w:val="en-US"/>
        </w:rPr>
      </w:pPr>
      <w:r w:rsidRPr="002422BE">
        <w:rPr>
          <w:rStyle w:val="Refdenotaderodap"/>
          <w:rFonts w:ascii="Arial Narrow" w:hAnsi="Arial Narrow"/>
        </w:rPr>
        <w:footnoteRef/>
      </w:r>
      <w:r w:rsidRPr="00A270EB">
        <w:rPr>
          <w:rFonts w:ascii="Arial Narrow" w:hAnsi="Arial Narrow"/>
          <w:lang w:val="en-US"/>
        </w:rPr>
        <w:t xml:space="preserve"> A. Rosenberg (1986) 541; id. [s. d.</w:t>
      </w:r>
      <w:r>
        <w:rPr>
          <w:rFonts w:ascii="Arial Narrow" w:hAnsi="Arial Narrow"/>
          <w:lang w:val="en-US"/>
        </w:rPr>
        <w:t xml:space="preserve"> 2</w:t>
      </w:r>
      <w:r w:rsidRPr="00A270EB">
        <w:rPr>
          <w:rFonts w:ascii="Arial Narrow" w:hAnsi="Arial Narrow"/>
          <w:lang w:val="en-US"/>
        </w:rPr>
        <w:t>] 392.</w:t>
      </w:r>
    </w:p>
  </w:footnote>
  <w:footnote w:id="73">
    <w:p w:rsidR="00392E0D" w:rsidRPr="00A360E3" w:rsidRDefault="00392E0D">
      <w:pPr>
        <w:pStyle w:val="Textodenotaderodap"/>
        <w:rPr>
          <w:rFonts w:ascii="Arial Narrow" w:hAnsi="Arial Narrow"/>
          <w:lang w:val="en-US"/>
        </w:rPr>
      </w:pPr>
      <w:r w:rsidRPr="00A360E3">
        <w:rPr>
          <w:rStyle w:val="Refdenotaderodap"/>
          <w:rFonts w:ascii="Arial Narrow" w:hAnsi="Arial Narrow"/>
        </w:rPr>
        <w:footnoteRef/>
      </w:r>
      <w:r w:rsidRPr="00A360E3">
        <w:rPr>
          <w:rFonts w:ascii="Arial Narrow" w:hAnsi="Arial Narrow"/>
          <w:lang w:val="en-US"/>
        </w:rPr>
        <w:t xml:space="preserve"> A. Quinchon-Caudal (2013)</w:t>
      </w:r>
      <w:r>
        <w:rPr>
          <w:rFonts w:ascii="Arial Narrow" w:hAnsi="Arial Narrow"/>
          <w:lang w:val="en-US"/>
        </w:rPr>
        <w:t xml:space="preserve"> 34.</w:t>
      </w:r>
    </w:p>
  </w:footnote>
  <w:footnote w:id="74">
    <w:p w:rsidR="00392E0D" w:rsidRPr="00E43E32"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A360E3">
        <w:rPr>
          <w:rFonts w:ascii="Arial Narrow" w:hAnsi="Arial Narrow"/>
          <w:lang w:val="en-US"/>
        </w:rPr>
        <w:t xml:space="preserve"> J. Billig (2000) 104. </w:t>
      </w:r>
      <w:r>
        <w:rPr>
          <w:rFonts w:ascii="Arial Narrow" w:hAnsi="Arial Narrow"/>
        </w:rPr>
        <w:t xml:space="preserve">Em </w:t>
      </w:r>
      <w:r w:rsidRPr="00F662B0">
        <w:rPr>
          <w:rFonts w:ascii="Arial Narrow" w:hAnsi="Arial Narrow"/>
          <w:iCs/>
        </w:rPr>
        <w:t xml:space="preserve">12 de Maio de 1942 o Führer insistia nesta tese perante os seus comensais, como se vê em </w:t>
      </w:r>
      <w:r w:rsidRPr="00A30F9A">
        <w:rPr>
          <w:rFonts w:ascii="Arial Narrow" w:hAnsi="Arial Narrow"/>
          <w:bCs/>
          <w:i/>
          <w:iCs/>
        </w:rPr>
        <w:t>Hitler’s Table Talk</w:t>
      </w:r>
      <w:r w:rsidRPr="00A30F9A">
        <w:rPr>
          <w:rFonts w:ascii="Arial Narrow" w:hAnsi="Arial Narrow"/>
          <w:iCs/>
        </w:rPr>
        <w:t>...,</w:t>
      </w:r>
      <w:r>
        <w:rPr>
          <w:rFonts w:ascii="Arial Narrow" w:hAnsi="Arial Narrow"/>
          <w:iCs/>
        </w:rPr>
        <w:t xml:space="preserve"> 475-476.</w:t>
      </w:r>
    </w:p>
  </w:footnote>
  <w:footnote w:id="75">
    <w:p w:rsidR="00392E0D" w:rsidRPr="00851966" w:rsidRDefault="00392E0D">
      <w:pPr>
        <w:pStyle w:val="Textodenotaderodap"/>
        <w:rPr>
          <w:rFonts w:ascii="Arial Narrow" w:hAnsi="Arial Narrow"/>
        </w:rPr>
      </w:pPr>
      <w:r w:rsidRPr="00851966">
        <w:rPr>
          <w:rStyle w:val="Refdenotaderodap"/>
          <w:rFonts w:ascii="Arial Narrow" w:hAnsi="Arial Narrow"/>
        </w:rPr>
        <w:footnoteRef/>
      </w:r>
      <w:r w:rsidRPr="00851966">
        <w:rPr>
          <w:rFonts w:ascii="Arial Narrow" w:hAnsi="Arial Narrow"/>
        </w:rPr>
        <w:t xml:space="preserve"> </w:t>
      </w:r>
      <w:r w:rsidRPr="0078158A">
        <w:rPr>
          <w:rFonts w:ascii="Arial Narrow" w:hAnsi="Arial Narrow"/>
        </w:rPr>
        <w:t xml:space="preserve">A </w:t>
      </w:r>
      <w:r>
        <w:rPr>
          <w:rFonts w:ascii="Arial Narrow" w:hAnsi="Arial Narrow"/>
        </w:rPr>
        <w:t xml:space="preserve">noção de </w:t>
      </w:r>
      <w:r w:rsidRPr="0078158A">
        <w:rPr>
          <w:rFonts w:ascii="Arial Narrow" w:hAnsi="Arial Narrow"/>
          <w:i/>
        </w:rPr>
        <w:t>personalidade</w:t>
      </w:r>
      <w:r w:rsidRPr="0078158A">
        <w:rPr>
          <w:rFonts w:ascii="Arial Narrow" w:hAnsi="Arial Narrow"/>
        </w:rPr>
        <w:t xml:space="preserve"> necessita de uma explicação, que pode ser dada através da leitura atenta da principal obra de Alfred Rosenberg. «Para todos os europeus», lemos em </w:t>
      </w:r>
      <w:r w:rsidRPr="0078158A">
        <w:rPr>
          <w:rFonts w:ascii="Arial Narrow" w:hAnsi="Arial Narrow"/>
          <w:i/>
        </w:rPr>
        <w:t>O Mito do Século XX,</w:t>
      </w:r>
      <w:r w:rsidRPr="0078158A">
        <w:rPr>
          <w:rFonts w:ascii="Arial Narrow" w:hAnsi="Arial Narrow"/>
        </w:rPr>
        <w:t xml:space="preserve"> «o derradeiro segredo está contido no conceito de personalidade». Ver A. Rosenberg [s. d.</w:t>
      </w:r>
      <w:r>
        <w:rPr>
          <w:rFonts w:ascii="Arial Narrow" w:hAnsi="Arial Narrow"/>
        </w:rPr>
        <w:t xml:space="preserve"> 2</w:t>
      </w:r>
      <w:r w:rsidRPr="0078158A">
        <w:rPr>
          <w:rFonts w:ascii="Arial Narrow" w:hAnsi="Arial Narrow"/>
        </w:rPr>
        <w:t>] 282. Ela é «o último mistério da existência» (pág. 211). A personalidade distingue-se da individualidade e da subjectividade e, definida como «a vontade somada à razão», ela «é um poder que representa o que há de espiritual no homem, oposto ao material» (pág. 255; ver também a pág. 257). A personalidade «nasce e morre com a raça» (pág. 63). «No seu sentido íntimo mais profundo, a aspiração à personalidade e ao tipo é a mesma. Uma personalidade forte tem um efeito formador de estilo, mas o tipo, considerado metafisicamente, já está dado antes dela. Assim, a personalidade é só a sua mais pura manifestação exterior. Esta eterna aspiração adopta formas diferentes em cada época» (pág. 363). Trata-se aqui da mesma dialéctica que levou Rosenberg, parafraseando o que o jovem Schelling havia escrito acerca da relação da Natureza com o Espírito, a afirmar que «o espírito representa a raça vista a partir de dentro. Reciprocamente, a raça é o exterior de um espírito» (pág. 4; ver também as págs. 56, 114 e 363). Neste plano racial, o Nórdico, especialmente o Germano, tem uma intuição consciente da personalidade, que deve ser sentida e simultaneamente conhecida (pág. 210), e foi a partir daqui que Rosenberg sustentou a sua mitologia da criatividade germânica, já que para ele a personalidade implicava uma vontade criadora íntima (págs. 231</w:t>
      </w:r>
      <w:r>
        <w:rPr>
          <w:rFonts w:ascii="Arial Narrow" w:hAnsi="Arial Narrow"/>
        </w:rPr>
        <w:t>,</w:t>
      </w:r>
      <w:r w:rsidRPr="0078158A">
        <w:rPr>
          <w:rFonts w:ascii="Arial Narrow" w:hAnsi="Arial Narrow"/>
        </w:rPr>
        <w:t xml:space="preserve"> 234). «Um espírito claro e a consciência de uma essência espiritual voluntariosa e sempre activa significam uma verdadeira personalidade» (pág. 278). Esta vontade interior e criativa relaciona a noção de personalidade com a noção de liberdade íntima (pág. 282), que para Rosenberg era outra característica definidora do Nórdico. «No mundo inorgânico a questão do porquê, da finalidade, é desprovida de sentido. Mas a vida, a realidade orgânica, não pode ser apreendida de outro modo. [...] A vida consiste em se empenhar num objectivo através de um finalismo inconsciente». Ora, deriva daqui a convicção da imortalidade (pág. 282), o que nos transporta para o plano religioso. Neste plano a personalidade provém «na sua manifestação individual, de algo desconhecido que se ergue em nós — uma elevação íntima — como a sombra de uma recordação. Tem uma tarefa desconhecida a cumprir aqui na terra: desempenhar essa missão e regressar à sua essência primordial. Toda a personalidade é uma unidade sem fim» (pág. 280; ver também as págs. 283-284). É nestes termos </w:t>
      </w:r>
      <w:r>
        <w:rPr>
          <w:rFonts w:ascii="Arial Narrow" w:hAnsi="Arial Narrow"/>
        </w:rPr>
        <w:t>indomavelmente</w:t>
      </w:r>
      <w:r w:rsidRPr="0078158A">
        <w:rPr>
          <w:rFonts w:ascii="Arial Narrow" w:hAnsi="Arial Narrow"/>
        </w:rPr>
        <w:t xml:space="preserve"> místicos que deve ser entendido um dos conceitos centrais do nacional-socialismo.</w:t>
      </w:r>
    </w:p>
  </w:footnote>
  <w:footnote w:id="76">
    <w:p w:rsidR="00392E0D" w:rsidRPr="003E305A" w:rsidRDefault="00392E0D" w:rsidP="00851966">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E. Conte et al. (1995) 106. Porém, Édouard Conte et al. presum</w:t>
      </w:r>
      <w:r>
        <w:rPr>
          <w:rFonts w:ascii="Arial Narrow" w:hAnsi="Arial Narrow"/>
        </w:rPr>
        <w:t>ira</w:t>
      </w:r>
      <w:r w:rsidRPr="003E305A">
        <w:rPr>
          <w:rFonts w:ascii="Arial Narrow" w:hAnsi="Arial Narrow"/>
        </w:rPr>
        <w:t>m que com este discurso Hitler se teria oposto às teses dos defensores da raça nórdica. Pelo contrário, com a sua habilidade táctica consumada, o Führer estava a fazer o que sempre fez, defendendo uma das alternativas em termos tais que deixava aos antagonistas a esperança de que as suas próprias posições não estivessem definitivamente condenadas.</w:t>
      </w:r>
    </w:p>
  </w:footnote>
  <w:footnote w:id="77">
    <w:p w:rsidR="00392E0D" w:rsidRPr="00E43E32"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E43E32">
        <w:rPr>
          <w:rFonts w:ascii="Arial Narrow" w:hAnsi="Arial Narrow"/>
          <w:lang w:val="en-US"/>
        </w:rPr>
        <w:t xml:space="preserve"> A. Rosenberg (1986) 541; id. [s. d.</w:t>
      </w:r>
      <w:r>
        <w:rPr>
          <w:rFonts w:ascii="Arial Narrow" w:hAnsi="Arial Narrow"/>
          <w:lang w:val="en-US"/>
        </w:rPr>
        <w:t xml:space="preserve"> 2</w:t>
      </w:r>
      <w:r w:rsidRPr="00E43E32">
        <w:rPr>
          <w:rFonts w:ascii="Arial Narrow" w:hAnsi="Arial Narrow"/>
          <w:lang w:val="en-US"/>
        </w:rPr>
        <w:t>] 392.</w:t>
      </w:r>
    </w:p>
  </w:footnote>
  <w:footnote w:id="78">
    <w:p w:rsidR="00392E0D" w:rsidRPr="000829E7" w:rsidRDefault="00392E0D">
      <w:pPr>
        <w:pStyle w:val="Textodenotaderodap"/>
        <w:rPr>
          <w:rFonts w:ascii="Arial Narrow" w:hAnsi="Arial Narrow"/>
        </w:rPr>
      </w:pPr>
      <w:r w:rsidRPr="000829E7">
        <w:rPr>
          <w:rStyle w:val="Refdenotaderodap"/>
          <w:rFonts w:ascii="Arial Narrow" w:hAnsi="Arial Narrow"/>
        </w:rPr>
        <w:footnoteRef/>
      </w:r>
      <w:r w:rsidRPr="000829E7">
        <w:rPr>
          <w:rFonts w:ascii="Arial Narrow" w:hAnsi="Arial Narrow"/>
        </w:rPr>
        <w:t xml:space="preserve"> </w:t>
      </w:r>
      <w:r>
        <w:rPr>
          <w:rFonts w:ascii="Arial Narrow" w:hAnsi="Arial Narrow"/>
        </w:rPr>
        <w:t>A, Bramwell (1985) 55.</w:t>
      </w:r>
    </w:p>
  </w:footnote>
  <w:footnote w:id="7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Hitler (1995) 353-354. Para o conjunto da questão ver as págs. 353-358, 361 e 465-466.</w:t>
      </w:r>
    </w:p>
  </w:footnote>
  <w:footnote w:id="80">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Salomon (1993) 331 pretende</w:t>
      </w:r>
      <w:r>
        <w:rPr>
          <w:rFonts w:ascii="Arial Narrow" w:hAnsi="Arial Narrow"/>
        </w:rPr>
        <w:t>u</w:t>
      </w:r>
      <w:r w:rsidRPr="003E305A">
        <w:rPr>
          <w:rFonts w:ascii="Arial Narrow" w:hAnsi="Arial Narrow"/>
        </w:rPr>
        <w:t xml:space="preserve"> que quase todas as «obscuras polémicas» de </w:t>
      </w:r>
      <w:r w:rsidRPr="003E305A">
        <w:rPr>
          <w:rFonts w:ascii="Arial Narrow" w:hAnsi="Arial Narrow"/>
          <w:i/>
        </w:rPr>
        <w:t>Mein Kampf</w:t>
      </w:r>
      <w:r w:rsidRPr="003E305A">
        <w:rPr>
          <w:rFonts w:ascii="Arial Narrow" w:hAnsi="Arial Narrow"/>
        </w:rPr>
        <w:t xml:space="preserve"> se dirigi</w:t>
      </w:r>
      <w:r>
        <w:rPr>
          <w:rFonts w:ascii="Arial Narrow" w:hAnsi="Arial Narrow"/>
        </w:rPr>
        <w:t>r</w:t>
      </w:r>
      <w:r w:rsidRPr="003E305A">
        <w:rPr>
          <w:rFonts w:ascii="Arial Narrow" w:hAnsi="Arial Narrow"/>
        </w:rPr>
        <w:t xml:space="preserve">am contra o comandante Ehrhardt, mas creio que </w:t>
      </w:r>
      <w:r>
        <w:rPr>
          <w:rFonts w:ascii="Arial Narrow" w:hAnsi="Arial Narrow"/>
        </w:rPr>
        <w:t xml:space="preserve">von </w:t>
      </w:r>
      <w:r w:rsidRPr="003E305A">
        <w:rPr>
          <w:rFonts w:ascii="Arial Narrow" w:hAnsi="Arial Narrow"/>
        </w:rPr>
        <w:t>Salomon coloc</w:t>
      </w:r>
      <w:r>
        <w:rPr>
          <w:rFonts w:ascii="Arial Narrow" w:hAnsi="Arial Narrow"/>
        </w:rPr>
        <w:t>ou</w:t>
      </w:r>
      <w:r w:rsidRPr="003E305A">
        <w:rPr>
          <w:rFonts w:ascii="Arial Narrow" w:hAnsi="Arial Narrow"/>
        </w:rPr>
        <w:t xml:space="preserve"> indevidamente no centro dos acontecimentos as personalidades de quem estava mais próximo e que as iras de Hitler pretend</w:t>
      </w:r>
      <w:r>
        <w:rPr>
          <w:rFonts w:ascii="Arial Narrow" w:hAnsi="Arial Narrow"/>
        </w:rPr>
        <w:t>er</w:t>
      </w:r>
      <w:r w:rsidRPr="003E305A">
        <w:rPr>
          <w:rFonts w:ascii="Arial Narrow" w:hAnsi="Arial Narrow"/>
        </w:rPr>
        <w:t>am sobretudo atingir Ludendorff e Gregor Strasser.</w:t>
      </w:r>
    </w:p>
  </w:footnote>
  <w:footnote w:id="81">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G. Lukács (1980) 13. Seguindo a versão inglesa, traduzo </w:t>
      </w:r>
      <w:r w:rsidRPr="003E305A">
        <w:rPr>
          <w:rFonts w:ascii="Arial Narrow" w:hAnsi="Arial Narrow"/>
          <w:i/>
        </w:rPr>
        <w:t>Lebensphilosophie</w:t>
      </w:r>
      <w:r w:rsidRPr="003E305A">
        <w:rPr>
          <w:rFonts w:ascii="Arial Narrow" w:hAnsi="Arial Narrow"/>
        </w:rPr>
        <w:t xml:space="preserve"> por «vitalismo».</w:t>
      </w:r>
      <w:r>
        <w:rPr>
          <w:rFonts w:ascii="Arial Narrow" w:hAnsi="Arial Narrow"/>
        </w:rPr>
        <w:t xml:space="preserve"> </w:t>
      </w:r>
      <w:r w:rsidRPr="00DC5A72">
        <w:rPr>
          <w:rFonts w:ascii="Arial Narrow" w:hAnsi="Arial Narrow"/>
        </w:rPr>
        <w:t>J. Baberowski et al. (2009) 200 escreveram que «o nacional-socialismo combinou o vitalismo, o anti-semitismo e o antibolchevismo […]».</w:t>
      </w:r>
    </w:p>
  </w:footnote>
  <w:footnote w:id="82">
    <w:p w:rsidR="00392E0D" w:rsidRPr="00624E34"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624E34">
        <w:rPr>
          <w:rFonts w:ascii="Arial Narrow" w:hAnsi="Arial Narrow"/>
          <w:lang w:val="en-US"/>
        </w:rPr>
        <w:t xml:space="preserve"> </w:t>
      </w:r>
      <w:r w:rsidRPr="00DC5A72">
        <w:rPr>
          <w:rFonts w:ascii="Arial Narrow" w:hAnsi="Arial Narrow"/>
          <w:lang w:val="en-US"/>
        </w:rPr>
        <w:t xml:space="preserve">G. Lukács (1980) </w:t>
      </w:r>
      <w:r w:rsidRPr="00624E34">
        <w:rPr>
          <w:rFonts w:ascii="Arial Narrow" w:hAnsi="Arial Narrow"/>
          <w:lang w:val="en-US"/>
        </w:rPr>
        <w:t>577, 715.</w:t>
      </w:r>
    </w:p>
  </w:footnote>
  <w:footnote w:id="83">
    <w:p w:rsidR="00392E0D" w:rsidRPr="003E305A" w:rsidRDefault="00392E0D" w:rsidP="00321E01">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J. P. Faye (1980) 166; </w:t>
      </w:r>
      <w:r w:rsidRPr="009F009A">
        <w:rPr>
          <w:rFonts w:ascii="Arial Narrow" w:hAnsi="Arial Narrow"/>
          <w:lang w:val="en-US"/>
        </w:rPr>
        <w:t xml:space="preserve">J. C. Fest (1974) </w:t>
      </w:r>
      <w:r>
        <w:rPr>
          <w:rFonts w:ascii="Arial Narrow" w:hAnsi="Arial Narrow"/>
          <w:lang w:val="en-US"/>
        </w:rPr>
        <w:t xml:space="preserve">306-307; </w:t>
      </w:r>
      <w:r w:rsidRPr="003E305A">
        <w:rPr>
          <w:rFonts w:ascii="Arial Narrow" w:hAnsi="Arial Narrow"/>
          <w:lang w:val="fr-FR"/>
        </w:rPr>
        <w:t>G. Lukács (1980) 699.</w:t>
      </w:r>
      <w:r>
        <w:rPr>
          <w:rFonts w:ascii="Arial Narrow" w:hAnsi="Arial Narrow"/>
          <w:lang w:val="fr-FR"/>
        </w:rPr>
        <w:t xml:space="preserve"> Na noite de </w:t>
      </w:r>
      <w:r w:rsidRPr="00C34B06">
        <w:rPr>
          <w:rFonts w:ascii="Arial Narrow" w:hAnsi="Arial Narrow"/>
          <w:iCs/>
        </w:rPr>
        <w:t xml:space="preserve">24 para 25 de Janeiro de 1942, Hitler recordaria que tinha recebido na prisão uma carta muito simpática de Chamberlain. </w:t>
      </w:r>
      <w:r>
        <w:rPr>
          <w:rFonts w:ascii="Arial Narrow" w:hAnsi="Arial Narrow"/>
          <w:iCs/>
          <w:lang w:val="en-US"/>
        </w:rPr>
        <w:t xml:space="preserve">Ver </w:t>
      </w:r>
      <w:r w:rsidRPr="00C34B06">
        <w:rPr>
          <w:rFonts w:ascii="Arial Narrow" w:hAnsi="Arial Narrow"/>
          <w:bCs/>
          <w:i/>
          <w:iCs/>
          <w:lang w:val="en-US"/>
        </w:rPr>
        <w:t>Hitler’s Table Talk</w:t>
      </w:r>
      <w:r w:rsidRPr="00C34B06">
        <w:rPr>
          <w:rFonts w:ascii="Arial Narrow" w:hAnsi="Arial Narrow"/>
          <w:iCs/>
          <w:lang w:val="en-US"/>
        </w:rPr>
        <w:t>..., 242.</w:t>
      </w:r>
    </w:p>
  </w:footnote>
  <w:footnote w:id="84">
    <w:p w:rsidR="00392E0D" w:rsidRPr="008A36CE" w:rsidRDefault="00392E0D">
      <w:pPr>
        <w:pStyle w:val="Textodenotaderodap"/>
        <w:rPr>
          <w:rFonts w:ascii="Arial Narrow" w:hAnsi="Arial Narrow"/>
          <w:lang w:val="en-US"/>
        </w:rPr>
      </w:pPr>
      <w:r w:rsidRPr="008A36CE">
        <w:rPr>
          <w:rStyle w:val="Refdenotaderodap"/>
          <w:rFonts w:ascii="Arial Narrow" w:hAnsi="Arial Narrow"/>
        </w:rPr>
        <w:footnoteRef/>
      </w:r>
      <w:r w:rsidRPr="008A36CE">
        <w:rPr>
          <w:rFonts w:ascii="Arial Narrow" w:hAnsi="Arial Narrow"/>
          <w:lang w:val="en-US"/>
        </w:rPr>
        <w:t xml:space="preserve"> </w:t>
      </w:r>
      <w:r w:rsidRPr="009F009A">
        <w:rPr>
          <w:rFonts w:ascii="Arial Narrow" w:hAnsi="Arial Narrow"/>
          <w:lang w:val="en-US"/>
        </w:rPr>
        <w:t>J. C. Fest (1974)</w:t>
      </w:r>
      <w:r>
        <w:rPr>
          <w:rFonts w:ascii="Arial Narrow" w:hAnsi="Arial Narrow"/>
          <w:lang w:val="en-US"/>
        </w:rPr>
        <w:t xml:space="preserve"> 338.</w:t>
      </w:r>
    </w:p>
  </w:footnote>
  <w:footnote w:id="85">
    <w:p w:rsidR="00392E0D" w:rsidRPr="003E305A" w:rsidRDefault="00392E0D" w:rsidP="00321E01">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H. S. Chamberlain (1913) 358, 1405.</w:t>
      </w:r>
    </w:p>
  </w:footnote>
  <w:footnote w:id="86">
    <w:p w:rsidR="00392E0D" w:rsidRPr="007F7C55" w:rsidRDefault="00392E0D" w:rsidP="00321E01">
      <w:pPr>
        <w:pStyle w:val="Textodenotaderodap"/>
        <w:rPr>
          <w:rFonts w:ascii="Arial Narrow" w:hAnsi="Arial Narrow"/>
        </w:rPr>
      </w:pPr>
      <w:r w:rsidRPr="003E305A">
        <w:rPr>
          <w:rStyle w:val="Refdenotaderodap"/>
          <w:rFonts w:ascii="Arial Narrow" w:hAnsi="Arial Narrow"/>
        </w:rPr>
        <w:footnoteRef/>
      </w:r>
      <w:r w:rsidRPr="007F7C55">
        <w:rPr>
          <w:rFonts w:ascii="Arial Narrow" w:hAnsi="Arial Narrow"/>
        </w:rPr>
        <w:t xml:space="preserve"> A. Herman (1997) 56 e segs.</w:t>
      </w:r>
    </w:p>
  </w:footnote>
  <w:footnote w:id="87">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L. Poliakov (1971) 239. Ver também as págs. 240-244.</w:t>
      </w:r>
    </w:p>
  </w:footnote>
  <w:footnote w:id="8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Herman (1997) 68.</w:t>
      </w:r>
    </w:p>
  </w:footnote>
  <w:footnote w:id="89">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O texto de Wagner encontra-se mencionado em H. S. Chamberlain (1913) 1385-1386.</w:t>
      </w:r>
    </w:p>
  </w:footnote>
  <w:footnote w:id="90">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Benoist-Méchin (1964-1966) IV 288.</w:t>
      </w:r>
    </w:p>
  </w:footnote>
  <w:footnote w:id="91">
    <w:p w:rsidR="00392E0D" w:rsidRPr="00F662B0" w:rsidRDefault="00392E0D">
      <w:pPr>
        <w:pStyle w:val="Textodenotaderodap"/>
        <w:rPr>
          <w:rFonts w:ascii="Arial Narrow" w:hAnsi="Arial Narrow"/>
        </w:rPr>
      </w:pPr>
      <w:r w:rsidRPr="00F52521">
        <w:rPr>
          <w:rStyle w:val="Refdenotaderodap"/>
          <w:rFonts w:ascii="Arial Narrow" w:hAnsi="Arial Narrow"/>
        </w:rPr>
        <w:footnoteRef/>
      </w:r>
      <w:r w:rsidRPr="00F662B0">
        <w:rPr>
          <w:rFonts w:ascii="Arial Narrow" w:hAnsi="Arial Narrow"/>
        </w:rPr>
        <w:t xml:space="preserve"> Em </w:t>
      </w:r>
      <w:r w:rsidRPr="00F662B0">
        <w:rPr>
          <w:rFonts w:ascii="Arial Narrow" w:hAnsi="Arial Narrow"/>
          <w:iCs/>
        </w:rPr>
        <w:t xml:space="preserve">1 de Julho de 1942, em </w:t>
      </w:r>
      <w:r w:rsidRPr="00F662B0">
        <w:rPr>
          <w:rFonts w:ascii="Arial Narrow" w:hAnsi="Arial Narrow"/>
          <w:bCs/>
          <w:i/>
          <w:iCs/>
        </w:rPr>
        <w:t>Hitler’s Table Talk</w:t>
      </w:r>
      <w:r w:rsidRPr="00F662B0">
        <w:rPr>
          <w:rFonts w:ascii="Arial Narrow" w:hAnsi="Arial Narrow"/>
          <w:iCs/>
        </w:rPr>
        <w:t xml:space="preserve">..., 545. </w:t>
      </w:r>
      <w:r w:rsidRPr="008D4ABD">
        <w:rPr>
          <w:rFonts w:ascii="Arial Narrow" w:hAnsi="Arial Narrow"/>
          <w:iCs/>
        </w:rPr>
        <w:t xml:space="preserve">No mesmo dia </w:t>
      </w:r>
      <w:r w:rsidRPr="006A4087">
        <w:rPr>
          <w:rFonts w:ascii="Arial Narrow" w:hAnsi="Arial Narrow"/>
          <w:iCs/>
        </w:rPr>
        <w:t>o Führer disse ainda que «todas as famílias mestiças — mesmo que tenham nas suas veias só uma quantidade ínfima de sangue judaico — produzem regularmente, geração após geração, pelo menos um judeu puro».</w:t>
      </w:r>
      <w:r>
        <w:rPr>
          <w:rFonts w:ascii="Arial Narrow" w:hAnsi="Arial Narrow"/>
          <w:iCs/>
        </w:rPr>
        <w:t xml:space="preserve"> Ver ainda idem., 474. </w:t>
      </w:r>
      <w:r w:rsidRPr="00FD1AA4">
        <w:rPr>
          <w:rFonts w:ascii="Arial Narrow" w:hAnsi="Arial Narrow"/>
          <w:iCs/>
        </w:rPr>
        <w:t>Neste quadro ideológico é difícil entender como, na noite de 1 para 2 de Dezembro de 1941, o Führer pôde defender, referindo-se aos mestiços de judeu, que «a partir da s</w:t>
      </w:r>
      <w:r>
        <w:rPr>
          <w:rFonts w:ascii="Arial Narrow" w:hAnsi="Arial Narrow"/>
          <w:iCs/>
        </w:rPr>
        <w:t xml:space="preserve">étima geração parece que fica regenerada a pureza do sangue ariano. </w:t>
      </w:r>
      <w:r w:rsidRPr="00F662B0">
        <w:rPr>
          <w:rFonts w:ascii="Arial Narrow" w:hAnsi="Arial Narrow"/>
          <w:iCs/>
        </w:rPr>
        <w:t>A longo prazo, a natureza elimina os elementos nocivos». Ver idem., 141.</w:t>
      </w:r>
      <w:r>
        <w:rPr>
          <w:rFonts w:ascii="Arial Narrow" w:hAnsi="Arial Narrow"/>
          <w:iCs/>
        </w:rPr>
        <w:t xml:space="preserve"> Mais radical, em 1943 o prof. B. K. Schultz, do </w:t>
      </w:r>
      <w:r w:rsidRPr="006F790B">
        <w:rPr>
          <w:rFonts w:ascii="Arial Narrow" w:hAnsi="Arial Narrow"/>
          <w:iCs/>
        </w:rPr>
        <w:t>Departamento Central de Raça e Colonização dos SS</w:t>
      </w:r>
      <w:r>
        <w:rPr>
          <w:rFonts w:ascii="Arial Narrow" w:hAnsi="Arial Narrow"/>
          <w:iCs/>
        </w:rPr>
        <w:t>,</w:t>
      </w:r>
      <w:r w:rsidRPr="006F790B">
        <w:rPr>
          <w:rFonts w:ascii="Arial Narrow" w:hAnsi="Arial Narrow"/>
          <w:iCs/>
        </w:rPr>
        <w:t xml:space="preserve"> </w:t>
      </w:r>
      <w:r>
        <w:rPr>
          <w:rFonts w:ascii="Arial Narrow" w:hAnsi="Arial Narrow"/>
          <w:iCs/>
        </w:rPr>
        <w:t xml:space="preserve">pretendeu que com mestiços de judeu a partir da terceira geração de miscigenação todos os cromossomas judaicos poderiam desaparecer, o que suscitou a cólera de Himmler. Ver </w:t>
      </w:r>
      <w:r w:rsidRPr="00150AAC">
        <w:rPr>
          <w:rFonts w:ascii="Arial Narrow" w:hAnsi="Arial Narrow"/>
          <w:iCs/>
        </w:rPr>
        <w:t>S. Friedländer (2008)</w:t>
      </w:r>
      <w:r>
        <w:rPr>
          <w:rFonts w:ascii="Arial Narrow" w:hAnsi="Arial Narrow"/>
          <w:iCs/>
        </w:rPr>
        <w:t xml:space="preserve"> 866-867.</w:t>
      </w:r>
    </w:p>
  </w:footnote>
  <w:footnote w:id="92">
    <w:p w:rsidR="00392E0D" w:rsidRPr="00E6569B" w:rsidRDefault="00392E0D" w:rsidP="00321E01">
      <w:pPr>
        <w:pStyle w:val="Textodenotaderodap"/>
        <w:rPr>
          <w:rFonts w:ascii="Arial Narrow" w:hAnsi="Arial Narrow"/>
        </w:rPr>
      </w:pPr>
      <w:r w:rsidRPr="003E305A">
        <w:rPr>
          <w:rStyle w:val="Refdenotaderodap"/>
          <w:rFonts w:ascii="Arial Narrow" w:hAnsi="Arial Narrow"/>
        </w:rPr>
        <w:footnoteRef/>
      </w:r>
      <w:r w:rsidRPr="00E96E75">
        <w:rPr>
          <w:rFonts w:ascii="Arial Narrow" w:hAnsi="Arial Narrow"/>
        </w:rPr>
        <w:t xml:space="preserve"> A. Hitler (1995) 354. </w:t>
      </w:r>
      <w:r w:rsidRPr="003E305A">
        <w:rPr>
          <w:rFonts w:ascii="Arial Narrow" w:hAnsi="Arial Narrow"/>
        </w:rPr>
        <w:t xml:space="preserve">Ver igualmente as págs. </w:t>
      </w:r>
      <w:r w:rsidRPr="00E6569B">
        <w:rPr>
          <w:rFonts w:ascii="Arial Narrow" w:hAnsi="Arial Narrow"/>
        </w:rPr>
        <w:t>364 e 389.</w:t>
      </w:r>
    </w:p>
  </w:footnote>
  <w:footnote w:id="93">
    <w:p w:rsidR="00392E0D" w:rsidRPr="003C7C7C" w:rsidRDefault="00392E0D" w:rsidP="00321E01">
      <w:pPr>
        <w:pStyle w:val="Textodenotaderodap"/>
        <w:rPr>
          <w:rFonts w:ascii="Arial Narrow" w:hAnsi="Arial Narrow"/>
        </w:rPr>
      </w:pPr>
      <w:r w:rsidRPr="003E305A">
        <w:rPr>
          <w:rStyle w:val="Refdenotaderodap"/>
          <w:rFonts w:ascii="Arial Narrow" w:hAnsi="Arial Narrow"/>
        </w:rPr>
        <w:footnoteRef/>
      </w:r>
      <w:r w:rsidRPr="003C7C7C">
        <w:rPr>
          <w:rFonts w:ascii="Arial Narrow" w:hAnsi="Arial Narrow"/>
        </w:rPr>
        <w:t xml:space="preserve"> Id., ibid., 258-259.</w:t>
      </w:r>
    </w:p>
  </w:footnote>
  <w:footnote w:id="94">
    <w:p w:rsidR="00392E0D" w:rsidRPr="003C7C7C" w:rsidRDefault="00392E0D" w:rsidP="00321E01">
      <w:pPr>
        <w:pStyle w:val="Textodenotaderodap"/>
        <w:rPr>
          <w:rFonts w:ascii="Arial Narrow" w:hAnsi="Arial Narrow"/>
        </w:rPr>
      </w:pPr>
      <w:r w:rsidRPr="003E305A">
        <w:rPr>
          <w:rStyle w:val="Refdenotaderodap"/>
          <w:rFonts w:ascii="Arial Narrow" w:hAnsi="Arial Narrow"/>
        </w:rPr>
        <w:footnoteRef/>
      </w:r>
      <w:r w:rsidRPr="003C7C7C">
        <w:rPr>
          <w:rFonts w:ascii="Arial Narrow" w:hAnsi="Arial Narrow"/>
        </w:rPr>
        <w:t xml:space="preserve"> Id., ibid., 260, 265, 267-269, 364-365.</w:t>
      </w:r>
    </w:p>
  </w:footnote>
  <w:footnote w:id="95">
    <w:p w:rsidR="00392E0D" w:rsidRPr="003E305A" w:rsidRDefault="00392E0D" w:rsidP="00872F37">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Esta passagem do texto de Wagner </w:t>
      </w:r>
      <w:r w:rsidRPr="003E305A">
        <w:rPr>
          <w:rFonts w:ascii="Arial Narrow" w:hAnsi="Arial Narrow"/>
          <w:i/>
        </w:rPr>
        <w:t>Heldentum und Christentum</w:t>
      </w:r>
      <w:r w:rsidRPr="003E305A">
        <w:rPr>
          <w:rFonts w:ascii="Arial Narrow" w:hAnsi="Arial Narrow"/>
        </w:rPr>
        <w:t xml:space="preserve"> encontra-se citada em H. S. Chamberlain (1913) 1385-1386.</w:t>
      </w:r>
    </w:p>
  </w:footnote>
  <w:footnote w:id="96">
    <w:p w:rsidR="00392E0D" w:rsidRPr="003E305A" w:rsidRDefault="00392E0D" w:rsidP="00B36968">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(2003) 17.</w:t>
      </w:r>
    </w:p>
  </w:footnote>
  <w:footnote w:id="97">
    <w:p w:rsidR="00392E0D" w:rsidRPr="00872F37" w:rsidRDefault="00392E0D">
      <w:pPr>
        <w:pStyle w:val="Textodenotaderodap"/>
        <w:rPr>
          <w:rFonts w:ascii="Arial Narrow" w:hAnsi="Arial Narrow"/>
          <w:lang w:val="en-US"/>
        </w:rPr>
      </w:pPr>
      <w:r w:rsidRPr="00A67206">
        <w:rPr>
          <w:rStyle w:val="Refdenotaderodap"/>
          <w:rFonts w:ascii="Arial Narrow" w:hAnsi="Arial Narrow"/>
        </w:rPr>
        <w:footnoteRef/>
      </w:r>
      <w:r w:rsidRPr="00872F37">
        <w:rPr>
          <w:rFonts w:ascii="Arial Narrow" w:hAnsi="Arial Narrow"/>
          <w:lang w:val="en-US"/>
        </w:rPr>
        <w:t xml:space="preserve"> </w:t>
      </w:r>
      <w:r w:rsidRPr="00A67206">
        <w:rPr>
          <w:rFonts w:ascii="Arial Narrow" w:hAnsi="Arial Narrow"/>
          <w:lang w:val="en-US"/>
        </w:rPr>
        <w:t>A. Quinchon-Caudal (2013)</w:t>
      </w:r>
      <w:r>
        <w:rPr>
          <w:rFonts w:ascii="Arial Narrow" w:hAnsi="Arial Narrow"/>
          <w:lang w:val="en-US"/>
        </w:rPr>
        <w:t xml:space="preserve"> 126.</w:t>
      </w:r>
    </w:p>
  </w:footnote>
  <w:footnote w:id="98">
    <w:p w:rsidR="00392E0D" w:rsidRPr="00AA223C" w:rsidRDefault="00392E0D">
      <w:pPr>
        <w:pStyle w:val="Textodenotaderodap"/>
        <w:rPr>
          <w:rFonts w:ascii="Arial Narrow" w:hAnsi="Arial Narrow"/>
        </w:rPr>
      </w:pPr>
      <w:r w:rsidRPr="00AA223C">
        <w:rPr>
          <w:rStyle w:val="Refdenotaderodap"/>
          <w:rFonts w:ascii="Arial Narrow" w:hAnsi="Arial Narrow"/>
        </w:rPr>
        <w:footnoteRef/>
      </w:r>
      <w:r w:rsidRPr="00AA223C">
        <w:rPr>
          <w:rFonts w:ascii="Arial Narrow" w:hAnsi="Arial Narrow"/>
        </w:rPr>
        <w:t xml:space="preserve"> </w:t>
      </w:r>
      <w:r>
        <w:rPr>
          <w:rFonts w:ascii="Arial Narrow" w:hAnsi="Arial Narrow"/>
        </w:rPr>
        <w:t>Citado em A. Bramwell (1985) 57.</w:t>
      </w:r>
    </w:p>
  </w:footnote>
  <w:footnote w:id="9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Conte et al. (1995) 140-141. </w:t>
      </w:r>
      <w:r>
        <w:rPr>
          <w:rFonts w:ascii="Arial Narrow" w:hAnsi="Arial Narrow"/>
        </w:rPr>
        <w:t xml:space="preserve">Ver também </w:t>
      </w:r>
      <w:r w:rsidRPr="003C7C7C">
        <w:rPr>
          <w:rFonts w:ascii="Arial Narrow" w:hAnsi="Arial Narrow"/>
        </w:rPr>
        <w:t xml:space="preserve">A. Quinchon-Caudal (2013) 177. </w:t>
      </w:r>
      <w:r w:rsidRPr="003E305A">
        <w:rPr>
          <w:rFonts w:ascii="Arial Narrow" w:hAnsi="Arial Narrow"/>
        </w:rPr>
        <w:t xml:space="preserve">Como se lê em </w:t>
      </w:r>
      <w:r w:rsidRPr="003E305A">
        <w:rPr>
          <w:rFonts w:ascii="Arial Narrow" w:hAnsi="Arial Narrow"/>
          <w:i/>
        </w:rPr>
        <w:t>Mein Kampf,</w:t>
      </w:r>
      <w:r w:rsidRPr="003E305A">
        <w:rPr>
          <w:rFonts w:ascii="Arial Narrow" w:hAnsi="Arial Narrow"/>
        </w:rPr>
        <w:t xml:space="preserve"> «o casamento não pode constituir um fim em si, mas deve servir o verdadeiro objectivo superior, o aumento e a preservação da espécie e da raça. É este o seu único significado e a sua única função»</w:t>
      </w:r>
      <w:r>
        <w:rPr>
          <w:rFonts w:ascii="Arial Narrow" w:hAnsi="Arial Narrow"/>
        </w:rPr>
        <w:t>.</w:t>
      </w:r>
      <w:r w:rsidRPr="003E305A">
        <w:rPr>
          <w:rFonts w:ascii="Arial Narrow" w:hAnsi="Arial Narrow"/>
        </w:rPr>
        <w:t xml:space="preserve"> </w:t>
      </w:r>
      <w:r>
        <w:rPr>
          <w:rFonts w:ascii="Arial Narrow" w:hAnsi="Arial Narrow"/>
        </w:rPr>
        <w:t xml:space="preserve">Ver </w:t>
      </w:r>
      <w:r w:rsidRPr="003E305A">
        <w:rPr>
          <w:rFonts w:ascii="Arial Narrow" w:hAnsi="Arial Narrow"/>
        </w:rPr>
        <w:t>A. Hitler (1995) 229</w:t>
      </w:r>
      <w:r>
        <w:rPr>
          <w:rFonts w:ascii="Arial Narrow" w:hAnsi="Arial Narrow"/>
        </w:rPr>
        <w:t>;</w:t>
      </w:r>
      <w:r w:rsidRPr="003E305A">
        <w:rPr>
          <w:rFonts w:ascii="Arial Narrow" w:hAnsi="Arial Narrow"/>
        </w:rPr>
        <w:t xml:space="preserve"> ver </w:t>
      </w:r>
      <w:r>
        <w:rPr>
          <w:rFonts w:ascii="Arial Narrow" w:hAnsi="Arial Narrow"/>
        </w:rPr>
        <w:t>ainda</w:t>
      </w:r>
      <w:r w:rsidRPr="003E305A">
        <w:rPr>
          <w:rFonts w:ascii="Arial Narrow" w:hAnsi="Arial Narrow"/>
        </w:rPr>
        <w:t xml:space="preserve"> as págs. 365-366.</w:t>
      </w:r>
    </w:p>
  </w:footnote>
  <w:footnote w:id="100">
    <w:p w:rsidR="00392E0D" w:rsidRPr="00B84102" w:rsidRDefault="00392E0D">
      <w:pPr>
        <w:pStyle w:val="Textodenotaderodap"/>
        <w:rPr>
          <w:rFonts w:ascii="Arial Narrow" w:hAnsi="Arial Narrow"/>
        </w:rPr>
      </w:pPr>
      <w:r w:rsidRPr="00B84102">
        <w:rPr>
          <w:rStyle w:val="Refdenotaderodap"/>
          <w:rFonts w:ascii="Arial Narrow" w:hAnsi="Arial Narrow"/>
        </w:rPr>
        <w:footnoteRef/>
      </w:r>
      <w:r w:rsidRPr="00B84102">
        <w:rPr>
          <w:rFonts w:ascii="Arial Narrow" w:hAnsi="Arial Narrow"/>
        </w:rPr>
        <w:t xml:space="preserve"> </w:t>
      </w:r>
      <w:r>
        <w:rPr>
          <w:rFonts w:ascii="Arial Narrow" w:hAnsi="Arial Narrow"/>
        </w:rPr>
        <w:t>A. Rosenberg (1986) 481; id. [s. d. 2] 352.</w:t>
      </w:r>
    </w:p>
  </w:footnote>
  <w:footnote w:id="101">
    <w:p w:rsidR="00392E0D" w:rsidRPr="009E64B7" w:rsidRDefault="00392E0D">
      <w:pPr>
        <w:pStyle w:val="Textodenotaderodap"/>
        <w:rPr>
          <w:rFonts w:ascii="Arial Narrow" w:hAnsi="Arial Narrow"/>
        </w:rPr>
      </w:pPr>
      <w:r w:rsidRPr="009E64B7">
        <w:rPr>
          <w:rStyle w:val="Refdenotaderodap"/>
          <w:rFonts w:ascii="Arial Narrow" w:hAnsi="Arial Narrow"/>
        </w:rPr>
        <w:footnoteRef/>
      </w:r>
      <w:r w:rsidRPr="009E64B7">
        <w:rPr>
          <w:rFonts w:ascii="Arial Narrow" w:hAnsi="Arial Narrow"/>
        </w:rPr>
        <w:t xml:space="preserve"> </w:t>
      </w:r>
      <w:r w:rsidRPr="009D6AC1">
        <w:rPr>
          <w:rFonts w:ascii="Arial Narrow" w:hAnsi="Arial Narrow"/>
        </w:rPr>
        <w:t>K. A. Schleunes (1990) 51 considerou «a mistura de raças» como «um equivalente nazi do pecado original».</w:t>
      </w:r>
    </w:p>
  </w:footnote>
  <w:footnote w:id="102">
    <w:p w:rsidR="00392E0D" w:rsidRPr="00F24D9D" w:rsidRDefault="00392E0D">
      <w:pPr>
        <w:pStyle w:val="Textodenotaderodap"/>
        <w:rPr>
          <w:rFonts w:ascii="Arial Narrow" w:hAnsi="Arial Narrow"/>
        </w:rPr>
      </w:pPr>
      <w:r w:rsidRPr="00B1361A">
        <w:rPr>
          <w:rStyle w:val="Refdenotaderodap"/>
          <w:rFonts w:ascii="Arial Narrow" w:hAnsi="Arial Narrow"/>
        </w:rPr>
        <w:footnoteRef/>
      </w:r>
      <w:r w:rsidRPr="00B1361A">
        <w:rPr>
          <w:rFonts w:ascii="Arial Narrow" w:hAnsi="Arial Narrow"/>
        </w:rPr>
        <w:t xml:space="preserve"> Citado em J. Noakes et al. </w:t>
      </w:r>
      <w:r w:rsidRPr="00513A55">
        <w:rPr>
          <w:rFonts w:ascii="Arial Narrow" w:hAnsi="Arial Narrow"/>
        </w:rPr>
        <w:t xml:space="preserve">(orgs. </w:t>
      </w:r>
      <w:r w:rsidRPr="00F24D9D">
        <w:rPr>
          <w:rFonts w:ascii="Arial Narrow" w:hAnsi="Arial Narrow"/>
        </w:rPr>
        <w:t>2008-2010) III 341. Ver igualmente A. Quinchon-Caudal (2013)</w:t>
      </w:r>
      <w:r>
        <w:rPr>
          <w:rFonts w:ascii="Arial Narrow" w:hAnsi="Arial Narrow"/>
        </w:rPr>
        <w:t xml:space="preserve"> 98.</w:t>
      </w:r>
    </w:p>
  </w:footnote>
  <w:footnote w:id="103">
    <w:p w:rsidR="00392E0D" w:rsidRPr="00817716" w:rsidRDefault="00392E0D">
      <w:pPr>
        <w:pStyle w:val="Textodenotaderodap"/>
        <w:rPr>
          <w:rFonts w:ascii="Arial Narrow" w:hAnsi="Arial Narrow"/>
          <w:lang w:val="en-US"/>
        </w:rPr>
      </w:pPr>
      <w:r w:rsidRPr="00817716">
        <w:rPr>
          <w:rStyle w:val="Refdenotaderodap"/>
          <w:rFonts w:ascii="Arial Narrow" w:hAnsi="Arial Narrow"/>
        </w:rPr>
        <w:footnoteRef/>
      </w:r>
      <w:r w:rsidRPr="00817716">
        <w:rPr>
          <w:rFonts w:ascii="Arial Narrow" w:hAnsi="Arial Narrow"/>
          <w:lang w:val="en-US"/>
        </w:rPr>
        <w:t xml:space="preserve"> A. Quinchon-Caudal (2013)</w:t>
      </w:r>
      <w:r>
        <w:rPr>
          <w:rFonts w:ascii="Arial Narrow" w:hAnsi="Arial Narrow"/>
          <w:lang w:val="en-US"/>
        </w:rPr>
        <w:t xml:space="preserve"> 88.</w:t>
      </w:r>
    </w:p>
  </w:footnote>
  <w:footnote w:id="104">
    <w:p w:rsidR="00392E0D" w:rsidRPr="00E43E32"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E43E32">
        <w:rPr>
          <w:rFonts w:ascii="Arial Narrow" w:hAnsi="Arial Narrow"/>
          <w:lang w:val="en-US"/>
        </w:rPr>
        <w:t xml:space="preserve"> R. Hilberg (1961) 29; W. L. Shirer (1995) I 472.</w:t>
      </w:r>
    </w:p>
  </w:footnote>
  <w:footnote w:id="105">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R. Hilberg (1961) 254. </w:t>
      </w:r>
      <w:r w:rsidRPr="000A754E">
        <w:rPr>
          <w:rFonts w:ascii="Arial Narrow" w:hAnsi="Arial Narrow"/>
        </w:rPr>
        <w:t xml:space="preserve">Numa anotação datada de Março de 1940, o historiador judeu que procedeu à narração detalhada das atrocidades cometidas durante a ocupação </w:t>
      </w:r>
      <w:r>
        <w:rPr>
          <w:rFonts w:ascii="Arial Narrow" w:hAnsi="Arial Narrow"/>
        </w:rPr>
        <w:t xml:space="preserve">nacional-socialista </w:t>
      </w:r>
      <w:r w:rsidRPr="000A754E">
        <w:rPr>
          <w:rFonts w:ascii="Arial Narrow" w:hAnsi="Arial Narrow"/>
        </w:rPr>
        <w:t>da Polónia mencionou um caso em que várias mulheres foram violadas por alemães e acrescentou que, embora se tratasse de uma «mancha racial», as vítimas tiveram medo de se queixar à Gestapo. Ver E. Ringelblum (1964) 49.</w:t>
      </w:r>
      <w:r>
        <w:rPr>
          <w:rFonts w:ascii="Arial Narrow" w:hAnsi="Arial Narrow"/>
        </w:rPr>
        <w:t xml:space="preserve"> E </w:t>
      </w:r>
      <w:r w:rsidRPr="003E305A">
        <w:rPr>
          <w:rFonts w:ascii="Arial Narrow" w:hAnsi="Arial Narrow"/>
        </w:rPr>
        <w:t xml:space="preserve">um testemunho reproduzido em E. Kogon (2002) 245 menciona a frequência com que jovens judias eram violentadas por SS no </w:t>
      </w:r>
      <w:r w:rsidRPr="003E305A">
        <w:rPr>
          <w:rFonts w:ascii="Arial Narrow" w:hAnsi="Arial Narrow"/>
          <w:i/>
        </w:rPr>
        <w:t>ghetto</w:t>
      </w:r>
      <w:r w:rsidRPr="003E305A">
        <w:rPr>
          <w:rFonts w:ascii="Arial Narrow" w:hAnsi="Arial Narrow"/>
        </w:rPr>
        <w:t xml:space="preserve"> de Riga em 1942-1943.</w:t>
      </w:r>
    </w:p>
  </w:footnote>
  <w:footnote w:id="106">
    <w:p w:rsidR="00392E0D" w:rsidRPr="00321E01" w:rsidRDefault="00392E0D" w:rsidP="00321E01">
      <w:pPr>
        <w:pStyle w:val="Textodenotaderodap"/>
        <w:rPr>
          <w:rFonts w:ascii="Arial Narrow" w:hAnsi="Arial Narrow"/>
          <w:lang w:val="en-US"/>
        </w:rPr>
      </w:pPr>
      <w:r w:rsidRPr="0020208C">
        <w:rPr>
          <w:rStyle w:val="Refdenotaderodap"/>
          <w:rFonts w:ascii="Arial Narrow" w:hAnsi="Arial Narrow"/>
        </w:rPr>
        <w:footnoteRef/>
      </w:r>
      <w:r w:rsidRPr="00321E01">
        <w:rPr>
          <w:rFonts w:ascii="Arial Narrow" w:hAnsi="Arial Narrow"/>
          <w:lang w:val="en-US"/>
        </w:rPr>
        <w:t xml:space="preserve"> F. MacLean (1998) 14, 61 e segs., 212-213.</w:t>
      </w:r>
    </w:p>
  </w:footnote>
  <w:footnote w:id="107">
    <w:p w:rsidR="00392E0D" w:rsidRPr="00321E01" w:rsidRDefault="00392E0D" w:rsidP="00321E01">
      <w:pPr>
        <w:pStyle w:val="Textodenotaderodap"/>
        <w:rPr>
          <w:rFonts w:ascii="Arial Narrow" w:hAnsi="Arial Narrow"/>
          <w:lang w:val="en-US"/>
        </w:rPr>
      </w:pPr>
      <w:r w:rsidRPr="00595F2E">
        <w:rPr>
          <w:rStyle w:val="Refdenotaderodap"/>
          <w:rFonts w:ascii="Arial Narrow" w:hAnsi="Arial Narrow"/>
        </w:rPr>
        <w:footnoteRef/>
      </w:r>
      <w:r w:rsidRPr="00321E01">
        <w:rPr>
          <w:rFonts w:ascii="Arial Narrow" w:hAnsi="Arial Narrow"/>
          <w:lang w:val="en-US"/>
        </w:rPr>
        <w:t xml:space="preserve"> Id., ibid., 143.</w:t>
      </w:r>
    </w:p>
  </w:footnote>
  <w:footnote w:id="108">
    <w:p w:rsidR="00392E0D" w:rsidRPr="002B3689" w:rsidRDefault="00392E0D" w:rsidP="00321E01">
      <w:pPr>
        <w:pStyle w:val="Textodenotaderodap"/>
        <w:rPr>
          <w:rFonts w:ascii="Arial Narrow" w:hAnsi="Arial Narrow"/>
        </w:rPr>
      </w:pPr>
      <w:r w:rsidRPr="000C32EA">
        <w:rPr>
          <w:rStyle w:val="Refdenotaderodap"/>
          <w:rFonts w:ascii="Arial Narrow" w:hAnsi="Arial Narrow"/>
        </w:rPr>
        <w:footnoteRef/>
      </w:r>
      <w:r>
        <w:t xml:space="preserve"> </w:t>
      </w:r>
      <w:r w:rsidRPr="000C32EA">
        <w:rPr>
          <w:rFonts w:ascii="Arial Narrow" w:hAnsi="Arial Narrow"/>
        </w:rPr>
        <w:t>Ci</w:t>
      </w:r>
      <w:r>
        <w:rPr>
          <w:rFonts w:ascii="Arial Narrow" w:hAnsi="Arial Narrow"/>
        </w:rPr>
        <w:t xml:space="preserve">tado em id., ibid., 62. Um artigo destinado aos Waffen-SS acerca do comportamento a ter para com as mulheres estrangeiras, publicado na revista </w:t>
      </w:r>
      <w:r w:rsidRPr="00203197">
        <w:rPr>
          <w:rFonts w:ascii="Arial Narrow" w:hAnsi="Arial Narrow"/>
          <w:i/>
        </w:rPr>
        <w:t>SS Leitheft</w:t>
      </w:r>
      <w:r>
        <w:rPr>
          <w:rFonts w:ascii="Arial Narrow" w:hAnsi="Arial Narrow"/>
          <w:i/>
        </w:rPr>
        <w:t>,</w:t>
      </w:r>
      <w:r>
        <w:rPr>
          <w:rFonts w:ascii="Arial Narrow" w:hAnsi="Arial Narrow"/>
        </w:rPr>
        <w:t xml:space="preserve"> depois de sublinhar que no novo Reich cada um não é senhor do seu corpo e do seu sangue, concluiu: «Quem corrompe o seu sangue arruina o seu povo». Antologiado em </w:t>
      </w:r>
      <w:r w:rsidRPr="00307BB6">
        <w:rPr>
          <w:rFonts w:ascii="Arial Narrow" w:hAnsi="Arial Narrow"/>
        </w:rPr>
        <w:t xml:space="preserve">K. Hammer (org. 1988-1994) I </w:t>
      </w:r>
      <w:r>
        <w:rPr>
          <w:rFonts w:ascii="Arial Narrow" w:hAnsi="Arial Narrow"/>
        </w:rPr>
        <w:t>4-</w:t>
      </w:r>
      <w:r w:rsidRPr="00307BB6">
        <w:rPr>
          <w:rFonts w:ascii="Arial Narrow" w:hAnsi="Arial Narrow"/>
        </w:rPr>
        <w:t>5.</w:t>
      </w:r>
      <w:r>
        <w:rPr>
          <w:rFonts w:ascii="Arial Narrow" w:hAnsi="Arial Narrow"/>
        </w:rPr>
        <w:t xml:space="preserve"> A frase citada encontra-se na pág. 5.</w:t>
      </w:r>
    </w:p>
  </w:footnote>
  <w:footnote w:id="109">
    <w:p w:rsidR="00392E0D" w:rsidRPr="00C146E3" w:rsidRDefault="00392E0D">
      <w:pPr>
        <w:pStyle w:val="Textodenotaderodap"/>
        <w:rPr>
          <w:rFonts w:ascii="Arial Narrow" w:hAnsi="Arial Narrow"/>
        </w:rPr>
      </w:pPr>
      <w:r w:rsidRPr="00C146E3">
        <w:rPr>
          <w:rStyle w:val="Refdenotaderodap"/>
          <w:rFonts w:ascii="Arial Narrow" w:hAnsi="Arial Narrow"/>
        </w:rPr>
        <w:footnoteRef/>
      </w:r>
      <w:r w:rsidRPr="00C146E3">
        <w:rPr>
          <w:rFonts w:ascii="Arial Narrow" w:hAnsi="Arial Narrow"/>
        </w:rPr>
        <w:t xml:space="preserve"> </w:t>
      </w:r>
      <w:r>
        <w:rPr>
          <w:rFonts w:ascii="Arial Narrow" w:hAnsi="Arial Narrow"/>
        </w:rPr>
        <w:t>M. Roseman (2012) 82-84, 104.</w:t>
      </w:r>
    </w:p>
  </w:footnote>
  <w:footnote w:id="11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da situação relativamente privilegiada em que se encontravam os judeus nos matrimónios mistos ver M. Chalmers (org. 2006 b) xiv-xv, 1, 4, 101, 150, </w:t>
      </w:r>
      <w:r w:rsidRPr="004D3369">
        <w:rPr>
          <w:rFonts w:ascii="Arial Narrow" w:hAnsi="Arial Narrow"/>
        </w:rPr>
        <w:t>177, 178</w:t>
      </w:r>
      <w:r>
        <w:rPr>
          <w:rFonts w:ascii="Arial Narrow" w:hAnsi="Arial Narrow"/>
        </w:rPr>
        <w:t xml:space="preserve">, </w:t>
      </w:r>
      <w:r w:rsidRPr="003E305A">
        <w:rPr>
          <w:rFonts w:ascii="Arial Narrow" w:hAnsi="Arial Narrow"/>
        </w:rPr>
        <w:t>278 e 334.</w:t>
      </w:r>
    </w:p>
  </w:footnote>
  <w:footnote w:id="111">
    <w:p w:rsidR="00392E0D" w:rsidRPr="00814579" w:rsidRDefault="00392E0D" w:rsidP="00321E01">
      <w:pPr>
        <w:pStyle w:val="Textodenotaderodap"/>
        <w:rPr>
          <w:rFonts w:ascii="Arial Narrow" w:hAnsi="Arial Narrow"/>
        </w:rPr>
      </w:pPr>
      <w:r w:rsidRPr="003E305A">
        <w:rPr>
          <w:rStyle w:val="Refdenotaderodap"/>
          <w:rFonts w:ascii="Arial Narrow" w:hAnsi="Arial Narrow"/>
        </w:rPr>
        <w:footnoteRef/>
      </w:r>
      <w:r w:rsidRPr="00814579">
        <w:rPr>
          <w:rFonts w:ascii="Arial Narrow" w:hAnsi="Arial Narrow"/>
        </w:rPr>
        <w:t xml:space="preserve"> Id., ibid., 606 n. 6.</w:t>
      </w:r>
      <w:r>
        <w:rPr>
          <w:rFonts w:ascii="Arial Narrow" w:hAnsi="Arial Narrow"/>
        </w:rPr>
        <w:t xml:space="preserve"> </w:t>
      </w:r>
      <w:r w:rsidRPr="005717D2">
        <w:rPr>
          <w:rFonts w:ascii="Arial Narrow" w:hAnsi="Arial Narrow"/>
        </w:rPr>
        <w:t>S. Friedländer (2008) 633-634 considerou que se trata de uma lenda, mas este autor subestimou invariavelmente o significado das manifestações populares de simpatia para com os judeus.</w:t>
      </w:r>
    </w:p>
  </w:footnote>
  <w:footnote w:id="112">
    <w:p w:rsidR="00392E0D" w:rsidRPr="00C957CF" w:rsidRDefault="00392E0D">
      <w:pPr>
        <w:pStyle w:val="Textodenotaderodap"/>
        <w:rPr>
          <w:rFonts w:ascii="Arial Narrow" w:hAnsi="Arial Narrow"/>
        </w:rPr>
      </w:pPr>
      <w:r w:rsidRPr="00C957CF">
        <w:rPr>
          <w:rStyle w:val="Refdenotaderodap"/>
          <w:rFonts w:ascii="Arial Narrow" w:hAnsi="Arial Narrow"/>
        </w:rPr>
        <w:footnoteRef/>
      </w:r>
      <w:r w:rsidRPr="00C957CF">
        <w:rPr>
          <w:rFonts w:ascii="Arial Narrow" w:hAnsi="Arial Narrow"/>
        </w:rPr>
        <w:t xml:space="preserve"> G. MacDonogh (2009)</w:t>
      </w:r>
      <w:r>
        <w:rPr>
          <w:rFonts w:ascii="Arial Narrow" w:hAnsi="Arial Narrow"/>
        </w:rPr>
        <w:t xml:space="preserve"> 332. Compare-se com a n. 19</w:t>
      </w:r>
      <w:r w:rsidR="00075F53">
        <w:rPr>
          <w:rFonts w:ascii="Arial Narrow" w:hAnsi="Arial Narrow"/>
        </w:rPr>
        <w:t>4</w:t>
      </w:r>
      <w:r>
        <w:rPr>
          <w:rFonts w:ascii="Arial Narrow" w:hAnsi="Arial Narrow"/>
        </w:rPr>
        <w:t xml:space="preserve"> do capítulo 3 desta Parte 4.</w:t>
      </w:r>
    </w:p>
  </w:footnote>
  <w:footnote w:id="113">
    <w:p w:rsidR="00392E0D" w:rsidRPr="00B07096" w:rsidRDefault="00392E0D">
      <w:pPr>
        <w:pStyle w:val="Textodenotaderodap"/>
        <w:rPr>
          <w:rFonts w:ascii="Arial Narrow" w:hAnsi="Arial Narrow"/>
        </w:rPr>
      </w:pPr>
      <w:r w:rsidRPr="00B07096">
        <w:rPr>
          <w:rStyle w:val="Refdenotaderodap"/>
          <w:rFonts w:ascii="Arial Narrow" w:hAnsi="Arial Narrow"/>
        </w:rPr>
        <w:footnoteRef/>
      </w:r>
      <w:r w:rsidRPr="00B07096">
        <w:rPr>
          <w:rFonts w:ascii="Arial Narrow" w:hAnsi="Arial Narrow"/>
        </w:rPr>
        <w:t xml:space="preserve"> </w:t>
      </w:r>
      <w:r>
        <w:rPr>
          <w:rFonts w:ascii="Arial Narrow" w:hAnsi="Arial Narrow"/>
        </w:rPr>
        <w:t xml:space="preserve">Citado em </w:t>
      </w:r>
      <w:r w:rsidRPr="002338C3">
        <w:rPr>
          <w:rFonts w:ascii="Arial Narrow" w:hAnsi="Arial Narrow"/>
        </w:rPr>
        <w:t>S. Friedländer (2008) 420.</w:t>
      </w:r>
    </w:p>
  </w:footnote>
  <w:footnote w:id="11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E. Conte et al. (1995) 77.</w:t>
      </w:r>
    </w:p>
  </w:footnote>
  <w:footnote w:id="115">
    <w:p w:rsidR="00392E0D" w:rsidRPr="009D5F34"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112, 251.</w:t>
      </w:r>
      <w:r>
        <w:rPr>
          <w:rFonts w:ascii="Arial Narrow" w:hAnsi="Arial Narrow"/>
        </w:rPr>
        <w:t xml:space="preserve"> Acerca do apoio prestado por Himmler a Clauss mesmo depois de ele ter sido excluído do NSDAP ver </w:t>
      </w:r>
      <w:r w:rsidRPr="009D5F34">
        <w:rPr>
          <w:rFonts w:ascii="Arial Narrow" w:hAnsi="Arial Narrow"/>
        </w:rPr>
        <w:t>A. Quinchon-Caudal (2013)</w:t>
      </w:r>
      <w:r>
        <w:rPr>
          <w:rFonts w:ascii="Arial Narrow" w:hAnsi="Arial Narrow"/>
        </w:rPr>
        <w:t xml:space="preserve"> 144.</w:t>
      </w:r>
    </w:p>
  </w:footnote>
  <w:footnote w:id="116">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P. F. Drucker (1943) 152 observ</w:t>
      </w:r>
      <w:r>
        <w:rPr>
          <w:rFonts w:ascii="Arial Narrow" w:hAnsi="Arial Narrow"/>
        </w:rPr>
        <w:t>ou</w:t>
      </w:r>
      <w:r w:rsidRPr="003E305A">
        <w:rPr>
          <w:rFonts w:ascii="Arial Narrow" w:hAnsi="Arial Narrow"/>
        </w:rPr>
        <w:t xml:space="preserve"> «a contradição entre a alegada superioridade biológica do homem nórdico e a simultânea superioridade biológica do sangue judaico, que faz com que um único avô judaico polua irremediavelmente o sangue de três avós nórdicos».</w:t>
      </w:r>
    </w:p>
  </w:footnote>
  <w:footnote w:id="117">
    <w:p w:rsidR="00392E0D" w:rsidRPr="00B2463D"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A. Hitler (1995) 224 e segs.</w:t>
      </w:r>
    </w:p>
  </w:footnote>
  <w:footnote w:id="118">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E118E5">
        <w:rPr>
          <w:rFonts w:ascii="Arial Narrow" w:hAnsi="Arial Narrow"/>
          <w:lang w:val="de-DE"/>
        </w:rPr>
        <w:t xml:space="preserve"> N. Cohn (1992) 169; L. Poliakov (1971) 327</w:t>
      </w:r>
      <w:r>
        <w:rPr>
          <w:rFonts w:ascii="Arial Narrow" w:hAnsi="Arial Narrow"/>
          <w:lang w:val="de-DE"/>
        </w:rPr>
        <w:t>; M. Roseman (2012) 12; A. Rosenberg [s. d. 2] 401</w:t>
      </w:r>
      <w:r w:rsidRPr="00E118E5">
        <w:rPr>
          <w:rFonts w:ascii="Arial Narrow" w:hAnsi="Arial Narrow"/>
          <w:lang w:val="de-DE"/>
        </w:rPr>
        <w:t xml:space="preserve">. </w:t>
      </w:r>
      <w:r w:rsidRPr="003E305A">
        <w:rPr>
          <w:rFonts w:ascii="Arial Narrow" w:hAnsi="Arial Narrow"/>
        </w:rPr>
        <w:t xml:space="preserve">Leio em R. Hilberg (1961) 11 e E. Nolte (1965) 289 que em 1895, em pleno Reichstag, o deputado anti-semita Hermann Ahlwardt chamara aos judeus </w:t>
      </w:r>
      <w:r w:rsidRPr="003E305A">
        <w:rPr>
          <w:rFonts w:ascii="Arial Narrow" w:hAnsi="Arial Narrow"/>
          <w:i/>
        </w:rPr>
        <w:t>«cholera bacilli»</w:t>
      </w:r>
      <w:r w:rsidRPr="003E305A">
        <w:rPr>
          <w:rFonts w:ascii="Arial Narrow" w:hAnsi="Arial Narrow"/>
        </w:rPr>
        <w:t>. Acerca do Judeu como bacilo ver também E. K. Bramstedt (1945) 171. Dando continuidade aos mesmos pavores, encontra-se hoje na extrema-direita radical quem atribua a um cientista norte-americano de origem hebraica a responsabilidade pela difusão mundial do vírus do sida. Ver F. Germinario (2001) 29.</w:t>
      </w:r>
    </w:p>
  </w:footnote>
  <w:footnote w:id="11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t>
      </w:r>
      <w:r w:rsidRPr="00163EC6">
        <w:rPr>
          <w:rFonts w:ascii="Arial Narrow" w:hAnsi="Arial Narrow"/>
        </w:rPr>
        <w:t>N. Cohn (1992) 178</w:t>
      </w:r>
      <w:r>
        <w:rPr>
          <w:rFonts w:ascii="Arial Narrow" w:hAnsi="Arial Narrow"/>
        </w:rPr>
        <w:t xml:space="preserve">, </w:t>
      </w:r>
      <w:r w:rsidRPr="00274082">
        <w:rPr>
          <w:rFonts w:ascii="Arial Narrow" w:hAnsi="Arial Narrow"/>
        </w:rPr>
        <w:t xml:space="preserve">J. C. Fest (1974) 191, </w:t>
      </w:r>
      <w:r>
        <w:rPr>
          <w:rFonts w:ascii="Arial Narrow" w:hAnsi="Arial Narrow"/>
        </w:rPr>
        <w:t xml:space="preserve">J. Noakes et al. (orgs. 2008-2010) I 13, </w:t>
      </w:r>
      <w:r w:rsidRPr="003E305A">
        <w:rPr>
          <w:rFonts w:ascii="Arial Narrow" w:hAnsi="Arial Narrow"/>
        </w:rPr>
        <w:t>E. Nolte (1989) 92-93 e D. C. Watt (1995) xxxviii.</w:t>
      </w:r>
      <w:r>
        <w:rPr>
          <w:rFonts w:ascii="Arial Narrow" w:hAnsi="Arial Narrow"/>
        </w:rPr>
        <w:t xml:space="preserve"> Hitler voltou a usar a expressão num discurso em Maio de 1923, como se lê em </w:t>
      </w:r>
      <w:r w:rsidRPr="00A45AD9">
        <w:rPr>
          <w:rFonts w:ascii="Arial Narrow" w:hAnsi="Arial Narrow"/>
        </w:rPr>
        <w:t>Joachim Fest, op. cit., 359.</w:t>
      </w:r>
    </w:p>
  </w:footnote>
  <w:footnote w:id="120">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F. L. Carsten (1967) 98.</w:t>
      </w:r>
    </w:p>
  </w:footnote>
  <w:footnote w:id="121">
    <w:p w:rsidR="00392E0D" w:rsidRPr="003A3D08" w:rsidRDefault="00392E0D" w:rsidP="007F7C55">
      <w:pPr>
        <w:pStyle w:val="Textodenotaderodap"/>
        <w:rPr>
          <w:rFonts w:ascii="Arial Narrow" w:hAnsi="Arial Narrow"/>
        </w:rPr>
      </w:pPr>
      <w:r w:rsidRPr="003E305A">
        <w:rPr>
          <w:rStyle w:val="Refdenotaderodap"/>
          <w:rFonts w:ascii="Arial Narrow" w:hAnsi="Arial Narrow"/>
        </w:rPr>
        <w:footnoteRef/>
      </w:r>
      <w:r w:rsidRPr="003A3D08">
        <w:rPr>
          <w:rFonts w:ascii="Arial Narrow" w:hAnsi="Arial Narrow"/>
        </w:rPr>
        <w:t xml:space="preserve"> A. Hitler (1995) 54, 59.</w:t>
      </w:r>
      <w:r>
        <w:rPr>
          <w:rFonts w:ascii="Arial Narrow" w:hAnsi="Arial Narrow"/>
        </w:rPr>
        <w:t xml:space="preserve"> Segundo </w:t>
      </w:r>
      <w:r w:rsidRPr="007F7C55">
        <w:rPr>
          <w:rFonts w:ascii="Arial Narrow" w:hAnsi="Arial Narrow"/>
        </w:rPr>
        <w:t>J. C. Fest (1974) 359, em Julho de 1924 Hitler havia classificado os judeus como uma «peste».</w:t>
      </w:r>
    </w:p>
  </w:footnote>
  <w:footnote w:id="122">
    <w:p w:rsidR="00392E0D" w:rsidRPr="00AF0276" w:rsidRDefault="00392E0D">
      <w:pPr>
        <w:pStyle w:val="Textodenotaderodap"/>
        <w:rPr>
          <w:rFonts w:ascii="Arial Narrow" w:hAnsi="Arial Narrow"/>
        </w:rPr>
      </w:pPr>
      <w:r w:rsidRPr="00AF0276">
        <w:rPr>
          <w:rStyle w:val="Refdenotaderodap"/>
          <w:rFonts w:ascii="Arial Narrow" w:hAnsi="Arial Narrow"/>
        </w:rPr>
        <w:footnoteRef/>
      </w:r>
      <w:r w:rsidRPr="00AF0276">
        <w:rPr>
          <w:rFonts w:ascii="Arial Narrow" w:hAnsi="Arial Narrow"/>
        </w:rPr>
        <w:t xml:space="preserve"> </w:t>
      </w:r>
      <w:r>
        <w:rPr>
          <w:rFonts w:ascii="Arial Narrow" w:hAnsi="Arial Narrow"/>
        </w:rPr>
        <w:t xml:space="preserve">Citado em M. Gilbert (2011 b) I 246 e J. Noakes et al. (orgs. 2008-2010) III 505. Ver também </w:t>
      </w:r>
      <w:r w:rsidRPr="000061E2">
        <w:rPr>
          <w:rFonts w:ascii="Arial Narrow" w:hAnsi="Arial Narrow"/>
        </w:rPr>
        <w:t>S. Friedländer (2008) 317.</w:t>
      </w:r>
    </w:p>
  </w:footnote>
  <w:footnote w:id="123">
    <w:p w:rsidR="00392E0D" w:rsidRPr="00BF5EEE" w:rsidRDefault="00392E0D" w:rsidP="006D305B">
      <w:pPr>
        <w:pStyle w:val="Textodenotaderodap"/>
        <w:rPr>
          <w:rFonts w:ascii="Arial Narrow" w:hAnsi="Arial Narrow"/>
        </w:rPr>
      </w:pPr>
      <w:r w:rsidRPr="00BF5EEE">
        <w:rPr>
          <w:rStyle w:val="Refdenotaderodap"/>
          <w:rFonts w:ascii="Arial Narrow" w:hAnsi="Arial Narrow"/>
        </w:rPr>
        <w:footnoteRef/>
      </w:r>
      <w:r w:rsidRPr="00BF5EEE">
        <w:rPr>
          <w:rFonts w:ascii="Arial Narrow" w:hAnsi="Arial Narrow"/>
        </w:rPr>
        <w:t xml:space="preserve"> Citado em N. Cohn (1992)</w:t>
      </w:r>
      <w:r>
        <w:rPr>
          <w:rFonts w:ascii="Arial Narrow" w:hAnsi="Arial Narrow"/>
        </w:rPr>
        <w:t xml:space="preserve"> 189.</w:t>
      </w:r>
    </w:p>
  </w:footnote>
  <w:footnote w:id="124">
    <w:p w:rsidR="00392E0D" w:rsidRPr="005E5B3E" w:rsidRDefault="00392E0D" w:rsidP="00321E01">
      <w:pPr>
        <w:pStyle w:val="Textodenotaderodap"/>
        <w:rPr>
          <w:rFonts w:ascii="Arial Narrow" w:hAnsi="Arial Narrow"/>
        </w:rPr>
      </w:pPr>
      <w:r w:rsidRPr="003E305A">
        <w:rPr>
          <w:rStyle w:val="Refdenotaderodap"/>
          <w:rFonts w:ascii="Arial Narrow" w:hAnsi="Arial Narrow"/>
        </w:rPr>
        <w:footnoteRef/>
      </w:r>
      <w:r w:rsidRPr="005E5B3E">
        <w:rPr>
          <w:rFonts w:ascii="Arial Narrow" w:hAnsi="Arial Narrow"/>
        </w:rPr>
        <w:t xml:space="preserve"> Em </w:t>
      </w:r>
      <w:r w:rsidRPr="005E5B3E">
        <w:rPr>
          <w:rFonts w:ascii="Arial Narrow" w:hAnsi="Arial Narrow"/>
          <w:iCs/>
        </w:rPr>
        <w:t>22 de Fevereiro de 1942</w:t>
      </w:r>
      <w:r>
        <w:rPr>
          <w:rFonts w:ascii="Arial Narrow" w:hAnsi="Arial Narrow"/>
          <w:iCs/>
        </w:rPr>
        <w:t xml:space="preserve">, </w:t>
      </w:r>
      <w:r w:rsidRPr="005E5B3E">
        <w:rPr>
          <w:rFonts w:ascii="Arial Narrow" w:hAnsi="Arial Narrow"/>
        </w:rPr>
        <w:t xml:space="preserve">em </w:t>
      </w:r>
      <w:r w:rsidRPr="005E5B3E">
        <w:rPr>
          <w:rFonts w:ascii="Arial Narrow" w:hAnsi="Arial Narrow"/>
          <w:bCs/>
          <w:i/>
          <w:iCs/>
        </w:rPr>
        <w:t>Hitler’s Table Talk</w:t>
      </w:r>
      <w:r w:rsidRPr="005E5B3E">
        <w:rPr>
          <w:rFonts w:ascii="Arial Narrow" w:hAnsi="Arial Narrow"/>
          <w:iCs/>
        </w:rPr>
        <w:t xml:space="preserve">..., </w:t>
      </w:r>
      <w:r>
        <w:rPr>
          <w:rFonts w:ascii="Arial Narrow" w:hAnsi="Arial Narrow"/>
          <w:iCs/>
        </w:rPr>
        <w:t>332.</w:t>
      </w:r>
    </w:p>
  </w:footnote>
  <w:footnote w:id="125">
    <w:p w:rsidR="00392E0D" w:rsidRPr="00C3639D" w:rsidRDefault="00392E0D" w:rsidP="007F7C55">
      <w:pPr>
        <w:pStyle w:val="Textodenotaderodap"/>
        <w:rPr>
          <w:rFonts w:ascii="Arial Narrow" w:hAnsi="Arial Narrow"/>
        </w:rPr>
      </w:pPr>
      <w:r w:rsidRPr="00C3639D">
        <w:rPr>
          <w:rStyle w:val="Refdenotaderodap"/>
          <w:rFonts w:ascii="Arial Narrow" w:hAnsi="Arial Narrow"/>
        </w:rPr>
        <w:footnoteRef/>
      </w:r>
      <w:r w:rsidRPr="00C3639D">
        <w:rPr>
          <w:rFonts w:ascii="Arial Narrow" w:hAnsi="Arial Narrow"/>
        </w:rPr>
        <w:t xml:space="preserve"> </w:t>
      </w:r>
      <w:r>
        <w:rPr>
          <w:rFonts w:ascii="Arial Narrow" w:hAnsi="Arial Narrow"/>
        </w:rPr>
        <w:t xml:space="preserve">Citado em </w:t>
      </w:r>
      <w:r w:rsidRPr="00C3639D">
        <w:rPr>
          <w:rFonts w:ascii="Arial Narrow" w:hAnsi="Arial Narrow"/>
        </w:rPr>
        <w:t>S. Friedländer (2008)</w:t>
      </w:r>
      <w:r>
        <w:rPr>
          <w:rFonts w:ascii="Arial Narrow" w:hAnsi="Arial Narrow"/>
        </w:rPr>
        <w:t xml:space="preserve"> 507.</w:t>
      </w:r>
    </w:p>
  </w:footnote>
  <w:footnote w:id="126">
    <w:p w:rsidR="00392E0D" w:rsidRPr="00E6569B"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A45AD9">
        <w:rPr>
          <w:rFonts w:ascii="Arial Narrow" w:hAnsi="Arial Narrow"/>
        </w:rPr>
        <w:t xml:space="preserve"> M. Gilbert (2011 b) II 490; R. Hilberg (1961) 524. </w:t>
      </w:r>
      <w:r w:rsidRPr="00E6569B">
        <w:rPr>
          <w:rFonts w:ascii="Arial Narrow" w:hAnsi="Arial Narrow"/>
        </w:rPr>
        <w:t>No entanto, S. Friedländer (2008) 716 citou como «micróbios da tuberculose».</w:t>
      </w:r>
    </w:p>
  </w:footnote>
  <w:footnote w:id="127">
    <w:p w:rsidR="00392E0D" w:rsidRPr="00B2463D" w:rsidRDefault="00392E0D" w:rsidP="00E82CEA">
      <w:pPr>
        <w:pStyle w:val="Textodenotaderodap"/>
        <w:rPr>
          <w:rFonts w:ascii="Arial Narrow" w:hAnsi="Arial Narrow"/>
          <w:lang w:val="de-DE"/>
        </w:rPr>
      </w:pPr>
      <w:r w:rsidRPr="003E305A">
        <w:rPr>
          <w:rStyle w:val="Refdenotaderodap"/>
          <w:rFonts w:ascii="Arial Narrow" w:hAnsi="Arial Narrow"/>
        </w:rPr>
        <w:footnoteRef/>
      </w:r>
      <w:r w:rsidRPr="00C3639D">
        <w:rPr>
          <w:rFonts w:ascii="Arial Narrow" w:hAnsi="Arial Narrow"/>
        </w:rPr>
        <w:t xml:space="preserve"> Joseph Goebbels no seu romance </w:t>
      </w:r>
      <w:r w:rsidRPr="00C3639D">
        <w:rPr>
          <w:rFonts w:ascii="Arial Narrow" w:hAnsi="Arial Narrow"/>
          <w:i/>
        </w:rPr>
        <w:t xml:space="preserve">Michael. </w:t>
      </w:r>
      <w:r w:rsidRPr="00B2463D">
        <w:rPr>
          <w:rFonts w:ascii="Arial Narrow" w:hAnsi="Arial Narrow"/>
          <w:i/>
          <w:lang w:val="de-DE"/>
        </w:rPr>
        <w:t>Ein deutsches Schicksal in Tagebuchblättern,</w:t>
      </w:r>
      <w:r w:rsidRPr="00B2463D">
        <w:rPr>
          <w:rFonts w:ascii="Arial Narrow" w:hAnsi="Arial Narrow"/>
          <w:lang w:val="de-DE"/>
        </w:rPr>
        <w:t xml:space="preserve"> antologiado em R. Griffin (org. 1995) 120.</w:t>
      </w:r>
    </w:p>
  </w:footnote>
  <w:footnote w:id="128">
    <w:p w:rsidR="00392E0D" w:rsidRPr="003A3D08" w:rsidRDefault="00392E0D" w:rsidP="00E82CEA">
      <w:pPr>
        <w:pStyle w:val="Textodenotaderodap"/>
        <w:rPr>
          <w:rFonts w:ascii="Arial Narrow" w:hAnsi="Arial Narrow"/>
        </w:rPr>
      </w:pPr>
      <w:r w:rsidRPr="007B54DE">
        <w:rPr>
          <w:rStyle w:val="Refdenotaderodap"/>
          <w:rFonts w:ascii="Arial Narrow" w:hAnsi="Arial Narrow"/>
        </w:rPr>
        <w:footnoteRef/>
      </w:r>
      <w:r w:rsidRPr="003A3D08">
        <w:rPr>
          <w:rFonts w:ascii="Arial Narrow" w:hAnsi="Arial Narrow"/>
        </w:rPr>
        <w:t xml:space="preserve"> Citado em M. Gilbert (2011 b) I 362.</w:t>
      </w:r>
    </w:p>
  </w:footnote>
  <w:footnote w:id="129">
    <w:p w:rsidR="00392E0D" w:rsidRPr="00B0033E" w:rsidRDefault="00392E0D">
      <w:pPr>
        <w:pStyle w:val="Textodenotaderodap"/>
        <w:rPr>
          <w:rFonts w:ascii="Arial Narrow" w:hAnsi="Arial Narrow"/>
        </w:rPr>
      </w:pPr>
      <w:r w:rsidRPr="00B0033E">
        <w:rPr>
          <w:rStyle w:val="Refdenotaderodap"/>
          <w:rFonts w:ascii="Arial Narrow" w:hAnsi="Arial Narrow"/>
        </w:rPr>
        <w:footnoteRef/>
      </w:r>
      <w:r w:rsidRPr="00B0033E">
        <w:rPr>
          <w:rFonts w:ascii="Arial Narrow" w:hAnsi="Arial Narrow"/>
        </w:rPr>
        <w:t xml:space="preserve"> </w:t>
      </w:r>
      <w:r>
        <w:rPr>
          <w:rFonts w:ascii="Arial Narrow" w:hAnsi="Arial Narrow"/>
        </w:rPr>
        <w:t xml:space="preserve">Citado em </w:t>
      </w:r>
      <w:r w:rsidRPr="003A3D08">
        <w:rPr>
          <w:rFonts w:ascii="Arial Narrow" w:hAnsi="Arial Narrow"/>
        </w:rPr>
        <w:t>S. Friedländer (2008) 505.</w:t>
      </w:r>
    </w:p>
  </w:footnote>
  <w:footnote w:id="130">
    <w:p w:rsidR="00392E0D" w:rsidRPr="00C37957" w:rsidRDefault="00392E0D">
      <w:pPr>
        <w:pStyle w:val="Textodenotaderodap"/>
        <w:rPr>
          <w:rFonts w:ascii="Arial Narrow" w:hAnsi="Arial Narrow"/>
        </w:rPr>
      </w:pPr>
      <w:r w:rsidRPr="00C37957">
        <w:rPr>
          <w:rStyle w:val="Refdenotaderodap"/>
          <w:rFonts w:ascii="Arial Narrow" w:hAnsi="Arial Narrow"/>
        </w:rPr>
        <w:footnoteRef/>
      </w:r>
      <w:r w:rsidRPr="00C37957">
        <w:rPr>
          <w:rFonts w:ascii="Arial Narrow" w:hAnsi="Arial Narrow"/>
        </w:rPr>
        <w:t xml:space="preserve"> </w:t>
      </w:r>
      <w:r>
        <w:rPr>
          <w:rFonts w:ascii="Arial Narrow" w:hAnsi="Arial Narrow"/>
        </w:rPr>
        <w:t xml:space="preserve">Citado em J. Noakes et al. (orgs. 2008-2010) IV 491. Numa curiosa inversão das metáforas, na página do seu diário correspondente a 9 de Maio de 1943 Goebbels registou que dissera ao Führer que «as bactérias anti-semitas estão naturalmente presentes em todo o público europeu; precisamos apenas de torná-las virulentas». Ver </w:t>
      </w:r>
      <w:r w:rsidRPr="00E6569B">
        <w:rPr>
          <w:rFonts w:ascii="Arial Narrow" w:hAnsi="Arial Narrow"/>
        </w:rPr>
        <w:t>S. Friedländer (2008) 704.</w:t>
      </w:r>
    </w:p>
  </w:footnote>
  <w:footnote w:id="131">
    <w:p w:rsidR="00392E0D" w:rsidRPr="00814579" w:rsidRDefault="00392E0D" w:rsidP="00A464C1">
      <w:pPr>
        <w:pStyle w:val="Textodenotaderodap"/>
        <w:rPr>
          <w:rFonts w:ascii="Arial Narrow" w:hAnsi="Arial Narrow"/>
        </w:rPr>
      </w:pPr>
      <w:r w:rsidRPr="001058C6">
        <w:rPr>
          <w:rStyle w:val="Refdenotaderodap"/>
          <w:rFonts w:ascii="Arial Narrow" w:hAnsi="Arial Narrow"/>
        </w:rPr>
        <w:footnoteRef/>
      </w:r>
      <w:r w:rsidRPr="00814579">
        <w:rPr>
          <w:rFonts w:ascii="Arial Narrow" w:hAnsi="Arial Narrow"/>
        </w:rPr>
        <w:t xml:space="preserve"> Citado em </w:t>
      </w:r>
      <w:r w:rsidRPr="001058C6">
        <w:rPr>
          <w:rFonts w:ascii="Arial Narrow" w:hAnsi="Arial Narrow"/>
        </w:rPr>
        <w:t>N. Cohn (1992)</w:t>
      </w:r>
      <w:r>
        <w:rPr>
          <w:rFonts w:ascii="Arial Narrow" w:hAnsi="Arial Narrow"/>
        </w:rPr>
        <w:t xml:space="preserve"> 202, 203. Neste contexto é importante saber que, segundo </w:t>
      </w:r>
      <w:r w:rsidRPr="00645EA5">
        <w:rPr>
          <w:rFonts w:ascii="Arial Narrow" w:hAnsi="Arial Narrow"/>
        </w:rPr>
        <w:t>S. Friedländer (2008)</w:t>
      </w:r>
      <w:r>
        <w:rPr>
          <w:rFonts w:ascii="Arial Narrow" w:hAnsi="Arial Narrow"/>
        </w:rPr>
        <w:t xml:space="preserve"> 98, </w:t>
      </w:r>
      <w:r w:rsidRPr="00645EA5">
        <w:rPr>
          <w:rFonts w:ascii="Arial Narrow" w:hAnsi="Arial Narrow"/>
        </w:rPr>
        <w:t xml:space="preserve">um decreto do Ministério do Interior </w:t>
      </w:r>
      <w:r>
        <w:rPr>
          <w:rFonts w:ascii="Arial Narrow" w:hAnsi="Arial Narrow"/>
        </w:rPr>
        <w:t xml:space="preserve">do Reich </w:t>
      </w:r>
      <w:r w:rsidRPr="00645EA5">
        <w:rPr>
          <w:rFonts w:ascii="Arial Narrow" w:hAnsi="Arial Narrow"/>
        </w:rPr>
        <w:t>de 17 de Fevereiro de 1940 autorizou que mulheres judias recebessem instrução para técnicas médicas, profissão que exerceriam exclusivamente em instituições judaicas, mas ficavam proibidas de manipular nos laboratórios culturas de bactérias vivas</w:t>
      </w:r>
      <w:r>
        <w:rPr>
          <w:rFonts w:ascii="Arial Narrow" w:hAnsi="Arial Narrow"/>
        </w:rPr>
        <w:t>.</w:t>
      </w:r>
    </w:p>
  </w:footnote>
  <w:footnote w:id="13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Foi o que sucedeu nomeadamente no filme </w:t>
      </w:r>
      <w:r w:rsidRPr="003E305A">
        <w:rPr>
          <w:rFonts w:ascii="Arial Narrow" w:hAnsi="Arial Narrow"/>
          <w:i/>
        </w:rPr>
        <w:t>Der ewige Jude,</w:t>
      </w:r>
      <w:r w:rsidRPr="003E305A">
        <w:rPr>
          <w:rFonts w:ascii="Arial Narrow" w:hAnsi="Arial Narrow"/>
        </w:rPr>
        <w:t xml:space="preserve"> realizado em 1940 por Fritz Hippler. A este respeito consultar P. Cadars et al. (1972) 202</w:t>
      </w:r>
      <w:r>
        <w:rPr>
          <w:rFonts w:ascii="Arial Narrow" w:hAnsi="Arial Narrow"/>
        </w:rPr>
        <w:t>,</w:t>
      </w:r>
      <w:r w:rsidRPr="003E305A">
        <w:rPr>
          <w:rFonts w:ascii="Arial Narrow" w:hAnsi="Arial Narrow"/>
        </w:rPr>
        <w:t xml:space="preserve"> 342</w:t>
      </w:r>
      <w:r>
        <w:rPr>
          <w:rFonts w:ascii="Arial Narrow" w:hAnsi="Arial Narrow"/>
        </w:rPr>
        <w:t xml:space="preserve"> e </w:t>
      </w:r>
      <w:r w:rsidRPr="00B5025A">
        <w:rPr>
          <w:rFonts w:ascii="Arial Narrow" w:hAnsi="Arial Narrow"/>
        </w:rPr>
        <w:t>S. Friedländer (2008) 173</w:t>
      </w:r>
      <w:r w:rsidRPr="003E305A">
        <w:rPr>
          <w:rFonts w:ascii="Arial Narrow" w:hAnsi="Arial Narrow"/>
        </w:rPr>
        <w:t>.</w:t>
      </w:r>
    </w:p>
  </w:footnote>
  <w:footnote w:id="133">
    <w:p w:rsidR="00392E0D" w:rsidRPr="00AF2A23" w:rsidRDefault="00392E0D" w:rsidP="00321E01">
      <w:pPr>
        <w:pStyle w:val="Textodenotaderodap"/>
        <w:rPr>
          <w:rFonts w:ascii="Arial Narrow" w:hAnsi="Arial Narrow"/>
        </w:rPr>
      </w:pPr>
      <w:r w:rsidRPr="00AF2A23">
        <w:rPr>
          <w:rStyle w:val="Refdenotaderodap"/>
          <w:rFonts w:ascii="Arial Narrow" w:hAnsi="Arial Narrow"/>
        </w:rPr>
        <w:footnoteRef/>
      </w:r>
      <w:r w:rsidRPr="00AF2A23">
        <w:rPr>
          <w:rFonts w:ascii="Arial Narrow" w:hAnsi="Arial Narrow"/>
        </w:rPr>
        <w:t xml:space="preserve"> Citado em N. Cohn (1992)</w:t>
      </w:r>
      <w:r>
        <w:rPr>
          <w:rFonts w:ascii="Arial Narrow" w:hAnsi="Arial Narrow"/>
        </w:rPr>
        <w:t xml:space="preserve"> </w:t>
      </w:r>
      <w:r w:rsidRPr="00AF2A23">
        <w:rPr>
          <w:rFonts w:ascii="Arial Narrow" w:hAnsi="Arial Narrow"/>
        </w:rPr>
        <w:t>205</w:t>
      </w:r>
      <w:r>
        <w:rPr>
          <w:rFonts w:ascii="Arial Narrow" w:hAnsi="Arial Narrow"/>
        </w:rPr>
        <w:t>.</w:t>
      </w:r>
    </w:p>
  </w:footnote>
  <w:footnote w:id="134">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R. Hilberg (1961) 656.</w:t>
      </w:r>
    </w:p>
  </w:footnote>
  <w:footnote w:id="13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Em Varsóvia, em 1941, foram afixados cartazes representando um judeu com enormes barbas onde passeava um piolho, e uma legenda preveni</w:t>
      </w:r>
      <w:r>
        <w:rPr>
          <w:rFonts w:ascii="Arial Narrow" w:hAnsi="Arial Narrow"/>
        </w:rPr>
        <w:t>a</w:t>
      </w:r>
      <w:r w:rsidRPr="003E305A">
        <w:rPr>
          <w:rFonts w:ascii="Arial Narrow" w:hAnsi="Arial Narrow"/>
        </w:rPr>
        <w:t xml:space="preserve">: «Atrás do judeu rasteja o tifo». Ao mesmo tempo, os cinemas projectavam filmes de propaganda anti-semita sob o título de </w:t>
      </w:r>
      <w:r w:rsidRPr="002378B2">
        <w:rPr>
          <w:rFonts w:ascii="Arial Narrow" w:hAnsi="Arial Narrow"/>
          <w:i/>
        </w:rPr>
        <w:t>Judeus, Piolhos e Tifo</w:t>
      </w:r>
      <w:r w:rsidRPr="003E305A">
        <w:rPr>
          <w:rFonts w:ascii="Arial Narrow" w:hAnsi="Arial Narrow"/>
        </w:rPr>
        <w:t>. Ver E. Ringelblum (1964) 161 e 215. Consultar também as págs. 163-164.</w:t>
      </w:r>
      <w:r>
        <w:rPr>
          <w:rFonts w:ascii="Arial Narrow" w:hAnsi="Arial Narrow"/>
        </w:rPr>
        <w:t xml:space="preserve"> Ver igualmente J. Noakes et al. (orgs. 2008-2010) III 463.</w:t>
      </w:r>
    </w:p>
  </w:footnote>
  <w:footnote w:id="136">
    <w:p w:rsidR="00392E0D" w:rsidRPr="0003612B" w:rsidRDefault="00392E0D" w:rsidP="00DE4535">
      <w:pPr>
        <w:pStyle w:val="Textodenotaderodap"/>
        <w:rPr>
          <w:rFonts w:ascii="Arial Narrow" w:hAnsi="Arial Narrow"/>
        </w:rPr>
      </w:pPr>
      <w:r w:rsidRPr="0003612B">
        <w:rPr>
          <w:rStyle w:val="Refdenotaderodap"/>
          <w:rFonts w:ascii="Arial Narrow" w:hAnsi="Arial Narrow"/>
        </w:rPr>
        <w:footnoteRef/>
      </w:r>
      <w:r w:rsidRPr="0003612B">
        <w:rPr>
          <w:rFonts w:ascii="Arial Narrow" w:hAnsi="Arial Narrow"/>
        </w:rPr>
        <w:t xml:space="preserve"> </w:t>
      </w:r>
      <w:r>
        <w:rPr>
          <w:rFonts w:ascii="Arial Narrow" w:hAnsi="Arial Narrow"/>
        </w:rPr>
        <w:t>Citado em J. Noakes et al. (orgs. 2008-2010) III 618.</w:t>
      </w:r>
    </w:p>
  </w:footnote>
  <w:footnote w:id="137">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E. Conte et al. (1995) 203-204; </w:t>
      </w:r>
      <w:r>
        <w:rPr>
          <w:rFonts w:ascii="Arial Narrow" w:hAnsi="Arial Narrow"/>
          <w:lang w:val="fr-FR"/>
        </w:rPr>
        <w:t xml:space="preserve">J. Noakes et al. (orgs. 2008-2010) III 458; </w:t>
      </w:r>
      <w:r w:rsidRPr="003E305A">
        <w:rPr>
          <w:rFonts w:ascii="Arial Narrow" w:hAnsi="Arial Narrow"/>
          <w:lang w:val="fr-FR"/>
        </w:rPr>
        <w:t xml:space="preserve">L. Poliakov (1971) 292-293. </w:t>
      </w:r>
      <w:r>
        <w:rPr>
          <w:rFonts w:ascii="Arial Narrow" w:hAnsi="Arial Narrow"/>
          <w:lang w:val="fr-FR"/>
        </w:rPr>
        <w:t xml:space="preserve">Segundo </w:t>
      </w:r>
      <w:r w:rsidRPr="003E305A">
        <w:rPr>
          <w:rFonts w:ascii="Arial Narrow" w:hAnsi="Arial Narrow"/>
        </w:rPr>
        <w:t>E. Black (2003) 255 e 386</w:t>
      </w:r>
      <w:r>
        <w:rPr>
          <w:rFonts w:ascii="Arial Narrow" w:hAnsi="Arial Narrow"/>
        </w:rPr>
        <w:t xml:space="preserve">, </w:t>
      </w:r>
      <w:r w:rsidRPr="003E305A">
        <w:rPr>
          <w:rFonts w:ascii="Arial Narrow" w:hAnsi="Arial Narrow"/>
        </w:rPr>
        <w:t>os eugenistas acreditavam que não eram bactérias, mas deficiências genéticas, as verdadeiras responsáveis das mortes por tuberculose.</w:t>
      </w:r>
    </w:p>
  </w:footnote>
  <w:footnote w:id="13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Hitler (1995) 286.</w:t>
      </w:r>
    </w:p>
  </w:footnote>
  <w:footnote w:id="139">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R. Hilberg (1961) 567, 657-658. </w:t>
      </w:r>
      <w:r>
        <w:rPr>
          <w:rFonts w:ascii="Arial Narrow" w:hAnsi="Arial Narrow"/>
        </w:rPr>
        <w:t>Mas veja-se neste capítulo a n. 708.</w:t>
      </w:r>
    </w:p>
  </w:footnote>
  <w:footnote w:id="14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H. Langbein (1981) 9.</w:t>
      </w:r>
    </w:p>
  </w:footnote>
  <w:footnote w:id="14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w:t>
      </w:r>
      <w:r>
        <w:rPr>
          <w:rFonts w:ascii="Arial Narrow" w:hAnsi="Arial Narrow"/>
        </w:rPr>
        <w:t>itado em J. P. Faye (1980) 483.</w:t>
      </w:r>
    </w:p>
  </w:footnote>
  <w:footnote w:id="142">
    <w:p w:rsidR="00392E0D" w:rsidRPr="00701533" w:rsidRDefault="00392E0D" w:rsidP="00321E01">
      <w:pPr>
        <w:pStyle w:val="Textodenotaderodap"/>
        <w:rPr>
          <w:rFonts w:ascii="Arial Narrow" w:hAnsi="Arial Narrow"/>
          <w:lang w:val="en-GB"/>
        </w:rPr>
      </w:pPr>
      <w:r w:rsidRPr="00701533">
        <w:rPr>
          <w:rStyle w:val="Refdenotaderodap"/>
          <w:rFonts w:ascii="Arial Narrow" w:hAnsi="Arial Narrow"/>
        </w:rPr>
        <w:footnoteRef/>
      </w:r>
      <w:r w:rsidRPr="00701533">
        <w:rPr>
          <w:rFonts w:ascii="Arial Narrow" w:hAnsi="Arial Narrow"/>
          <w:lang w:val="en-GB"/>
        </w:rPr>
        <w:t xml:space="preserve"> </w:t>
      </w:r>
      <w:r w:rsidRPr="008C4FED">
        <w:rPr>
          <w:rFonts w:ascii="Arial Narrow" w:hAnsi="Arial Narrow"/>
          <w:lang w:val="en-GB"/>
        </w:rPr>
        <w:t>Henry Ford (1932) 23, 128 (subs. orig.).</w:t>
      </w:r>
    </w:p>
  </w:footnote>
  <w:footnote w:id="143">
    <w:p w:rsidR="00392E0D" w:rsidRPr="009C6EC5"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701533">
        <w:rPr>
          <w:rFonts w:ascii="Arial Narrow" w:hAnsi="Arial Narrow"/>
          <w:lang w:val="en-GB"/>
        </w:rPr>
        <w:t xml:space="preserve"> H. A. Turner Jr. </w:t>
      </w:r>
      <w:r w:rsidRPr="009C6EC5">
        <w:rPr>
          <w:rFonts w:ascii="Arial Narrow" w:hAnsi="Arial Narrow"/>
          <w:lang w:val="en-US"/>
        </w:rPr>
        <w:t>(1985) 81.</w:t>
      </w:r>
    </w:p>
  </w:footnote>
  <w:footnote w:id="144">
    <w:p w:rsidR="00392E0D" w:rsidRPr="009C6EC5" w:rsidRDefault="00392E0D" w:rsidP="00321E01">
      <w:pPr>
        <w:pStyle w:val="Textodenotaderodap"/>
        <w:rPr>
          <w:rFonts w:ascii="Arial Narrow" w:hAnsi="Arial Narrow"/>
          <w:lang w:val="en-US"/>
        </w:rPr>
      </w:pPr>
      <w:r w:rsidRPr="00CC3D37">
        <w:rPr>
          <w:rStyle w:val="Refdenotaderodap"/>
          <w:rFonts w:ascii="Arial Narrow" w:hAnsi="Arial Narrow"/>
        </w:rPr>
        <w:footnoteRef/>
      </w:r>
      <w:r w:rsidRPr="009C6EC5">
        <w:rPr>
          <w:rFonts w:ascii="Arial Narrow" w:hAnsi="Arial Narrow"/>
          <w:lang w:val="en-US"/>
        </w:rPr>
        <w:t xml:space="preserve"> T. W. Mason (1968) 173-174.</w:t>
      </w:r>
    </w:p>
  </w:footnote>
  <w:footnote w:id="145">
    <w:p w:rsidR="00392E0D" w:rsidRPr="00321E01"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321E01">
        <w:rPr>
          <w:rFonts w:ascii="Arial Narrow" w:hAnsi="Arial Narrow"/>
          <w:lang w:val="en-US"/>
        </w:rPr>
        <w:t xml:space="preserve"> A. Hitler (1995) 259.</w:t>
      </w:r>
    </w:p>
  </w:footnote>
  <w:footnote w:id="146">
    <w:p w:rsidR="00392E0D" w:rsidRPr="00321E01"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321E01">
        <w:rPr>
          <w:rFonts w:ascii="Arial Narrow" w:hAnsi="Arial Narrow"/>
          <w:lang w:val="en-US"/>
        </w:rPr>
        <w:t xml:space="preserve"> Id., ibid., 355-358.</w:t>
      </w:r>
    </w:p>
  </w:footnote>
  <w:footnote w:id="147">
    <w:p w:rsidR="00392E0D" w:rsidRPr="00E75290" w:rsidRDefault="00392E0D" w:rsidP="00E75290">
      <w:pPr>
        <w:pStyle w:val="Textodenotaderodap"/>
        <w:rPr>
          <w:rFonts w:ascii="Arial Narrow" w:hAnsi="Arial Narrow"/>
          <w:lang w:val="en-US"/>
        </w:rPr>
      </w:pPr>
      <w:r w:rsidRPr="00A864A9">
        <w:rPr>
          <w:rStyle w:val="Refdenotaderodap"/>
          <w:rFonts w:ascii="Arial Narrow" w:hAnsi="Arial Narrow"/>
        </w:rPr>
        <w:footnoteRef/>
      </w:r>
      <w:r w:rsidRPr="00E75290">
        <w:rPr>
          <w:rFonts w:ascii="Arial Narrow" w:hAnsi="Arial Narrow"/>
          <w:lang w:val="en-US"/>
        </w:rPr>
        <w:t xml:space="preserve"> </w:t>
      </w:r>
      <w:r>
        <w:rPr>
          <w:rFonts w:ascii="Arial Narrow" w:hAnsi="Arial Narrow"/>
          <w:lang w:val="en-US"/>
        </w:rPr>
        <w:t xml:space="preserve">Id., ibid., </w:t>
      </w:r>
      <w:r w:rsidRPr="00E75290">
        <w:rPr>
          <w:rFonts w:ascii="Arial Narrow" w:hAnsi="Arial Narrow"/>
          <w:lang w:val="en-US"/>
        </w:rPr>
        <w:t>358.</w:t>
      </w:r>
    </w:p>
  </w:footnote>
  <w:footnote w:id="148">
    <w:p w:rsidR="00392E0D" w:rsidRPr="00E7427D"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E7427D">
        <w:rPr>
          <w:rFonts w:ascii="Arial Narrow" w:hAnsi="Arial Narrow"/>
          <w:lang w:val="en-US"/>
        </w:rPr>
        <w:t xml:space="preserve"> J. Billig (2000) 150-151; J. P. Faye (1980) 534, 536; </w:t>
      </w:r>
      <w:r>
        <w:rPr>
          <w:rFonts w:ascii="Arial Narrow" w:hAnsi="Arial Narrow"/>
          <w:lang w:val="en-US"/>
        </w:rPr>
        <w:t xml:space="preserve">S. Haffner (2011) 78; </w:t>
      </w:r>
      <w:r w:rsidRPr="00E7427D">
        <w:rPr>
          <w:rFonts w:ascii="Arial Narrow" w:hAnsi="Arial Narrow"/>
          <w:lang w:val="en-US"/>
        </w:rPr>
        <w:t>J. Ploncard d’Assac (1971) 178.</w:t>
      </w:r>
    </w:p>
  </w:footnote>
  <w:footnote w:id="149">
    <w:p w:rsidR="00392E0D" w:rsidRPr="00F82B86" w:rsidRDefault="00392E0D" w:rsidP="00321E01">
      <w:pPr>
        <w:pStyle w:val="Textodenotaderodap"/>
        <w:rPr>
          <w:rFonts w:ascii="Arial Narrow" w:hAnsi="Arial Narrow"/>
        </w:rPr>
      </w:pPr>
      <w:r w:rsidRPr="003E305A">
        <w:rPr>
          <w:rStyle w:val="Refdenotaderodap"/>
          <w:rFonts w:ascii="Arial Narrow" w:hAnsi="Arial Narrow"/>
        </w:rPr>
        <w:footnoteRef/>
      </w:r>
      <w:r w:rsidRPr="00E43E32">
        <w:rPr>
          <w:rFonts w:ascii="Arial Narrow" w:hAnsi="Arial Narrow"/>
          <w:lang w:val="en-US"/>
        </w:rPr>
        <w:t xml:space="preserve"> A. Rosenberg (1986) 496; id. [s. d.</w:t>
      </w:r>
      <w:r>
        <w:rPr>
          <w:rFonts w:ascii="Arial Narrow" w:hAnsi="Arial Narrow"/>
          <w:lang w:val="en-US"/>
        </w:rPr>
        <w:t xml:space="preserve"> 2</w:t>
      </w:r>
      <w:r w:rsidRPr="00E43E32">
        <w:rPr>
          <w:rFonts w:ascii="Arial Narrow" w:hAnsi="Arial Narrow"/>
          <w:lang w:val="en-US"/>
        </w:rPr>
        <w:t xml:space="preserve">] 362. </w:t>
      </w:r>
      <w:r w:rsidRPr="00E43E32">
        <w:rPr>
          <w:rFonts w:ascii="Arial Narrow" w:hAnsi="Arial Narrow"/>
        </w:rPr>
        <w:t xml:space="preserve">Esta definição é idêntica a frases que se lêem em A. Hitler (1995) 355, 356 e 357. </w:t>
      </w:r>
      <w:r w:rsidRPr="00F82B86">
        <w:rPr>
          <w:rFonts w:ascii="Arial Narrow" w:hAnsi="Arial Narrow"/>
        </w:rPr>
        <w:t xml:space="preserve">«A política, no sentido verdadeiramente digno de um estadista, significa a segurança externa com o objectivo de fortalecer um povo», afirmou ainda </w:t>
      </w:r>
      <w:r>
        <w:rPr>
          <w:rFonts w:ascii="Arial Narrow" w:hAnsi="Arial Narrow"/>
        </w:rPr>
        <w:t xml:space="preserve">Alfred </w:t>
      </w:r>
      <w:r w:rsidRPr="00F82B86">
        <w:rPr>
          <w:rFonts w:ascii="Arial Narrow" w:hAnsi="Arial Narrow"/>
        </w:rPr>
        <w:t>Rosenberg em (1986) 537 e [s. d.</w:t>
      </w:r>
      <w:r>
        <w:rPr>
          <w:rFonts w:ascii="Arial Narrow" w:hAnsi="Arial Narrow"/>
        </w:rPr>
        <w:t xml:space="preserve"> 2</w:t>
      </w:r>
      <w:r w:rsidRPr="00F82B86">
        <w:rPr>
          <w:rFonts w:ascii="Arial Narrow" w:hAnsi="Arial Narrow"/>
        </w:rPr>
        <w:t>] 389.</w:t>
      </w:r>
    </w:p>
  </w:footnote>
  <w:footnote w:id="150">
    <w:p w:rsidR="00392E0D" w:rsidRPr="002058CF"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2058CF">
        <w:rPr>
          <w:rFonts w:ascii="Arial Narrow" w:hAnsi="Arial Narrow"/>
        </w:rPr>
        <w:t xml:space="preserve"> E. Salomon (1993) 203-204.</w:t>
      </w:r>
    </w:p>
  </w:footnote>
  <w:footnote w:id="151">
    <w:p w:rsidR="00392E0D" w:rsidRPr="00A26B6E" w:rsidRDefault="00392E0D">
      <w:pPr>
        <w:pStyle w:val="Textodenotaderodap"/>
        <w:rPr>
          <w:rFonts w:ascii="Arial Narrow" w:hAnsi="Arial Narrow"/>
        </w:rPr>
      </w:pPr>
      <w:r w:rsidRPr="00A26B6E">
        <w:rPr>
          <w:rStyle w:val="Refdenotaderodap"/>
          <w:rFonts w:ascii="Arial Narrow" w:hAnsi="Arial Narrow"/>
        </w:rPr>
        <w:footnoteRef/>
      </w:r>
      <w:r w:rsidRPr="00A26B6E">
        <w:rPr>
          <w:rFonts w:ascii="Arial Narrow" w:hAnsi="Arial Narrow"/>
        </w:rPr>
        <w:t xml:space="preserve"> </w:t>
      </w:r>
      <w:r w:rsidRPr="009B6208">
        <w:rPr>
          <w:rFonts w:ascii="Arial Narrow" w:hAnsi="Arial Narrow"/>
        </w:rPr>
        <w:t>D. Pels (1998) 11-12.</w:t>
      </w:r>
    </w:p>
  </w:footnote>
  <w:footnote w:id="152">
    <w:p w:rsidR="00392E0D" w:rsidRPr="002058CF" w:rsidRDefault="00392E0D">
      <w:pPr>
        <w:pStyle w:val="Textodenotaderodap"/>
        <w:rPr>
          <w:rFonts w:ascii="Arial Narrow" w:hAnsi="Arial Narrow"/>
          <w:lang w:val="en-US"/>
        </w:rPr>
      </w:pPr>
      <w:r w:rsidRPr="00AB66E4">
        <w:rPr>
          <w:rStyle w:val="Refdenotaderodap"/>
          <w:rFonts w:ascii="Arial Narrow" w:hAnsi="Arial Narrow"/>
        </w:rPr>
        <w:footnoteRef/>
      </w:r>
      <w:r w:rsidRPr="00AB66E4">
        <w:rPr>
          <w:rFonts w:ascii="Arial Narrow" w:hAnsi="Arial Narrow"/>
        </w:rPr>
        <w:t xml:space="preserve"> </w:t>
      </w:r>
      <w:r>
        <w:rPr>
          <w:rFonts w:ascii="Arial Narrow" w:hAnsi="Arial Narrow"/>
        </w:rPr>
        <w:t xml:space="preserve">Citado em J. Noakes et al. </w:t>
      </w:r>
      <w:r w:rsidRPr="002058CF">
        <w:rPr>
          <w:rFonts w:ascii="Arial Narrow" w:hAnsi="Arial Narrow"/>
          <w:lang w:val="en-US"/>
        </w:rPr>
        <w:t>(orgs. 2008-2010) II 43.</w:t>
      </w:r>
    </w:p>
  </w:footnote>
  <w:footnote w:id="153">
    <w:p w:rsidR="00392E0D" w:rsidRPr="00190486" w:rsidRDefault="00392E0D" w:rsidP="00321E01">
      <w:pPr>
        <w:pStyle w:val="Textodenotaderodap"/>
        <w:rPr>
          <w:rFonts w:ascii="Arial Narrow" w:hAnsi="Arial Narrow"/>
        </w:rPr>
      </w:pPr>
      <w:r w:rsidRPr="003E305A">
        <w:rPr>
          <w:rStyle w:val="Refdenotaderodap"/>
          <w:rFonts w:ascii="Arial Narrow" w:hAnsi="Arial Narrow"/>
        </w:rPr>
        <w:footnoteRef/>
      </w:r>
      <w:r w:rsidRPr="00321E01">
        <w:rPr>
          <w:rFonts w:ascii="Arial Narrow" w:hAnsi="Arial Narrow"/>
          <w:lang w:val="en-US"/>
        </w:rPr>
        <w:t xml:space="preserve"> J. P. Faye (1980) 344-345.</w:t>
      </w:r>
      <w:r>
        <w:rPr>
          <w:rFonts w:ascii="Arial Narrow" w:hAnsi="Arial Narrow"/>
          <w:lang w:val="en-US"/>
        </w:rPr>
        <w:t xml:space="preserve"> </w:t>
      </w:r>
      <w:r w:rsidRPr="00190486">
        <w:rPr>
          <w:rFonts w:ascii="Arial Narrow" w:hAnsi="Arial Narrow"/>
        </w:rPr>
        <w:t>Ver também J. Caplan (org. 1995) 172.</w:t>
      </w:r>
    </w:p>
  </w:footnote>
  <w:footnote w:id="154">
    <w:p w:rsidR="00392E0D" w:rsidRPr="00814579"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814579">
        <w:rPr>
          <w:rFonts w:ascii="Arial Narrow" w:hAnsi="Arial Narrow"/>
          <w:lang w:val="de-DE"/>
        </w:rPr>
        <w:t xml:space="preserve"> </w:t>
      </w:r>
      <w:r w:rsidRPr="00D64447">
        <w:rPr>
          <w:rFonts w:ascii="Arial Narrow" w:hAnsi="Arial Narrow"/>
        </w:rPr>
        <w:t xml:space="preserve">J. P. Faye </w:t>
      </w:r>
      <w:r w:rsidRPr="00814579">
        <w:rPr>
          <w:rFonts w:ascii="Arial Narrow" w:hAnsi="Arial Narrow"/>
          <w:lang w:val="de-DE"/>
        </w:rPr>
        <w:t>(1972) 57.</w:t>
      </w:r>
      <w:r>
        <w:rPr>
          <w:rFonts w:ascii="Arial Narrow" w:hAnsi="Arial Narrow"/>
          <w:lang w:val="de-DE"/>
        </w:rPr>
        <w:t xml:space="preserve"> </w:t>
      </w:r>
      <w:r>
        <w:rPr>
          <w:rFonts w:ascii="Arial Narrow" w:hAnsi="Arial Narrow"/>
        </w:rPr>
        <w:t>No mesmo sentido</w:t>
      </w:r>
      <w:r w:rsidRPr="00D64447">
        <w:rPr>
          <w:rFonts w:ascii="Arial Narrow" w:hAnsi="Arial Narrow"/>
        </w:rPr>
        <w:t xml:space="preserve"> </w:t>
      </w:r>
      <w:r w:rsidRPr="00D64447">
        <w:rPr>
          <w:rFonts w:ascii="Arial Narrow" w:hAnsi="Arial Narrow"/>
          <w:bCs/>
        </w:rPr>
        <w:t xml:space="preserve">W. Laqueur </w:t>
      </w:r>
      <w:r w:rsidRPr="00D64447">
        <w:rPr>
          <w:rFonts w:ascii="Arial Narrow" w:hAnsi="Arial Narrow"/>
        </w:rPr>
        <w:t xml:space="preserve">(1996) </w:t>
      </w:r>
      <w:r w:rsidRPr="006765E9">
        <w:rPr>
          <w:rFonts w:ascii="Arial Narrow" w:hAnsi="Arial Narrow"/>
        </w:rPr>
        <w:t>24-25</w:t>
      </w:r>
      <w:r>
        <w:rPr>
          <w:rFonts w:ascii="Arial Narrow" w:hAnsi="Arial Narrow"/>
        </w:rPr>
        <w:t xml:space="preserve"> e </w:t>
      </w:r>
      <w:r w:rsidRPr="00CE0CEF">
        <w:rPr>
          <w:rFonts w:ascii="Arial Narrow" w:hAnsi="Arial Narrow"/>
        </w:rPr>
        <w:t xml:space="preserve">J. B. Whisker (1983) 19 </w:t>
      </w:r>
      <w:r>
        <w:rPr>
          <w:rFonts w:ascii="Arial Narrow" w:hAnsi="Arial Narrow"/>
        </w:rPr>
        <w:t xml:space="preserve">consideraram a existência de </w:t>
      </w:r>
      <w:r w:rsidRPr="006765E9">
        <w:rPr>
          <w:rFonts w:ascii="Arial Narrow" w:hAnsi="Arial Narrow"/>
        </w:rPr>
        <w:t xml:space="preserve">uma oposição entre o mito do </w:t>
      </w:r>
      <w:r w:rsidRPr="006765E9">
        <w:rPr>
          <w:rFonts w:ascii="Arial Narrow" w:hAnsi="Arial Narrow"/>
          <w:i/>
        </w:rPr>
        <w:t>Volk</w:t>
      </w:r>
      <w:r w:rsidRPr="006765E9">
        <w:rPr>
          <w:rFonts w:ascii="Arial Narrow" w:hAnsi="Arial Narrow"/>
        </w:rPr>
        <w:t>, com a sua ênfase racial, característico do na</w:t>
      </w:r>
      <w:r>
        <w:rPr>
          <w:rFonts w:ascii="Arial Narrow" w:hAnsi="Arial Narrow"/>
        </w:rPr>
        <w:t>cional-socialismo germânico</w:t>
      </w:r>
      <w:r w:rsidRPr="006765E9">
        <w:rPr>
          <w:rFonts w:ascii="Arial Narrow" w:hAnsi="Arial Narrow"/>
        </w:rPr>
        <w:t>, e o mito de um Estado criador da nação pela vontade formadora que dele emana, característico do fascismo italiano</w:t>
      </w:r>
      <w:r>
        <w:rPr>
          <w:rFonts w:ascii="Arial Narrow" w:hAnsi="Arial Narrow"/>
        </w:rPr>
        <w:t xml:space="preserve">. E se lermos </w:t>
      </w:r>
      <w:r w:rsidRPr="00B30674">
        <w:rPr>
          <w:rFonts w:ascii="Arial Narrow" w:hAnsi="Arial Narrow"/>
          <w:i/>
        </w:rPr>
        <w:t>Volk</w:t>
      </w:r>
      <w:r>
        <w:rPr>
          <w:rFonts w:ascii="Arial Narrow" w:hAnsi="Arial Narrow"/>
        </w:rPr>
        <w:t xml:space="preserve"> onde o grande filósofo do fascismo italiano escreveu «nação», era isso mesmo que ele estava a dizer. </w:t>
      </w:r>
      <w:r w:rsidRPr="00CE0CEF">
        <w:rPr>
          <w:rFonts w:ascii="Arial Narrow" w:hAnsi="Arial Narrow"/>
          <w:lang w:val="en-US"/>
        </w:rPr>
        <w:t xml:space="preserve">Ver </w:t>
      </w:r>
      <w:r w:rsidRPr="005304AF">
        <w:rPr>
          <w:rFonts w:ascii="Arial Narrow" w:hAnsi="Arial Narrow"/>
          <w:lang w:val="en-US"/>
        </w:rPr>
        <w:t>G. Gentile (1928)</w:t>
      </w:r>
      <w:r>
        <w:rPr>
          <w:rFonts w:ascii="Arial Narrow" w:hAnsi="Arial Narrow"/>
          <w:lang w:val="en-US"/>
        </w:rPr>
        <w:t xml:space="preserve"> 302.</w:t>
      </w:r>
    </w:p>
  </w:footnote>
  <w:footnote w:id="155">
    <w:p w:rsidR="00392E0D" w:rsidRPr="00321E01" w:rsidRDefault="00392E0D" w:rsidP="00321E01">
      <w:pPr>
        <w:pStyle w:val="Textodenotaderodap"/>
        <w:rPr>
          <w:rFonts w:ascii="Arial Narrow" w:hAnsi="Arial Narrow"/>
          <w:lang w:val="en-US"/>
        </w:rPr>
      </w:pPr>
      <w:r w:rsidRPr="00415B46">
        <w:rPr>
          <w:rStyle w:val="Refdenotaderodap"/>
          <w:rFonts w:ascii="Arial Narrow" w:hAnsi="Arial Narrow"/>
        </w:rPr>
        <w:footnoteRef/>
      </w:r>
      <w:r w:rsidRPr="00321E01">
        <w:rPr>
          <w:rFonts w:ascii="Arial Narrow" w:hAnsi="Arial Narrow"/>
          <w:lang w:val="en-US"/>
        </w:rPr>
        <w:t xml:space="preserve"> H. G. Dahms (1968) I 57-58</w:t>
      </w:r>
      <w:r>
        <w:rPr>
          <w:rFonts w:ascii="Arial Narrow" w:hAnsi="Arial Narrow"/>
          <w:lang w:val="en-US"/>
        </w:rPr>
        <w:t xml:space="preserve">; </w:t>
      </w:r>
      <w:r w:rsidRPr="00C71314">
        <w:rPr>
          <w:rFonts w:ascii="Arial Narrow" w:hAnsi="Arial Narrow"/>
          <w:lang w:val="en-US"/>
        </w:rPr>
        <w:t>D. Welch (2002)</w:t>
      </w:r>
      <w:r>
        <w:rPr>
          <w:rFonts w:ascii="Arial Narrow" w:hAnsi="Arial Narrow"/>
          <w:lang w:val="en-US"/>
        </w:rPr>
        <w:t xml:space="preserve"> 108, 110-111</w:t>
      </w:r>
      <w:r w:rsidRPr="00321E01">
        <w:rPr>
          <w:rFonts w:ascii="Arial Narrow" w:hAnsi="Arial Narrow"/>
          <w:lang w:val="en-US"/>
        </w:rPr>
        <w:t>.</w:t>
      </w:r>
    </w:p>
  </w:footnote>
  <w:footnote w:id="156">
    <w:p w:rsidR="00392E0D" w:rsidRPr="000B629E" w:rsidRDefault="00392E0D">
      <w:pPr>
        <w:pStyle w:val="Textodenotaderodap"/>
        <w:rPr>
          <w:rFonts w:ascii="Arial Narrow" w:hAnsi="Arial Narrow"/>
        </w:rPr>
      </w:pPr>
      <w:r w:rsidRPr="00912EA0">
        <w:rPr>
          <w:rStyle w:val="Refdenotaderodap"/>
          <w:rFonts w:ascii="Arial Narrow" w:hAnsi="Arial Narrow"/>
        </w:rPr>
        <w:footnoteRef/>
      </w:r>
      <w:r w:rsidRPr="00AC7904">
        <w:rPr>
          <w:rFonts w:ascii="Arial Narrow" w:hAnsi="Arial Narrow"/>
          <w:lang w:val="en-US"/>
        </w:rPr>
        <w:t xml:space="preserve"> J. Noakes et al. </w:t>
      </w:r>
      <w:r w:rsidRPr="000B629E">
        <w:rPr>
          <w:rFonts w:ascii="Arial Narrow" w:hAnsi="Arial Narrow"/>
        </w:rPr>
        <w:t>(orgs. 2008-2010) I 185.</w:t>
      </w:r>
    </w:p>
  </w:footnote>
  <w:footnote w:id="157">
    <w:p w:rsidR="00392E0D" w:rsidRPr="00651915" w:rsidRDefault="00392E0D">
      <w:pPr>
        <w:pStyle w:val="Textodenotaderodap"/>
        <w:rPr>
          <w:rFonts w:ascii="Arial Narrow" w:hAnsi="Arial Narrow"/>
        </w:rPr>
      </w:pPr>
      <w:r w:rsidRPr="00A45AD9">
        <w:rPr>
          <w:rStyle w:val="Refdenotaderodap"/>
          <w:rFonts w:ascii="Arial Narrow" w:hAnsi="Arial Narrow"/>
        </w:rPr>
        <w:footnoteRef/>
      </w:r>
      <w:r w:rsidRPr="00651915">
        <w:rPr>
          <w:rFonts w:ascii="Arial Narrow" w:hAnsi="Arial Narrow"/>
        </w:rPr>
        <w:t xml:space="preserve"> J. C. Fest (1974) 421-422, 433-434, 473-474, 482-483. Ver também D. Orlow (2010) 179, 187, 250-252 e 364-</w:t>
      </w:r>
      <w:r>
        <w:rPr>
          <w:rFonts w:ascii="Arial Narrow" w:hAnsi="Arial Narrow"/>
        </w:rPr>
        <w:t>367</w:t>
      </w:r>
      <w:r w:rsidRPr="00651915">
        <w:rPr>
          <w:rFonts w:ascii="Arial Narrow" w:hAnsi="Arial Narrow"/>
        </w:rPr>
        <w:t>.</w:t>
      </w:r>
    </w:p>
  </w:footnote>
  <w:footnote w:id="158">
    <w:p w:rsidR="00392E0D" w:rsidRPr="00F24446" w:rsidRDefault="00392E0D">
      <w:pPr>
        <w:pStyle w:val="Textodenotaderodap"/>
        <w:rPr>
          <w:rFonts w:ascii="Arial Narrow" w:hAnsi="Arial Narrow"/>
        </w:rPr>
      </w:pPr>
      <w:r w:rsidRPr="002579FF">
        <w:rPr>
          <w:rStyle w:val="Refdenotaderodap"/>
          <w:rFonts w:ascii="Arial Narrow" w:hAnsi="Arial Narrow"/>
        </w:rPr>
        <w:footnoteRef/>
      </w:r>
      <w:r w:rsidRPr="000B629E">
        <w:rPr>
          <w:rFonts w:ascii="Arial Narrow" w:hAnsi="Arial Narrow"/>
          <w:lang w:val="en-US"/>
        </w:rPr>
        <w:t xml:space="preserve"> S. Friedländer (2008) 508; J. Noakes et al. </w:t>
      </w:r>
      <w:r w:rsidRPr="00F24446">
        <w:rPr>
          <w:rFonts w:ascii="Arial Narrow" w:hAnsi="Arial Narrow"/>
        </w:rPr>
        <w:t>(orgs. 2008-2010) IV 14-16.</w:t>
      </w:r>
    </w:p>
  </w:footnote>
  <w:footnote w:id="159">
    <w:p w:rsidR="00392E0D" w:rsidRPr="00B4763C" w:rsidRDefault="00392E0D">
      <w:pPr>
        <w:pStyle w:val="Textodenotaderodap"/>
        <w:rPr>
          <w:rFonts w:ascii="Arial Narrow" w:hAnsi="Arial Narrow"/>
        </w:rPr>
      </w:pPr>
      <w:r w:rsidRPr="00B4763C">
        <w:rPr>
          <w:rStyle w:val="Refdenotaderodap"/>
          <w:rFonts w:ascii="Arial Narrow" w:hAnsi="Arial Narrow"/>
        </w:rPr>
        <w:footnoteRef/>
      </w:r>
      <w:r w:rsidRPr="00B4763C">
        <w:rPr>
          <w:rFonts w:ascii="Arial Narrow" w:hAnsi="Arial Narrow"/>
        </w:rPr>
        <w:t xml:space="preserve"> </w:t>
      </w:r>
      <w:r>
        <w:rPr>
          <w:rFonts w:ascii="Arial Narrow" w:hAnsi="Arial Narrow"/>
        </w:rPr>
        <w:t xml:space="preserve">Esta </w:t>
      </w:r>
      <w:r w:rsidRPr="00357FA7">
        <w:rPr>
          <w:rFonts w:ascii="Arial Narrow" w:hAnsi="Arial Narrow"/>
        </w:rPr>
        <w:t xml:space="preserve">comunicação secreta apresentada </w:t>
      </w:r>
      <w:r>
        <w:rPr>
          <w:rFonts w:ascii="Arial Narrow" w:hAnsi="Arial Narrow"/>
        </w:rPr>
        <w:t xml:space="preserve">por Herbert Marcuse </w:t>
      </w:r>
      <w:r w:rsidRPr="00357FA7">
        <w:rPr>
          <w:rFonts w:ascii="Arial Narrow" w:hAnsi="Arial Narrow"/>
        </w:rPr>
        <w:t>na Research and Analysis Branch do OSS em 1</w:t>
      </w:r>
      <w:r>
        <w:rPr>
          <w:rFonts w:ascii="Arial Narrow" w:hAnsi="Arial Narrow"/>
        </w:rPr>
        <w:t>0</w:t>
      </w:r>
      <w:r w:rsidRPr="00357FA7">
        <w:rPr>
          <w:rFonts w:ascii="Arial Narrow" w:hAnsi="Arial Narrow"/>
        </w:rPr>
        <w:t xml:space="preserve"> de </w:t>
      </w:r>
      <w:r>
        <w:rPr>
          <w:rFonts w:ascii="Arial Narrow" w:hAnsi="Arial Narrow"/>
        </w:rPr>
        <w:t>Agosto</w:t>
      </w:r>
      <w:r w:rsidRPr="00357FA7">
        <w:rPr>
          <w:rFonts w:ascii="Arial Narrow" w:hAnsi="Arial Narrow"/>
        </w:rPr>
        <w:t xml:space="preserve"> de 1943 </w:t>
      </w:r>
      <w:r>
        <w:rPr>
          <w:rFonts w:ascii="Arial Narrow" w:hAnsi="Arial Narrow"/>
        </w:rPr>
        <w:t xml:space="preserve">encontra-se em </w:t>
      </w:r>
      <w:r w:rsidRPr="00357FA7">
        <w:rPr>
          <w:rFonts w:ascii="Arial Narrow" w:hAnsi="Arial Narrow"/>
        </w:rPr>
        <w:t xml:space="preserve">R. Laudani (org. 2013) </w:t>
      </w:r>
      <w:r>
        <w:rPr>
          <w:rFonts w:ascii="Arial Narrow" w:hAnsi="Arial Narrow"/>
        </w:rPr>
        <w:t>82-92. A frase citada vem na pág. 88.</w:t>
      </w:r>
    </w:p>
  </w:footnote>
  <w:footnote w:id="160">
    <w:p w:rsidR="00392E0D" w:rsidRPr="00814579"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814579">
        <w:rPr>
          <w:rFonts w:ascii="Arial Narrow" w:hAnsi="Arial Narrow"/>
          <w:lang w:val="de-DE"/>
        </w:rPr>
        <w:t xml:space="preserve"> F. Neumann (1943) 497.</w:t>
      </w:r>
      <w:r>
        <w:rPr>
          <w:rFonts w:ascii="Arial Narrow" w:hAnsi="Arial Narrow"/>
          <w:lang w:val="de-DE"/>
        </w:rPr>
        <w:t xml:space="preserve"> </w:t>
      </w:r>
      <w:r w:rsidRPr="002F6263">
        <w:rPr>
          <w:rFonts w:ascii="Arial Narrow" w:hAnsi="Arial Narrow"/>
        </w:rPr>
        <w:t xml:space="preserve">Por isso F. Neumann em </w:t>
      </w:r>
      <w:r w:rsidRPr="001D33D6">
        <w:rPr>
          <w:rFonts w:ascii="Arial Narrow" w:hAnsi="Arial Narrow"/>
        </w:rPr>
        <w:t xml:space="preserve">R. Laudani (org. 2013) </w:t>
      </w:r>
      <w:r>
        <w:rPr>
          <w:rFonts w:ascii="Arial Narrow" w:hAnsi="Arial Narrow"/>
        </w:rPr>
        <w:t xml:space="preserve">687, numa </w:t>
      </w:r>
      <w:r w:rsidRPr="001D33D6">
        <w:rPr>
          <w:rFonts w:ascii="Arial Narrow" w:hAnsi="Arial Narrow"/>
        </w:rPr>
        <w:t>comunicação secreta apresentada em 18 de Setembro de 1944 na Research and Analysis Branch do OSS</w:t>
      </w:r>
      <w:r>
        <w:rPr>
          <w:rFonts w:ascii="Arial Narrow" w:hAnsi="Arial Narrow"/>
        </w:rPr>
        <w:t>,</w:t>
      </w:r>
      <w:r w:rsidRPr="002F6263">
        <w:rPr>
          <w:rFonts w:ascii="Arial Narrow" w:hAnsi="Arial Narrow"/>
        </w:rPr>
        <w:t xml:space="preserve"> observou o carácter informe das instituições políticas do Terceiro Reich em contraste com as do fascismo italiano.</w:t>
      </w:r>
    </w:p>
  </w:footnote>
  <w:footnote w:id="16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814579">
        <w:rPr>
          <w:rFonts w:ascii="Arial Narrow" w:hAnsi="Arial Narrow"/>
          <w:lang w:val="de-DE"/>
        </w:rPr>
        <w:t xml:space="preserve"> </w:t>
      </w:r>
      <w:r w:rsidRPr="00F22E92">
        <w:rPr>
          <w:rFonts w:ascii="Arial Narrow" w:hAnsi="Arial Narrow"/>
        </w:rPr>
        <w:t xml:space="preserve">A. J. Gregor (2005) 335-336; </w:t>
      </w:r>
      <w:r w:rsidRPr="00814579">
        <w:rPr>
          <w:rFonts w:ascii="Arial Narrow" w:hAnsi="Arial Narrow"/>
          <w:lang w:val="de-DE"/>
        </w:rPr>
        <w:t xml:space="preserve">F. Neumann (1943) 86-88, 96, 518. </w:t>
      </w:r>
      <w:r w:rsidRPr="003E305A">
        <w:rPr>
          <w:rFonts w:ascii="Arial Narrow" w:hAnsi="Arial Narrow"/>
        </w:rPr>
        <w:t>Segundo J. Droz [s. d.] 98 e M. Lucena (1976) 661, Schmitt destac</w:t>
      </w:r>
      <w:r>
        <w:rPr>
          <w:rFonts w:ascii="Arial Narrow" w:hAnsi="Arial Narrow"/>
        </w:rPr>
        <w:t>ara</w:t>
      </w:r>
      <w:r w:rsidRPr="003E305A">
        <w:rPr>
          <w:rFonts w:ascii="Arial Narrow" w:hAnsi="Arial Narrow"/>
        </w:rPr>
        <w:t>-se no apoio jurídico prest</w:t>
      </w:r>
      <w:r>
        <w:rPr>
          <w:rFonts w:ascii="Arial Narrow" w:hAnsi="Arial Narrow"/>
        </w:rPr>
        <w:t>ado</w:t>
      </w:r>
      <w:r w:rsidRPr="003E305A">
        <w:rPr>
          <w:rFonts w:ascii="Arial Narrow" w:hAnsi="Arial Narrow"/>
        </w:rPr>
        <w:t xml:space="preserve"> ao morticínio dos chefes das SA, e G. Lukács (1980) 660 cit</w:t>
      </w:r>
      <w:r>
        <w:rPr>
          <w:rFonts w:ascii="Arial Narrow" w:hAnsi="Arial Narrow"/>
        </w:rPr>
        <w:t>ou</w:t>
      </w:r>
      <w:r w:rsidRPr="003E305A">
        <w:rPr>
          <w:rFonts w:ascii="Arial Narrow" w:hAnsi="Arial Narrow"/>
        </w:rPr>
        <w:t xml:space="preserve"> um texto neste sentido. Mas é estranho que </w:t>
      </w:r>
      <w:r w:rsidRPr="00EE39C8">
        <w:rPr>
          <w:rFonts w:ascii="Arial Narrow" w:hAnsi="Arial Narrow"/>
        </w:rPr>
        <w:t xml:space="preserve">Georg </w:t>
      </w:r>
      <w:r w:rsidRPr="003E305A">
        <w:rPr>
          <w:rFonts w:ascii="Arial Narrow" w:hAnsi="Arial Narrow"/>
        </w:rPr>
        <w:t>Lukács não se aperceb</w:t>
      </w:r>
      <w:r>
        <w:rPr>
          <w:rFonts w:ascii="Arial Narrow" w:hAnsi="Arial Narrow"/>
        </w:rPr>
        <w:t>esse</w:t>
      </w:r>
      <w:r w:rsidRPr="003E305A">
        <w:rPr>
          <w:rFonts w:ascii="Arial Narrow" w:hAnsi="Arial Narrow"/>
        </w:rPr>
        <w:t xml:space="preserve"> (págs. 658-660) de que até 1934 Schmitt concebera o poder de Estado em moldes mussolinianos, consoante um antagonismo entre «amigo» e «inimigo», e não à maneira hitleriana, em função do confronto entre raças. Talvez seja mais um exemplo da incapacidade manifestada pelos marxistas de explicar o racismo</w:t>
      </w:r>
      <w:r>
        <w:rPr>
          <w:rFonts w:ascii="Arial Narrow" w:hAnsi="Arial Narrow"/>
        </w:rPr>
        <w:t>, como observei (no capítulo 5 da Parte 1)</w:t>
      </w:r>
      <w:r w:rsidRPr="003E305A">
        <w:rPr>
          <w:rFonts w:ascii="Arial Narrow" w:hAnsi="Arial Narrow"/>
        </w:rPr>
        <w:t>.</w:t>
      </w:r>
    </w:p>
  </w:footnote>
  <w:footnote w:id="16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F. Neumann (1943) 517-518 (sub. orig.). Ver no mesmo sentido</w:t>
      </w:r>
      <w:r>
        <w:rPr>
          <w:rFonts w:ascii="Arial Narrow" w:hAnsi="Arial Narrow"/>
        </w:rPr>
        <w:t>:</w:t>
      </w:r>
      <w:r w:rsidRPr="003E305A">
        <w:rPr>
          <w:rFonts w:ascii="Arial Narrow" w:hAnsi="Arial Narrow"/>
        </w:rPr>
        <w:t xml:space="preserve"> </w:t>
      </w:r>
      <w:r>
        <w:rPr>
          <w:rFonts w:ascii="Arial Narrow" w:hAnsi="Arial Narrow"/>
        </w:rPr>
        <w:t xml:space="preserve">H. G. Dahms (1968) II 170; </w:t>
      </w:r>
      <w:r w:rsidRPr="003E305A">
        <w:rPr>
          <w:rFonts w:ascii="Arial Narrow" w:hAnsi="Arial Narrow"/>
        </w:rPr>
        <w:t>J. Droz [s. d.] 90-92</w:t>
      </w:r>
      <w:r>
        <w:rPr>
          <w:rFonts w:ascii="Arial Narrow" w:hAnsi="Arial Narrow"/>
        </w:rPr>
        <w:t>;</w:t>
      </w:r>
      <w:r w:rsidRPr="003E305A">
        <w:rPr>
          <w:rFonts w:ascii="Arial Narrow" w:hAnsi="Arial Narrow"/>
        </w:rPr>
        <w:t xml:space="preserve"> G. Lukács (1980) 746-747</w:t>
      </w:r>
      <w:r>
        <w:rPr>
          <w:rFonts w:ascii="Arial Narrow" w:hAnsi="Arial Narrow"/>
        </w:rPr>
        <w:t>;</w:t>
      </w:r>
      <w:r w:rsidRPr="003E305A">
        <w:rPr>
          <w:rFonts w:ascii="Arial Narrow" w:hAnsi="Arial Narrow"/>
        </w:rPr>
        <w:t xml:space="preserve"> E. Nolte (1989) 278-279</w:t>
      </w:r>
      <w:r>
        <w:rPr>
          <w:rFonts w:ascii="Arial Narrow" w:hAnsi="Arial Narrow"/>
        </w:rPr>
        <w:t xml:space="preserve">; </w:t>
      </w:r>
      <w:r w:rsidRPr="009E13C5">
        <w:rPr>
          <w:rFonts w:ascii="Arial Narrow" w:hAnsi="Arial Narrow"/>
        </w:rPr>
        <w:t>D. Welch (2002) 107-1</w:t>
      </w:r>
      <w:r>
        <w:rPr>
          <w:rFonts w:ascii="Arial Narrow" w:hAnsi="Arial Narrow"/>
        </w:rPr>
        <w:t>11</w:t>
      </w:r>
      <w:r w:rsidRPr="003E305A">
        <w:rPr>
          <w:rFonts w:ascii="Arial Narrow" w:hAnsi="Arial Narrow"/>
        </w:rPr>
        <w:t>.</w:t>
      </w:r>
    </w:p>
  </w:footnote>
  <w:footnote w:id="163">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M. Lucena (1976) 666.</w:t>
      </w:r>
      <w:r>
        <w:rPr>
          <w:rFonts w:ascii="Arial Narrow" w:hAnsi="Arial Narrow"/>
        </w:rPr>
        <w:t xml:space="preserve"> Se pudermos acreditar em Otto Strasser quando contou que Hitler, já depois de chegado à Chancelaria, teria dito que «seguirei o meu caminho com a precisão de um sonâmbulo» — </w:t>
      </w:r>
      <w:r w:rsidRPr="005B296A">
        <w:rPr>
          <w:rFonts w:ascii="Arial Narrow" w:hAnsi="Arial Narrow"/>
        </w:rPr>
        <w:t xml:space="preserve">O. Strasser (1940) 64 — </w:t>
      </w:r>
      <w:r>
        <w:rPr>
          <w:rFonts w:ascii="Arial Narrow" w:hAnsi="Arial Narrow"/>
        </w:rPr>
        <w:t>talvez fosse esta a noção de inspiração.</w:t>
      </w:r>
    </w:p>
  </w:footnote>
  <w:footnote w:id="164">
    <w:p w:rsidR="00392E0D" w:rsidRPr="00012CEA" w:rsidRDefault="00392E0D">
      <w:pPr>
        <w:pStyle w:val="Textodenotaderodap"/>
        <w:rPr>
          <w:rFonts w:ascii="Arial Narrow" w:hAnsi="Arial Narrow"/>
        </w:rPr>
      </w:pPr>
      <w:r w:rsidRPr="00012CEA">
        <w:rPr>
          <w:rStyle w:val="Refdenotaderodap"/>
          <w:rFonts w:ascii="Arial Narrow" w:hAnsi="Arial Narrow"/>
        </w:rPr>
        <w:footnoteRef/>
      </w:r>
      <w:r w:rsidRPr="00012CEA">
        <w:rPr>
          <w:rFonts w:ascii="Arial Narrow" w:hAnsi="Arial Narrow"/>
        </w:rPr>
        <w:t xml:space="preserve"> </w:t>
      </w:r>
      <w:r>
        <w:rPr>
          <w:rFonts w:ascii="Arial Narrow" w:hAnsi="Arial Narrow"/>
        </w:rPr>
        <w:t xml:space="preserve">Citado em J. Noakes et al. (orgs. 2008-2010) II 5. Ver também </w:t>
      </w:r>
      <w:r w:rsidRPr="00692811">
        <w:rPr>
          <w:rFonts w:ascii="Arial Narrow" w:hAnsi="Arial Narrow"/>
        </w:rPr>
        <w:t>D. Welch (2002) 108.</w:t>
      </w:r>
    </w:p>
  </w:footnote>
  <w:footnote w:id="16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F. Neumann (1943) 493.</w:t>
      </w:r>
    </w:p>
  </w:footnote>
  <w:footnote w:id="166">
    <w:p w:rsidR="00392E0D" w:rsidRPr="00692811" w:rsidRDefault="00392E0D" w:rsidP="00AC7904">
      <w:pPr>
        <w:pStyle w:val="Textodenotaderodap"/>
        <w:rPr>
          <w:rFonts w:ascii="Arial Narrow" w:hAnsi="Arial Narrow"/>
        </w:rPr>
      </w:pPr>
      <w:r w:rsidRPr="003E305A">
        <w:rPr>
          <w:rStyle w:val="Refdenotaderodap"/>
          <w:rFonts w:ascii="Arial Narrow" w:hAnsi="Arial Narrow"/>
        </w:rPr>
        <w:footnoteRef/>
      </w:r>
      <w:r w:rsidRPr="00692811">
        <w:rPr>
          <w:rFonts w:ascii="Arial Narrow" w:hAnsi="Arial Narrow"/>
        </w:rPr>
        <w:t xml:space="preserve"> A. Rosenberg (1986) 496; id. [s. d. 2] 362.</w:t>
      </w:r>
    </w:p>
  </w:footnote>
  <w:footnote w:id="167">
    <w:p w:rsidR="00392E0D" w:rsidRPr="008334C6" w:rsidRDefault="00392E0D">
      <w:pPr>
        <w:pStyle w:val="Textodenotaderodap"/>
        <w:rPr>
          <w:rFonts w:ascii="Arial Narrow" w:hAnsi="Arial Narrow"/>
        </w:rPr>
      </w:pPr>
      <w:r w:rsidRPr="008334C6">
        <w:rPr>
          <w:rStyle w:val="Refdenotaderodap"/>
          <w:rFonts w:ascii="Arial Narrow" w:hAnsi="Arial Narrow"/>
        </w:rPr>
        <w:footnoteRef/>
      </w:r>
      <w:r w:rsidRPr="008334C6">
        <w:rPr>
          <w:rFonts w:ascii="Arial Narrow" w:hAnsi="Arial Narrow"/>
        </w:rPr>
        <w:t xml:space="preserve"> </w:t>
      </w:r>
      <w:r>
        <w:rPr>
          <w:rFonts w:ascii="Arial Narrow" w:hAnsi="Arial Narrow"/>
        </w:rPr>
        <w:t xml:space="preserve">Citado em J. Noakes et al. (orgs. 2008-2010) II 6. Ver também </w:t>
      </w:r>
      <w:r w:rsidRPr="00692811">
        <w:rPr>
          <w:rFonts w:ascii="Arial Narrow" w:hAnsi="Arial Narrow"/>
        </w:rPr>
        <w:t>D. Welch (2002) 110.</w:t>
      </w:r>
    </w:p>
  </w:footnote>
  <w:footnote w:id="168">
    <w:p w:rsidR="00392E0D" w:rsidRPr="00496D3A" w:rsidRDefault="00392E0D">
      <w:pPr>
        <w:pStyle w:val="Textodenotaderodap"/>
        <w:rPr>
          <w:rFonts w:ascii="Arial Narrow" w:hAnsi="Arial Narrow"/>
        </w:rPr>
      </w:pPr>
      <w:r w:rsidRPr="00496D3A">
        <w:rPr>
          <w:rStyle w:val="Refdenotaderodap"/>
          <w:rFonts w:ascii="Arial Narrow" w:hAnsi="Arial Narrow"/>
        </w:rPr>
        <w:footnoteRef/>
      </w:r>
      <w:r w:rsidRPr="00496D3A">
        <w:rPr>
          <w:rFonts w:ascii="Arial Narrow" w:hAnsi="Arial Narrow"/>
        </w:rPr>
        <w:t xml:space="preserve"> </w:t>
      </w:r>
      <w:r>
        <w:rPr>
          <w:rFonts w:ascii="Arial Narrow" w:hAnsi="Arial Narrow"/>
        </w:rPr>
        <w:t xml:space="preserve">Citado em J. Noakes et al. (orgs. 2008-2010) II 5. Ver também </w:t>
      </w:r>
      <w:r w:rsidRPr="00692811">
        <w:rPr>
          <w:rFonts w:ascii="Arial Narrow" w:hAnsi="Arial Narrow"/>
        </w:rPr>
        <w:t>D. Welch (2002) 108.</w:t>
      </w:r>
    </w:p>
  </w:footnote>
  <w:footnote w:id="169">
    <w:p w:rsidR="00392E0D" w:rsidRPr="003E305A" w:rsidRDefault="00392E0D" w:rsidP="000B629E">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Bullock (1972) 403.</w:t>
      </w:r>
    </w:p>
  </w:footnote>
  <w:footnote w:id="170">
    <w:p w:rsidR="00392E0D" w:rsidRPr="003E305A" w:rsidRDefault="00392E0D" w:rsidP="00676CDF">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J. Droz [s. d.] 90.</w:t>
      </w:r>
    </w:p>
  </w:footnote>
  <w:footnote w:id="171">
    <w:p w:rsidR="00392E0D" w:rsidRPr="00886019" w:rsidRDefault="00392E0D" w:rsidP="00676CDF">
      <w:pPr>
        <w:pStyle w:val="Textodenotaderodap"/>
        <w:rPr>
          <w:rFonts w:ascii="Arial Narrow" w:hAnsi="Arial Narrow"/>
        </w:rPr>
      </w:pPr>
      <w:r w:rsidRPr="00886019">
        <w:rPr>
          <w:rStyle w:val="Refdenotaderodap"/>
          <w:rFonts w:ascii="Arial Narrow" w:hAnsi="Arial Narrow"/>
        </w:rPr>
        <w:footnoteRef/>
      </w:r>
      <w:r w:rsidRPr="000B629E">
        <w:rPr>
          <w:rFonts w:ascii="Arial Narrow" w:hAnsi="Arial Narrow"/>
          <w:lang w:val="en-US"/>
        </w:rPr>
        <w:t xml:space="preserve"> J. Noakes et al. (orgs. </w:t>
      </w:r>
      <w:r w:rsidRPr="00676CDF">
        <w:rPr>
          <w:rFonts w:ascii="Arial Narrow" w:hAnsi="Arial Narrow"/>
        </w:rPr>
        <w:t xml:space="preserve">2008-2010) III 424. </w:t>
      </w:r>
      <w:r>
        <w:rPr>
          <w:rFonts w:ascii="Arial Narrow" w:hAnsi="Arial Narrow"/>
        </w:rPr>
        <w:t xml:space="preserve">Note-se que estes autores chamaram-lhe </w:t>
      </w:r>
      <w:r w:rsidRPr="00D64137">
        <w:rPr>
          <w:rFonts w:ascii="Arial Narrow" w:hAnsi="Arial Narrow"/>
        </w:rPr>
        <w:t>Hans</w:t>
      </w:r>
      <w:r>
        <w:rPr>
          <w:rFonts w:ascii="Arial Narrow" w:hAnsi="Arial Narrow"/>
        </w:rPr>
        <w:t xml:space="preserve"> em vez de </w:t>
      </w:r>
      <w:r w:rsidRPr="00D64137">
        <w:rPr>
          <w:rFonts w:ascii="Arial Narrow" w:hAnsi="Arial Narrow"/>
        </w:rPr>
        <w:t>Franz</w:t>
      </w:r>
      <w:r>
        <w:rPr>
          <w:rFonts w:ascii="Arial Narrow" w:hAnsi="Arial Narrow"/>
        </w:rPr>
        <w:t xml:space="preserve">. </w:t>
      </w:r>
      <w:r w:rsidRPr="00692811">
        <w:rPr>
          <w:rFonts w:ascii="Arial Narrow" w:hAnsi="Arial Narrow"/>
        </w:rPr>
        <w:t>D. Welch (2002) 109 considerou que Gürtner «não era um nazi».</w:t>
      </w:r>
    </w:p>
  </w:footnote>
  <w:footnote w:id="172">
    <w:p w:rsidR="00392E0D" w:rsidRPr="003B659D" w:rsidRDefault="00392E0D">
      <w:pPr>
        <w:pStyle w:val="Textodenotaderodap"/>
        <w:rPr>
          <w:rFonts w:ascii="Arial Narrow" w:hAnsi="Arial Narrow"/>
        </w:rPr>
      </w:pPr>
      <w:r w:rsidRPr="00B43E8B">
        <w:rPr>
          <w:rStyle w:val="Refdenotaderodap"/>
          <w:rFonts w:ascii="Arial Narrow" w:hAnsi="Arial Narrow"/>
        </w:rPr>
        <w:footnoteRef/>
      </w:r>
      <w:r w:rsidRPr="00B43E8B">
        <w:rPr>
          <w:rFonts w:ascii="Arial Narrow" w:hAnsi="Arial Narrow"/>
        </w:rPr>
        <w:t xml:space="preserve"> </w:t>
      </w:r>
      <w:r>
        <w:rPr>
          <w:rFonts w:ascii="Arial Narrow" w:hAnsi="Arial Narrow"/>
        </w:rPr>
        <w:t xml:space="preserve">Citado em </w:t>
      </w:r>
      <w:r w:rsidRPr="003C102F">
        <w:rPr>
          <w:rFonts w:ascii="Arial Narrow" w:hAnsi="Arial Narrow"/>
        </w:rPr>
        <w:t xml:space="preserve">J. Noakes et al. (orgs. </w:t>
      </w:r>
      <w:r w:rsidRPr="00676CDF">
        <w:rPr>
          <w:rFonts w:ascii="Arial Narrow" w:hAnsi="Arial Narrow"/>
        </w:rPr>
        <w:t xml:space="preserve">2008-2010) </w:t>
      </w:r>
      <w:r w:rsidRPr="003B659D">
        <w:rPr>
          <w:rFonts w:ascii="Arial Narrow" w:hAnsi="Arial Narrow"/>
        </w:rPr>
        <w:t>II 250.</w:t>
      </w:r>
      <w:r>
        <w:rPr>
          <w:rFonts w:ascii="Arial Narrow" w:hAnsi="Arial Narrow"/>
        </w:rPr>
        <w:t xml:space="preserve"> Ver também </w:t>
      </w:r>
      <w:r w:rsidRPr="000B629E">
        <w:rPr>
          <w:rFonts w:ascii="Arial Narrow" w:hAnsi="Arial Narrow"/>
        </w:rPr>
        <w:t>J. Herf (1986) 111.</w:t>
      </w:r>
    </w:p>
  </w:footnote>
  <w:footnote w:id="173">
    <w:p w:rsidR="00392E0D" w:rsidRPr="00346F58" w:rsidRDefault="00392E0D">
      <w:pPr>
        <w:pStyle w:val="Textodenotaderodap"/>
        <w:rPr>
          <w:rFonts w:ascii="Arial Narrow" w:hAnsi="Arial Narrow"/>
        </w:rPr>
      </w:pPr>
      <w:r w:rsidRPr="00346F58">
        <w:rPr>
          <w:rStyle w:val="Refdenotaderodap"/>
          <w:rFonts w:ascii="Arial Narrow" w:hAnsi="Arial Narrow"/>
        </w:rPr>
        <w:footnoteRef/>
      </w:r>
      <w:r w:rsidRPr="00346F58">
        <w:rPr>
          <w:rFonts w:ascii="Arial Narrow" w:hAnsi="Arial Narrow"/>
        </w:rPr>
        <w:t xml:space="preserve"> </w:t>
      </w:r>
      <w:r>
        <w:rPr>
          <w:rFonts w:ascii="Arial Narrow" w:hAnsi="Arial Narrow"/>
        </w:rPr>
        <w:t xml:space="preserve">Citado em </w:t>
      </w:r>
      <w:r w:rsidRPr="003C102F">
        <w:rPr>
          <w:rFonts w:ascii="Arial Narrow" w:hAnsi="Arial Narrow"/>
        </w:rPr>
        <w:t xml:space="preserve">J. Noakes et al. (orgs. </w:t>
      </w:r>
      <w:r w:rsidRPr="00676CDF">
        <w:rPr>
          <w:rFonts w:ascii="Arial Narrow" w:hAnsi="Arial Narrow"/>
        </w:rPr>
        <w:t xml:space="preserve">2008-2010) </w:t>
      </w:r>
      <w:r>
        <w:rPr>
          <w:rFonts w:ascii="Arial Narrow" w:hAnsi="Arial Narrow"/>
        </w:rPr>
        <w:t>II 6.</w:t>
      </w:r>
    </w:p>
  </w:footnote>
  <w:footnote w:id="174">
    <w:p w:rsidR="00392E0D" w:rsidRPr="00CE0286" w:rsidRDefault="00392E0D">
      <w:pPr>
        <w:pStyle w:val="Textodenotaderodap"/>
        <w:rPr>
          <w:rFonts w:ascii="Arial Narrow" w:hAnsi="Arial Narrow"/>
        </w:rPr>
      </w:pPr>
      <w:r w:rsidRPr="00CE0286">
        <w:rPr>
          <w:rStyle w:val="Refdenotaderodap"/>
          <w:rFonts w:ascii="Arial Narrow" w:hAnsi="Arial Narrow"/>
        </w:rPr>
        <w:footnoteRef/>
      </w:r>
      <w:r w:rsidRPr="00CE0286">
        <w:rPr>
          <w:rFonts w:ascii="Arial Narrow" w:hAnsi="Arial Narrow"/>
        </w:rPr>
        <w:t xml:space="preserve"> </w:t>
      </w:r>
      <w:r>
        <w:rPr>
          <w:rFonts w:ascii="Arial Narrow" w:hAnsi="Arial Narrow"/>
        </w:rPr>
        <w:t>Citado em id., ibid., II 282.</w:t>
      </w:r>
    </w:p>
  </w:footnote>
  <w:footnote w:id="175">
    <w:p w:rsidR="00392E0D" w:rsidRPr="00E43E32" w:rsidRDefault="00392E0D">
      <w:pPr>
        <w:pStyle w:val="Textodenotaderodap"/>
        <w:rPr>
          <w:rFonts w:ascii="Arial Narrow" w:hAnsi="Arial Narrow"/>
          <w:lang w:val="en-US"/>
        </w:rPr>
      </w:pPr>
      <w:r w:rsidRPr="00FE6611">
        <w:rPr>
          <w:rStyle w:val="Refdenotaderodap"/>
          <w:rFonts w:ascii="Arial Narrow" w:hAnsi="Arial Narrow"/>
        </w:rPr>
        <w:footnoteRef/>
      </w:r>
      <w:r w:rsidRPr="00E43E32">
        <w:rPr>
          <w:rFonts w:ascii="Arial Narrow" w:hAnsi="Arial Narrow"/>
          <w:lang w:val="en-US"/>
        </w:rPr>
        <w:t xml:space="preserve"> A. Rosenberg (1986) 539; id. [s. d.</w:t>
      </w:r>
      <w:r>
        <w:rPr>
          <w:rFonts w:ascii="Arial Narrow" w:hAnsi="Arial Narrow"/>
          <w:lang w:val="en-US"/>
        </w:rPr>
        <w:t xml:space="preserve"> 2</w:t>
      </w:r>
      <w:r w:rsidRPr="00E43E32">
        <w:rPr>
          <w:rFonts w:ascii="Arial Narrow" w:hAnsi="Arial Narrow"/>
          <w:lang w:val="en-US"/>
        </w:rPr>
        <w:t>] 391.</w:t>
      </w:r>
    </w:p>
  </w:footnote>
  <w:footnote w:id="176">
    <w:p w:rsidR="00392E0D" w:rsidRPr="00CD5612" w:rsidRDefault="00392E0D">
      <w:pPr>
        <w:pStyle w:val="Textodenotaderodap"/>
        <w:rPr>
          <w:rFonts w:ascii="Arial Narrow" w:hAnsi="Arial Narrow"/>
        </w:rPr>
      </w:pPr>
      <w:r w:rsidRPr="00CD5612">
        <w:rPr>
          <w:rStyle w:val="Refdenotaderodap"/>
          <w:rFonts w:ascii="Arial Narrow" w:hAnsi="Arial Narrow"/>
        </w:rPr>
        <w:footnoteRef/>
      </w:r>
      <w:r w:rsidRPr="00CD5612">
        <w:rPr>
          <w:rFonts w:ascii="Arial Narrow" w:hAnsi="Arial Narrow"/>
        </w:rPr>
        <w:t xml:space="preserve"> </w:t>
      </w:r>
      <w:r w:rsidRPr="003C7C7C">
        <w:rPr>
          <w:rFonts w:ascii="Arial Narrow" w:hAnsi="Arial Narrow"/>
        </w:rPr>
        <w:t>A. Quinchon-Caudal (2013) 149.</w:t>
      </w:r>
    </w:p>
  </w:footnote>
  <w:footnote w:id="177">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Conte et al. (1995) 104-105, 107. Leio em L. Poliakov (1971) 278 n. 2 um extracto de uma circular interna do NSDAP, datada de 24 de Outubro de 1934, onde </w:t>
      </w:r>
      <w:r>
        <w:rPr>
          <w:rFonts w:ascii="Arial Narrow" w:hAnsi="Arial Narrow"/>
        </w:rPr>
        <w:t>foi</w:t>
      </w:r>
      <w:r w:rsidRPr="003E305A">
        <w:rPr>
          <w:rFonts w:ascii="Arial Narrow" w:hAnsi="Arial Narrow"/>
        </w:rPr>
        <w:t xml:space="preserve"> reiterada a condenação, feita já no ano anterior, das discussões acerca das várias componentes raciais do povo alemão e nomeadamente proibida a insistência nas características físicas da raça nórdica. </w:t>
      </w:r>
      <w:r>
        <w:rPr>
          <w:rFonts w:ascii="Arial Narrow" w:hAnsi="Arial Narrow"/>
        </w:rPr>
        <w:t xml:space="preserve">Ver igualmente </w:t>
      </w:r>
      <w:r w:rsidRPr="00BB750A">
        <w:rPr>
          <w:rFonts w:ascii="Arial Narrow" w:hAnsi="Arial Narrow"/>
        </w:rPr>
        <w:t xml:space="preserve">A. Quinchon-Caudal (2013) </w:t>
      </w:r>
      <w:r>
        <w:rPr>
          <w:rFonts w:ascii="Arial Narrow" w:hAnsi="Arial Narrow"/>
        </w:rPr>
        <w:t xml:space="preserve">150-151. </w:t>
      </w:r>
      <w:r w:rsidRPr="003E305A">
        <w:rPr>
          <w:rFonts w:ascii="Arial Narrow" w:hAnsi="Arial Narrow"/>
        </w:rPr>
        <w:t xml:space="preserve">Tratou-se decerto de </w:t>
      </w:r>
      <w:r>
        <w:rPr>
          <w:rFonts w:ascii="Arial Narrow" w:hAnsi="Arial Narrow"/>
        </w:rPr>
        <w:t>uma peça n</w:t>
      </w:r>
      <w:r w:rsidRPr="003E305A">
        <w:rPr>
          <w:rFonts w:ascii="Arial Narrow" w:hAnsi="Arial Narrow"/>
        </w:rPr>
        <w:t xml:space="preserve">uma das últimas batalhas travadas pela concepção abrangente de racismo, que em breve iria ser definitivamente </w:t>
      </w:r>
      <w:r>
        <w:rPr>
          <w:rFonts w:ascii="Arial Narrow" w:hAnsi="Arial Narrow"/>
        </w:rPr>
        <w:t>liquidada</w:t>
      </w:r>
      <w:r w:rsidRPr="003E305A">
        <w:rPr>
          <w:rFonts w:ascii="Arial Narrow" w:hAnsi="Arial Narrow"/>
        </w:rPr>
        <w:t>. No entanto, ainda no final de 1941 detectamos traços dessa concepção nas altas esferas do NSADP. Um comissário-geral nos territórios soviéticos ocupados, membro do partido desde antes de 1933, protest</w:t>
      </w:r>
      <w:r>
        <w:rPr>
          <w:rFonts w:ascii="Arial Narrow" w:hAnsi="Arial Narrow"/>
        </w:rPr>
        <w:t>ou</w:t>
      </w:r>
      <w:r w:rsidRPr="003E305A">
        <w:rPr>
          <w:rFonts w:ascii="Arial Narrow" w:hAnsi="Arial Narrow"/>
        </w:rPr>
        <w:t xml:space="preserve"> junto aos seus superiores contra o tratamento infligido aos judeus de origem germânica, argumentando que «pessoas oriundas do nosso próprio meio cultural distinguem-se necessariamente das hordas animalescas dos nativos». Citado em H. Arendt (1994) 96.</w:t>
      </w:r>
    </w:p>
  </w:footnote>
  <w:footnote w:id="17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5B296A">
        <w:rPr>
          <w:rFonts w:ascii="Arial Narrow" w:hAnsi="Arial Narrow"/>
        </w:rPr>
        <w:t xml:space="preserve">O. Strasser (1940) </w:t>
      </w:r>
      <w:r>
        <w:rPr>
          <w:rFonts w:ascii="Arial Narrow" w:hAnsi="Arial Narrow"/>
        </w:rPr>
        <w:t xml:space="preserve">107. Ver ainda </w:t>
      </w:r>
      <w:r w:rsidRPr="003E305A">
        <w:rPr>
          <w:rFonts w:ascii="Arial Narrow" w:hAnsi="Arial Narrow"/>
        </w:rPr>
        <w:t>J. P. Faye (1980) 135.</w:t>
      </w:r>
    </w:p>
  </w:footnote>
  <w:footnote w:id="179">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Embora especificando que a sua concepção da natureza e do sentido das raças humanas não coincidia inteiramente com os ensinamentos de Darwin, H. S. Chamberlain (1913) 1387-1388 reconheceu-o como o seu principal mestre nestas questões, por ter sido ele quem o ensinara a distinguir entre raça e espécie. Quanto a Galton, a quem chamou cunhado de Darwin quando na verdade eles eram primos, Houston Stewart Chamberlain</w:t>
      </w:r>
      <w:r>
        <w:rPr>
          <w:rFonts w:ascii="Arial Narrow" w:hAnsi="Arial Narrow"/>
        </w:rPr>
        <w:t>,</w:t>
      </w:r>
      <w:r w:rsidRPr="003E305A">
        <w:rPr>
          <w:rFonts w:ascii="Arial Narrow" w:hAnsi="Arial Narrow"/>
        </w:rPr>
        <w:t xml:space="preserve"> </w:t>
      </w:r>
      <w:r w:rsidRPr="000D0F49">
        <w:rPr>
          <w:rFonts w:ascii="Arial Narrow" w:hAnsi="Arial Narrow"/>
        </w:rPr>
        <w:t>op. cit.,</w:t>
      </w:r>
      <w:r w:rsidRPr="003E305A">
        <w:rPr>
          <w:rFonts w:ascii="Arial Narrow" w:hAnsi="Arial Narrow"/>
        </w:rPr>
        <w:t xml:space="preserve"> 1412 elogiou as suas propostas para melhorar biologicamente a raça.</w:t>
      </w:r>
    </w:p>
  </w:footnote>
  <w:footnote w:id="180">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358, 395-398, 464, 1388.</w:t>
      </w:r>
    </w:p>
  </w:footnote>
  <w:footnote w:id="181">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As «cinco leis da natureza» vêm expostas em id., ibid., 374-386. As passagens citadas encontram-se, respectivamente, nas págs. 374, 375, 376-377 e 380.</w:t>
      </w:r>
    </w:p>
  </w:footnote>
  <w:footnote w:id="182">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955.</w:t>
      </w:r>
    </w:p>
  </w:footnote>
  <w:footnote w:id="183">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392 n.</w:t>
      </w:r>
    </w:p>
  </w:footnote>
  <w:footnote w:id="184">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393.</w:t>
      </w:r>
    </w:p>
  </w:footnote>
  <w:footnote w:id="185">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396.</w:t>
      </w:r>
    </w:p>
  </w:footnote>
  <w:footnote w:id="186">
    <w:p w:rsidR="00392E0D" w:rsidRPr="003E305A" w:rsidRDefault="00392E0D" w:rsidP="00321E01">
      <w:pPr>
        <w:pStyle w:val="Textodenotaderodap"/>
        <w:tabs>
          <w:tab w:val="left" w:pos="7501"/>
        </w:tabs>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384.</w:t>
      </w:r>
    </w:p>
  </w:footnote>
  <w:footnote w:id="187">
    <w:p w:rsidR="00392E0D" w:rsidRPr="003C102F" w:rsidRDefault="00392E0D">
      <w:pPr>
        <w:pStyle w:val="Textodenotaderodap"/>
        <w:rPr>
          <w:rFonts w:ascii="Arial Narrow" w:hAnsi="Arial Narrow"/>
          <w:lang w:val="en-US"/>
        </w:rPr>
      </w:pPr>
      <w:r w:rsidRPr="005908CD">
        <w:rPr>
          <w:rStyle w:val="Refdenotaderodap"/>
          <w:rFonts w:ascii="Arial Narrow" w:hAnsi="Arial Narrow"/>
        </w:rPr>
        <w:footnoteRef/>
      </w:r>
      <w:r w:rsidRPr="001A04E5">
        <w:rPr>
          <w:rFonts w:ascii="Arial Narrow" w:hAnsi="Arial Narrow"/>
          <w:lang w:val="en-US"/>
        </w:rPr>
        <w:t xml:space="preserve"> J</w:t>
      </w:r>
      <w:r>
        <w:rPr>
          <w:rFonts w:ascii="Arial Narrow" w:hAnsi="Arial Narrow"/>
          <w:lang w:val="en-US"/>
        </w:rPr>
        <w:t xml:space="preserve">. </w:t>
      </w:r>
      <w:r w:rsidRPr="001A04E5">
        <w:rPr>
          <w:rFonts w:ascii="Arial Narrow" w:hAnsi="Arial Narrow"/>
          <w:lang w:val="en-US"/>
        </w:rPr>
        <w:t>Lanz von Liebenfels [s. d.]</w:t>
      </w:r>
      <w:r>
        <w:rPr>
          <w:rFonts w:ascii="Arial Narrow" w:hAnsi="Arial Narrow"/>
          <w:lang w:val="en-US"/>
        </w:rPr>
        <w:t xml:space="preserve"> 57-58.</w:t>
      </w:r>
    </w:p>
  </w:footnote>
  <w:footnote w:id="188">
    <w:p w:rsidR="00392E0D" w:rsidRPr="003C102F" w:rsidRDefault="00392E0D">
      <w:pPr>
        <w:pStyle w:val="Textodenotaderodap"/>
        <w:rPr>
          <w:rFonts w:ascii="Arial Narrow" w:hAnsi="Arial Narrow"/>
          <w:lang w:val="en-US"/>
        </w:rPr>
      </w:pPr>
      <w:r w:rsidRPr="003C102F">
        <w:rPr>
          <w:rStyle w:val="Refdenotaderodap"/>
          <w:rFonts w:ascii="Arial Narrow" w:hAnsi="Arial Narrow"/>
        </w:rPr>
        <w:footnoteRef/>
      </w:r>
      <w:r w:rsidRPr="003C102F">
        <w:rPr>
          <w:rFonts w:ascii="Arial Narrow" w:hAnsi="Arial Narrow"/>
          <w:lang w:val="en-US"/>
        </w:rPr>
        <w:t xml:space="preserve"> Id., ibid., </w:t>
      </w:r>
      <w:r w:rsidRPr="005805BE">
        <w:rPr>
          <w:rFonts w:ascii="Arial Narrow" w:hAnsi="Arial Narrow"/>
          <w:lang w:val="en-US"/>
        </w:rPr>
        <w:t>55.</w:t>
      </w:r>
    </w:p>
  </w:footnote>
  <w:footnote w:id="189">
    <w:p w:rsidR="00392E0D" w:rsidRPr="005805BE" w:rsidRDefault="00392E0D">
      <w:pPr>
        <w:pStyle w:val="Textodenotaderodap"/>
        <w:rPr>
          <w:rFonts w:ascii="Arial Narrow" w:hAnsi="Arial Narrow"/>
        </w:rPr>
      </w:pPr>
      <w:r w:rsidRPr="00F93BB3">
        <w:rPr>
          <w:rStyle w:val="Refdenotaderodap"/>
          <w:rFonts w:ascii="Arial Narrow" w:hAnsi="Arial Narrow"/>
        </w:rPr>
        <w:footnoteRef/>
      </w:r>
      <w:r w:rsidRPr="00F93BB3">
        <w:rPr>
          <w:rFonts w:ascii="Arial Narrow" w:hAnsi="Arial Narrow"/>
          <w:lang w:val="en-US"/>
        </w:rPr>
        <w:t xml:space="preserve"> A. Rosenberg (1986) 109-110; id. </w:t>
      </w:r>
      <w:r w:rsidRPr="005805BE">
        <w:rPr>
          <w:rFonts w:ascii="Arial Narrow" w:hAnsi="Arial Narrow"/>
        </w:rPr>
        <w:t xml:space="preserve">[s. d. 2] 115-116. </w:t>
      </w:r>
    </w:p>
  </w:footnote>
  <w:footnote w:id="190">
    <w:p w:rsidR="00392E0D" w:rsidRPr="00333242" w:rsidRDefault="00392E0D" w:rsidP="00FA1813">
      <w:pPr>
        <w:pStyle w:val="Textodenotaderodap"/>
        <w:rPr>
          <w:rFonts w:ascii="Arial Narrow" w:hAnsi="Arial Narrow"/>
          <w:lang w:val="en-US"/>
        </w:rPr>
      </w:pPr>
      <w:r w:rsidRPr="00E467AA">
        <w:rPr>
          <w:rStyle w:val="Refdenotaderodap"/>
          <w:rFonts w:ascii="Arial Narrow" w:hAnsi="Arial Narrow"/>
        </w:rPr>
        <w:footnoteRef/>
      </w:r>
      <w:r w:rsidRPr="00C9323B">
        <w:rPr>
          <w:rFonts w:ascii="Arial Narrow" w:hAnsi="Arial Narrow"/>
        </w:rPr>
        <w:t xml:space="preserve"> Segui id. [s. d.</w:t>
      </w:r>
      <w:r>
        <w:rPr>
          <w:rFonts w:ascii="Arial Narrow" w:hAnsi="Arial Narrow"/>
        </w:rPr>
        <w:t xml:space="preserve"> 2</w:t>
      </w:r>
      <w:r w:rsidRPr="00C9323B">
        <w:rPr>
          <w:rFonts w:ascii="Arial Narrow" w:hAnsi="Arial Narrow"/>
        </w:rPr>
        <w:t>] 383</w:t>
      </w:r>
      <w:r>
        <w:rPr>
          <w:rFonts w:ascii="Arial Narrow" w:hAnsi="Arial Narrow"/>
        </w:rPr>
        <w:t xml:space="preserve"> e 373</w:t>
      </w:r>
      <w:r w:rsidRPr="00C9323B">
        <w:rPr>
          <w:rFonts w:ascii="Arial Narrow" w:hAnsi="Arial Narrow"/>
        </w:rPr>
        <w:t xml:space="preserve">, </w:t>
      </w:r>
      <w:r>
        <w:rPr>
          <w:rFonts w:ascii="Arial Narrow" w:hAnsi="Arial Narrow"/>
        </w:rPr>
        <w:t xml:space="preserve">respectivamente, </w:t>
      </w:r>
      <w:r w:rsidRPr="00C9323B">
        <w:rPr>
          <w:rFonts w:ascii="Arial Narrow" w:hAnsi="Arial Narrow"/>
        </w:rPr>
        <w:t>desprezando a</w:t>
      </w:r>
      <w:r>
        <w:rPr>
          <w:rFonts w:ascii="Arial Narrow" w:hAnsi="Arial Narrow"/>
        </w:rPr>
        <w:t>s</w:t>
      </w:r>
      <w:r w:rsidRPr="00C9323B">
        <w:rPr>
          <w:rFonts w:ascii="Arial Narrow" w:hAnsi="Arial Narrow"/>
        </w:rPr>
        <w:t xml:space="preserve"> vers</w:t>
      </w:r>
      <w:r>
        <w:rPr>
          <w:rFonts w:ascii="Arial Narrow" w:hAnsi="Arial Narrow"/>
        </w:rPr>
        <w:t>ões</w:t>
      </w:r>
      <w:r w:rsidRPr="00C9323B">
        <w:rPr>
          <w:rFonts w:ascii="Arial Narrow" w:hAnsi="Arial Narrow"/>
        </w:rPr>
        <w:t xml:space="preserve"> de id. </w:t>
      </w:r>
      <w:r w:rsidRPr="009B4FF1">
        <w:rPr>
          <w:rFonts w:ascii="Arial Narrow" w:hAnsi="Arial Narrow"/>
        </w:rPr>
        <w:t xml:space="preserve">(1986) 525 e 512. Todavia, ao reflectir sobre o fracasso do Terceiro Reich, quando pouco lhe faltava para ser enforcado, Rosenberg reconheceu que «é na verdade impossível, por razões psicológicas, procriar seres humanos artificialmente com o objectivo de os observar a longo prazo». </w:t>
      </w:r>
      <w:r>
        <w:rPr>
          <w:rFonts w:ascii="Arial Narrow" w:hAnsi="Arial Narrow"/>
          <w:lang w:val="en-US"/>
        </w:rPr>
        <w:t>Ver id. [s. d. 1] 48.</w:t>
      </w:r>
    </w:p>
  </w:footnote>
  <w:footnote w:id="191">
    <w:p w:rsidR="00392E0D" w:rsidRPr="003600B3" w:rsidRDefault="00392E0D">
      <w:pPr>
        <w:pStyle w:val="Textodenotaderodap"/>
        <w:rPr>
          <w:rFonts w:ascii="Arial Narrow" w:hAnsi="Arial Narrow"/>
        </w:rPr>
      </w:pPr>
      <w:r w:rsidRPr="00AA671C">
        <w:rPr>
          <w:rStyle w:val="Refdenotaderodap"/>
          <w:rFonts w:ascii="Arial Narrow" w:hAnsi="Arial Narrow"/>
        </w:rPr>
        <w:footnoteRef/>
      </w:r>
      <w:r w:rsidRPr="00333242">
        <w:rPr>
          <w:rFonts w:ascii="Arial Narrow" w:hAnsi="Arial Narrow"/>
          <w:lang w:val="en-US"/>
        </w:rPr>
        <w:t xml:space="preserve"> J. Noakes et al. </w:t>
      </w:r>
      <w:r>
        <w:rPr>
          <w:rFonts w:ascii="Arial Narrow" w:hAnsi="Arial Narrow"/>
          <w:lang w:val="en-US"/>
        </w:rPr>
        <w:t xml:space="preserve">(orgs. </w:t>
      </w:r>
      <w:r w:rsidRPr="00861768">
        <w:rPr>
          <w:rFonts w:ascii="Arial Narrow" w:hAnsi="Arial Narrow"/>
          <w:lang w:val="en-US"/>
        </w:rPr>
        <w:t xml:space="preserve">2008-2010) II 301. </w:t>
      </w:r>
      <w:r>
        <w:rPr>
          <w:rFonts w:ascii="Arial Narrow" w:hAnsi="Arial Narrow"/>
        </w:rPr>
        <w:t>No entanto</w:t>
      </w:r>
      <w:r w:rsidRPr="003600B3">
        <w:rPr>
          <w:rFonts w:ascii="Arial Narrow" w:hAnsi="Arial Narrow"/>
        </w:rPr>
        <w:t xml:space="preserve">, </w:t>
      </w:r>
      <w:r w:rsidRPr="003C7C7C">
        <w:rPr>
          <w:rFonts w:ascii="Arial Narrow" w:hAnsi="Arial Narrow"/>
        </w:rPr>
        <w:t xml:space="preserve">A. Quinchon-Caudal (2013) 178 e </w:t>
      </w:r>
      <w:r w:rsidRPr="003600B3">
        <w:rPr>
          <w:rFonts w:ascii="Arial Narrow" w:hAnsi="Arial Narrow"/>
        </w:rPr>
        <w:t>K. A. Schleunes (1990)</w:t>
      </w:r>
      <w:r>
        <w:rPr>
          <w:rFonts w:ascii="Arial Narrow" w:hAnsi="Arial Narrow"/>
        </w:rPr>
        <w:t xml:space="preserve"> 130 mencionaram 1750 e </w:t>
      </w:r>
      <w:r w:rsidRPr="007650CD">
        <w:rPr>
          <w:rFonts w:ascii="Arial Narrow" w:hAnsi="Arial Narrow"/>
        </w:rPr>
        <w:t>H. F. Ziegler (1989) 54 mencionou 1750 para as chefias e 1800 para os membros da base.</w:t>
      </w:r>
    </w:p>
  </w:footnote>
  <w:footnote w:id="192">
    <w:p w:rsidR="00392E0D" w:rsidRPr="00CB6FA3"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J. Billig (2000) 164; E. K. Bramstedt (1945) 78; </w:t>
      </w:r>
      <w:r w:rsidRPr="00B11EFF">
        <w:rPr>
          <w:rFonts w:ascii="Arial Narrow" w:hAnsi="Arial Narrow"/>
          <w:lang w:val="en-US"/>
        </w:rPr>
        <w:t>A. Bramwell (1985) 209</w:t>
      </w:r>
      <w:r>
        <w:rPr>
          <w:rFonts w:ascii="Arial Narrow" w:hAnsi="Arial Narrow"/>
          <w:lang w:val="en-US"/>
        </w:rPr>
        <w:t xml:space="preserve">; </w:t>
      </w:r>
      <w:r w:rsidRPr="003E305A">
        <w:rPr>
          <w:rFonts w:ascii="Arial Narrow" w:hAnsi="Arial Narrow"/>
          <w:lang w:val="en-GB"/>
        </w:rPr>
        <w:t xml:space="preserve">E. Conte et al. </w:t>
      </w:r>
      <w:r w:rsidRPr="0013210B">
        <w:rPr>
          <w:rFonts w:ascii="Arial Narrow" w:hAnsi="Arial Narrow"/>
          <w:lang w:val="en-US"/>
        </w:rPr>
        <w:t xml:space="preserve">(1995) 100, 157-160; R. L. Koehl (1983) 48-49, 82-83, 116; </w:t>
      </w:r>
      <w:r>
        <w:rPr>
          <w:rFonts w:ascii="Arial Narrow" w:hAnsi="Arial Narrow"/>
          <w:lang w:val="en-US"/>
        </w:rPr>
        <w:t xml:space="preserve">J. Noakes et al. (orgs. </w:t>
      </w:r>
      <w:r w:rsidRPr="00FD59C8">
        <w:rPr>
          <w:rFonts w:ascii="Arial Narrow" w:hAnsi="Arial Narrow"/>
          <w:lang w:val="en-US"/>
        </w:rPr>
        <w:t>2008-2010) II 299-300; A. Pichot (2000) 243</w:t>
      </w:r>
      <w:r>
        <w:rPr>
          <w:rFonts w:ascii="Arial Narrow" w:hAnsi="Arial Narrow"/>
          <w:lang w:val="en-US"/>
        </w:rPr>
        <w:t xml:space="preserve">; </w:t>
      </w:r>
      <w:r w:rsidRPr="00434FC8">
        <w:rPr>
          <w:rFonts w:ascii="Arial Narrow" w:hAnsi="Arial Narrow"/>
          <w:lang w:val="en-US"/>
        </w:rPr>
        <w:t xml:space="preserve">A. Quinchon-Caudal (2013) </w:t>
      </w:r>
      <w:r>
        <w:rPr>
          <w:rFonts w:ascii="Arial Narrow" w:hAnsi="Arial Narrow"/>
          <w:lang w:val="en-US"/>
        </w:rPr>
        <w:t xml:space="preserve">112; </w:t>
      </w:r>
      <w:r w:rsidRPr="007650CD">
        <w:rPr>
          <w:rFonts w:ascii="Arial Narrow" w:hAnsi="Arial Narrow"/>
          <w:lang w:val="en-US"/>
        </w:rPr>
        <w:t>H. F. Ziegler (1989)</w:t>
      </w:r>
      <w:r>
        <w:rPr>
          <w:rFonts w:ascii="Arial Narrow" w:hAnsi="Arial Narrow"/>
          <w:lang w:val="en-US"/>
        </w:rPr>
        <w:t xml:space="preserve"> 54</w:t>
      </w:r>
      <w:r w:rsidRPr="00FD59C8">
        <w:rPr>
          <w:rFonts w:ascii="Arial Narrow" w:hAnsi="Arial Narrow"/>
          <w:lang w:val="en-US"/>
        </w:rPr>
        <w:t xml:space="preserve">. </w:t>
      </w:r>
      <w:r>
        <w:rPr>
          <w:rFonts w:ascii="Arial Narrow" w:hAnsi="Arial Narrow"/>
        </w:rPr>
        <w:t>Deve-se a</w:t>
      </w:r>
      <w:r w:rsidRPr="00CB6FA3">
        <w:rPr>
          <w:rFonts w:ascii="Arial Narrow" w:hAnsi="Arial Narrow"/>
        </w:rPr>
        <w:t xml:space="preserve"> Anna Bramwell</w:t>
      </w:r>
      <w:r>
        <w:rPr>
          <w:rFonts w:ascii="Arial Narrow" w:hAnsi="Arial Narrow"/>
        </w:rPr>
        <w:t>,</w:t>
      </w:r>
      <w:r w:rsidRPr="00CB6FA3">
        <w:rPr>
          <w:rFonts w:ascii="Arial Narrow" w:hAnsi="Arial Narrow"/>
        </w:rPr>
        <w:t xml:space="preserve"> </w:t>
      </w:r>
      <w:r w:rsidRPr="00A25B4D">
        <w:rPr>
          <w:rFonts w:ascii="Arial Narrow" w:hAnsi="Arial Narrow"/>
        </w:rPr>
        <w:t>op. cit.,</w:t>
      </w:r>
      <w:r>
        <w:rPr>
          <w:rFonts w:ascii="Arial Narrow" w:hAnsi="Arial Narrow"/>
        </w:rPr>
        <w:t xml:space="preserve"> 71-72 a afirmação de que este decreto de Himmler foi elaborado com a colaboração de Darré. O artigo «A Europa Voltará a Ser Saudável», </w:t>
      </w:r>
      <w:r w:rsidRPr="00877B75">
        <w:rPr>
          <w:rFonts w:ascii="Arial Narrow" w:hAnsi="Arial Narrow"/>
          <w:i/>
        </w:rPr>
        <w:t>Germanische Leithefte,</w:t>
      </w:r>
      <w:r>
        <w:rPr>
          <w:rFonts w:ascii="Arial Narrow" w:hAnsi="Arial Narrow"/>
        </w:rPr>
        <w:t xml:space="preserve"> I, nº1, 1941, uma publicação dos SS, antologiado em </w:t>
      </w:r>
      <w:r w:rsidRPr="005B296A">
        <w:rPr>
          <w:rFonts w:ascii="Arial Narrow" w:hAnsi="Arial Narrow"/>
        </w:rPr>
        <w:t>K. Hammer (org. 1988-1994) III 10-14, considerou este decreto (pág. 13) o alicerce da política racial dos SS e depois do Reich e da Europa.</w:t>
      </w:r>
    </w:p>
  </w:footnote>
  <w:footnote w:id="193">
    <w:p w:rsidR="00392E0D" w:rsidRPr="00B11EFF" w:rsidRDefault="00392E0D">
      <w:pPr>
        <w:pStyle w:val="Textodenotaderodap"/>
        <w:rPr>
          <w:rFonts w:ascii="Arial Narrow" w:hAnsi="Arial Narrow"/>
        </w:rPr>
      </w:pPr>
      <w:r w:rsidRPr="00B11EFF">
        <w:rPr>
          <w:rStyle w:val="Refdenotaderodap"/>
          <w:rFonts w:ascii="Arial Narrow" w:hAnsi="Arial Narrow"/>
        </w:rPr>
        <w:footnoteRef/>
      </w:r>
      <w:r w:rsidRPr="00B11EFF">
        <w:rPr>
          <w:rFonts w:ascii="Arial Narrow" w:hAnsi="Arial Narrow"/>
        </w:rPr>
        <w:t xml:space="preserve"> </w:t>
      </w:r>
      <w:r>
        <w:rPr>
          <w:rFonts w:ascii="Arial Narrow" w:hAnsi="Arial Narrow"/>
        </w:rPr>
        <w:t>Citado em A. Bramwell (1985) 209.</w:t>
      </w:r>
    </w:p>
  </w:footnote>
  <w:footnote w:id="194">
    <w:p w:rsidR="00392E0D" w:rsidRPr="000B5533" w:rsidRDefault="00392E0D">
      <w:pPr>
        <w:pStyle w:val="Textodenotaderodap"/>
        <w:rPr>
          <w:rFonts w:ascii="Arial Narrow" w:hAnsi="Arial Narrow"/>
        </w:rPr>
      </w:pPr>
      <w:r w:rsidRPr="000B5533">
        <w:rPr>
          <w:rStyle w:val="Refdenotaderodap"/>
          <w:rFonts w:ascii="Arial Narrow" w:hAnsi="Arial Narrow"/>
        </w:rPr>
        <w:footnoteRef/>
      </w:r>
      <w:r w:rsidRPr="00235534">
        <w:rPr>
          <w:rFonts w:ascii="Arial Narrow" w:hAnsi="Arial Narrow"/>
        </w:rPr>
        <w:t xml:space="preserve"> J. Noakes et al. </w:t>
      </w:r>
      <w:r w:rsidRPr="00CB6FA3">
        <w:rPr>
          <w:rFonts w:ascii="Arial Narrow" w:hAnsi="Arial Narrow"/>
        </w:rPr>
        <w:t xml:space="preserve">(orgs. </w:t>
      </w:r>
      <w:r>
        <w:rPr>
          <w:rFonts w:ascii="Arial Narrow" w:hAnsi="Arial Narrow"/>
        </w:rPr>
        <w:t>2008-2010) II 341-342.</w:t>
      </w:r>
    </w:p>
  </w:footnote>
  <w:footnote w:id="195">
    <w:p w:rsidR="00392E0D" w:rsidRPr="00E12D2A" w:rsidRDefault="00392E0D">
      <w:pPr>
        <w:pStyle w:val="Textodenotaderodap"/>
        <w:rPr>
          <w:rFonts w:ascii="Arial Narrow" w:hAnsi="Arial Narrow"/>
        </w:rPr>
      </w:pPr>
      <w:r w:rsidRPr="00E95DE4">
        <w:rPr>
          <w:rStyle w:val="Refdenotaderodap"/>
          <w:rFonts w:ascii="Arial Narrow" w:hAnsi="Arial Narrow"/>
        </w:rPr>
        <w:footnoteRef/>
      </w:r>
      <w:r w:rsidRPr="00D5321B">
        <w:rPr>
          <w:rFonts w:ascii="Arial Narrow" w:hAnsi="Arial Narrow"/>
        </w:rPr>
        <w:t xml:space="preserve"> M. Gilbert (2011 b) I 28, II 455-456; </w:t>
      </w:r>
      <w:r w:rsidRPr="00B2463D">
        <w:rPr>
          <w:rFonts w:ascii="Arial Narrow" w:hAnsi="Arial Narrow"/>
          <w:lang w:val="de-DE"/>
        </w:rPr>
        <w:t xml:space="preserve">«Lebensborn», em I. C. B. Dear et al. </w:t>
      </w:r>
      <w:r w:rsidRPr="003E305A">
        <w:rPr>
          <w:rFonts w:ascii="Arial Narrow" w:hAnsi="Arial Narrow"/>
          <w:lang w:val="fr-FR"/>
        </w:rPr>
        <w:t>(orgs. 1995) 67</w:t>
      </w:r>
      <w:r>
        <w:rPr>
          <w:rFonts w:ascii="Arial Narrow" w:hAnsi="Arial Narrow"/>
          <w:lang w:val="fr-FR"/>
        </w:rPr>
        <w:t>4</w:t>
      </w:r>
      <w:r>
        <w:rPr>
          <w:rFonts w:ascii="Arial Narrow" w:hAnsi="Arial Narrow"/>
        </w:rPr>
        <w:t xml:space="preserve">. Ver igualmente J. Noakes et al. </w:t>
      </w:r>
      <w:r w:rsidRPr="00E12D2A">
        <w:rPr>
          <w:rFonts w:ascii="Arial Narrow" w:hAnsi="Arial Narrow"/>
        </w:rPr>
        <w:t>(orgs. 2008-2010) IV 303, 329</w:t>
      </w:r>
      <w:r>
        <w:rPr>
          <w:rFonts w:ascii="Arial Narrow" w:hAnsi="Arial Narrow"/>
        </w:rPr>
        <w:t>,</w:t>
      </w:r>
      <w:r w:rsidRPr="00E12D2A">
        <w:rPr>
          <w:rFonts w:ascii="Arial Narrow" w:hAnsi="Arial Narrow"/>
        </w:rPr>
        <w:t xml:space="preserve"> 369</w:t>
      </w:r>
      <w:r>
        <w:rPr>
          <w:rFonts w:ascii="Arial Narrow" w:hAnsi="Arial Narrow"/>
        </w:rPr>
        <w:t xml:space="preserve"> e </w:t>
      </w:r>
      <w:r w:rsidRPr="003C7C7C">
        <w:rPr>
          <w:rFonts w:ascii="Arial Narrow" w:hAnsi="Arial Narrow"/>
        </w:rPr>
        <w:t>A. Quinchon-Caudal (2013) 183-187</w:t>
      </w:r>
      <w:r w:rsidRPr="00E12D2A">
        <w:rPr>
          <w:rFonts w:ascii="Arial Narrow" w:hAnsi="Arial Narrow"/>
        </w:rPr>
        <w:t>.</w:t>
      </w:r>
    </w:p>
  </w:footnote>
  <w:footnote w:id="196">
    <w:p w:rsidR="00392E0D" w:rsidRPr="00E12D2A" w:rsidRDefault="00392E0D">
      <w:pPr>
        <w:pStyle w:val="Textodenotaderodap"/>
        <w:rPr>
          <w:rFonts w:ascii="Arial Narrow" w:hAnsi="Arial Narrow"/>
        </w:rPr>
      </w:pPr>
      <w:r w:rsidRPr="00926E58">
        <w:rPr>
          <w:rStyle w:val="Refdenotaderodap"/>
          <w:rFonts w:ascii="Arial Narrow" w:hAnsi="Arial Narrow"/>
        </w:rPr>
        <w:footnoteRef/>
      </w:r>
      <w:r w:rsidRPr="00E12D2A">
        <w:rPr>
          <w:rFonts w:ascii="Arial Narrow" w:hAnsi="Arial Narrow"/>
        </w:rPr>
        <w:t xml:space="preserve"> Sh. F. Weiss (2010) 168, 169. Este problema, que hoje pode parecer</w:t>
      </w:r>
      <w:r>
        <w:rPr>
          <w:rFonts w:ascii="Arial Narrow" w:hAnsi="Arial Narrow"/>
        </w:rPr>
        <w:t>-</w:t>
      </w:r>
      <w:r w:rsidRPr="00E12D2A">
        <w:rPr>
          <w:rFonts w:ascii="Arial Narrow" w:hAnsi="Arial Narrow"/>
        </w:rPr>
        <w:t>nos estranho, compreende-se no qu</w:t>
      </w:r>
      <w:r>
        <w:rPr>
          <w:rFonts w:ascii="Arial Narrow" w:hAnsi="Arial Narrow"/>
        </w:rPr>
        <w:t xml:space="preserve">adro de preocupações da eugenia, já que, por exemplo, o médico e antropólogo eugenista Fritz Lenz defendia que os filhos ilegítimos carregavam uma hereditariedade desfavorável, o que o tornou alvo da antipatia de Himmler. Ver </w:t>
      </w:r>
      <w:r w:rsidRPr="00C4066E">
        <w:rPr>
          <w:rFonts w:ascii="Arial Narrow" w:hAnsi="Arial Narrow"/>
        </w:rPr>
        <w:t>A. Quinchon-Caudal (2013) 127-128</w:t>
      </w:r>
      <w:r>
        <w:rPr>
          <w:rFonts w:ascii="Arial Narrow" w:hAnsi="Arial Narrow"/>
        </w:rPr>
        <w:t xml:space="preserve"> e 129</w:t>
      </w:r>
      <w:r w:rsidRPr="00C4066E">
        <w:rPr>
          <w:rFonts w:ascii="Arial Narrow" w:hAnsi="Arial Narrow"/>
        </w:rPr>
        <w:t>.</w:t>
      </w:r>
    </w:p>
  </w:footnote>
  <w:footnote w:id="197">
    <w:p w:rsidR="00392E0D" w:rsidRPr="00190486" w:rsidRDefault="00392E0D">
      <w:pPr>
        <w:pStyle w:val="Textodenotaderodap"/>
        <w:rPr>
          <w:rFonts w:ascii="Arial Narrow" w:hAnsi="Arial Narrow"/>
        </w:rPr>
      </w:pPr>
      <w:r w:rsidRPr="00396B88">
        <w:rPr>
          <w:rStyle w:val="Refdenotaderodap"/>
          <w:rFonts w:ascii="Arial Narrow" w:hAnsi="Arial Narrow"/>
        </w:rPr>
        <w:footnoteRef/>
      </w:r>
      <w:r w:rsidRPr="003C7C7C">
        <w:rPr>
          <w:rFonts w:ascii="Arial Narrow" w:hAnsi="Arial Narrow"/>
        </w:rPr>
        <w:t xml:space="preserve"> A. Rosenberg (1986) 555, 656 n. 16; id. [s. d. 2] 402-403. </w:t>
      </w:r>
      <w:r w:rsidRPr="00190486">
        <w:rPr>
          <w:rFonts w:ascii="Arial Narrow" w:hAnsi="Arial Narrow"/>
        </w:rPr>
        <w:t>Segundo J. Caplan (org. 1995) 135, cerca de 1,7 milhões de soldados alemães haviam sido mortos na primeira guerra mundial e no período entre as duas guerras mundiais o número de mulheres excedia o número de homens em aproximadamente dois milhões.</w:t>
      </w:r>
    </w:p>
  </w:footnote>
  <w:footnote w:id="198">
    <w:p w:rsidR="00392E0D" w:rsidRPr="008250CC" w:rsidRDefault="00392E0D">
      <w:pPr>
        <w:pStyle w:val="Textodenotaderodap"/>
        <w:rPr>
          <w:rFonts w:ascii="Arial Narrow" w:hAnsi="Arial Narrow"/>
          <w:lang w:val="en-US"/>
        </w:rPr>
      </w:pPr>
      <w:r w:rsidRPr="00BE5500">
        <w:rPr>
          <w:rStyle w:val="Refdenotaderodap"/>
          <w:rFonts w:ascii="Arial Narrow" w:hAnsi="Arial Narrow"/>
        </w:rPr>
        <w:footnoteRef/>
      </w:r>
      <w:r w:rsidRPr="00BE5500">
        <w:rPr>
          <w:rFonts w:ascii="Arial Narrow" w:hAnsi="Arial Narrow"/>
        </w:rPr>
        <w:t xml:space="preserve"> </w:t>
      </w:r>
      <w:r>
        <w:rPr>
          <w:rFonts w:ascii="Arial Narrow" w:hAnsi="Arial Narrow"/>
        </w:rPr>
        <w:t xml:space="preserve">Citado em J. Noakes et al. </w:t>
      </w:r>
      <w:r w:rsidRPr="008250CC">
        <w:rPr>
          <w:rFonts w:ascii="Arial Narrow" w:hAnsi="Arial Narrow"/>
          <w:lang w:val="en-US"/>
        </w:rPr>
        <w:t>(orgs. 2008-2010) III 312.</w:t>
      </w:r>
    </w:p>
  </w:footnote>
  <w:footnote w:id="199">
    <w:p w:rsidR="00392E0D" w:rsidRPr="008250CC" w:rsidRDefault="00392E0D">
      <w:pPr>
        <w:pStyle w:val="Textodenotaderodap"/>
        <w:rPr>
          <w:rFonts w:ascii="Arial Narrow" w:hAnsi="Arial Narrow"/>
          <w:lang w:val="en-US"/>
        </w:rPr>
      </w:pPr>
      <w:r w:rsidRPr="009D6F72">
        <w:rPr>
          <w:rStyle w:val="Refdenotaderodap"/>
          <w:rFonts w:ascii="Arial Narrow" w:hAnsi="Arial Narrow"/>
        </w:rPr>
        <w:footnoteRef/>
      </w:r>
      <w:r w:rsidRPr="008250CC">
        <w:rPr>
          <w:rFonts w:ascii="Arial Narrow" w:hAnsi="Arial Narrow"/>
          <w:lang w:val="en-US"/>
        </w:rPr>
        <w:t xml:space="preserve"> </w:t>
      </w:r>
      <w:r w:rsidRPr="008250CC">
        <w:rPr>
          <w:rFonts w:ascii="Arial Narrow" w:hAnsi="Arial Narrow"/>
          <w:bCs/>
          <w:i/>
          <w:iCs/>
          <w:lang w:val="en-US"/>
        </w:rPr>
        <w:t>Hitler’s Table Talk</w:t>
      </w:r>
      <w:r w:rsidRPr="008250CC">
        <w:rPr>
          <w:rFonts w:ascii="Arial Narrow" w:hAnsi="Arial Narrow"/>
          <w:iCs/>
          <w:lang w:val="en-US"/>
        </w:rPr>
        <w:t>..., 352, 434-435.</w:t>
      </w:r>
    </w:p>
  </w:footnote>
  <w:footnote w:id="200">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Ver uma passagem do discurso de Himmler aos oficiais de um corpo de elite dos Waffen</w:t>
      </w:r>
      <w:r>
        <w:rPr>
          <w:rFonts w:ascii="Arial Narrow" w:hAnsi="Arial Narrow"/>
        </w:rPr>
        <w:t>-</w:t>
      </w:r>
      <w:r w:rsidRPr="003E305A">
        <w:rPr>
          <w:rFonts w:ascii="Arial Narrow" w:hAnsi="Arial Narrow"/>
        </w:rPr>
        <w:t xml:space="preserve">SS em Setembro de 1940, citada por J. Billig (2000) 247, e outra passagem do seu discurso em </w:t>
      </w:r>
      <w:r>
        <w:rPr>
          <w:rFonts w:ascii="Arial Narrow" w:hAnsi="Arial Narrow"/>
        </w:rPr>
        <w:t>Posen</w:t>
      </w:r>
      <w:r w:rsidRPr="003E305A">
        <w:rPr>
          <w:rFonts w:ascii="Arial Narrow" w:hAnsi="Arial Narrow"/>
        </w:rPr>
        <w:t>, em Outubro de 1943, citada por id., ibid., 168</w:t>
      </w:r>
      <w:r>
        <w:rPr>
          <w:rFonts w:ascii="Arial Narrow" w:hAnsi="Arial Narrow"/>
        </w:rPr>
        <w:t xml:space="preserve"> e J. Noakes et al. (orgs. 2008-2010) III 312.</w:t>
      </w:r>
    </w:p>
  </w:footnote>
  <w:footnote w:id="201">
    <w:p w:rsidR="00392E0D" w:rsidRPr="00F12BAF" w:rsidRDefault="00392E0D">
      <w:pPr>
        <w:pStyle w:val="Textodenotaderodap"/>
        <w:rPr>
          <w:rFonts w:ascii="Arial Narrow" w:hAnsi="Arial Narrow"/>
        </w:rPr>
      </w:pPr>
      <w:r w:rsidRPr="007D4A54">
        <w:rPr>
          <w:rStyle w:val="Refdenotaderodap"/>
          <w:rFonts w:ascii="Arial Narrow" w:hAnsi="Arial Narrow"/>
        </w:rPr>
        <w:footnoteRef/>
      </w:r>
      <w:r w:rsidRPr="007D4A54">
        <w:rPr>
          <w:rFonts w:ascii="Arial Narrow" w:hAnsi="Arial Narrow"/>
        </w:rPr>
        <w:t xml:space="preserve"> </w:t>
      </w:r>
      <w:r>
        <w:rPr>
          <w:rFonts w:ascii="Arial Narrow" w:hAnsi="Arial Narrow"/>
        </w:rPr>
        <w:t xml:space="preserve">Citado em </w:t>
      </w:r>
      <w:r w:rsidRPr="00F12BAF">
        <w:rPr>
          <w:rFonts w:ascii="Arial Narrow" w:hAnsi="Arial Narrow"/>
        </w:rPr>
        <w:t>H. F. Ziegler (1989)</w:t>
      </w:r>
      <w:r>
        <w:rPr>
          <w:rFonts w:ascii="Arial Narrow" w:hAnsi="Arial Narrow"/>
        </w:rPr>
        <w:t xml:space="preserve"> 38.</w:t>
      </w:r>
    </w:p>
  </w:footnote>
  <w:footnote w:id="202">
    <w:p w:rsidR="00392E0D" w:rsidRPr="00CC0253" w:rsidRDefault="00392E0D">
      <w:pPr>
        <w:pStyle w:val="Textodenotaderodap"/>
        <w:rPr>
          <w:rFonts w:ascii="Arial Narrow" w:hAnsi="Arial Narrow"/>
        </w:rPr>
      </w:pPr>
      <w:r w:rsidRPr="00CC0253">
        <w:rPr>
          <w:rStyle w:val="Refdenotaderodap"/>
          <w:rFonts w:ascii="Arial Narrow" w:hAnsi="Arial Narrow"/>
        </w:rPr>
        <w:footnoteRef/>
      </w:r>
      <w:r w:rsidRPr="00CC0253">
        <w:rPr>
          <w:rFonts w:ascii="Arial Narrow" w:hAnsi="Arial Narrow"/>
        </w:rPr>
        <w:t xml:space="preserve"> </w:t>
      </w:r>
      <w:r>
        <w:rPr>
          <w:rFonts w:ascii="Arial Narrow" w:hAnsi="Arial Narrow"/>
        </w:rPr>
        <w:t>Tal como escreveu H. J. Morgenthau (1946) 142-143, «no interior da raça superior» distinguiam-se «as massas, desprovidas de consciência racial inata e de capacidade política própria»; «o grupo relativamente pequeno da elite, ao mesmo tempo aristocracia política e ordem religiosa» e que «em virtude das suas qualidades raciais, está predestinado para dirigir as massas, para lhes incutir consciência racial, para lhes mostrar os objectivos políticos»; e «o chefe, encarnação do próprio espírito da raça» que «extraindo força e sabedoria das fontes místicas do sangue e do solo, orienta com infalível instinto o destino da comunidade racial».</w:t>
      </w:r>
    </w:p>
  </w:footnote>
  <w:footnote w:id="203">
    <w:p w:rsidR="00392E0D" w:rsidRPr="00E7037D" w:rsidRDefault="00392E0D">
      <w:pPr>
        <w:pStyle w:val="Textodenotaderodap"/>
        <w:rPr>
          <w:rFonts w:ascii="Arial Narrow" w:hAnsi="Arial Narrow"/>
          <w:lang w:val="en-US"/>
        </w:rPr>
      </w:pPr>
      <w:r w:rsidRPr="00CD5279">
        <w:rPr>
          <w:rStyle w:val="Refdenotaderodap"/>
          <w:rFonts w:ascii="Arial Narrow" w:hAnsi="Arial Narrow"/>
        </w:rPr>
        <w:footnoteRef/>
      </w:r>
      <w:r w:rsidRPr="00CD5279">
        <w:rPr>
          <w:rFonts w:ascii="Arial Narrow" w:hAnsi="Arial Narrow"/>
        </w:rPr>
        <w:t xml:space="preserve"> </w:t>
      </w:r>
      <w:r>
        <w:rPr>
          <w:rFonts w:ascii="Arial Narrow" w:hAnsi="Arial Narrow"/>
        </w:rPr>
        <w:t xml:space="preserve">No noite de </w:t>
      </w:r>
      <w:r w:rsidRPr="00CD5279">
        <w:rPr>
          <w:rFonts w:ascii="Arial Narrow" w:hAnsi="Arial Narrow"/>
          <w:iCs/>
        </w:rPr>
        <w:t>1</w:t>
      </w:r>
      <w:r>
        <w:rPr>
          <w:rFonts w:ascii="Arial Narrow" w:hAnsi="Arial Narrow"/>
          <w:iCs/>
        </w:rPr>
        <w:t xml:space="preserve"> para </w:t>
      </w:r>
      <w:r w:rsidRPr="00CD5279">
        <w:rPr>
          <w:rFonts w:ascii="Arial Narrow" w:hAnsi="Arial Narrow"/>
          <w:iCs/>
        </w:rPr>
        <w:t>2 de Novembro de 1941</w:t>
      </w:r>
      <w:r>
        <w:rPr>
          <w:rFonts w:ascii="Arial Narrow" w:hAnsi="Arial Narrow"/>
          <w:iCs/>
        </w:rPr>
        <w:t xml:space="preserve">, em </w:t>
      </w:r>
      <w:r w:rsidRPr="00CD5279">
        <w:rPr>
          <w:rFonts w:ascii="Arial Narrow" w:hAnsi="Arial Narrow"/>
          <w:bCs/>
          <w:i/>
          <w:iCs/>
        </w:rPr>
        <w:t>Hitler’s Table Talk</w:t>
      </w:r>
      <w:r w:rsidRPr="00CD5279">
        <w:rPr>
          <w:rFonts w:ascii="Arial Narrow" w:hAnsi="Arial Narrow"/>
          <w:iCs/>
        </w:rPr>
        <w:t>...,</w:t>
      </w:r>
      <w:r>
        <w:rPr>
          <w:rFonts w:ascii="Arial Narrow" w:hAnsi="Arial Narrow"/>
          <w:iCs/>
        </w:rPr>
        <w:t xml:space="preserve"> 106. Ver ainda as págs. 166 e 229. Também num discurso proferido em Janeiro de 1939 perante um grupo de oficiais superiores, Hitler calculou que o processo de purificação racial demoraria cem anos. </w:t>
      </w:r>
      <w:r w:rsidRPr="00E7037D">
        <w:rPr>
          <w:rFonts w:ascii="Arial Narrow" w:hAnsi="Arial Narrow"/>
          <w:iCs/>
          <w:lang w:val="en-US"/>
        </w:rPr>
        <w:t xml:space="preserve">Ver </w:t>
      </w:r>
      <w:r w:rsidRPr="00E7037D">
        <w:rPr>
          <w:rFonts w:ascii="Arial Narrow" w:hAnsi="Arial Narrow"/>
          <w:lang w:val="en-US"/>
        </w:rPr>
        <w:t>J. C. Fest (1974) 917.</w:t>
      </w:r>
    </w:p>
  </w:footnote>
  <w:footnote w:id="204">
    <w:p w:rsidR="00392E0D" w:rsidRPr="003B2C6A" w:rsidRDefault="00392E0D">
      <w:pPr>
        <w:pStyle w:val="Textodenotaderodap"/>
        <w:rPr>
          <w:rFonts w:ascii="Arial Narrow" w:hAnsi="Arial Narrow"/>
          <w:lang w:val="en-US"/>
        </w:rPr>
      </w:pPr>
      <w:r w:rsidRPr="00634CC8">
        <w:rPr>
          <w:rStyle w:val="Refdenotaderodap"/>
          <w:rFonts w:ascii="Arial Narrow" w:hAnsi="Arial Narrow"/>
        </w:rPr>
        <w:footnoteRef/>
      </w:r>
      <w:r w:rsidRPr="00E7037D">
        <w:rPr>
          <w:rFonts w:ascii="Arial Narrow" w:hAnsi="Arial Narrow"/>
          <w:lang w:val="en-US"/>
        </w:rPr>
        <w:t xml:space="preserve"> J. C. Fest (1974) 790; J. Noakes et al. </w:t>
      </w:r>
      <w:r w:rsidRPr="00680DE5">
        <w:rPr>
          <w:rFonts w:ascii="Arial Narrow" w:hAnsi="Arial Narrow"/>
          <w:lang w:val="en-US"/>
        </w:rPr>
        <w:t xml:space="preserve">(orgs. </w:t>
      </w:r>
      <w:r>
        <w:rPr>
          <w:rFonts w:ascii="Arial Narrow" w:hAnsi="Arial Narrow"/>
          <w:lang w:val="en-US"/>
        </w:rPr>
        <w:t>2008-2010</w:t>
      </w:r>
      <w:r w:rsidRPr="003B2C6A">
        <w:rPr>
          <w:rFonts w:ascii="Arial Narrow" w:hAnsi="Arial Narrow"/>
          <w:lang w:val="en-US"/>
        </w:rPr>
        <w:t xml:space="preserve">) </w:t>
      </w:r>
      <w:r>
        <w:rPr>
          <w:rFonts w:ascii="Arial Narrow" w:hAnsi="Arial Narrow"/>
          <w:lang w:val="en-US"/>
        </w:rPr>
        <w:t xml:space="preserve">I </w:t>
      </w:r>
      <w:r w:rsidRPr="003B2C6A">
        <w:rPr>
          <w:rFonts w:ascii="Arial Narrow" w:hAnsi="Arial Narrow"/>
          <w:lang w:val="en-US"/>
        </w:rPr>
        <w:t>181</w:t>
      </w:r>
      <w:r>
        <w:rPr>
          <w:rFonts w:ascii="Arial Narrow" w:hAnsi="Arial Narrow"/>
          <w:lang w:val="en-US"/>
        </w:rPr>
        <w:t xml:space="preserve">, III </w:t>
      </w:r>
      <w:r w:rsidRPr="003B2C6A">
        <w:rPr>
          <w:rFonts w:ascii="Arial Narrow" w:hAnsi="Arial Narrow"/>
          <w:lang w:val="en-US"/>
        </w:rPr>
        <w:t>36.</w:t>
      </w:r>
    </w:p>
  </w:footnote>
  <w:footnote w:id="205">
    <w:p w:rsidR="00392E0D" w:rsidRPr="00DE6CE5" w:rsidRDefault="00392E0D">
      <w:pPr>
        <w:pStyle w:val="Textodenotaderodap"/>
        <w:rPr>
          <w:rFonts w:ascii="Arial Narrow" w:hAnsi="Arial Narrow"/>
          <w:lang w:val="en-US"/>
        </w:rPr>
      </w:pPr>
      <w:r w:rsidRPr="00DE6CE5">
        <w:rPr>
          <w:rStyle w:val="Refdenotaderodap"/>
          <w:rFonts w:ascii="Arial Narrow" w:hAnsi="Arial Narrow"/>
        </w:rPr>
        <w:footnoteRef/>
      </w:r>
      <w:r w:rsidRPr="00DE6CE5">
        <w:rPr>
          <w:rFonts w:ascii="Arial Narrow" w:hAnsi="Arial Narrow"/>
          <w:lang w:val="en-US"/>
        </w:rPr>
        <w:t xml:space="preserve"> </w:t>
      </w:r>
      <w:r w:rsidRPr="006F6FBF">
        <w:rPr>
          <w:rFonts w:ascii="Arial Narrow" w:hAnsi="Arial Narrow"/>
          <w:lang w:val="en-US"/>
        </w:rPr>
        <w:t xml:space="preserve">J. C. Fest (1974) </w:t>
      </w:r>
      <w:r>
        <w:rPr>
          <w:rFonts w:ascii="Arial Narrow" w:hAnsi="Arial Narrow"/>
          <w:lang w:val="en-US"/>
        </w:rPr>
        <w:t xml:space="preserve">809; </w:t>
      </w:r>
      <w:r w:rsidRPr="00680DE5">
        <w:rPr>
          <w:rFonts w:ascii="Arial Narrow" w:hAnsi="Arial Narrow"/>
          <w:lang w:val="en-US"/>
        </w:rPr>
        <w:t xml:space="preserve">J. Noakes et al. (orgs. </w:t>
      </w:r>
      <w:r>
        <w:rPr>
          <w:rFonts w:ascii="Arial Narrow" w:hAnsi="Arial Narrow"/>
          <w:lang w:val="en-US"/>
        </w:rPr>
        <w:t>2008-2010</w:t>
      </w:r>
      <w:r w:rsidRPr="003B2C6A">
        <w:rPr>
          <w:rFonts w:ascii="Arial Narrow" w:hAnsi="Arial Narrow"/>
          <w:lang w:val="en-US"/>
        </w:rPr>
        <w:t xml:space="preserve">) </w:t>
      </w:r>
      <w:r>
        <w:rPr>
          <w:rFonts w:ascii="Arial Narrow" w:hAnsi="Arial Narrow"/>
          <w:lang w:val="en-US"/>
        </w:rPr>
        <w:t>III 36.</w:t>
      </w:r>
    </w:p>
  </w:footnote>
  <w:footnote w:id="206">
    <w:p w:rsidR="00392E0D" w:rsidRPr="00D64447" w:rsidRDefault="00392E0D">
      <w:pPr>
        <w:pStyle w:val="Textodenotaderodap"/>
        <w:rPr>
          <w:rFonts w:ascii="Arial Narrow" w:hAnsi="Arial Narrow"/>
        </w:rPr>
      </w:pPr>
      <w:r w:rsidRPr="00A76763">
        <w:rPr>
          <w:rStyle w:val="Refdenotaderodap"/>
          <w:rFonts w:ascii="Arial Narrow" w:hAnsi="Arial Narrow"/>
        </w:rPr>
        <w:footnoteRef/>
      </w:r>
      <w:r w:rsidRPr="00446A73">
        <w:rPr>
          <w:rFonts w:ascii="Arial Narrow" w:hAnsi="Arial Narrow"/>
          <w:lang w:val="en-US"/>
        </w:rPr>
        <w:t xml:space="preserve"> </w:t>
      </w:r>
      <w:r w:rsidRPr="00680DE5">
        <w:rPr>
          <w:rFonts w:ascii="Arial Narrow" w:hAnsi="Arial Narrow"/>
          <w:lang w:val="en-US"/>
        </w:rPr>
        <w:t xml:space="preserve">J. Noakes et al. </w:t>
      </w:r>
      <w:r w:rsidRPr="00446A73">
        <w:rPr>
          <w:rFonts w:ascii="Arial Narrow" w:hAnsi="Arial Narrow"/>
        </w:rPr>
        <w:t xml:space="preserve">(orgs. </w:t>
      </w:r>
      <w:r w:rsidRPr="00680DE5">
        <w:rPr>
          <w:rFonts w:ascii="Arial Narrow" w:hAnsi="Arial Narrow"/>
        </w:rPr>
        <w:t xml:space="preserve">2008-2010) 18. </w:t>
      </w:r>
      <w:r w:rsidRPr="00D64447">
        <w:rPr>
          <w:rFonts w:ascii="Arial Narrow" w:hAnsi="Arial Narrow"/>
        </w:rPr>
        <w:t xml:space="preserve">Mas </w:t>
      </w:r>
      <w:r w:rsidRPr="00D64447">
        <w:rPr>
          <w:rFonts w:ascii="Arial Narrow" w:hAnsi="Arial Narrow"/>
          <w:bCs/>
        </w:rPr>
        <w:t xml:space="preserve">W. Laqueur </w:t>
      </w:r>
      <w:r w:rsidRPr="00D64447">
        <w:rPr>
          <w:rFonts w:ascii="Arial Narrow" w:hAnsi="Arial Narrow"/>
        </w:rPr>
        <w:t xml:space="preserve">(1996) 39 indicou que o conselho de ministros se reunira 70 vezes em 1933, 11 vezes em 1935, uma vez em 1936 e de então em diante deixara de </w:t>
      </w:r>
      <w:r>
        <w:rPr>
          <w:rFonts w:ascii="Arial Narrow" w:hAnsi="Arial Narrow"/>
        </w:rPr>
        <w:t xml:space="preserve">se </w:t>
      </w:r>
      <w:r w:rsidRPr="00D64447">
        <w:rPr>
          <w:rFonts w:ascii="Arial Narrow" w:hAnsi="Arial Narrow"/>
        </w:rPr>
        <w:t>reunir.</w:t>
      </w:r>
    </w:p>
  </w:footnote>
  <w:footnote w:id="207">
    <w:p w:rsidR="00392E0D" w:rsidRPr="00264694" w:rsidRDefault="00392E0D">
      <w:pPr>
        <w:pStyle w:val="Textodenotaderodap"/>
        <w:rPr>
          <w:rFonts w:ascii="Arial Narrow" w:hAnsi="Arial Narrow"/>
          <w:lang w:val="en-US"/>
        </w:rPr>
      </w:pPr>
      <w:r w:rsidRPr="00264694">
        <w:rPr>
          <w:rStyle w:val="Refdenotaderodap"/>
          <w:rFonts w:ascii="Arial Narrow" w:hAnsi="Arial Narrow"/>
        </w:rPr>
        <w:footnoteRef/>
      </w:r>
      <w:r w:rsidRPr="00264694">
        <w:rPr>
          <w:rFonts w:ascii="Arial Narrow" w:hAnsi="Arial Narrow"/>
          <w:lang w:val="en-US"/>
        </w:rPr>
        <w:t xml:space="preserve"> A. Rosenberg (1986) </w:t>
      </w:r>
      <w:r>
        <w:rPr>
          <w:rFonts w:ascii="Arial Narrow" w:hAnsi="Arial Narrow"/>
          <w:lang w:val="en-US"/>
        </w:rPr>
        <w:t>558</w:t>
      </w:r>
      <w:r w:rsidRPr="00264694">
        <w:rPr>
          <w:rFonts w:ascii="Arial Narrow" w:hAnsi="Arial Narrow"/>
          <w:lang w:val="en-US"/>
        </w:rPr>
        <w:t xml:space="preserve">; id. [s. </w:t>
      </w:r>
      <w:r>
        <w:rPr>
          <w:rFonts w:ascii="Arial Narrow" w:hAnsi="Arial Narrow"/>
          <w:lang w:val="en-US"/>
        </w:rPr>
        <w:t>d. 2] 404.</w:t>
      </w:r>
    </w:p>
  </w:footnote>
  <w:footnote w:id="208">
    <w:p w:rsidR="00392E0D" w:rsidRPr="00446ABA" w:rsidRDefault="00392E0D" w:rsidP="006E2386">
      <w:pPr>
        <w:pStyle w:val="Textodenotaderodap"/>
        <w:rPr>
          <w:rFonts w:ascii="Arial Narrow" w:hAnsi="Arial Narrow"/>
        </w:rPr>
      </w:pPr>
      <w:r w:rsidRPr="003E305A">
        <w:rPr>
          <w:rStyle w:val="Refdenotaderodap"/>
          <w:rFonts w:ascii="Arial Narrow" w:hAnsi="Arial Narrow"/>
        </w:rPr>
        <w:footnoteRef/>
      </w:r>
      <w:r w:rsidRPr="00446ABA">
        <w:rPr>
          <w:rFonts w:ascii="Arial Narrow" w:hAnsi="Arial Narrow"/>
        </w:rPr>
        <w:t xml:space="preserve"> A. Hitler (1995) 126, 213. Ver ainda I. Kamenetsky (1956) 4-5.</w:t>
      </w:r>
    </w:p>
  </w:footnote>
  <w:footnote w:id="209">
    <w:p w:rsidR="00392E0D" w:rsidRPr="00446ABA" w:rsidRDefault="00392E0D">
      <w:pPr>
        <w:pStyle w:val="Textodenotaderodap"/>
        <w:rPr>
          <w:rFonts w:ascii="Arial Narrow" w:hAnsi="Arial Narrow"/>
          <w:lang w:val="en-US"/>
        </w:rPr>
      </w:pPr>
      <w:r w:rsidRPr="00E27E01">
        <w:rPr>
          <w:rStyle w:val="Refdenotaderodap"/>
          <w:rFonts w:ascii="Arial Narrow" w:hAnsi="Arial Narrow"/>
        </w:rPr>
        <w:footnoteRef/>
      </w:r>
      <w:r w:rsidRPr="00E27E01">
        <w:rPr>
          <w:rFonts w:ascii="Arial Narrow" w:hAnsi="Arial Narrow"/>
          <w:lang w:val="en-US"/>
        </w:rPr>
        <w:t xml:space="preserve"> </w:t>
      </w:r>
      <w:r w:rsidRPr="00BC43AB">
        <w:rPr>
          <w:rFonts w:ascii="Arial Narrow" w:hAnsi="Arial Narrow"/>
          <w:lang w:val="en-US"/>
        </w:rPr>
        <w:t xml:space="preserve">H. Eberle et al. </w:t>
      </w:r>
      <w:r w:rsidRPr="00446ABA">
        <w:rPr>
          <w:rFonts w:ascii="Arial Narrow" w:hAnsi="Arial Narrow"/>
          <w:lang w:val="en-US"/>
        </w:rPr>
        <w:t>(org. 2005) 58.</w:t>
      </w:r>
    </w:p>
  </w:footnote>
  <w:footnote w:id="210">
    <w:p w:rsidR="00392E0D" w:rsidRPr="00513409"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446ABA">
        <w:rPr>
          <w:rFonts w:ascii="Arial Narrow" w:hAnsi="Arial Narrow"/>
          <w:lang w:val="en-US"/>
        </w:rPr>
        <w:t xml:space="preserve"> A. Bramwell (1985) 55, 57, 68, 72. </w:t>
      </w:r>
      <w:r>
        <w:rPr>
          <w:rFonts w:ascii="Arial Narrow" w:hAnsi="Arial Narrow"/>
        </w:rPr>
        <w:t xml:space="preserve">Ver igualmente </w:t>
      </w:r>
      <w:r w:rsidRPr="00513409">
        <w:rPr>
          <w:rFonts w:ascii="Arial Narrow" w:hAnsi="Arial Narrow"/>
        </w:rPr>
        <w:t>Benoist-Méchin (1964-1966) III 209.</w:t>
      </w:r>
    </w:p>
  </w:footnote>
  <w:footnote w:id="211">
    <w:p w:rsidR="00392E0D" w:rsidRPr="00FD59C8"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FD59C8">
        <w:rPr>
          <w:rFonts w:ascii="Arial Narrow" w:hAnsi="Arial Narrow"/>
          <w:lang w:val="en-US"/>
        </w:rPr>
        <w:t xml:space="preserve"> R. Cecil (1973) 130-131, 156, 177-178.</w:t>
      </w:r>
    </w:p>
  </w:footnote>
  <w:footnote w:id="212">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w:t>
      </w:r>
      <w:r w:rsidRPr="00B72070">
        <w:rPr>
          <w:rFonts w:ascii="Arial Narrow" w:hAnsi="Arial Narrow"/>
          <w:lang w:val="en-US"/>
        </w:rPr>
        <w:t xml:space="preserve">A. Bramwell (1985) 75; </w:t>
      </w:r>
      <w:r w:rsidRPr="003E305A">
        <w:rPr>
          <w:rFonts w:ascii="Arial Narrow" w:hAnsi="Arial Narrow"/>
          <w:lang w:val="fr-FR"/>
        </w:rPr>
        <w:t>A. Bullock (1972) 155.</w:t>
      </w:r>
      <w:r>
        <w:rPr>
          <w:rFonts w:ascii="Arial Narrow" w:hAnsi="Arial Narrow"/>
          <w:lang w:val="fr-FR"/>
        </w:rPr>
        <w:t xml:space="preserve"> Porém, </w:t>
      </w:r>
      <w:r w:rsidRPr="001D0121">
        <w:rPr>
          <w:rFonts w:ascii="Arial Narrow" w:hAnsi="Arial Narrow"/>
        </w:rPr>
        <w:t>J. C. Fest (1974) 452-453 escreveu que fora Hess quem apresentara Darré a Hitler.</w:t>
      </w:r>
    </w:p>
  </w:footnote>
  <w:footnote w:id="213">
    <w:p w:rsidR="00392E0D" w:rsidRPr="00B978C8" w:rsidRDefault="00392E0D" w:rsidP="001D07B0">
      <w:pPr>
        <w:pStyle w:val="Textodenotaderodap"/>
        <w:rPr>
          <w:rFonts w:ascii="Arial Narrow" w:hAnsi="Arial Narrow"/>
        </w:rPr>
      </w:pPr>
      <w:r w:rsidRPr="00B978C8">
        <w:rPr>
          <w:rStyle w:val="Refdenotaderodap"/>
          <w:rFonts w:ascii="Arial Narrow" w:hAnsi="Arial Narrow"/>
        </w:rPr>
        <w:footnoteRef/>
      </w:r>
      <w:r w:rsidRPr="00B978C8">
        <w:rPr>
          <w:rFonts w:ascii="Arial Narrow" w:hAnsi="Arial Narrow"/>
        </w:rPr>
        <w:t xml:space="preserve"> </w:t>
      </w:r>
      <w:r w:rsidRPr="00B72070">
        <w:rPr>
          <w:rFonts w:ascii="Arial Narrow" w:hAnsi="Arial Narrow"/>
        </w:rPr>
        <w:t xml:space="preserve">A. Bramwell (1985) </w:t>
      </w:r>
      <w:r>
        <w:rPr>
          <w:rFonts w:ascii="Arial Narrow" w:hAnsi="Arial Narrow"/>
        </w:rPr>
        <w:t xml:space="preserve">133. «Em 1933 Darré e Himmler [...] tornaram-se muito próximos», recordou A. Rosenberg [s. d. 1] 94, e </w:t>
      </w:r>
      <w:r w:rsidRPr="000B629E">
        <w:rPr>
          <w:rFonts w:ascii="Arial Narrow" w:hAnsi="Arial Narrow"/>
        </w:rPr>
        <w:t>D. Orlow (2010) 516 mencionou a sua «relação estreita com os SS».</w:t>
      </w:r>
    </w:p>
  </w:footnote>
  <w:footnote w:id="214">
    <w:p w:rsidR="00392E0D" w:rsidRPr="00F22E92" w:rsidRDefault="00392E0D">
      <w:pPr>
        <w:pStyle w:val="Textodenotaderodap"/>
        <w:rPr>
          <w:rFonts w:ascii="Arial Narrow" w:hAnsi="Arial Narrow"/>
        </w:rPr>
      </w:pPr>
      <w:r w:rsidRPr="00E455D2">
        <w:rPr>
          <w:rStyle w:val="Refdenotaderodap"/>
          <w:rFonts w:ascii="Arial Narrow" w:hAnsi="Arial Narrow"/>
        </w:rPr>
        <w:footnoteRef/>
      </w:r>
      <w:r w:rsidRPr="00F22E92">
        <w:rPr>
          <w:rFonts w:ascii="Arial Narrow" w:hAnsi="Arial Narrow"/>
        </w:rPr>
        <w:t xml:space="preserve"> A, Bramwell (1985) 89-90, 135-136</w:t>
      </w:r>
      <w:r>
        <w:rPr>
          <w:rFonts w:ascii="Arial Narrow" w:hAnsi="Arial Narrow"/>
        </w:rPr>
        <w:t xml:space="preserve">; </w:t>
      </w:r>
      <w:r w:rsidRPr="00C36465">
        <w:rPr>
          <w:rFonts w:ascii="Arial Narrow" w:hAnsi="Arial Narrow"/>
        </w:rPr>
        <w:t>H. F. Ziegler (1989) 53</w:t>
      </w:r>
      <w:r w:rsidRPr="00F22E92">
        <w:rPr>
          <w:rFonts w:ascii="Arial Narrow" w:hAnsi="Arial Narrow"/>
        </w:rPr>
        <w:t xml:space="preserve">. </w:t>
      </w:r>
      <w:r w:rsidRPr="00B14A30">
        <w:rPr>
          <w:rFonts w:ascii="Arial Narrow" w:hAnsi="Arial Narrow"/>
        </w:rPr>
        <w:t>Anna Bramwell</w:t>
      </w:r>
      <w:r>
        <w:rPr>
          <w:rFonts w:ascii="Arial Narrow" w:hAnsi="Arial Narrow"/>
        </w:rPr>
        <w:t xml:space="preserve">, op. cit., </w:t>
      </w:r>
      <w:r w:rsidRPr="00292B81">
        <w:rPr>
          <w:rFonts w:ascii="Arial Narrow" w:hAnsi="Arial Narrow"/>
          <w:i/>
        </w:rPr>
        <w:t>passim</w:t>
      </w:r>
      <w:r>
        <w:rPr>
          <w:rFonts w:ascii="Arial Narrow" w:hAnsi="Arial Narrow"/>
        </w:rPr>
        <w:t xml:space="preserve"> esforçou-se, sem nenhum êxito, por minorar a participação de Darré nos SS. Em sentido oposto, </w:t>
      </w:r>
      <w:r w:rsidRPr="008F2622">
        <w:rPr>
          <w:rFonts w:ascii="Arial Narrow" w:hAnsi="Arial Narrow"/>
        </w:rPr>
        <w:t>A. Tooze (2006)</w:t>
      </w:r>
      <w:r>
        <w:rPr>
          <w:rFonts w:ascii="Arial Narrow" w:hAnsi="Arial Narrow"/>
        </w:rPr>
        <w:t xml:space="preserve"> 171 considerou que se devera à iniciativa de Darré a transformação dos SS numa comunidade baseada na selecção racial.</w:t>
      </w:r>
    </w:p>
  </w:footnote>
  <w:footnote w:id="215">
    <w:p w:rsidR="00392E0D" w:rsidRPr="00C23A85" w:rsidRDefault="00392E0D">
      <w:pPr>
        <w:pStyle w:val="Textodenotaderodap"/>
        <w:rPr>
          <w:rFonts w:ascii="Arial Narrow" w:hAnsi="Arial Narrow"/>
          <w:lang w:val="en-US"/>
        </w:rPr>
      </w:pPr>
      <w:r w:rsidRPr="008802EE">
        <w:rPr>
          <w:rStyle w:val="Refdenotaderodap"/>
          <w:rFonts w:ascii="Arial Narrow" w:hAnsi="Arial Narrow"/>
        </w:rPr>
        <w:footnoteRef/>
      </w:r>
      <w:r w:rsidRPr="00C23A85">
        <w:rPr>
          <w:rFonts w:ascii="Arial Narrow" w:hAnsi="Arial Narrow"/>
          <w:lang w:val="en-US"/>
        </w:rPr>
        <w:t xml:space="preserve"> </w:t>
      </w:r>
      <w:r w:rsidRPr="00416B78">
        <w:rPr>
          <w:rFonts w:ascii="Arial Narrow" w:hAnsi="Arial Narrow"/>
          <w:lang w:val="en-US"/>
        </w:rPr>
        <w:t xml:space="preserve">A, Bramwell (1985) </w:t>
      </w:r>
      <w:r w:rsidRPr="00C23A85">
        <w:rPr>
          <w:rFonts w:ascii="Arial Narrow" w:hAnsi="Arial Narrow"/>
          <w:lang w:val="en-US"/>
        </w:rPr>
        <w:t>89</w:t>
      </w:r>
      <w:r>
        <w:rPr>
          <w:rFonts w:ascii="Arial Narrow" w:hAnsi="Arial Narrow"/>
          <w:lang w:val="en-US"/>
        </w:rPr>
        <w:t>, 137</w:t>
      </w:r>
      <w:r w:rsidRPr="00C23A85">
        <w:rPr>
          <w:rFonts w:ascii="Arial Narrow" w:hAnsi="Arial Narrow"/>
          <w:lang w:val="en-US"/>
        </w:rPr>
        <w:t>.</w:t>
      </w:r>
    </w:p>
  </w:footnote>
  <w:footnote w:id="216">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w:t>
      </w:r>
      <w:r>
        <w:rPr>
          <w:rFonts w:ascii="Arial Narrow" w:hAnsi="Arial Narrow"/>
          <w:lang w:val="fr-FR"/>
        </w:rPr>
        <w:t xml:space="preserve">Id., ibid., 54-55, 57, 72; </w:t>
      </w:r>
      <w:r w:rsidRPr="003E305A">
        <w:rPr>
          <w:rFonts w:ascii="Arial Narrow" w:hAnsi="Arial Narrow"/>
          <w:lang w:val="fr-FR"/>
        </w:rPr>
        <w:t>E. Conte et al. (1995) 83, 89-90, 96, 360; R. L. Koehl (1983) 51; B. Miller-Lane (1973) 182-183</w:t>
      </w:r>
      <w:r>
        <w:rPr>
          <w:rFonts w:ascii="Arial Narrow" w:hAnsi="Arial Narrow"/>
          <w:lang w:val="fr-FR"/>
        </w:rPr>
        <w:t xml:space="preserve">; </w:t>
      </w:r>
      <w:r w:rsidRPr="00327ED5">
        <w:rPr>
          <w:rFonts w:ascii="Arial Narrow" w:hAnsi="Arial Narrow"/>
          <w:lang w:val="en-US"/>
        </w:rPr>
        <w:t xml:space="preserve">A. Quinchon-Caudal (2013) </w:t>
      </w:r>
      <w:r>
        <w:rPr>
          <w:rFonts w:ascii="Arial Narrow" w:hAnsi="Arial Narrow"/>
          <w:lang w:val="en-US"/>
        </w:rPr>
        <w:t xml:space="preserve">107-112; </w:t>
      </w:r>
      <w:r w:rsidRPr="008D78B5">
        <w:rPr>
          <w:rFonts w:ascii="Arial Narrow" w:hAnsi="Arial Narrow"/>
          <w:lang w:val="en-US"/>
        </w:rPr>
        <w:t>H. F. Ziegler (1989)</w:t>
      </w:r>
      <w:r>
        <w:rPr>
          <w:rFonts w:ascii="Arial Narrow" w:hAnsi="Arial Narrow"/>
          <w:lang w:val="en-US"/>
        </w:rPr>
        <w:t xml:space="preserve"> 53</w:t>
      </w:r>
      <w:r w:rsidRPr="003E305A">
        <w:rPr>
          <w:rFonts w:ascii="Arial Narrow" w:hAnsi="Arial Narrow"/>
          <w:lang w:val="fr-FR"/>
        </w:rPr>
        <w:t>.</w:t>
      </w:r>
    </w:p>
  </w:footnote>
  <w:footnote w:id="217">
    <w:p w:rsidR="00392E0D" w:rsidRPr="00F24446" w:rsidRDefault="00392E0D">
      <w:pPr>
        <w:pStyle w:val="Textodenotaderodap"/>
        <w:rPr>
          <w:rFonts w:ascii="Arial Narrow" w:hAnsi="Arial Narrow"/>
        </w:rPr>
      </w:pPr>
      <w:r w:rsidRPr="00F24446">
        <w:rPr>
          <w:rStyle w:val="Refdenotaderodap"/>
          <w:rFonts w:ascii="Arial Narrow" w:hAnsi="Arial Narrow"/>
        </w:rPr>
        <w:footnoteRef/>
      </w:r>
      <w:r w:rsidRPr="00F24446">
        <w:rPr>
          <w:rFonts w:ascii="Arial Narrow" w:hAnsi="Arial Narrow"/>
        </w:rPr>
        <w:t xml:space="preserve"> R. Laudani (org. 2013)</w:t>
      </w:r>
      <w:r>
        <w:rPr>
          <w:rFonts w:ascii="Arial Narrow" w:hAnsi="Arial Narrow"/>
        </w:rPr>
        <w:t xml:space="preserve"> 141.</w:t>
      </w:r>
    </w:p>
  </w:footnote>
  <w:footnote w:id="21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H. Rauschning (1939) 55-56.</w:t>
      </w:r>
    </w:p>
  </w:footnote>
  <w:footnote w:id="219">
    <w:p w:rsidR="00392E0D" w:rsidRPr="00086DB2" w:rsidRDefault="00392E0D">
      <w:pPr>
        <w:pStyle w:val="Textodenotaderodap"/>
        <w:rPr>
          <w:rFonts w:ascii="Arial Narrow" w:hAnsi="Arial Narrow"/>
          <w:lang w:val="en-US"/>
        </w:rPr>
      </w:pPr>
      <w:r w:rsidRPr="00086DB2">
        <w:rPr>
          <w:rStyle w:val="Refdenotaderodap"/>
          <w:rFonts w:ascii="Arial Narrow" w:hAnsi="Arial Narrow"/>
        </w:rPr>
        <w:footnoteRef/>
      </w:r>
      <w:r w:rsidRPr="00086DB2">
        <w:rPr>
          <w:rFonts w:ascii="Arial Narrow" w:hAnsi="Arial Narrow"/>
          <w:lang w:val="en-US"/>
        </w:rPr>
        <w:t xml:space="preserve"> K. A. Schleunes (1990)</w:t>
      </w:r>
      <w:r>
        <w:rPr>
          <w:rFonts w:ascii="Arial Narrow" w:hAnsi="Arial Narrow"/>
          <w:lang w:val="en-US"/>
        </w:rPr>
        <w:t xml:space="preserve"> 112; </w:t>
      </w:r>
      <w:r w:rsidRPr="00416B78">
        <w:rPr>
          <w:rFonts w:ascii="Arial Narrow" w:hAnsi="Arial Narrow"/>
          <w:lang w:val="en-US"/>
        </w:rPr>
        <w:t>A. Tooze (2006) 183</w:t>
      </w:r>
      <w:r>
        <w:rPr>
          <w:rFonts w:ascii="Arial Narrow" w:hAnsi="Arial Narrow"/>
          <w:lang w:val="en-US"/>
        </w:rPr>
        <w:t>.</w:t>
      </w:r>
    </w:p>
  </w:footnote>
  <w:footnote w:id="220">
    <w:p w:rsidR="00392E0D" w:rsidRPr="00416B78" w:rsidRDefault="00392E0D">
      <w:pPr>
        <w:pStyle w:val="Textodenotaderodap"/>
        <w:rPr>
          <w:rFonts w:ascii="Arial Narrow" w:hAnsi="Arial Narrow"/>
        </w:rPr>
      </w:pPr>
      <w:r w:rsidRPr="004C50AF">
        <w:rPr>
          <w:rStyle w:val="Refdenotaderodap"/>
          <w:rFonts w:ascii="Arial Narrow" w:hAnsi="Arial Narrow"/>
        </w:rPr>
        <w:footnoteRef/>
      </w:r>
      <w:r w:rsidRPr="00416B78">
        <w:rPr>
          <w:rFonts w:ascii="Arial Narrow" w:hAnsi="Arial Narrow"/>
        </w:rPr>
        <w:t xml:space="preserve"> J. B. Whisker (1990) 3, 10-11, 158, 203-204, 238.</w:t>
      </w:r>
    </w:p>
  </w:footnote>
  <w:footnote w:id="22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Declarações de Himmler em 1937, antologiadas em R. Griffin (org. 1995) 147.</w:t>
      </w:r>
    </w:p>
  </w:footnote>
  <w:footnote w:id="22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E. K. Bramstedt (1945) 83.</w:t>
      </w:r>
    </w:p>
  </w:footnote>
  <w:footnote w:id="223">
    <w:p w:rsidR="00392E0D" w:rsidRPr="00FF7EC6" w:rsidRDefault="00392E0D">
      <w:pPr>
        <w:pStyle w:val="Textodenotaderodap"/>
        <w:rPr>
          <w:rFonts w:ascii="Arial Narrow" w:hAnsi="Arial Narrow"/>
        </w:rPr>
      </w:pPr>
      <w:r w:rsidRPr="00FF7EC6">
        <w:rPr>
          <w:rStyle w:val="Refdenotaderodap"/>
          <w:rFonts w:ascii="Arial Narrow" w:hAnsi="Arial Narrow"/>
        </w:rPr>
        <w:footnoteRef/>
      </w:r>
      <w:r w:rsidRPr="00FF7EC6">
        <w:rPr>
          <w:rFonts w:ascii="Arial Narrow" w:hAnsi="Arial Narrow"/>
        </w:rPr>
        <w:t xml:space="preserve"> </w:t>
      </w:r>
      <w:r>
        <w:rPr>
          <w:rFonts w:ascii="Arial Narrow" w:hAnsi="Arial Narrow"/>
        </w:rPr>
        <w:t>Citado em A. Bramwell (1985) 140.</w:t>
      </w:r>
    </w:p>
  </w:footnote>
  <w:footnote w:id="224">
    <w:p w:rsidR="00392E0D" w:rsidRPr="00ED6995" w:rsidRDefault="00392E0D">
      <w:pPr>
        <w:pStyle w:val="Textodenotaderodap"/>
        <w:rPr>
          <w:rFonts w:ascii="Arial Narrow" w:hAnsi="Arial Narrow"/>
        </w:rPr>
      </w:pPr>
      <w:r w:rsidRPr="00ED6995">
        <w:rPr>
          <w:rStyle w:val="Refdenotaderodap"/>
          <w:rFonts w:ascii="Arial Narrow" w:hAnsi="Arial Narrow"/>
        </w:rPr>
        <w:footnoteRef/>
      </w:r>
      <w:r w:rsidRPr="00ED6995">
        <w:rPr>
          <w:rFonts w:ascii="Arial Narrow" w:hAnsi="Arial Narrow"/>
        </w:rPr>
        <w:t xml:space="preserve"> </w:t>
      </w:r>
      <w:r>
        <w:rPr>
          <w:rFonts w:ascii="Arial Narrow" w:hAnsi="Arial Narrow"/>
        </w:rPr>
        <w:t xml:space="preserve">Id., ibid., 112, 133. Ver igualmente </w:t>
      </w:r>
      <w:r w:rsidRPr="000B629E">
        <w:rPr>
          <w:rFonts w:ascii="Arial Narrow" w:hAnsi="Arial Narrow"/>
        </w:rPr>
        <w:t xml:space="preserve">D. Orlow (2010) 603 e </w:t>
      </w:r>
      <w:r w:rsidRPr="00AD6FEA">
        <w:rPr>
          <w:rFonts w:ascii="Arial Narrow" w:hAnsi="Arial Narrow"/>
        </w:rPr>
        <w:t>A. Tooze (2006)</w:t>
      </w:r>
      <w:r>
        <w:rPr>
          <w:rFonts w:ascii="Arial Narrow" w:hAnsi="Arial Narrow"/>
        </w:rPr>
        <w:t xml:space="preserve"> 171.</w:t>
      </w:r>
    </w:p>
  </w:footnote>
  <w:footnote w:id="225">
    <w:p w:rsidR="00392E0D" w:rsidRPr="000B629E" w:rsidRDefault="00392E0D">
      <w:pPr>
        <w:pStyle w:val="Textodenotaderodap"/>
        <w:rPr>
          <w:rFonts w:ascii="Arial Narrow" w:hAnsi="Arial Narrow"/>
          <w:lang w:val="en-US"/>
        </w:rPr>
      </w:pPr>
      <w:r w:rsidRPr="00FD59C8">
        <w:rPr>
          <w:rStyle w:val="Refdenotaderodap"/>
          <w:rFonts w:ascii="Arial Narrow" w:hAnsi="Arial Narrow"/>
        </w:rPr>
        <w:footnoteRef/>
      </w:r>
      <w:r w:rsidRPr="000B629E">
        <w:rPr>
          <w:rFonts w:ascii="Arial Narrow" w:hAnsi="Arial Narrow"/>
          <w:lang w:val="en-US"/>
        </w:rPr>
        <w:t xml:space="preserve"> A. Bramwell (1985) 58.</w:t>
      </w:r>
    </w:p>
  </w:footnote>
  <w:footnote w:id="226">
    <w:p w:rsidR="00392E0D" w:rsidRPr="00D64447"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0B629E">
        <w:rPr>
          <w:rFonts w:ascii="Arial Narrow" w:hAnsi="Arial Narrow"/>
          <w:lang w:val="en-US"/>
        </w:rPr>
        <w:t xml:space="preserve"> R. L. Koehl (1983) 87, 92. </w:t>
      </w:r>
      <w:r w:rsidRPr="002F6263">
        <w:rPr>
          <w:rFonts w:ascii="Arial Narrow" w:hAnsi="Arial Narrow"/>
        </w:rPr>
        <w:t xml:space="preserve">Ver também </w:t>
      </w:r>
      <w:r w:rsidRPr="00277D07">
        <w:rPr>
          <w:rFonts w:ascii="Arial Narrow" w:hAnsi="Arial Narrow"/>
        </w:rPr>
        <w:t xml:space="preserve">R. Laudani (org. 2013) </w:t>
      </w:r>
      <w:r>
        <w:rPr>
          <w:rFonts w:ascii="Arial Narrow" w:hAnsi="Arial Narrow"/>
        </w:rPr>
        <w:t xml:space="preserve">258, </w:t>
      </w:r>
      <w:r w:rsidRPr="000B629E">
        <w:rPr>
          <w:rFonts w:ascii="Arial Narrow" w:hAnsi="Arial Narrow"/>
        </w:rPr>
        <w:t>D. Orlow (2010) 600-601</w:t>
      </w:r>
      <w:r>
        <w:rPr>
          <w:rFonts w:ascii="Arial Narrow" w:hAnsi="Arial Narrow"/>
        </w:rPr>
        <w:t xml:space="preserve"> e </w:t>
      </w:r>
      <w:r w:rsidRPr="008D78B5">
        <w:rPr>
          <w:rFonts w:ascii="Arial Narrow" w:hAnsi="Arial Narrow"/>
        </w:rPr>
        <w:t>H. F. Ziegler (1989)</w:t>
      </w:r>
      <w:r>
        <w:rPr>
          <w:rFonts w:ascii="Arial Narrow" w:hAnsi="Arial Narrow"/>
        </w:rPr>
        <w:t xml:space="preserve"> 57, 130-133. </w:t>
      </w:r>
      <w:r w:rsidRPr="00D64447">
        <w:rPr>
          <w:rFonts w:ascii="Arial Narrow" w:hAnsi="Arial Narrow"/>
        </w:rPr>
        <w:t xml:space="preserve">Depois de ter afirmado que antes da tomada do poder 44% dos SS provinham da classe trabalhadora, uma proporção que aumentou posteriormente para 55%, </w:t>
      </w:r>
      <w:r w:rsidRPr="00D64447">
        <w:rPr>
          <w:rFonts w:ascii="Arial Narrow" w:hAnsi="Arial Narrow"/>
          <w:bCs/>
        </w:rPr>
        <w:t xml:space="preserve">S. G. Payne </w:t>
      </w:r>
      <w:r w:rsidRPr="00D64447">
        <w:rPr>
          <w:rFonts w:ascii="Arial Narrow" w:hAnsi="Arial Narrow"/>
        </w:rPr>
        <w:t>(2003 b) 185 acrescentou que eles começaram a atrair membros da elite, a qual compunha nos escalões hierárquicos superiores uma percentagem maior do que a dos trabalhadores.</w:t>
      </w:r>
      <w:r>
        <w:rPr>
          <w:rFonts w:ascii="Arial Narrow" w:hAnsi="Arial Narrow"/>
        </w:rPr>
        <w:t xml:space="preserve"> Tratava-se, porém, de uma elite recente, porque, segundo </w:t>
      </w:r>
      <w:r w:rsidRPr="002A05F9">
        <w:rPr>
          <w:rFonts w:ascii="Arial Narrow" w:hAnsi="Arial Narrow"/>
        </w:rPr>
        <w:t>R</w:t>
      </w:r>
      <w:r>
        <w:rPr>
          <w:rFonts w:ascii="Arial Narrow" w:hAnsi="Arial Narrow"/>
        </w:rPr>
        <w:t>affaele</w:t>
      </w:r>
      <w:r w:rsidRPr="002A05F9">
        <w:rPr>
          <w:rFonts w:ascii="Arial Narrow" w:hAnsi="Arial Narrow"/>
        </w:rPr>
        <w:t xml:space="preserve"> Laudani</w:t>
      </w:r>
      <w:r>
        <w:rPr>
          <w:rFonts w:ascii="Arial Narrow" w:hAnsi="Arial Narrow"/>
        </w:rPr>
        <w:t>, op. cit., 139, durante a guerra, dos sessenta e quatro chefes superiores dos SS, só cinco eram nobres.</w:t>
      </w:r>
    </w:p>
  </w:footnote>
  <w:footnote w:id="227">
    <w:p w:rsidR="00392E0D" w:rsidRPr="007C48E4" w:rsidRDefault="00392E0D">
      <w:pPr>
        <w:pStyle w:val="Textodenotaderodap"/>
        <w:rPr>
          <w:rFonts w:ascii="Arial Narrow" w:hAnsi="Arial Narrow"/>
        </w:rPr>
      </w:pPr>
      <w:r w:rsidRPr="007C48E4">
        <w:rPr>
          <w:rStyle w:val="Refdenotaderodap"/>
          <w:rFonts w:ascii="Arial Narrow" w:hAnsi="Arial Narrow"/>
        </w:rPr>
        <w:footnoteRef/>
      </w:r>
      <w:r w:rsidRPr="007C48E4">
        <w:rPr>
          <w:rFonts w:ascii="Arial Narrow" w:hAnsi="Arial Narrow"/>
        </w:rPr>
        <w:t xml:space="preserve"> </w:t>
      </w:r>
      <w:r>
        <w:rPr>
          <w:rFonts w:ascii="Arial Narrow" w:hAnsi="Arial Narrow"/>
        </w:rPr>
        <w:t>Citado em J. Noakes et al. (orgs. 2008-2010) I 187.</w:t>
      </w:r>
    </w:p>
  </w:footnote>
  <w:footnote w:id="228">
    <w:p w:rsidR="00392E0D" w:rsidRPr="00C36465" w:rsidRDefault="00392E0D">
      <w:pPr>
        <w:pStyle w:val="Textodenotaderodap"/>
        <w:rPr>
          <w:rFonts w:ascii="Arial Narrow" w:hAnsi="Arial Narrow"/>
        </w:rPr>
      </w:pPr>
      <w:r w:rsidRPr="00C36465">
        <w:rPr>
          <w:rStyle w:val="Refdenotaderodap"/>
          <w:rFonts w:ascii="Arial Narrow" w:hAnsi="Arial Narrow"/>
        </w:rPr>
        <w:footnoteRef/>
      </w:r>
      <w:r w:rsidRPr="00C36465">
        <w:rPr>
          <w:rFonts w:ascii="Arial Narrow" w:hAnsi="Arial Narrow"/>
        </w:rPr>
        <w:t xml:space="preserve"> </w:t>
      </w:r>
      <w:r w:rsidRPr="00F36359">
        <w:rPr>
          <w:rFonts w:ascii="Arial Narrow" w:hAnsi="Arial Narrow"/>
        </w:rPr>
        <w:t>H. F. Ziegler (1989) 81</w:t>
      </w:r>
      <w:r>
        <w:rPr>
          <w:rFonts w:ascii="Arial Narrow" w:hAnsi="Arial Narrow"/>
        </w:rPr>
        <w:t>, 109</w:t>
      </w:r>
      <w:r w:rsidRPr="00F36359">
        <w:rPr>
          <w:rFonts w:ascii="Arial Narrow" w:hAnsi="Arial Narrow"/>
        </w:rPr>
        <w:t>.</w:t>
      </w:r>
    </w:p>
  </w:footnote>
  <w:footnote w:id="22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 xml:space="preserve">A. Bramwell (1985) </w:t>
      </w:r>
      <w:r w:rsidRPr="00C912EE">
        <w:rPr>
          <w:rFonts w:ascii="Arial Narrow" w:hAnsi="Arial Narrow"/>
        </w:rPr>
        <w:t>91</w:t>
      </w:r>
      <w:r>
        <w:rPr>
          <w:rFonts w:ascii="Arial Narrow" w:hAnsi="Arial Narrow"/>
        </w:rPr>
        <w:t xml:space="preserve">, </w:t>
      </w:r>
      <w:r w:rsidRPr="00C912EE">
        <w:rPr>
          <w:rFonts w:ascii="Arial Narrow" w:hAnsi="Arial Narrow"/>
        </w:rPr>
        <w:t>108 e segs</w:t>
      </w:r>
      <w:r>
        <w:rPr>
          <w:rFonts w:ascii="Arial Narrow" w:hAnsi="Arial Narrow"/>
        </w:rPr>
        <w:t>.,</w:t>
      </w:r>
      <w:r w:rsidRPr="00C912EE">
        <w:rPr>
          <w:rFonts w:ascii="Arial Narrow" w:hAnsi="Arial Narrow"/>
        </w:rPr>
        <w:t xml:space="preserve"> </w:t>
      </w:r>
      <w:r>
        <w:rPr>
          <w:rFonts w:ascii="Arial Narrow" w:hAnsi="Arial Narrow"/>
        </w:rPr>
        <w:t xml:space="preserve">115 e 124-125 relatou a progressiva substituição de Darré pelo tecnocrata </w:t>
      </w:r>
      <w:r w:rsidRPr="00C0469A">
        <w:rPr>
          <w:rFonts w:ascii="Arial Narrow" w:hAnsi="Arial Narrow"/>
        </w:rPr>
        <w:t>Herbert Backe</w:t>
      </w:r>
      <w:r>
        <w:rPr>
          <w:rFonts w:ascii="Arial Narrow" w:hAnsi="Arial Narrow"/>
        </w:rPr>
        <w:t>,</w:t>
      </w:r>
      <w:r w:rsidRPr="00C0469A">
        <w:rPr>
          <w:rFonts w:ascii="Arial Narrow" w:hAnsi="Arial Narrow"/>
        </w:rPr>
        <w:t xml:space="preserve"> </w:t>
      </w:r>
      <w:r>
        <w:rPr>
          <w:rFonts w:ascii="Arial Narrow" w:hAnsi="Arial Narrow"/>
        </w:rPr>
        <w:t xml:space="preserve">que acabaria por lhe suceder à frente do Ministério, apoiado por Göring e outros defensores da industrialização. Anna Bramwell acrescentou (págs. </w:t>
      </w:r>
      <w:r w:rsidRPr="00D04301">
        <w:rPr>
          <w:rFonts w:ascii="Arial Narrow" w:hAnsi="Arial Narrow"/>
        </w:rPr>
        <w:t>130-131</w:t>
      </w:r>
      <w:r>
        <w:rPr>
          <w:rFonts w:ascii="Arial Narrow" w:hAnsi="Arial Narrow"/>
        </w:rPr>
        <w:t xml:space="preserve">, 135, 147, 158) que Himmler imprimira aos SS uma orientação tecnocrática, distanciando-os das </w:t>
      </w:r>
      <w:r w:rsidRPr="00D04301">
        <w:rPr>
          <w:rFonts w:ascii="Arial Narrow" w:hAnsi="Arial Narrow"/>
        </w:rPr>
        <w:t xml:space="preserve">ideias de Darré. </w:t>
      </w:r>
      <w:r>
        <w:rPr>
          <w:rFonts w:ascii="Arial Narrow" w:hAnsi="Arial Narrow"/>
        </w:rPr>
        <w:t xml:space="preserve">A primeira divergência pública entre Darré e Himmler ocorreu em Outubro de 1939, relativamente aos planos de colonização no Leste, como se vê em Anna Bramwell, </w:t>
      </w:r>
      <w:r w:rsidRPr="007C4C12">
        <w:rPr>
          <w:rFonts w:ascii="Arial Narrow" w:hAnsi="Arial Narrow"/>
        </w:rPr>
        <w:t>op. cit.,</w:t>
      </w:r>
      <w:r>
        <w:rPr>
          <w:rFonts w:ascii="Arial Narrow" w:hAnsi="Arial Narrow"/>
        </w:rPr>
        <w:t xml:space="preserve"> 149. «Embora Himmler concordasse com Darré que o camponês alemão era o terreno de recrutamento ideal da futura aristocracia», escreveu </w:t>
      </w:r>
      <w:r w:rsidRPr="006C002A">
        <w:rPr>
          <w:rFonts w:ascii="Arial Narrow" w:hAnsi="Arial Narrow"/>
        </w:rPr>
        <w:t xml:space="preserve">H. F. Ziegler (1989) </w:t>
      </w:r>
      <w:r>
        <w:rPr>
          <w:rFonts w:ascii="Arial Narrow" w:hAnsi="Arial Narrow"/>
        </w:rPr>
        <w:t xml:space="preserve">53, «a sua busca de membros “qualificados” nunca se limitou a esse segmento da população». Também </w:t>
      </w:r>
      <w:r w:rsidRPr="003E305A">
        <w:rPr>
          <w:rFonts w:ascii="Arial Narrow" w:hAnsi="Arial Narrow"/>
        </w:rPr>
        <w:t>as informações contidas em G. Aly et al. (2006) 268-269 parecem-me confirmar a hipótese que proponho, na medida em que mostram que a derrota final de Darré se deveu a uma aliança entre a tecnocracia modernizadora do seu ministério e Himmler e Heydrich. B. Miller-Lane (1973) 182 sup</w:t>
      </w:r>
      <w:r>
        <w:rPr>
          <w:rFonts w:ascii="Arial Narrow" w:hAnsi="Arial Narrow"/>
        </w:rPr>
        <w:t>ôs</w:t>
      </w:r>
      <w:r w:rsidRPr="003E305A">
        <w:rPr>
          <w:rFonts w:ascii="Arial Narrow" w:hAnsi="Arial Narrow"/>
        </w:rPr>
        <w:t xml:space="preserve"> que, pelo facto de defender teses rácicas semelhantes às de Darré, Himmler se proporia favorecer o renascimento de uma aristocracia biológica camponesa nas regiões de Leste controladas pelos SS. Esta apreciação parece-me errada. A implantação de colonos germânicos nos territórios conquistados aos eslavos realizou-se sob a alçada dos SS e eram estes quem </w:t>
      </w:r>
      <w:r>
        <w:rPr>
          <w:rFonts w:ascii="Arial Narrow" w:hAnsi="Arial Narrow"/>
        </w:rPr>
        <w:t>detinha</w:t>
      </w:r>
      <w:r w:rsidRPr="003E305A">
        <w:rPr>
          <w:rFonts w:ascii="Arial Narrow" w:hAnsi="Arial Narrow"/>
        </w:rPr>
        <w:t xml:space="preserve"> as funções de comando. O Reichsführer</w:t>
      </w:r>
      <w:r>
        <w:rPr>
          <w:rFonts w:ascii="Arial Narrow" w:hAnsi="Arial Narrow"/>
        </w:rPr>
        <w:t>-SS</w:t>
      </w:r>
      <w:r w:rsidRPr="003E305A">
        <w:rPr>
          <w:rFonts w:ascii="Arial Narrow" w:hAnsi="Arial Narrow"/>
        </w:rPr>
        <w:t xml:space="preserve"> não se esforçou por implementar planos alheios, mas os seus próprios. Aliás, se já antes de 1933 Darré, segundo o testemunho de H. Rauschning (1939) 49, «alentava a especial ambição de definir a futura política alemã a Leste», isto significa que estavam desde há muito lançadas as sementes da divergência que haveria de o opor a Himmler. Por seu lado, J. Billig (2000) 168-169 pretende</w:t>
      </w:r>
      <w:r>
        <w:rPr>
          <w:rFonts w:ascii="Arial Narrow" w:hAnsi="Arial Narrow"/>
        </w:rPr>
        <w:t>u</w:t>
      </w:r>
      <w:r w:rsidRPr="003E305A">
        <w:rPr>
          <w:rFonts w:ascii="Arial Narrow" w:hAnsi="Arial Narrow"/>
        </w:rPr>
        <w:t xml:space="preserve"> que a autoridade exercida pelos SS sobre os territórios de Leste lhes conferia uma vocação exclusivamente rural. Mas também esta perspectiva me parece errada, porque os SS estavam destinados a encarregar-se da ordem em todo o Reich e não só nos ant</w:t>
      </w:r>
      <w:r>
        <w:rPr>
          <w:rFonts w:ascii="Arial Narrow" w:hAnsi="Arial Narrow"/>
        </w:rPr>
        <w:t>igos países eslavos, e além dist</w:t>
      </w:r>
      <w:r w:rsidRPr="003E305A">
        <w:rPr>
          <w:rFonts w:ascii="Arial Narrow" w:hAnsi="Arial Narrow"/>
        </w:rPr>
        <w:t>o deveriam incluir nas suas fileiras os membros da elite económica, técnica, universitária e política.</w:t>
      </w:r>
      <w:r>
        <w:rPr>
          <w:rFonts w:ascii="Arial Narrow" w:hAnsi="Arial Narrow"/>
        </w:rPr>
        <w:t xml:space="preserve"> </w:t>
      </w:r>
      <w:r w:rsidRPr="003E305A">
        <w:rPr>
          <w:rFonts w:ascii="Arial Narrow" w:hAnsi="Arial Narrow"/>
        </w:rPr>
        <w:t>Num</w:t>
      </w:r>
      <w:r>
        <w:rPr>
          <w:rFonts w:ascii="Arial Narrow" w:hAnsi="Arial Narrow"/>
        </w:rPr>
        <w:t xml:space="preserve"> plano </w:t>
      </w:r>
      <w:r w:rsidRPr="003E305A">
        <w:rPr>
          <w:rFonts w:ascii="Arial Narrow" w:hAnsi="Arial Narrow"/>
        </w:rPr>
        <w:t>muito diferente, R. L. Koehl (1983) 119 consider</w:t>
      </w:r>
      <w:r>
        <w:rPr>
          <w:rFonts w:ascii="Arial Narrow" w:hAnsi="Arial Narrow"/>
        </w:rPr>
        <w:t>ou</w:t>
      </w:r>
      <w:r w:rsidRPr="003E305A">
        <w:rPr>
          <w:rFonts w:ascii="Arial Narrow" w:hAnsi="Arial Narrow"/>
        </w:rPr>
        <w:t xml:space="preserve"> que o conflito entre Himmler e Darré se deve</w:t>
      </w:r>
      <w:r>
        <w:rPr>
          <w:rFonts w:ascii="Arial Narrow" w:hAnsi="Arial Narrow"/>
        </w:rPr>
        <w:t>ra</w:t>
      </w:r>
      <w:r w:rsidRPr="003E305A">
        <w:rPr>
          <w:rFonts w:ascii="Arial Narrow" w:hAnsi="Arial Narrow"/>
        </w:rPr>
        <w:t xml:space="preserve"> a um desentendimento quanto à política de formação ideológica, que Darré deixava envolta em misticismo enquanto a administração SS pretenderia imprimir</w:t>
      </w:r>
      <w:r>
        <w:rPr>
          <w:rFonts w:ascii="Arial Narrow" w:hAnsi="Arial Narrow"/>
        </w:rPr>
        <w:t>-lhe</w:t>
      </w:r>
      <w:r w:rsidRPr="003E305A">
        <w:rPr>
          <w:rFonts w:ascii="Arial Narrow" w:hAnsi="Arial Narrow"/>
        </w:rPr>
        <w:t xml:space="preserve"> um carácter prático. Mas este autor reconhece</w:t>
      </w:r>
      <w:r>
        <w:rPr>
          <w:rFonts w:ascii="Arial Narrow" w:hAnsi="Arial Narrow"/>
        </w:rPr>
        <w:t>u</w:t>
      </w:r>
      <w:r w:rsidRPr="003E305A">
        <w:rPr>
          <w:rFonts w:ascii="Arial Narrow" w:hAnsi="Arial Narrow"/>
        </w:rPr>
        <w:t xml:space="preserve"> ao mesmo tempo que a ideologia racial promovida por Himmler não era menos fantasiosa, o que retira qualquer validade à sua explicação. </w:t>
      </w:r>
      <w:r>
        <w:rPr>
          <w:rFonts w:ascii="Arial Narrow" w:hAnsi="Arial Narrow"/>
        </w:rPr>
        <w:t xml:space="preserve">Em sentido oposto, Anna Bramwell, </w:t>
      </w:r>
      <w:r w:rsidRPr="007C4C12">
        <w:rPr>
          <w:rFonts w:ascii="Arial Narrow" w:hAnsi="Arial Narrow"/>
        </w:rPr>
        <w:t>op. cit.,</w:t>
      </w:r>
      <w:r>
        <w:rPr>
          <w:rFonts w:ascii="Arial Narrow" w:hAnsi="Arial Narrow"/>
        </w:rPr>
        <w:t xml:space="preserve"> 90 admitiu que </w:t>
      </w:r>
      <w:r w:rsidRPr="0086110D">
        <w:rPr>
          <w:rFonts w:ascii="Arial Narrow" w:hAnsi="Arial Narrow"/>
        </w:rPr>
        <w:t xml:space="preserve">a inclinação de Himmler pelo ocultismo e pela filosofia indiana </w:t>
      </w:r>
      <w:r>
        <w:rPr>
          <w:rFonts w:ascii="Arial Narrow" w:hAnsi="Arial Narrow"/>
        </w:rPr>
        <w:t>tivesse constituído</w:t>
      </w:r>
      <w:r w:rsidRPr="0086110D">
        <w:rPr>
          <w:rFonts w:ascii="Arial Narrow" w:hAnsi="Arial Narrow"/>
        </w:rPr>
        <w:t xml:space="preserve"> uma das razões que levou à </w:t>
      </w:r>
      <w:r>
        <w:rPr>
          <w:rFonts w:ascii="Arial Narrow" w:hAnsi="Arial Narrow"/>
        </w:rPr>
        <w:t xml:space="preserve">sua </w:t>
      </w:r>
      <w:r w:rsidRPr="0086110D">
        <w:rPr>
          <w:rFonts w:ascii="Arial Narrow" w:hAnsi="Arial Narrow"/>
        </w:rPr>
        <w:t xml:space="preserve">ruptura </w:t>
      </w:r>
      <w:r>
        <w:rPr>
          <w:rFonts w:ascii="Arial Narrow" w:hAnsi="Arial Narrow"/>
        </w:rPr>
        <w:t xml:space="preserve">com </w:t>
      </w:r>
      <w:r w:rsidRPr="0086110D">
        <w:rPr>
          <w:rFonts w:ascii="Arial Narrow" w:hAnsi="Arial Narrow"/>
        </w:rPr>
        <w:t>Darré no final da década de 1930</w:t>
      </w:r>
      <w:r>
        <w:rPr>
          <w:rFonts w:ascii="Arial Narrow" w:hAnsi="Arial Narrow"/>
        </w:rPr>
        <w:t>;</w:t>
      </w:r>
      <w:r w:rsidRPr="0086110D">
        <w:rPr>
          <w:rFonts w:ascii="Arial Narrow" w:hAnsi="Arial Narrow"/>
        </w:rPr>
        <w:t xml:space="preserve"> </w:t>
      </w:r>
      <w:r w:rsidRPr="00453539">
        <w:rPr>
          <w:rFonts w:ascii="Arial Narrow" w:hAnsi="Arial Narrow"/>
        </w:rPr>
        <w:t>todavia, na mesma pág. esta autora indicou, paradoxalmente, que Herbert Backe atribuíra à influência de Darré o crescente misticismo de Himmler</w:t>
      </w:r>
      <w:r>
        <w:rPr>
          <w:rFonts w:ascii="Arial Narrow" w:hAnsi="Arial Narrow"/>
        </w:rPr>
        <w:t xml:space="preserve"> e</w:t>
      </w:r>
      <w:r w:rsidRPr="00453539">
        <w:rPr>
          <w:rFonts w:ascii="Arial Narrow" w:hAnsi="Arial Narrow"/>
        </w:rPr>
        <w:t xml:space="preserve"> </w:t>
      </w:r>
      <w:r>
        <w:rPr>
          <w:rFonts w:ascii="Arial Narrow" w:hAnsi="Arial Narrow"/>
        </w:rPr>
        <w:t>acrescentou (pág. 133) que ele considerara que Darré estimulava a propensão romântica de Himmler.</w:t>
      </w:r>
    </w:p>
  </w:footnote>
  <w:footnote w:id="230">
    <w:p w:rsidR="00392E0D" w:rsidRPr="009166FF" w:rsidRDefault="00392E0D" w:rsidP="00321E01">
      <w:pPr>
        <w:pStyle w:val="Textodenotaderodap"/>
        <w:rPr>
          <w:rFonts w:ascii="Arial Narrow" w:hAnsi="Arial Narrow"/>
        </w:rPr>
      </w:pPr>
      <w:r w:rsidRPr="003E305A">
        <w:rPr>
          <w:rStyle w:val="Refdenotaderodap"/>
          <w:rFonts w:ascii="Arial Narrow" w:hAnsi="Arial Narrow"/>
        </w:rPr>
        <w:footnoteRef/>
      </w:r>
      <w:r w:rsidRPr="009166FF">
        <w:rPr>
          <w:rFonts w:ascii="Arial Narrow" w:hAnsi="Arial Narrow"/>
        </w:rPr>
        <w:t xml:space="preserve"> E. K. Bramstedt (1945) 83 e n.; A. Bramwell (1985) 91, 108 e segs., 127-129, 133, 136, 181</w:t>
      </w:r>
      <w:r>
        <w:rPr>
          <w:rFonts w:ascii="Arial Narrow" w:hAnsi="Arial Narrow"/>
        </w:rPr>
        <w:t xml:space="preserve">; </w:t>
      </w:r>
      <w:r w:rsidRPr="000B629E">
        <w:rPr>
          <w:rFonts w:ascii="Arial Narrow" w:hAnsi="Arial Narrow"/>
        </w:rPr>
        <w:t>D. Orlow (2010) 603</w:t>
      </w:r>
      <w:r w:rsidRPr="009166FF">
        <w:rPr>
          <w:rFonts w:ascii="Arial Narrow" w:hAnsi="Arial Narrow"/>
        </w:rPr>
        <w:t>.</w:t>
      </w:r>
    </w:p>
  </w:footnote>
  <w:footnote w:id="231">
    <w:p w:rsidR="00392E0D" w:rsidRPr="00601565" w:rsidRDefault="00392E0D">
      <w:pPr>
        <w:pStyle w:val="Textodenotaderodap"/>
        <w:rPr>
          <w:rFonts w:ascii="Arial Narrow" w:hAnsi="Arial Narrow"/>
        </w:rPr>
      </w:pPr>
      <w:r w:rsidRPr="00601565">
        <w:rPr>
          <w:rStyle w:val="Refdenotaderodap"/>
          <w:rFonts w:ascii="Arial Narrow" w:hAnsi="Arial Narrow"/>
        </w:rPr>
        <w:footnoteRef/>
      </w:r>
      <w:r w:rsidRPr="00601565">
        <w:rPr>
          <w:rFonts w:ascii="Arial Narrow" w:hAnsi="Arial Narrow"/>
        </w:rPr>
        <w:t xml:space="preserve"> </w:t>
      </w:r>
      <w:r>
        <w:rPr>
          <w:rFonts w:ascii="Arial Narrow" w:hAnsi="Arial Narrow"/>
        </w:rPr>
        <w:t xml:space="preserve">Em </w:t>
      </w:r>
      <w:r w:rsidRPr="00502659">
        <w:rPr>
          <w:rFonts w:ascii="Arial Narrow" w:hAnsi="Arial Narrow"/>
          <w:iCs/>
        </w:rPr>
        <w:t xml:space="preserve">6 de Agosto de 1942, em </w:t>
      </w:r>
      <w:r w:rsidRPr="00502659">
        <w:rPr>
          <w:rFonts w:ascii="Arial Narrow" w:hAnsi="Arial Narrow"/>
          <w:bCs/>
          <w:i/>
          <w:iCs/>
        </w:rPr>
        <w:t>Hitler’s Table Talk</w:t>
      </w:r>
      <w:r w:rsidRPr="00502659">
        <w:rPr>
          <w:rFonts w:ascii="Arial Narrow" w:hAnsi="Arial Narrow"/>
          <w:iCs/>
        </w:rPr>
        <w:t>...,</w:t>
      </w:r>
      <w:r>
        <w:rPr>
          <w:rFonts w:ascii="Arial Narrow" w:hAnsi="Arial Narrow"/>
          <w:iCs/>
        </w:rPr>
        <w:t xml:space="preserve"> 619.</w:t>
      </w:r>
    </w:p>
  </w:footnote>
  <w:footnote w:id="232">
    <w:p w:rsidR="00392E0D" w:rsidRPr="003950C0" w:rsidRDefault="00392E0D" w:rsidP="00573955">
      <w:pPr>
        <w:pStyle w:val="Textodenotaderodap"/>
        <w:rPr>
          <w:rFonts w:ascii="Arial Narrow" w:hAnsi="Arial Narrow"/>
        </w:rPr>
      </w:pPr>
      <w:r w:rsidRPr="003950C0">
        <w:rPr>
          <w:rStyle w:val="Refdenotaderodap"/>
          <w:rFonts w:ascii="Arial Narrow" w:hAnsi="Arial Narrow"/>
        </w:rPr>
        <w:footnoteRef/>
      </w:r>
      <w:r w:rsidRPr="003950C0">
        <w:rPr>
          <w:rFonts w:ascii="Arial Narrow" w:hAnsi="Arial Narrow"/>
        </w:rPr>
        <w:t xml:space="preserve"> </w:t>
      </w:r>
      <w:r>
        <w:rPr>
          <w:rFonts w:ascii="Arial Narrow" w:hAnsi="Arial Narrow"/>
        </w:rPr>
        <w:t>Esta passagem do discurso pronunciado por Himmler em Posen a 4 de Outubro de 1943 encontra-se em J. Billig (2000) 168 e J. Noakes et al. (orgs. 2008-2010) III 312.</w:t>
      </w:r>
    </w:p>
  </w:footnote>
  <w:footnote w:id="233">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Para a evolução dos efectivos dos SS ver: M. Baumont (1951) 479; J. Billig (2000) 131, 133, 140; E. K. Bramstedt (1945) 72; J. Droz [s. d.] 99; </w:t>
      </w:r>
      <w:r w:rsidRPr="001D0121">
        <w:rPr>
          <w:rFonts w:ascii="Arial Narrow" w:hAnsi="Arial Narrow"/>
        </w:rPr>
        <w:t xml:space="preserve">J. C. Fest (1974) 499; </w:t>
      </w:r>
      <w:r w:rsidRPr="003E305A">
        <w:rPr>
          <w:rFonts w:ascii="Arial Narrow" w:hAnsi="Arial Narrow"/>
        </w:rPr>
        <w:t xml:space="preserve">R. L. Koehl (1983) 24, 30, 52-53, 79, 92; E. Kogon (2002) 24; </w:t>
      </w:r>
      <w:r>
        <w:rPr>
          <w:rFonts w:ascii="Arial Narrow" w:hAnsi="Arial Narrow"/>
        </w:rPr>
        <w:t xml:space="preserve">J. Noakes et al. </w:t>
      </w:r>
      <w:r w:rsidRPr="00D5321B">
        <w:rPr>
          <w:rFonts w:ascii="Arial Narrow" w:hAnsi="Arial Narrow"/>
          <w:lang w:val="en-US"/>
        </w:rPr>
        <w:t xml:space="preserve">(orgs. 2008-2010) II 305; </w:t>
      </w:r>
      <w:r>
        <w:rPr>
          <w:rFonts w:ascii="Arial Narrow" w:hAnsi="Arial Narrow"/>
          <w:lang w:val="en-US"/>
        </w:rPr>
        <w:t xml:space="preserve">M. Roseman (2012) 17; </w:t>
      </w:r>
      <w:r w:rsidRPr="00D5321B">
        <w:rPr>
          <w:rFonts w:ascii="Arial Narrow" w:hAnsi="Arial Narrow"/>
          <w:lang w:val="en-US"/>
        </w:rPr>
        <w:t xml:space="preserve">B. Wegner, «SS», em I. C. B. Dear et al. </w:t>
      </w:r>
      <w:r w:rsidRPr="003E305A">
        <w:rPr>
          <w:rFonts w:ascii="Arial Narrow" w:hAnsi="Arial Narrow"/>
        </w:rPr>
        <w:t>(orgs. 1995) 1044. Todavia, Benoist-Méchin (1964-1966) III 41 e 209 atribui</w:t>
      </w:r>
      <w:r>
        <w:rPr>
          <w:rFonts w:ascii="Arial Narrow" w:hAnsi="Arial Narrow"/>
        </w:rPr>
        <w:t>u</w:t>
      </w:r>
      <w:r w:rsidRPr="003E305A">
        <w:rPr>
          <w:rFonts w:ascii="Arial Narrow" w:hAnsi="Arial Narrow"/>
        </w:rPr>
        <w:t xml:space="preserve"> 60.000 membros aos SS em 1932, 100.000 em Janeiro de 1933 e cerca de 200.000 a partir do final de Julho do ano seguinte.</w:t>
      </w:r>
    </w:p>
  </w:footnote>
  <w:footnote w:id="23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21E01">
        <w:rPr>
          <w:rFonts w:ascii="Arial Narrow" w:hAnsi="Arial Narrow"/>
          <w:lang w:val="en-US"/>
        </w:rPr>
        <w:t xml:space="preserve"> E. K. Bramstedt (1945) 85-86; </w:t>
      </w:r>
      <w:r w:rsidRPr="009E54BE">
        <w:rPr>
          <w:rFonts w:ascii="Arial Narrow" w:hAnsi="Arial Narrow"/>
          <w:lang w:val="en-US"/>
        </w:rPr>
        <w:t xml:space="preserve">J. Herf (1986) </w:t>
      </w:r>
      <w:r>
        <w:rPr>
          <w:rFonts w:ascii="Arial Narrow" w:hAnsi="Arial Narrow"/>
          <w:lang w:val="en-US"/>
        </w:rPr>
        <w:t xml:space="preserve">214; </w:t>
      </w:r>
      <w:r w:rsidRPr="00321E01">
        <w:rPr>
          <w:rFonts w:ascii="Arial Narrow" w:hAnsi="Arial Narrow"/>
          <w:lang w:val="en-US"/>
        </w:rPr>
        <w:t xml:space="preserve">P. Milza et al. </w:t>
      </w:r>
      <w:r w:rsidRPr="003E305A">
        <w:rPr>
          <w:rFonts w:ascii="Arial Narrow" w:hAnsi="Arial Narrow"/>
        </w:rPr>
        <w:t xml:space="preserve">(1992) 644. </w:t>
      </w:r>
      <w:r>
        <w:rPr>
          <w:rFonts w:ascii="Arial Narrow" w:hAnsi="Arial Narrow"/>
        </w:rPr>
        <w:t xml:space="preserve">Ver ainda </w:t>
      </w:r>
      <w:r w:rsidRPr="00D64447">
        <w:rPr>
          <w:rFonts w:ascii="Arial Narrow" w:hAnsi="Arial Narrow"/>
          <w:bCs/>
        </w:rPr>
        <w:t xml:space="preserve">S. G. Payne </w:t>
      </w:r>
      <w:r w:rsidRPr="00D64447">
        <w:rPr>
          <w:rFonts w:ascii="Arial Narrow" w:hAnsi="Arial Narrow"/>
        </w:rPr>
        <w:t xml:space="preserve">(2003 b) 186. </w:t>
      </w:r>
      <w:r w:rsidRPr="003E305A">
        <w:rPr>
          <w:rFonts w:ascii="Arial Narrow" w:hAnsi="Arial Narrow"/>
        </w:rPr>
        <w:t>No final de 1938, escreve</w:t>
      </w:r>
      <w:r>
        <w:rPr>
          <w:rFonts w:ascii="Arial Narrow" w:hAnsi="Arial Narrow"/>
        </w:rPr>
        <w:t>u</w:t>
      </w:r>
      <w:r w:rsidRPr="003E305A">
        <w:rPr>
          <w:rFonts w:ascii="Arial Narrow" w:hAnsi="Arial Narrow"/>
        </w:rPr>
        <w:t xml:space="preserve"> Benoist-Méchin (1964-1966) VI 108 n. 3, os Waffen</w:t>
      </w:r>
      <w:r>
        <w:rPr>
          <w:rFonts w:ascii="Arial Narrow" w:hAnsi="Arial Narrow"/>
        </w:rPr>
        <w:t>-</w:t>
      </w:r>
      <w:r w:rsidRPr="003E305A">
        <w:rPr>
          <w:rFonts w:ascii="Arial Narrow" w:hAnsi="Arial Narrow"/>
        </w:rPr>
        <w:t xml:space="preserve">SS contavam 500 oficiais, 1.500 suboficiais e 16.000 soldados, e a crer em R. L. Koehl (1983) 208 eles mobilizavam 222.000 homens no começo das campanhas do Verão de 1942. </w:t>
      </w:r>
      <w:r>
        <w:rPr>
          <w:rFonts w:ascii="Arial Narrow" w:hAnsi="Arial Narrow"/>
        </w:rPr>
        <w:t xml:space="preserve">Segundo </w:t>
      </w:r>
      <w:r w:rsidRPr="006F4E00">
        <w:rPr>
          <w:rFonts w:ascii="Arial Narrow" w:hAnsi="Arial Narrow"/>
        </w:rPr>
        <w:t xml:space="preserve">S. Friedländer (2008) </w:t>
      </w:r>
      <w:r>
        <w:rPr>
          <w:rFonts w:ascii="Arial Narrow" w:hAnsi="Arial Narrow"/>
        </w:rPr>
        <w:t xml:space="preserve">804, os Waffen-SS reuniriam cerca de 600.000 homens em 1944. </w:t>
      </w:r>
      <w:r w:rsidRPr="003E305A">
        <w:rPr>
          <w:rFonts w:ascii="Arial Narrow" w:hAnsi="Arial Narrow"/>
        </w:rPr>
        <w:t>J. Förster, «Germany», em Dear et al., (orgs. 1995) 460 calcul</w:t>
      </w:r>
      <w:r>
        <w:rPr>
          <w:rFonts w:ascii="Arial Narrow" w:hAnsi="Arial Narrow"/>
        </w:rPr>
        <w:t>ou</w:t>
      </w:r>
      <w:r w:rsidRPr="003E305A">
        <w:rPr>
          <w:rFonts w:ascii="Arial Narrow" w:hAnsi="Arial Narrow"/>
        </w:rPr>
        <w:t xml:space="preserve"> que as forças armadas dos SS mobilizavam praticamente 595.000 homens em Junho de 1944</w:t>
      </w:r>
      <w:r>
        <w:rPr>
          <w:rFonts w:ascii="Arial Narrow" w:hAnsi="Arial Narrow"/>
        </w:rPr>
        <w:t xml:space="preserve">, uma estimativa com que </w:t>
      </w:r>
      <w:r w:rsidRPr="00D64447">
        <w:rPr>
          <w:rFonts w:ascii="Arial Narrow" w:hAnsi="Arial Narrow"/>
          <w:bCs/>
        </w:rPr>
        <w:t xml:space="preserve">S. G. Payne </w:t>
      </w:r>
      <w:r w:rsidRPr="00D64447">
        <w:rPr>
          <w:rFonts w:ascii="Arial Narrow" w:hAnsi="Arial Narrow"/>
        </w:rPr>
        <w:t>(2003 b) 373 concordou,</w:t>
      </w:r>
      <w:r w:rsidRPr="003E305A">
        <w:rPr>
          <w:rFonts w:ascii="Arial Narrow" w:hAnsi="Arial Narrow"/>
        </w:rPr>
        <w:t xml:space="preserve"> e Benoist-Méchin, </w:t>
      </w:r>
      <w:r w:rsidRPr="000960AA">
        <w:rPr>
          <w:rFonts w:ascii="Arial Narrow" w:hAnsi="Arial Narrow"/>
        </w:rPr>
        <w:t>op. cit.,</w:t>
      </w:r>
      <w:r w:rsidRPr="003E305A">
        <w:rPr>
          <w:rFonts w:ascii="Arial Narrow" w:hAnsi="Arial Narrow"/>
        </w:rPr>
        <w:t xml:space="preserve"> VI 108 n. 3 pretende</w:t>
      </w:r>
      <w:r>
        <w:rPr>
          <w:rFonts w:ascii="Arial Narrow" w:hAnsi="Arial Narrow"/>
        </w:rPr>
        <w:t>u</w:t>
      </w:r>
      <w:r w:rsidRPr="003E305A">
        <w:rPr>
          <w:rFonts w:ascii="Arial Narrow" w:hAnsi="Arial Narrow"/>
        </w:rPr>
        <w:t xml:space="preserve"> que em 1945 elas dispunham de 18.000 oficiais, 52.000 subalternos e 600.000 soldados.</w:t>
      </w:r>
      <w:r>
        <w:rPr>
          <w:rFonts w:ascii="Arial Narrow" w:hAnsi="Arial Narrow"/>
        </w:rPr>
        <w:t xml:space="preserve"> </w:t>
      </w:r>
      <w:r w:rsidRPr="003E305A">
        <w:rPr>
          <w:rFonts w:ascii="Arial Narrow" w:hAnsi="Arial Narrow"/>
        </w:rPr>
        <w:t>Note-se que, segundo A. Bullock (1972) 699 e 728, o total de 900.000 inclui as baixas sofridas. Com efeito, Robert Lewis Koehl</w:t>
      </w:r>
      <w:r>
        <w:rPr>
          <w:rFonts w:ascii="Arial Narrow" w:hAnsi="Arial Narrow"/>
        </w:rPr>
        <w:t>,</w:t>
      </w:r>
      <w:r w:rsidRPr="003E305A">
        <w:rPr>
          <w:rFonts w:ascii="Arial Narrow" w:hAnsi="Arial Narrow"/>
        </w:rPr>
        <w:t xml:space="preserve"> </w:t>
      </w:r>
      <w:r w:rsidRPr="000960AA">
        <w:rPr>
          <w:rFonts w:ascii="Arial Narrow" w:hAnsi="Arial Narrow"/>
        </w:rPr>
        <w:t>op. cit.,</w:t>
      </w:r>
      <w:r w:rsidRPr="003E305A">
        <w:rPr>
          <w:rFonts w:ascii="Arial Narrow" w:hAnsi="Arial Narrow"/>
        </w:rPr>
        <w:t xml:space="preserve"> 218 admit</w:t>
      </w:r>
      <w:r>
        <w:rPr>
          <w:rFonts w:ascii="Arial Narrow" w:hAnsi="Arial Narrow"/>
        </w:rPr>
        <w:t>iu</w:t>
      </w:r>
      <w:r w:rsidRPr="003E305A">
        <w:rPr>
          <w:rFonts w:ascii="Arial Narrow" w:hAnsi="Arial Narrow"/>
        </w:rPr>
        <w:t xml:space="preserve"> para os Waffen</w:t>
      </w:r>
      <w:r>
        <w:rPr>
          <w:rFonts w:ascii="Arial Narrow" w:hAnsi="Arial Narrow"/>
        </w:rPr>
        <w:t>-</w:t>
      </w:r>
      <w:r w:rsidRPr="003E305A">
        <w:rPr>
          <w:rFonts w:ascii="Arial Narrow" w:hAnsi="Arial Narrow"/>
        </w:rPr>
        <w:t>SS a extensão máxima de 800.000 combatentes, aos quais deveríamos adicionar pelo menos 100.000 mortos. Por seu lado, depois de indicar que em Maio de 1945 mais de 800.000 homens tinham servido nos Waffen</w:t>
      </w:r>
      <w:r>
        <w:rPr>
          <w:rFonts w:ascii="Arial Narrow" w:hAnsi="Arial Narrow"/>
        </w:rPr>
        <w:t>-</w:t>
      </w:r>
      <w:r w:rsidRPr="003E305A">
        <w:rPr>
          <w:rFonts w:ascii="Arial Narrow" w:hAnsi="Arial Narrow"/>
        </w:rPr>
        <w:t>SS, B. Wegner, «SS», em I. C. B. Dear et al.</w:t>
      </w:r>
      <w:r>
        <w:rPr>
          <w:rFonts w:ascii="Arial Narrow" w:hAnsi="Arial Narrow"/>
        </w:rPr>
        <w:t xml:space="preserve">, op. cit., </w:t>
      </w:r>
      <w:r w:rsidRPr="003E305A">
        <w:rPr>
          <w:rFonts w:ascii="Arial Narrow" w:hAnsi="Arial Narrow"/>
        </w:rPr>
        <w:t>1046 acrescent</w:t>
      </w:r>
      <w:r>
        <w:rPr>
          <w:rFonts w:ascii="Arial Narrow" w:hAnsi="Arial Narrow"/>
        </w:rPr>
        <w:t>ou</w:t>
      </w:r>
      <w:r w:rsidRPr="003E305A">
        <w:rPr>
          <w:rFonts w:ascii="Arial Narrow" w:hAnsi="Arial Narrow"/>
        </w:rPr>
        <w:t xml:space="preserve"> que 1/4 ou 1/5 havia morrido em combate. </w:t>
      </w:r>
      <w:r>
        <w:rPr>
          <w:rFonts w:ascii="Arial Narrow" w:hAnsi="Arial Narrow"/>
        </w:rPr>
        <w:t xml:space="preserve">L. Degrelle (2000) 103 considerou que os Waffen-SS atingiram quase um milhão de homens, mas explicou que entre eles se contaram 402.000 baixas mortais. Para mais estimativas ver </w:t>
      </w:r>
      <w:r w:rsidRPr="007650CD">
        <w:rPr>
          <w:rFonts w:ascii="Arial Narrow" w:hAnsi="Arial Narrow"/>
        </w:rPr>
        <w:t>H. F. Ziegler (1989) 4 n. 6.</w:t>
      </w:r>
    </w:p>
  </w:footnote>
  <w:footnote w:id="235">
    <w:p w:rsidR="00392E0D" w:rsidRPr="0025444E" w:rsidRDefault="00392E0D">
      <w:pPr>
        <w:pStyle w:val="Textodenotaderodap"/>
        <w:rPr>
          <w:rFonts w:ascii="Arial Narrow" w:hAnsi="Arial Narrow"/>
        </w:rPr>
      </w:pPr>
      <w:r w:rsidRPr="0025444E">
        <w:rPr>
          <w:rStyle w:val="Refdenotaderodap"/>
          <w:rFonts w:ascii="Arial Narrow" w:hAnsi="Arial Narrow"/>
        </w:rPr>
        <w:footnoteRef/>
      </w:r>
      <w:r w:rsidRPr="0025444E">
        <w:rPr>
          <w:rFonts w:ascii="Arial Narrow" w:hAnsi="Arial Narrow"/>
        </w:rPr>
        <w:t xml:space="preserve"> </w:t>
      </w:r>
      <w:r>
        <w:rPr>
          <w:rFonts w:ascii="Arial Narrow" w:hAnsi="Arial Narrow"/>
        </w:rPr>
        <w:t>Citado em M. Gilbert (2011 b) I 387.</w:t>
      </w:r>
    </w:p>
  </w:footnote>
  <w:footnote w:id="236">
    <w:p w:rsidR="00392E0D" w:rsidRPr="00D4049A" w:rsidRDefault="00392E0D">
      <w:pPr>
        <w:pStyle w:val="Textodenotaderodap"/>
        <w:rPr>
          <w:rFonts w:ascii="Arial Narrow" w:hAnsi="Arial Narrow"/>
          <w:lang w:val="en-US"/>
        </w:rPr>
      </w:pPr>
      <w:r w:rsidRPr="00D4049A">
        <w:rPr>
          <w:rStyle w:val="Refdenotaderodap"/>
          <w:rFonts w:ascii="Arial Narrow" w:hAnsi="Arial Narrow"/>
        </w:rPr>
        <w:footnoteRef/>
      </w:r>
      <w:r w:rsidRPr="00D4049A">
        <w:rPr>
          <w:rFonts w:ascii="Arial Narrow" w:hAnsi="Arial Narrow"/>
          <w:lang w:val="en-US"/>
        </w:rPr>
        <w:t xml:space="preserve"> Y. Gorlizki et al. (2009)</w:t>
      </w:r>
      <w:r>
        <w:rPr>
          <w:rFonts w:ascii="Arial Narrow" w:hAnsi="Arial Narrow"/>
          <w:lang w:val="en-US"/>
        </w:rPr>
        <w:t xml:space="preserve"> 58.</w:t>
      </w:r>
    </w:p>
  </w:footnote>
  <w:footnote w:id="237">
    <w:p w:rsidR="00392E0D" w:rsidRPr="00526E06" w:rsidRDefault="00392E0D" w:rsidP="00A17511">
      <w:pPr>
        <w:pStyle w:val="Textodenotaderodap"/>
        <w:ind w:firstLine="708"/>
        <w:rPr>
          <w:rFonts w:ascii="Arial Narrow" w:hAnsi="Arial Narrow"/>
          <w:lang w:val="en-US"/>
        </w:rPr>
      </w:pPr>
      <w:r w:rsidRPr="003E305A">
        <w:rPr>
          <w:rStyle w:val="Refdenotaderodap"/>
          <w:rFonts w:ascii="Arial Narrow" w:hAnsi="Arial Narrow"/>
        </w:rPr>
        <w:footnoteRef/>
      </w:r>
      <w:r w:rsidRPr="00526E06">
        <w:rPr>
          <w:rFonts w:ascii="Arial Narrow" w:hAnsi="Arial Narrow"/>
          <w:lang w:val="en-US"/>
        </w:rPr>
        <w:t xml:space="preserve"> H. S. Chamberlain (1913) 393.</w:t>
      </w:r>
    </w:p>
  </w:footnote>
  <w:footnote w:id="238">
    <w:p w:rsidR="00392E0D" w:rsidRPr="004D5E37" w:rsidRDefault="00392E0D">
      <w:pPr>
        <w:pStyle w:val="Textodenotaderodap"/>
        <w:rPr>
          <w:rFonts w:ascii="Arial Narrow" w:hAnsi="Arial Narrow"/>
        </w:rPr>
      </w:pPr>
      <w:r w:rsidRPr="004D5E37">
        <w:rPr>
          <w:rStyle w:val="Refdenotaderodap"/>
          <w:rFonts w:ascii="Arial Narrow" w:hAnsi="Arial Narrow"/>
        </w:rPr>
        <w:footnoteRef/>
      </w:r>
      <w:r w:rsidRPr="004D5E37">
        <w:rPr>
          <w:rFonts w:ascii="Arial Narrow" w:hAnsi="Arial Narrow"/>
        </w:rPr>
        <w:t xml:space="preserve"> </w:t>
      </w:r>
      <w:r w:rsidRPr="00E4614B">
        <w:rPr>
          <w:rFonts w:ascii="Arial Narrow" w:hAnsi="Arial Narrow"/>
        </w:rPr>
        <w:t>L. Stoddard (1921) 201-202.</w:t>
      </w:r>
      <w:r>
        <w:rPr>
          <w:rFonts w:ascii="Arial Narrow" w:hAnsi="Arial Narrow"/>
        </w:rPr>
        <w:t xml:space="preserve"> As passagens citadas encontram-se na pág. </w:t>
      </w:r>
      <w:r w:rsidRPr="004D5E37">
        <w:rPr>
          <w:rFonts w:ascii="Arial Narrow" w:hAnsi="Arial Narrow"/>
        </w:rPr>
        <w:t>202</w:t>
      </w:r>
      <w:r>
        <w:rPr>
          <w:rFonts w:ascii="Arial Narrow" w:hAnsi="Arial Narrow"/>
        </w:rPr>
        <w:t>.</w:t>
      </w:r>
    </w:p>
  </w:footnote>
  <w:footnote w:id="239">
    <w:p w:rsidR="00392E0D" w:rsidRPr="006864D0" w:rsidRDefault="00392E0D">
      <w:pPr>
        <w:pStyle w:val="Textodenotaderodap"/>
        <w:rPr>
          <w:rFonts w:ascii="Arial Narrow" w:hAnsi="Arial Narrow"/>
        </w:rPr>
      </w:pPr>
      <w:r w:rsidRPr="006864D0">
        <w:rPr>
          <w:rStyle w:val="Refdenotaderodap"/>
          <w:rFonts w:ascii="Arial Narrow" w:hAnsi="Arial Narrow"/>
        </w:rPr>
        <w:footnoteRef/>
      </w:r>
      <w:r w:rsidRPr="006864D0">
        <w:rPr>
          <w:rFonts w:ascii="Arial Narrow" w:hAnsi="Arial Narrow"/>
        </w:rPr>
        <w:t xml:space="preserve"> </w:t>
      </w:r>
      <w:r>
        <w:rPr>
          <w:rFonts w:ascii="Arial Narrow" w:hAnsi="Arial Narrow"/>
        </w:rPr>
        <w:t xml:space="preserve">Na noite de </w:t>
      </w:r>
      <w:r w:rsidRPr="00755104">
        <w:rPr>
          <w:rFonts w:ascii="Arial Narrow" w:hAnsi="Arial Narrow"/>
          <w:iCs/>
        </w:rPr>
        <w:t>1</w:t>
      </w:r>
      <w:r>
        <w:rPr>
          <w:rFonts w:ascii="Arial Narrow" w:hAnsi="Arial Narrow"/>
          <w:iCs/>
        </w:rPr>
        <w:t xml:space="preserve"> para </w:t>
      </w:r>
      <w:r w:rsidRPr="00755104">
        <w:rPr>
          <w:rFonts w:ascii="Arial Narrow" w:hAnsi="Arial Narrow"/>
          <w:iCs/>
        </w:rPr>
        <w:t xml:space="preserve">2 de Novembro de 1941, em </w:t>
      </w:r>
      <w:r w:rsidRPr="00755104">
        <w:rPr>
          <w:rFonts w:ascii="Arial Narrow" w:hAnsi="Arial Narrow"/>
          <w:bCs/>
          <w:i/>
          <w:iCs/>
        </w:rPr>
        <w:t>Hitler’s Table Talk</w:t>
      </w:r>
      <w:r w:rsidRPr="00755104">
        <w:rPr>
          <w:rFonts w:ascii="Arial Narrow" w:hAnsi="Arial Narrow"/>
          <w:iCs/>
        </w:rPr>
        <w:t>...,</w:t>
      </w:r>
      <w:r>
        <w:rPr>
          <w:rFonts w:ascii="Arial Narrow" w:hAnsi="Arial Narrow"/>
          <w:iCs/>
        </w:rPr>
        <w:t xml:space="preserve"> 106.</w:t>
      </w:r>
    </w:p>
  </w:footnote>
  <w:footnote w:id="240">
    <w:p w:rsidR="00392E0D" w:rsidRPr="00BB5B60" w:rsidRDefault="00392E0D">
      <w:pPr>
        <w:pStyle w:val="Textodenotaderodap"/>
        <w:rPr>
          <w:rFonts w:ascii="Arial Narrow" w:hAnsi="Arial Narrow"/>
        </w:rPr>
      </w:pPr>
      <w:r w:rsidRPr="00BB5B60">
        <w:rPr>
          <w:rStyle w:val="Refdenotaderodap"/>
          <w:rFonts w:ascii="Arial Narrow" w:hAnsi="Arial Narrow"/>
        </w:rPr>
        <w:footnoteRef/>
      </w:r>
      <w:r w:rsidRPr="00BB5B60">
        <w:rPr>
          <w:rFonts w:ascii="Arial Narrow" w:hAnsi="Arial Narrow"/>
        </w:rPr>
        <w:t xml:space="preserve"> </w:t>
      </w:r>
      <w:r>
        <w:rPr>
          <w:rFonts w:ascii="Arial Narrow" w:hAnsi="Arial Narrow"/>
        </w:rPr>
        <w:t xml:space="preserve">Em 5 de Abril de 1942, </w:t>
      </w:r>
      <w:r w:rsidRPr="00755104">
        <w:rPr>
          <w:rFonts w:ascii="Arial Narrow" w:hAnsi="Arial Narrow"/>
          <w:iCs/>
        </w:rPr>
        <w:t>em</w:t>
      </w:r>
      <w:r>
        <w:rPr>
          <w:rFonts w:ascii="Arial Narrow" w:hAnsi="Arial Narrow"/>
          <w:iCs/>
        </w:rPr>
        <w:t xml:space="preserve"> ibid., 403 e 404.</w:t>
      </w:r>
    </w:p>
  </w:footnote>
  <w:footnote w:id="24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H. Rauschning (1939) 258-259.</w:t>
      </w:r>
    </w:p>
  </w:footnote>
  <w:footnote w:id="242">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H. Arendt (1972) 283 n. 68.</w:t>
      </w:r>
    </w:p>
  </w:footnote>
  <w:footnote w:id="243">
    <w:p w:rsidR="00392E0D" w:rsidRPr="007A5C80"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Bullock (1972) 699. A mesma constatação </w:t>
      </w:r>
      <w:r>
        <w:rPr>
          <w:rFonts w:ascii="Arial Narrow" w:hAnsi="Arial Narrow"/>
        </w:rPr>
        <w:t>foi</w:t>
      </w:r>
      <w:r w:rsidRPr="003E305A">
        <w:rPr>
          <w:rFonts w:ascii="Arial Narrow" w:hAnsi="Arial Narrow"/>
        </w:rPr>
        <w:t xml:space="preserve"> feita por </w:t>
      </w:r>
      <w:r>
        <w:rPr>
          <w:rFonts w:ascii="Arial Narrow" w:hAnsi="Arial Narrow"/>
        </w:rPr>
        <w:t xml:space="preserve">A. Bramwell (1985) 168 e </w:t>
      </w:r>
      <w:r w:rsidRPr="003E305A">
        <w:rPr>
          <w:rFonts w:ascii="Arial Narrow" w:hAnsi="Arial Narrow"/>
        </w:rPr>
        <w:t xml:space="preserve">B. Wegner, «SS», em I. C. B. Dear et al. </w:t>
      </w:r>
      <w:r w:rsidRPr="007A5C80">
        <w:rPr>
          <w:rFonts w:ascii="Arial Narrow" w:hAnsi="Arial Narrow"/>
        </w:rPr>
        <w:t>(orgs. 1995) 1049. L. Degrelle (2000) 103, que estimou os Waffen</w:t>
      </w:r>
      <w:r>
        <w:rPr>
          <w:rFonts w:ascii="Arial Narrow" w:hAnsi="Arial Narrow"/>
        </w:rPr>
        <w:t>-</w:t>
      </w:r>
      <w:r w:rsidRPr="007A5C80">
        <w:rPr>
          <w:rFonts w:ascii="Arial Narrow" w:hAnsi="Arial Narrow"/>
        </w:rPr>
        <w:t>SS em pouco menos de um milhão, considerou que 600.000 não eram alemães.</w:t>
      </w:r>
    </w:p>
  </w:footnote>
  <w:footnote w:id="244">
    <w:p w:rsidR="00392E0D" w:rsidRPr="007013A0" w:rsidRDefault="00392E0D">
      <w:pPr>
        <w:pStyle w:val="Textodenotaderodap"/>
        <w:rPr>
          <w:rFonts w:ascii="Arial Narrow" w:hAnsi="Arial Narrow"/>
        </w:rPr>
      </w:pPr>
      <w:r w:rsidRPr="00BC1C0A">
        <w:rPr>
          <w:rStyle w:val="Refdenotaderodap"/>
          <w:rFonts w:ascii="Arial Narrow" w:hAnsi="Arial Narrow"/>
        </w:rPr>
        <w:footnoteRef/>
      </w:r>
      <w:r w:rsidRPr="00446A73">
        <w:rPr>
          <w:rFonts w:ascii="Arial Narrow" w:hAnsi="Arial Narrow"/>
        </w:rPr>
        <w:t xml:space="preserve"> L. Rebatet (2007) 113.</w:t>
      </w:r>
      <w:r>
        <w:rPr>
          <w:rFonts w:ascii="Arial Narrow" w:hAnsi="Arial Narrow"/>
        </w:rPr>
        <w:t xml:space="preserve"> O carácter supranacional e pan-europeu dos Waffen-SS foi proclamado num artigo da revista </w:t>
      </w:r>
      <w:r w:rsidRPr="00203197">
        <w:rPr>
          <w:rFonts w:ascii="Arial Narrow" w:hAnsi="Arial Narrow"/>
          <w:i/>
        </w:rPr>
        <w:t>SS Leitheft</w:t>
      </w:r>
      <w:r>
        <w:rPr>
          <w:rFonts w:ascii="Arial Narrow" w:hAnsi="Arial Narrow"/>
          <w:i/>
        </w:rPr>
        <w:t>,</w:t>
      </w:r>
      <w:r>
        <w:rPr>
          <w:rFonts w:ascii="Arial Narrow" w:hAnsi="Arial Narrow"/>
        </w:rPr>
        <w:t xml:space="preserve"> Fevereiro de 1944, antologiado em </w:t>
      </w:r>
      <w:r w:rsidRPr="007013A0">
        <w:rPr>
          <w:rFonts w:ascii="Arial Narrow" w:hAnsi="Arial Narrow"/>
        </w:rPr>
        <w:t>K. Hammer (org. 1988-1994)</w:t>
      </w:r>
      <w:r>
        <w:rPr>
          <w:rFonts w:ascii="Arial Narrow" w:hAnsi="Arial Narrow"/>
        </w:rPr>
        <w:t xml:space="preserve"> II 12-17.</w:t>
      </w:r>
    </w:p>
  </w:footnote>
  <w:footnote w:id="245">
    <w:p w:rsidR="00392E0D" w:rsidRPr="00446A73" w:rsidRDefault="00392E0D">
      <w:pPr>
        <w:pStyle w:val="Textodenotaderodap"/>
        <w:rPr>
          <w:rFonts w:ascii="Arial Narrow" w:hAnsi="Arial Narrow"/>
        </w:rPr>
      </w:pPr>
      <w:r w:rsidRPr="00F00A55">
        <w:rPr>
          <w:rStyle w:val="Refdenotaderodap"/>
          <w:rFonts w:ascii="Arial Narrow" w:hAnsi="Arial Narrow"/>
        </w:rPr>
        <w:footnoteRef/>
      </w:r>
      <w:r w:rsidRPr="00446A73">
        <w:rPr>
          <w:rFonts w:ascii="Arial Narrow" w:hAnsi="Arial Narrow"/>
        </w:rPr>
        <w:t xml:space="preserve"> Saint-Loup (1987) 239.</w:t>
      </w:r>
    </w:p>
  </w:footnote>
  <w:footnote w:id="246">
    <w:p w:rsidR="00392E0D" w:rsidRPr="00F00A55" w:rsidRDefault="00392E0D">
      <w:pPr>
        <w:pStyle w:val="Textodenotaderodap"/>
        <w:rPr>
          <w:rFonts w:ascii="Arial Narrow" w:hAnsi="Arial Narrow"/>
        </w:rPr>
      </w:pPr>
      <w:r w:rsidRPr="00F00A55">
        <w:rPr>
          <w:rStyle w:val="Refdenotaderodap"/>
          <w:rFonts w:ascii="Arial Narrow" w:hAnsi="Arial Narrow"/>
        </w:rPr>
        <w:footnoteRef/>
      </w:r>
      <w:r w:rsidRPr="00F00A55">
        <w:rPr>
          <w:rFonts w:ascii="Arial Narrow" w:hAnsi="Arial Narrow"/>
        </w:rPr>
        <w:t xml:space="preserve"> </w:t>
      </w:r>
      <w:r w:rsidRPr="003E305A">
        <w:rPr>
          <w:rFonts w:ascii="Arial Narrow" w:hAnsi="Arial Narrow"/>
        </w:rPr>
        <w:t>A. Dallin (1957) 168 insist</w:t>
      </w:r>
      <w:r>
        <w:rPr>
          <w:rFonts w:ascii="Arial Narrow" w:hAnsi="Arial Narrow"/>
        </w:rPr>
        <w:t>iu</w:t>
      </w:r>
      <w:r w:rsidRPr="003E305A">
        <w:rPr>
          <w:rFonts w:ascii="Arial Narrow" w:hAnsi="Arial Narrow"/>
        </w:rPr>
        <w:t xml:space="preserve"> na inimizade tradicional que </w:t>
      </w:r>
      <w:r>
        <w:rPr>
          <w:rFonts w:ascii="Arial Narrow" w:hAnsi="Arial Narrow"/>
        </w:rPr>
        <w:t xml:space="preserve">opusera </w:t>
      </w:r>
      <w:r w:rsidRPr="003E305A">
        <w:rPr>
          <w:rFonts w:ascii="Arial Narrow" w:hAnsi="Arial Narrow"/>
        </w:rPr>
        <w:t>Himmler e Rosenberg, pretendendo que ela simbolizava o conflito entre a prática e a teoria. Mas o certo é que Rosenberg aspir</w:t>
      </w:r>
      <w:r>
        <w:rPr>
          <w:rFonts w:ascii="Arial Narrow" w:hAnsi="Arial Narrow"/>
        </w:rPr>
        <w:t>ara</w:t>
      </w:r>
      <w:r w:rsidRPr="003E305A">
        <w:rPr>
          <w:rFonts w:ascii="Arial Narrow" w:hAnsi="Arial Narrow"/>
        </w:rPr>
        <w:t xml:space="preserve"> sempre a prosseguir uma actividade prática, embora em </w:t>
      </w:r>
      <w:r>
        <w:rPr>
          <w:rFonts w:ascii="Arial Narrow" w:hAnsi="Arial Narrow"/>
        </w:rPr>
        <w:t>boa</w:t>
      </w:r>
      <w:r w:rsidRPr="003E305A">
        <w:rPr>
          <w:rFonts w:ascii="Arial Narrow" w:hAnsi="Arial Narrow"/>
        </w:rPr>
        <w:t xml:space="preserve"> </w:t>
      </w:r>
      <w:r>
        <w:rPr>
          <w:rFonts w:ascii="Arial Narrow" w:hAnsi="Arial Narrow"/>
        </w:rPr>
        <w:t>medida</w:t>
      </w:r>
      <w:r w:rsidRPr="003E305A">
        <w:rPr>
          <w:rFonts w:ascii="Arial Narrow" w:hAnsi="Arial Narrow"/>
        </w:rPr>
        <w:t xml:space="preserve"> ficasse frustrado nesta ambição, e Himmler </w:t>
      </w:r>
      <w:r>
        <w:rPr>
          <w:rFonts w:ascii="Arial Narrow" w:hAnsi="Arial Narrow"/>
        </w:rPr>
        <w:t xml:space="preserve">tivera </w:t>
      </w:r>
      <w:r w:rsidRPr="003E305A">
        <w:rPr>
          <w:rFonts w:ascii="Arial Narrow" w:hAnsi="Arial Narrow"/>
        </w:rPr>
        <w:t>veleidades teóricas. E</w:t>
      </w:r>
      <w:r>
        <w:rPr>
          <w:rFonts w:ascii="Arial Narrow" w:hAnsi="Arial Narrow"/>
        </w:rPr>
        <w:t xml:space="preserve"> apesar de entrarem </w:t>
      </w:r>
      <w:r w:rsidRPr="003E305A">
        <w:rPr>
          <w:rFonts w:ascii="Arial Narrow" w:hAnsi="Arial Narrow"/>
        </w:rPr>
        <w:t>em conflito aberto após Junho de 1941, quando a ocupação de vastos territórios no Leste da Europa colocou o problema da caracterização rácica de alguns povos eslavos, especialmente dos ucranianos, ambos partilharam</w:t>
      </w:r>
      <w:r>
        <w:rPr>
          <w:rFonts w:ascii="Arial Narrow" w:hAnsi="Arial Narrow"/>
        </w:rPr>
        <w:t xml:space="preserve"> </w:t>
      </w:r>
      <w:r w:rsidRPr="003E305A">
        <w:rPr>
          <w:rFonts w:ascii="Arial Narrow" w:hAnsi="Arial Narrow"/>
        </w:rPr>
        <w:t>o mesmo tipo de racismo</w:t>
      </w:r>
      <w:r>
        <w:rPr>
          <w:rFonts w:ascii="Arial Narrow" w:hAnsi="Arial Narrow"/>
        </w:rPr>
        <w:t xml:space="preserve"> e a mesma mentalidade religiosa</w:t>
      </w:r>
      <w:r w:rsidRPr="003E305A">
        <w:rPr>
          <w:rFonts w:ascii="Arial Narrow" w:hAnsi="Arial Narrow"/>
        </w:rPr>
        <w:t>.</w:t>
      </w:r>
      <w:r>
        <w:rPr>
          <w:rFonts w:ascii="Arial Narrow" w:hAnsi="Arial Narrow"/>
        </w:rPr>
        <w:t xml:space="preserve"> Aliás, na política a inimizade é mais frequentemente um corolário da proximidade do que do distanciamento.</w:t>
      </w:r>
    </w:p>
  </w:footnote>
  <w:footnote w:id="247">
    <w:p w:rsidR="00392E0D" w:rsidRPr="006F752B" w:rsidRDefault="00392E0D" w:rsidP="00A510EC">
      <w:pPr>
        <w:pStyle w:val="Textodenotaderodap"/>
        <w:rPr>
          <w:rFonts w:ascii="Arial Narrow" w:hAnsi="Arial Narrow"/>
          <w:lang w:val="en-US"/>
        </w:rPr>
      </w:pPr>
      <w:r w:rsidRPr="004D4D08">
        <w:rPr>
          <w:rStyle w:val="Refdenotaderodap"/>
          <w:rFonts w:ascii="Arial Narrow" w:hAnsi="Arial Narrow"/>
        </w:rPr>
        <w:footnoteRef/>
      </w:r>
      <w:r w:rsidRPr="006F752B">
        <w:rPr>
          <w:rFonts w:ascii="Arial Narrow" w:hAnsi="Arial Narrow"/>
          <w:lang w:val="en-US"/>
        </w:rPr>
        <w:t xml:space="preserve"> </w:t>
      </w:r>
      <w:r w:rsidRPr="00E66536">
        <w:rPr>
          <w:rFonts w:ascii="Arial Narrow" w:hAnsi="Arial Narrow"/>
          <w:lang w:val="en-US"/>
        </w:rPr>
        <w:t>A. Rosenberg [s. d. 1]</w:t>
      </w:r>
      <w:r>
        <w:rPr>
          <w:rFonts w:ascii="Arial Narrow" w:hAnsi="Arial Narrow"/>
          <w:i/>
          <w:lang w:val="en-US"/>
        </w:rPr>
        <w:t xml:space="preserve"> </w:t>
      </w:r>
      <w:r w:rsidRPr="006F752B">
        <w:rPr>
          <w:rFonts w:ascii="Arial Narrow" w:hAnsi="Arial Narrow"/>
          <w:lang w:val="en-US"/>
        </w:rPr>
        <w:t>37, 39, 40, 42, 53</w:t>
      </w:r>
      <w:r>
        <w:rPr>
          <w:rFonts w:ascii="Arial Narrow" w:hAnsi="Arial Narrow"/>
          <w:lang w:val="en-US"/>
        </w:rPr>
        <w:t>,</w:t>
      </w:r>
      <w:r w:rsidRPr="006F752B">
        <w:rPr>
          <w:rFonts w:ascii="Arial Narrow" w:hAnsi="Arial Narrow"/>
          <w:lang w:val="en-US"/>
        </w:rPr>
        <w:t xml:space="preserve"> 65-</w:t>
      </w:r>
      <w:r>
        <w:rPr>
          <w:rFonts w:ascii="Arial Narrow" w:hAnsi="Arial Narrow"/>
          <w:lang w:val="en-US"/>
        </w:rPr>
        <w:t>70, 73, 91, 95, 96, 104</w:t>
      </w:r>
      <w:r w:rsidRPr="006F752B">
        <w:rPr>
          <w:rFonts w:ascii="Arial Narrow" w:hAnsi="Arial Narrow"/>
          <w:lang w:val="en-US"/>
        </w:rPr>
        <w:t>.</w:t>
      </w:r>
    </w:p>
  </w:footnote>
  <w:footnote w:id="248">
    <w:p w:rsidR="00392E0D" w:rsidRPr="00F00A55" w:rsidRDefault="00392E0D">
      <w:pPr>
        <w:pStyle w:val="Textodenotaderodap"/>
        <w:rPr>
          <w:rFonts w:ascii="Arial Narrow" w:hAnsi="Arial Narrow"/>
          <w:lang w:val="en-US"/>
        </w:rPr>
      </w:pPr>
      <w:r w:rsidRPr="00A510EC">
        <w:rPr>
          <w:rStyle w:val="Refdenotaderodap"/>
          <w:rFonts w:ascii="Arial Narrow" w:hAnsi="Arial Narrow"/>
        </w:rPr>
        <w:footnoteRef/>
      </w:r>
      <w:r w:rsidRPr="00F00A55">
        <w:rPr>
          <w:rFonts w:ascii="Arial Narrow" w:hAnsi="Arial Narrow"/>
          <w:lang w:val="en-US"/>
        </w:rPr>
        <w:t xml:space="preserve"> Id., ibid., 66.</w:t>
      </w:r>
    </w:p>
  </w:footnote>
  <w:footnote w:id="249">
    <w:p w:rsidR="00392E0D" w:rsidRPr="00446A73" w:rsidRDefault="00392E0D">
      <w:pPr>
        <w:pStyle w:val="Textodenotaderodap"/>
        <w:rPr>
          <w:rFonts w:ascii="Arial Narrow" w:hAnsi="Arial Narrow"/>
        </w:rPr>
      </w:pPr>
      <w:r w:rsidRPr="009D474D">
        <w:rPr>
          <w:rStyle w:val="Refdenotaderodap"/>
          <w:rFonts w:ascii="Arial Narrow" w:hAnsi="Arial Narrow"/>
        </w:rPr>
        <w:footnoteRef/>
      </w:r>
      <w:r w:rsidRPr="00446A73">
        <w:rPr>
          <w:rFonts w:ascii="Arial Narrow" w:hAnsi="Arial Narrow"/>
        </w:rPr>
        <w:t xml:space="preserve"> Id. (1986) 557-558; id. [s. d. 2] 403-404.</w:t>
      </w:r>
    </w:p>
  </w:footnote>
  <w:footnote w:id="250">
    <w:p w:rsidR="00392E0D" w:rsidRPr="00B7670C" w:rsidRDefault="00392E0D">
      <w:pPr>
        <w:pStyle w:val="Textodenotaderodap"/>
        <w:rPr>
          <w:rFonts w:ascii="Arial Narrow" w:hAnsi="Arial Narrow"/>
        </w:rPr>
      </w:pPr>
      <w:r w:rsidRPr="00B7670C">
        <w:rPr>
          <w:rStyle w:val="Refdenotaderodap"/>
          <w:rFonts w:ascii="Arial Narrow" w:hAnsi="Arial Narrow"/>
        </w:rPr>
        <w:footnoteRef/>
      </w:r>
      <w:r w:rsidRPr="00B7670C">
        <w:rPr>
          <w:rFonts w:ascii="Arial Narrow" w:hAnsi="Arial Narrow"/>
        </w:rPr>
        <w:t xml:space="preserve"> </w:t>
      </w:r>
      <w:r>
        <w:rPr>
          <w:rFonts w:ascii="Arial Narrow" w:hAnsi="Arial Narrow"/>
        </w:rPr>
        <w:t>Segui a versão de id. [s. d. 2] 373-374 de preferência a id. (1986) 512-513.</w:t>
      </w:r>
    </w:p>
  </w:footnote>
  <w:footnote w:id="251">
    <w:p w:rsidR="00392E0D" w:rsidRPr="004109B2" w:rsidRDefault="00392E0D" w:rsidP="003616A5">
      <w:pPr>
        <w:pStyle w:val="Textodenotaderodap"/>
        <w:rPr>
          <w:rFonts w:ascii="Arial Narrow" w:hAnsi="Arial Narrow"/>
        </w:rPr>
      </w:pPr>
      <w:r w:rsidRPr="004109B2">
        <w:rPr>
          <w:rStyle w:val="Refdenotaderodap"/>
          <w:rFonts w:ascii="Arial Narrow" w:hAnsi="Arial Narrow"/>
        </w:rPr>
        <w:footnoteRef/>
      </w:r>
      <w:r w:rsidRPr="004109B2">
        <w:rPr>
          <w:rFonts w:ascii="Arial Narrow" w:hAnsi="Arial Narrow"/>
        </w:rPr>
        <w:t xml:space="preserve"> </w:t>
      </w:r>
      <w:r>
        <w:rPr>
          <w:rFonts w:ascii="Arial Narrow" w:hAnsi="Arial Narrow"/>
        </w:rPr>
        <w:t xml:space="preserve">Citado em </w:t>
      </w:r>
      <w:r w:rsidRPr="003E305A">
        <w:rPr>
          <w:rFonts w:ascii="Arial Narrow" w:hAnsi="Arial Narrow"/>
        </w:rPr>
        <w:t xml:space="preserve">H. Arendt (1972) 283-284 n. 69 </w:t>
      </w:r>
      <w:r>
        <w:rPr>
          <w:rFonts w:ascii="Arial Narrow" w:hAnsi="Arial Narrow"/>
        </w:rPr>
        <w:t>e J. Noakes et al. (orgs. 2008-2010) III 312.</w:t>
      </w:r>
    </w:p>
  </w:footnote>
  <w:footnote w:id="25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E. K. Bramstedt (1945) 98.</w:t>
      </w:r>
      <w:r>
        <w:rPr>
          <w:rFonts w:ascii="Arial Narrow" w:hAnsi="Arial Narrow"/>
        </w:rPr>
        <w:t xml:space="preserve"> Ver no mesmo sentido J. Noakes et al. (orgs. 2008-2010) II 299.</w:t>
      </w:r>
    </w:p>
  </w:footnote>
  <w:footnote w:id="253">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J. Billig (2000) 143. Muito </w:t>
      </w:r>
      <w:r>
        <w:rPr>
          <w:rFonts w:ascii="Arial Narrow" w:hAnsi="Arial Narrow"/>
        </w:rPr>
        <w:t>depois</w:t>
      </w:r>
      <w:r w:rsidRPr="003E305A">
        <w:rPr>
          <w:rFonts w:ascii="Arial Narrow" w:hAnsi="Arial Narrow"/>
        </w:rPr>
        <w:t>, escrev</w:t>
      </w:r>
      <w:r>
        <w:rPr>
          <w:rFonts w:ascii="Arial Narrow" w:hAnsi="Arial Narrow"/>
        </w:rPr>
        <w:t>eu</w:t>
      </w:r>
      <w:r w:rsidRPr="003E305A">
        <w:rPr>
          <w:rFonts w:ascii="Arial Narrow" w:hAnsi="Arial Narrow"/>
        </w:rPr>
        <w:t xml:space="preserve"> Adriano Romualdi, neofascista italiano discípulo de Evola e defensor da </w:t>
      </w:r>
      <w:r>
        <w:rPr>
          <w:rFonts w:ascii="Arial Narrow" w:hAnsi="Arial Narrow"/>
        </w:rPr>
        <w:t>formação</w:t>
      </w:r>
      <w:r w:rsidRPr="003E305A">
        <w:rPr>
          <w:rFonts w:ascii="Arial Narrow" w:hAnsi="Arial Narrow"/>
        </w:rPr>
        <w:t xml:space="preserve"> de «uma nova aristocracia política» à imagem dos SS: «É novamente necessário colocar a própria acção fora do tempo, na dimensão do ilimitado». Citado em F. Germinario (2001) 47 e 49.</w:t>
      </w:r>
    </w:p>
  </w:footnote>
  <w:footnote w:id="254">
    <w:p w:rsidR="00392E0D" w:rsidRPr="00D97439" w:rsidRDefault="00392E0D">
      <w:pPr>
        <w:pStyle w:val="Textodenotaderodap"/>
        <w:rPr>
          <w:rFonts w:ascii="Arial Narrow" w:hAnsi="Arial Narrow"/>
        </w:rPr>
      </w:pPr>
      <w:r w:rsidRPr="00D97439">
        <w:rPr>
          <w:rStyle w:val="Refdenotaderodap"/>
          <w:rFonts w:ascii="Arial Narrow" w:hAnsi="Arial Narrow"/>
        </w:rPr>
        <w:footnoteRef/>
      </w:r>
      <w:r w:rsidRPr="00D97439">
        <w:rPr>
          <w:rFonts w:ascii="Arial Narrow" w:hAnsi="Arial Narrow"/>
        </w:rPr>
        <w:t xml:space="preserve"> </w:t>
      </w:r>
      <w:r>
        <w:rPr>
          <w:rFonts w:ascii="Arial Narrow" w:hAnsi="Arial Narrow"/>
        </w:rPr>
        <w:t xml:space="preserve">Antologiado em </w:t>
      </w:r>
      <w:r w:rsidRPr="00D97439">
        <w:rPr>
          <w:rFonts w:ascii="Arial Narrow" w:hAnsi="Arial Narrow"/>
        </w:rPr>
        <w:t>K. Hammer (org. 1988-1994)</w:t>
      </w:r>
      <w:r>
        <w:rPr>
          <w:rFonts w:ascii="Arial Narrow" w:hAnsi="Arial Narrow"/>
        </w:rPr>
        <w:t xml:space="preserve"> II 7-9. A passagem citada encontra-se na pág. 9.</w:t>
      </w:r>
    </w:p>
  </w:footnote>
  <w:footnote w:id="25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do sistema de ensino da elite </w:t>
      </w:r>
      <w:r>
        <w:rPr>
          <w:rFonts w:ascii="Arial Narrow" w:hAnsi="Arial Narrow"/>
        </w:rPr>
        <w:t>nacional-socialista</w:t>
      </w:r>
      <w:r w:rsidRPr="003E305A">
        <w:rPr>
          <w:rFonts w:ascii="Arial Narrow" w:hAnsi="Arial Narrow"/>
        </w:rPr>
        <w:t xml:space="preserve"> ver D. Schoenbaum (1979) 301-305 e W. L. Shirer (1995) I 278-279.</w:t>
      </w:r>
      <w:r>
        <w:rPr>
          <w:rFonts w:ascii="Arial Narrow" w:hAnsi="Arial Narrow"/>
        </w:rPr>
        <w:t xml:space="preserve"> Ver ainda J. Noakes et al. (orgs. 2008-2010) II 241-242 e IV 415-416.</w:t>
      </w:r>
    </w:p>
  </w:footnote>
  <w:footnote w:id="256">
    <w:p w:rsidR="00392E0D" w:rsidRPr="00F6059E" w:rsidRDefault="00392E0D" w:rsidP="0007196C">
      <w:pPr>
        <w:pStyle w:val="Textodenotaderodap"/>
        <w:rPr>
          <w:rFonts w:ascii="Arial Narrow" w:hAnsi="Arial Narrow"/>
          <w:lang w:val="en-US"/>
        </w:rPr>
      </w:pPr>
      <w:r w:rsidRPr="00E22D9D">
        <w:rPr>
          <w:rStyle w:val="Refdenotaderodap"/>
          <w:rFonts w:ascii="Arial Narrow" w:hAnsi="Arial Narrow"/>
        </w:rPr>
        <w:footnoteRef/>
      </w:r>
      <w:r w:rsidRPr="00E22D9D">
        <w:rPr>
          <w:rFonts w:ascii="Arial Narrow" w:hAnsi="Arial Narrow"/>
        </w:rPr>
        <w:t xml:space="preserve"> </w:t>
      </w:r>
      <w:r>
        <w:rPr>
          <w:rFonts w:ascii="Arial Narrow" w:hAnsi="Arial Narrow"/>
        </w:rPr>
        <w:t xml:space="preserve">Citado em J. Noakes et al. </w:t>
      </w:r>
      <w:r w:rsidRPr="00F6059E">
        <w:rPr>
          <w:rFonts w:ascii="Arial Narrow" w:hAnsi="Arial Narrow"/>
          <w:lang w:val="en-US"/>
        </w:rPr>
        <w:t>(orgs. 2008-2010) IV 402.</w:t>
      </w:r>
    </w:p>
  </w:footnote>
  <w:footnote w:id="257">
    <w:p w:rsidR="00392E0D" w:rsidRPr="00D4214B" w:rsidRDefault="00392E0D">
      <w:pPr>
        <w:pStyle w:val="Textodenotaderodap"/>
        <w:rPr>
          <w:rFonts w:ascii="Arial Narrow" w:hAnsi="Arial Narrow"/>
          <w:lang w:val="en-US"/>
        </w:rPr>
      </w:pPr>
      <w:r w:rsidRPr="00AC7C5A">
        <w:rPr>
          <w:rStyle w:val="Refdenotaderodap"/>
          <w:rFonts w:ascii="Arial Narrow" w:hAnsi="Arial Narrow"/>
        </w:rPr>
        <w:footnoteRef/>
      </w:r>
      <w:r w:rsidRPr="00D4214B">
        <w:rPr>
          <w:rFonts w:ascii="Arial Narrow" w:hAnsi="Arial Narrow"/>
          <w:lang w:val="en-US"/>
        </w:rPr>
        <w:t xml:space="preserve"> Id., ibid., IV 416.</w:t>
      </w:r>
    </w:p>
  </w:footnote>
  <w:footnote w:id="258">
    <w:p w:rsidR="00392E0D" w:rsidRPr="00D4214B" w:rsidRDefault="00392E0D" w:rsidP="00321E01">
      <w:pPr>
        <w:pStyle w:val="Textodenotaderodap"/>
        <w:rPr>
          <w:rFonts w:ascii="Arial Narrow" w:hAnsi="Arial Narrow"/>
        </w:rPr>
      </w:pPr>
      <w:r w:rsidRPr="003E305A">
        <w:rPr>
          <w:rStyle w:val="Refdenotaderodap"/>
          <w:rFonts w:ascii="Arial Narrow" w:hAnsi="Arial Narrow"/>
        </w:rPr>
        <w:footnoteRef/>
      </w:r>
      <w:r w:rsidRPr="00D4214B">
        <w:rPr>
          <w:rFonts w:ascii="Arial Narrow" w:hAnsi="Arial Narrow"/>
        </w:rPr>
        <w:t xml:space="preserve"> J. P. Faye (1980) 212.</w:t>
      </w:r>
    </w:p>
  </w:footnote>
  <w:footnote w:id="25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519 e segs., especialmente as págs. 528 e 576. Con</w:t>
      </w:r>
      <w:r>
        <w:rPr>
          <w:rFonts w:ascii="Arial Narrow" w:hAnsi="Arial Narrow"/>
        </w:rPr>
        <w:t xml:space="preserve">sultar também J. Droz [s. d.] 2, </w:t>
      </w:r>
      <w:r w:rsidRPr="00D64447">
        <w:rPr>
          <w:rFonts w:ascii="Arial Narrow" w:hAnsi="Arial Narrow"/>
          <w:bCs/>
        </w:rPr>
        <w:t xml:space="preserve">S. G. Payne </w:t>
      </w:r>
      <w:r w:rsidRPr="00D64447">
        <w:rPr>
          <w:rFonts w:ascii="Arial Narrow" w:hAnsi="Arial Narrow"/>
        </w:rPr>
        <w:t>(2003 b) 59, 152</w:t>
      </w:r>
      <w:r>
        <w:rPr>
          <w:rFonts w:ascii="Arial Narrow" w:hAnsi="Arial Narrow"/>
        </w:rPr>
        <w:t xml:space="preserve">, </w:t>
      </w:r>
      <w:r w:rsidRPr="004379A5">
        <w:rPr>
          <w:rFonts w:ascii="Arial Narrow" w:hAnsi="Arial Narrow"/>
        </w:rPr>
        <w:t xml:space="preserve">A. Quinchon-Caudal (2013) </w:t>
      </w:r>
      <w:r>
        <w:rPr>
          <w:rFonts w:ascii="Arial Narrow" w:hAnsi="Arial Narrow"/>
        </w:rPr>
        <w:t xml:space="preserve">53-54 e </w:t>
      </w:r>
      <w:r w:rsidRPr="009D6AC1">
        <w:rPr>
          <w:rFonts w:ascii="Arial Narrow" w:hAnsi="Arial Narrow"/>
        </w:rPr>
        <w:t>K. A. Schleunes (1990) 50-51</w:t>
      </w:r>
      <w:r w:rsidRPr="00D64447">
        <w:rPr>
          <w:rFonts w:ascii="Arial Narrow" w:hAnsi="Arial Narrow"/>
        </w:rPr>
        <w:t>.</w:t>
      </w:r>
      <w:r>
        <w:rPr>
          <w:rFonts w:ascii="Arial Narrow" w:hAnsi="Arial Narrow"/>
        </w:rPr>
        <w:t xml:space="preserve"> A crer em </w:t>
      </w:r>
      <w:r w:rsidRPr="00274082">
        <w:rPr>
          <w:rFonts w:ascii="Arial Narrow" w:hAnsi="Arial Narrow"/>
        </w:rPr>
        <w:t xml:space="preserve">J. C. Fest (1974) 59 n. 25, a influência de Lanz fora maior sobre Darré e sobretudo sobre Himmler do que sobre Hitler. Quanto à fome que Hitler teria sofrido nos seus dias de Viena, </w:t>
      </w:r>
      <w:r>
        <w:rPr>
          <w:rFonts w:ascii="Arial Narrow" w:hAnsi="Arial Narrow"/>
        </w:rPr>
        <w:t>ver neste capítulo a n. 32</w:t>
      </w:r>
      <w:r w:rsidRPr="00274082">
        <w:rPr>
          <w:rFonts w:ascii="Arial Narrow" w:hAnsi="Arial Narrow"/>
        </w:rPr>
        <w:t>.</w:t>
      </w:r>
    </w:p>
  </w:footnote>
  <w:footnote w:id="26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Hitler (1995) 128.</w:t>
      </w:r>
    </w:p>
  </w:footnote>
  <w:footnote w:id="26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H. Rauschning (1939) 278.</w:t>
      </w:r>
    </w:p>
  </w:footnote>
  <w:footnote w:id="26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274.</w:t>
      </w:r>
    </w:p>
  </w:footnote>
  <w:footnote w:id="263">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Foram as expressões e os conceitos empregues p</w:t>
      </w:r>
      <w:r>
        <w:rPr>
          <w:rFonts w:ascii="Arial Narrow" w:hAnsi="Arial Narrow"/>
        </w:rPr>
        <w:t>or Hitler</w:t>
      </w:r>
      <w:r w:rsidRPr="003E305A">
        <w:rPr>
          <w:rFonts w:ascii="Arial Narrow" w:hAnsi="Arial Narrow"/>
        </w:rPr>
        <w:t>, segundo id., ibid., 273.</w:t>
      </w:r>
    </w:p>
  </w:footnote>
  <w:footnote w:id="26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H.-R. Trevor-Roper (1947) 8. Ver no mesmo sentido J. Billig (2000) 74.</w:t>
      </w:r>
    </w:p>
  </w:footnote>
  <w:footnote w:id="265">
    <w:p w:rsidR="00392E0D" w:rsidRPr="009265F5" w:rsidRDefault="00392E0D">
      <w:pPr>
        <w:pStyle w:val="Textodenotaderodap"/>
        <w:rPr>
          <w:rFonts w:ascii="Arial Narrow" w:hAnsi="Arial Narrow"/>
        </w:rPr>
      </w:pPr>
      <w:r w:rsidRPr="009265F5">
        <w:rPr>
          <w:rStyle w:val="Refdenotaderodap"/>
          <w:rFonts w:ascii="Arial Narrow" w:hAnsi="Arial Narrow"/>
        </w:rPr>
        <w:footnoteRef/>
      </w:r>
      <w:r w:rsidRPr="009265F5">
        <w:rPr>
          <w:rFonts w:ascii="Arial Narrow" w:hAnsi="Arial Narrow"/>
        </w:rPr>
        <w:t xml:space="preserve"> </w:t>
      </w:r>
      <w:r>
        <w:rPr>
          <w:rFonts w:ascii="Arial Narrow" w:hAnsi="Arial Narrow"/>
        </w:rPr>
        <w:t xml:space="preserve">Citado em </w:t>
      </w:r>
      <w:r w:rsidRPr="009265F5">
        <w:rPr>
          <w:rFonts w:ascii="Arial Narrow" w:hAnsi="Arial Narrow"/>
        </w:rPr>
        <w:t xml:space="preserve">J. Baberowski et al. </w:t>
      </w:r>
      <w:r w:rsidRPr="00DC5A72">
        <w:rPr>
          <w:rFonts w:ascii="Arial Narrow" w:hAnsi="Arial Narrow"/>
        </w:rPr>
        <w:t>(2009) 194.</w:t>
      </w:r>
    </w:p>
  </w:footnote>
  <w:footnote w:id="266">
    <w:p w:rsidR="00392E0D" w:rsidRPr="00073073" w:rsidRDefault="00392E0D">
      <w:pPr>
        <w:pStyle w:val="Textodenotaderodap"/>
        <w:rPr>
          <w:rFonts w:ascii="Arial Narrow" w:hAnsi="Arial Narrow"/>
        </w:rPr>
      </w:pPr>
      <w:r w:rsidRPr="00073073">
        <w:rPr>
          <w:rStyle w:val="Refdenotaderodap"/>
          <w:rFonts w:ascii="Arial Narrow" w:hAnsi="Arial Narrow"/>
        </w:rPr>
        <w:footnoteRef/>
      </w:r>
      <w:r w:rsidRPr="00073073">
        <w:rPr>
          <w:rFonts w:ascii="Arial Narrow" w:hAnsi="Arial Narrow"/>
        </w:rPr>
        <w:t xml:space="preserve"> </w:t>
      </w:r>
      <w:r w:rsidRPr="00D91E01">
        <w:rPr>
          <w:rFonts w:ascii="Arial Narrow" w:hAnsi="Arial Narrow"/>
        </w:rPr>
        <w:t>J. C. Fest (1974) 1275.</w:t>
      </w:r>
    </w:p>
  </w:footnote>
  <w:footnote w:id="267">
    <w:p w:rsidR="00392E0D" w:rsidRPr="009057B2" w:rsidRDefault="00392E0D">
      <w:pPr>
        <w:pStyle w:val="Textodenotaderodap"/>
        <w:rPr>
          <w:rFonts w:ascii="Arial Narrow" w:hAnsi="Arial Narrow"/>
        </w:rPr>
      </w:pPr>
      <w:r w:rsidRPr="009057B2">
        <w:rPr>
          <w:rStyle w:val="Refdenotaderodap"/>
          <w:rFonts w:ascii="Arial Narrow" w:hAnsi="Arial Narrow"/>
        </w:rPr>
        <w:footnoteRef/>
      </w:r>
      <w:r w:rsidRPr="009057B2">
        <w:rPr>
          <w:rFonts w:ascii="Arial Narrow" w:hAnsi="Arial Narrow"/>
        </w:rPr>
        <w:t xml:space="preserve"> </w:t>
      </w:r>
      <w:r>
        <w:rPr>
          <w:rFonts w:ascii="Arial Narrow" w:hAnsi="Arial Narrow"/>
        </w:rPr>
        <w:t>Citado em id., ibid., 1285.</w:t>
      </w:r>
    </w:p>
  </w:footnote>
  <w:footnote w:id="268">
    <w:p w:rsidR="00392E0D" w:rsidRPr="003E305A" w:rsidRDefault="00392E0D" w:rsidP="000F255D">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Quanto à tese de que os eslavos constituiriam uma raça inferior ver A. Dallin (1957) </w:t>
      </w:r>
      <w:r w:rsidRPr="003E305A">
        <w:rPr>
          <w:rFonts w:ascii="Arial Narrow" w:hAnsi="Arial Narrow"/>
          <w:i/>
        </w:rPr>
        <w:t>passim</w:t>
      </w:r>
      <w:r w:rsidRPr="003E305A">
        <w:rPr>
          <w:rFonts w:ascii="Arial Narrow" w:hAnsi="Arial Narrow"/>
        </w:rPr>
        <w:t xml:space="preserve">. Alexander Dallin </w:t>
      </w:r>
      <w:r>
        <w:rPr>
          <w:rFonts w:ascii="Arial Narrow" w:hAnsi="Arial Narrow"/>
        </w:rPr>
        <w:t>pretendeu</w:t>
      </w:r>
      <w:r w:rsidRPr="003E305A">
        <w:rPr>
          <w:rFonts w:ascii="Arial Narrow" w:hAnsi="Arial Narrow"/>
        </w:rPr>
        <w:t xml:space="preserve"> (pág. 69) que o termo </w:t>
      </w:r>
      <w:r w:rsidRPr="003E305A">
        <w:rPr>
          <w:rFonts w:ascii="Arial Narrow" w:hAnsi="Arial Narrow"/>
          <w:i/>
        </w:rPr>
        <w:t>«Untermensch»</w:t>
      </w:r>
      <w:r w:rsidRPr="003E305A">
        <w:rPr>
          <w:rFonts w:ascii="Arial Narrow" w:hAnsi="Arial Narrow"/>
        </w:rPr>
        <w:t xml:space="preserve"> aparece</w:t>
      </w:r>
      <w:r>
        <w:rPr>
          <w:rFonts w:ascii="Arial Narrow" w:hAnsi="Arial Narrow"/>
        </w:rPr>
        <w:t>ra</w:t>
      </w:r>
      <w:r w:rsidRPr="003E305A">
        <w:rPr>
          <w:rFonts w:ascii="Arial Narrow" w:hAnsi="Arial Narrow"/>
        </w:rPr>
        <w:t xml:space="preserve"> pela primeira vez durante a guerra na frente leste. Possivelmente teria sido então que o vocábulo ficou associado de maneira sistemática aos eslavos, mas a concepção de sub-humanidade é anterior e a própria palavra foi </w:t>
      </w:r>
      <w:r>
        <w:rPr>
          <w:rFonts w:ascii="Arial Narrow" w:hAnsi="Arial Narrow"/>
        </w:rPr>
        <w:t>muito</w:t>
      </w:r>
      <w:r w:rsidRPr="003E305A">
        <w:rPr>
          <w:rFonts w:ascii="Arial Narrow" w:hAnsi="Arial Narrow"/>
        </w:rPr>
        <w:t xml:space="preserve"> usada pelos racistas entre as duas guerras mundiais, não só na Alemanha como nos Estados Unidos. </w:t>
      </w:r>
      <w:r>
        <w:rPr>
          <w:rFonts w:ascii="Arial Narrow" w:hAnsi="Arial Narrow"/>
        </w:rPr>
        <w:t xml:space="preserve">Na sua obra principal Alfred Rosenberg atribuiu o termo ao eugenista norte-americano </w:t>
      </w:r>
      <w:r w:rsidRPr="00DF74EF">
        <w:rPr>
          <w:rFonts w:ascii="Arial Narrow" w:hAnsi="Arial Narrow"/>
        </w:rPr>
        <w:t>Lothrop Stoddard</w:t>
      </w:r>
      <w:r>
        <w:rPr>
          <w:rFonts w:ascii="Arial Narrow" w:hAnsi="Arial Narrow"/>
        </w:rPr>
        <w:t>, que, com efeito, se reivindicou de o ter criado</w:t>
      </w:r>
      <w:r w:rsidRPr="00DF74EF">
        <w:rPr>
          <w:rFonts w:ascii="Arial Narrow" w:hAnsi="Arial Narrow"/>
        </w:rPr>
        <w:t xml:space="preserve">. </w:t>
      </w:r>
      <w:r>
        <w:rPr>
          <w:rFonts w:ascii="Arial Narrow" w:hAnsi="Arial Narrow"/>
        </w:rPr>
        <w:t xml:space="preserve">Ver A. Rosenberg (1986) 189 e id. [s. d. 2] 175 e </w:t>
      </w:r>
      <w:r w:rsidRPr="00403F8E">
        <w:rPr>
          <w:rFonts w:ascii="Arial Narrow" w:hAnsi="Arial Narrow"/>
          <w:bCs/>
        </w:rPr>
        <w:t xml:space="preserve">L. Stoddard </w:t>
      </w:r>
      <w:r w:rsidRPr="00403F8E">
        <w:rPr>
          <w:rFonts w:ascii="Arial Narrow" w:hAnsi="Arial Narrow"/>
        </w:rPr>
        <w:t>(1922)</w:t>
      </w:r>
      <w:r>
        <w:rPr>
          <w:rFonts w:ascii="Arial Narrow" w:hAnsi="Arial Narrow"/>
        </w:rPr>
        <w:t xml:space="preserve"> 23</w:t>
      </w:r>
      <w:r w:rsidRPr="00403F8E">
        <w:rPr>
          <w:rFonts w:ascii="Arial Narrow" w:hAnsi="Arial Narrow"/>
        </w:rPr>
        <w:t xml:space="preserve">. </w:t>
      </w:r>
      <w:r>
        <w:rPr>
          <w:rFonts w:ascii="Arial Narrow" w:hAnsi="Arial Narrow"/>
        </w:rPr>
        <w:t xml:space="preserve">Note-se que, se </w:t>
      </w:r>
      <w:r w:rsidRPr="00DF74EF">
        <w:rPr>
          <w:rFonts w:ascii="Arial Narrow" w:hAnsi="Arial Narrow"/>
        </w:rPr>
        <w:t>Lothrop Stoddard</w:t>
      </w:r>
      <w:r>
        <w:rPr>
          <w:rFonts w:ascii="Arial Narrow" w:hAnsi="Arial Narrow"/>
        </w:rPr>
        <w:t xml:space="preserve">, op. cit., </w:t>
      </w:r>
      <w:r w:rsidRPr="005C7B52">
        <w:rPr>
          <w:rFonts w:ascii="Arial Narrow" w:hAnsi="Arial Narrow"/>
        </w:rPr>
        <w:t>133-136</w:t>
      </w:r>
      <w:r>
        <w:rPr>
          <w:rFonts w:ascii="Arial Narrow" w:hAnsi="Arial Narrow"/>
        </w:rPr>
        <w:t xml:space="preserve"> e</w:t>
      </w:r>
      <w:r w:rsidRPr="005C7B52">
        <w:rPr>
          <w:rFonts w:ascii="Arial Narrow" w:hAnsi="Arial Narrow"/>
        </w:rPr>
        <w:t xml:space="preserve"> 163</w:t>
      </w:r>
      <w:r>
        <w:rPr>
          <w:rFonts w:ascii="Arial Narrow" w:hAnsi="Arial Narrow"/>
        </w:rPr>
        <w:t xml:space="preserve"> classificou o bolchevismo como uma revolta de sub-homens, ele não identificou a sub-humanidade e o bolchevismo com os eslavos e considerou-os (pág. 176) noções mais vastas. N</w:t>
      </w:r>
      <w:r w:rsidRPr="003E305A">
        <w:rPr>
          <w:rFonts w:ascii="Arial Narrow" w:hAnsi="Arial Narrow"/>
        </w:rPr>
        <w:t>o seu diário</w:t>
      </w:r>
      <w:r>
        <w:rPr>
          <w:rFonts w:ascii="Arial Narrow" w:hAnsi="Arial Narrow"/>
        </w:rPr>
        <w:t>,</w:t>
      </w:r>
      <w:r w:rsidRPr="003E305A">
        <w:rPr>
          <w:rFonts w:ascii="Arial Narrow" w:hAnsi="Arial Narrow"/>
        </w:rPr>
        <w:t xml:space="preserve"> </w:t>
      </w:r>
      <w:r>
        <w:rPr>
          <w:rFonts w:ascii="Arial Narrow" w:hAnsi="Arial Narrow"/>
        </w:rPr>
        <w:t xml:space="preserve">porém, </w:t>
      </w:r>
      <w:r w:rsidRPr="003E305A">
        <w:rPr>
          <w:rFonts w:ascii="Arial Narrow" w:hAnsi="Arial Narrow"/>
        </w:rPr>
        <w:t xml:space="preserve">Victor Klemperer observou que o termo «sub-humanos» se encontra num romance de Theodor Fontane publicado em 1899, </w:t>
      </w:r>
      <w:r w:rsidRPr="003E305A">
        <w:rPr>
          <w:rFonts w:ascii="Arial Narrow" w:hAnsi="Arial Narrow"/>
          <w:i/>
          <w:iCs/>
        </w:rPr>
        <w:t>Der Stechlin,</w:t>
      </w:r>
      <w:r w:rsidRPr="003E305A">
        <w:rPr>
          <w:rFonts w:ascii="Arial Narrow" w:hAnsi="Arial Narrow"/>
        </w:rPr>
        <w:t xml:space="preserve"> e acrescentou: «Presumo também que Fontane não inventou “sub-humanos”; a contrapartida de super-homem andava no ar». Ver M. Chalmers (org. 2006 a) 425.</w:t>
      </w:r>
      <w:r>
        <w:rPr>
          <w:rFonts w:ascii="Arial Narrow" w:hAnsi="Arial Narrow"/>
        </w:rPr>
        <w:t xml:space="preserve"> Todavia, S. E. Aschheim (1994) 236-237 n. 12 afirmou que </w:t>
      </w:r>
      <w:r w:rsidRPr="00A325C7">
        <w:rPr>
          <w:rFonts w:ascii="Arial Narrow" w:hAnsi="Arial Narrow"/>
          <w:i/>
        </w:rPr>
        <w:t>«Untermensch»</w:t>
      </w:r>
      <w:r>
        <w:rPr>
          <w:rFonts w:ascii="Arial Narrow" w:hAnsi="Arial Narrow"/>
        </w:rPr>
        <w:t xml:space="preserve"> fora empregue pela primeira vez no final do século XVIII e que Nietzsche já usara a palavra.</w:t>
      </w:r>
    </w:p>
  </w:footnote>
  <w:footnote w:id="269">
    <w:p w:rsidR="00392E0D" w:rsidRPr="001707C9" w:rsidRDefault="00392E0D" w:rsidP="00392D4F">
      <w:pPr>
        <w:pStyle w:val="Textodenotaderodap"/>
        <w:ind w:firstLine="708"/>
        <w:rPr>
          <w:rFonts w:ascii="Arial Narrow" w:hAnsi="Arial Narrow"/>
          <w:lang w:val="en-US"/>
        </w:rPr>
      </w:pPr>
      <w:r w:rsidRPr="003E305A">
        <w:rPr>
          <w:rStyle w:val="Refdenotaderodap"/>
          <w:rFonts w:ascii="Arial Narrow" w:hAnsi="Arial Narrow"/>
        </w:rPr>
        <w:footnoteRef/>
      </w:r>
      <w:r w:rsidRPr="001707C9">
        <w:rPr>
          <w:rFonts w:ascii="Arial Narrow" w:hAnsi="Arial Narrow"/>
          <w:lang w:val="en-US"/>
        </w:rPr>
        <w:t xml:space="preserve"> A. Dallin (1957) 45, 175-176, 502</w:t>
      </w:r>
      <w:r>
        <w:rPr>
          <w:rFonts w:ascii="Arial Narrow" w:hAnsi="Arial Narrow"/>
          <w:lang w:val="en-US"/>
        </w:rPr>
        <w:t xml:space="preserve">; </w:t>
      </w:r>
      <w:r w:rsidRPr="008250CC">
        <w:rPr>
          <w:rFonts w:ascii="Arial Narrow" w:hAnsi="Arial Narrow"/>
          <w:bCs/>
          <w:i/>
          <w:iCs/>
          <w:lang w:val="en-US"/>
        </w:rPr>
        <w:t>Hitler’s Table Talk</w:t>
      </w:r>
      <w:r w:rsidRPr="008250CC">
        <w:rPr>
          <w:rFonts w:ascii="Arial Narrow" w:hAnsi="Arial Narrow"/>
          <w:iCs/>
          <w:lang w:val="en-US"/>
        </w:rPr>
        <w:t>..., 3, 4, 34, 44, 599</w:t>
      </w:r>
      <w:r w:rsidRPr="001707C9">
        <w:rPr>
          <w:rFonts w:ascii="Arial Narrow" w:hAnsi="Arial Narrow"/>
          <w:lang w:val="en-US"/>
        </w:rPr>
        <w:t>.</w:t>
      </w:r>
    </w:p>
  </w:footnote>
  <w:footnote w:id="270">
    <w:p w:rsidR="00392E0D" w:rsidRPr="008250CC" w:rsidRDefault="00392E0D" w:rsidP="001707C9">
      <w:pPr>
        <w:pStyle w:val="Textodenotaderodap"/>
        <w:ind w:firstLine="708"/>
        <w:rPr>
          <w:rFonts w:ascii="Arial Narrow" w:hAnsi="Arial Narrow"/>
        </w:rPr>
      </w:pPr>
      <w:r w:rsidRPr="003E305A">
        <w:rPr>
          <w:rStyle w:val="Refdenotaderodap"/>
          <w:rFonts w:ascii="Arial Narrow" w:hAnsi="Arial Narrow"/>
        </w:rPr>
        <w:footnoteRef/>
      </w:r>
      <w:r w:rsidRPr="008250CC">
        <w:rPr>
          <w:rFonts w:ascii="Arial Narrow" w:hAnsi="Arial Narrow"/>
        </w:rPr>
        <w:t xml:space="preserve"> E. Oberländer (1967) 194 n. 19.</w:t>
      </w:r>
      <w:r>
        <w:rPr>
          <w:rFonts w:ascii="Arial Narrow" w:hAnsi="Arial Narrow"/>
        </w:rPr>
        <w:t xml:space="preserve"> Porém, segundo </w:t>
      </w:r>
      <w:r w:rsidRPr="00E12D2A">
        <w:rPr>
          <w:rFonts w:ascii="Arial Narrow" w:hAnsi="Arial Narrow"/>
          <w:bCs/>
        </w:rPr>
        <w:t xml:space="preserve">D. E. Lipstadt (1986) 151, </w:t>
      </w:r>
      <w:r>
        <w:rPr>
          <w:rFonts w:ascii="Arial Narrow" w:hAnsi="Arial Narrow"/>
        </w:rPr>
        <w:t xml:space="preserve">a tradução de </w:t>
      </w:r>
      <w:r w:rsidRPr="00B63B71">
        <w:rPr>
          <w:rFonts w:ascii="Arial Narrow" w:hAnsi="Arial Narrow"/>
          <w:i/>
        </w:rPr>
        <w:t>Mein Kampf</w:t>
      </w:r>
      <w:r>
        <w:rPr>
          <w:rFonts w:ascii="Arial Narrow" w:hAnsi="Arial Narrow"/>
        </w:rPr>
        <w:t xml:space="preserve"> à venda nos Estados Unidos antes da guerra não continha muitos dos ataques mais virulentos contra os judeus, até que em 1939 um jornalista, e futuro senador, norte-americano decidiu publicar uma versão não expurgada.</w:t>
      </w:r>
    </w:p>
  </w:footnote>
  <w:footnote w:id="271">
    <w:p w:rsidR="00392E0D" w:rsidRPr="003E305A" w:rsidRDefault="00392E0D" w:rsidP="008A4372">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do partido fascista russo criado na Manchúria ver </w:t>
      </w:r>
      <w:r w:rsidRPr="008250CC">
        <w:rPr>
          <w:rFonts w:ascii="Arial Narrow" w:hAnsi="Arial Narrow"/>
        </w:rPr>
        <w:t xml:space="preserve">E. Oberländer (1967) </w:t>
      </w:r>
      <w:r w:rsidRPr="003E305A">
        <w:rPr>
          <w:rFonts w:ascii="Arial Narrow" w:hAnsi="Arial Narrow"/>
        </w:rPr>
        <w:t>179 e segs. Quanto às suas tentativas de inflectir o antieslavismo do NSDAP ver id., ibid., 194. A presença de membros deste partido na Alemanha é referida em id., ibid., 196. No entanto, Erwin Oberländer mencion</w:t>
      </w:r>
      <w:r>
        <w:rPr>
          <w:rFonts w:ascii="Arial Narrow" w:hAnsi="Arial Narrow"/>
        </w:rPr>
        <w:t>ou</w:t>
      </w:r>
      <w:r w:rsidRPr="003E305A">
        <w:rPr>
          <w:rFonts w:ascii="Arial Narrow" w:hAnsi="Arial Narrow"/>
        </w:rPr>
        <w:t xml:space="preserve"> também </w:t>
      </w:r>
      <w:r>
        <w:rPr>
          <w:rFonts w:ascii="Arial Narrow" w:hAnsi="Arial Narrow"/>
        </w:rPr>
        <w:t xml:space="preserve">(pág. </w:t>
      </w:r>
      <w:r w:rsidRPr="003E305A">
        <w:rPr>
          <w:rFonts w:ascii="Arial Narrow" w:hAnsi="Arial Narrow"/>
        </w:rPr>
        <w:t>187</w:t>
      </w:r>
      <w:r>
        <w:rPr>
          <w:rFonts w:ascii="Arial Narrow" w:hAnsi="Arial Narrow"/>
        </w:rPr>
        <w:t xml:space="preserve">) </w:t>
      </w:r>
      <w:r w:rsidRPr="003E305A">
        <w:rPr>
          <w:rFonts w:ascii="Arial Narrow" w:hAnsi="Arial Narrow"/>
        </w:rPr>
        <w:t>a existência de um Movimento Nacional-Socialista Russo nos meios da</w:t>
      </w:r>
      <w:r>
        <w:rPr>
          <w:rFonts w:ascii="Arial Narrow" w:hAnsi="Arial Narrow"/>
        </w:rPr>
        <w:t xml:space="preserve"> emigração na Alemanha em 1933.</w:t>
      </w:r>
    </w:p>
  </w:footnote>
  <w:footnote w:id="272">
    <w:p w:rsidR="00392E0D" w:rsidRPr="00784522" w:rsidRDefault="00392E0D" w:rsidP="00392D4F">
      <w:pPr>
        <w:pStyle w:val="Textodenotaderodap"/>
        <w:rPr>
          <w:rFonts w:ascii="Arial Narrow" w:hAnsi="Arial Narrow"/>
          <w:lang w:val="en-US"/>
        </w:rPr>
      </w:pPr>
      <w:r w:rsidRPr="003E305A">
        <w:rPr>
          <w:rStyle w:val="Refdenotaderodap"/>
          <w:rFonts w:ascii="Arial Narrow" w:hAnsi="Arial Narrow"/>
        </w:rPr>
        <w:footnoteRef/>
      </w:r>
      <w:r w:rsidRPr="007666DB">
        <w:rPr>
          <w:rFonts w:ascii="Arial Narrow" w:hAnsi="Arial Narrow"/>
          <w:lang w:val="en-US"/>
        </w:rPr>
        <w:t xml:space="preserve"> A. D</w:t>
      </w:r>
      <w:r>
        <w:rPr>
          <w:rFonts w:ascii="Arial Narrow" w:hAnsi="Arial Narrow"/>
          <w:lang w:val="en-US"/>
        </w:rPr>
        <w:t xml:space="preserve">allin (1957) </w:t>
      </w:r>
      <w:r w:rsidRPr="007666DB">
        <w:rPr>
          <w:rFonts w:ascii="Arial Narrow" w:hAnsi="Arial Narrow"/>
          <w:lang w:val="en-US"/>
        </w:rPr>
        <w:t xml:space="preserve">525 e n. 2, 616; id. </w:t>
      </w:r>
      <w:r w:rsidRPr="00784522">
        <w:rPr>
          <w:rFonts w:ascii="Arial Narrow" w:hAnsi="Arial Narrow"/>
          <w:lang w:val="en-US"/>
        </w:rPr>
        <w:t>(1972) 271</w:t>
      </w:r>
      <w:r>
        <w:rPr>
          <w:rFonts w:ascii="Arial Narrow" w:hAnsi="Arial Narrow"/>
          <w:lang w:val="en-US"/>
        </w:rPr>
        <w:t xml:space="preserve">; </w:t>
      </w:r>
      <w:r w:rsidRPr="00886504">
        <w:rPr>
          <w:rFonts w:ascii="Arial Narrow" w:hAnsi="Arial Narrow"/>
          <w:lang w:val="en-US"/>
        </w:rPr>
        <w:t>I. Kamenetsky (1956)</w:t>
      </w:r>
      <w:r>
        <w:rPr>
          <w:rFonts w:ascii="Arial Narrow" w:hAnsi="Arial Narrow"/>
          <w:lang w:val="en-US"/>
        </w:rPr>
        <w:t xml:space="preserve"> 54 e segs</w:t>
      </w:r>
      <w:r w:rsidRPr="00784522">
        <w:rPr>
          <w:rFonts w:ascii="Arial Narrow" w:hAnsi="Arial Narrow"/>
          <w:lang w:val="en-US"/>
        </w:rPr>
        <w:t>.</w:t>
      </w:r>
    </w:p>
  </w:footnote>
  <w:footnote w:id="273">
    <w:p w:rsidR="00392E0D" w:rsidRPr="00784522" w:rsidRDefault="00392E0D" w:rsidP="00392D4F">
      <w:pPr>
        <w:pStyle w:val="Textodenotaderodap"/>
        <w:rPr>
          <w:rFonts w:ascii="Arial Narrow" w:hAnsi="Arial Narrow"/>
        </w:rPr>
      </w:pPr>
      <w:r w:rsidRPr="006B11A5">
        <w:rPr>
          <w:rStyle w:val="Refdenotaderodap"/>
          <w:rFonts w:ascii="Arial Narrow" w:hAnsi="Arial Narrow"/>
        </w:rPr>
        <w:footnoteRef/>
      </w:r>
      <w:r w:rsidRPr="00BE0FA6">
        <w:rPr>
          <w:rFonts w:ascii="Arial Narrow" w:hAnsi="Arial Narrow"/>
          <w:lang w:val="en-US"/>
        </w:rPr>
        <w:t xml:space="preserve"> M. Gilbert (2011 b) I 28; J. </w:t>
      </w:r>
      <w:r>
        <w:rPr>
          <w:rFonts w:ascii="Arial Narrow" w:hAnsi="Arial Narrow"/>
          <w:lang w:val="en-US"/>
        </w:rPr>
        <w:t xml:space="preserve">Noakes et al. </w:t>
      </w:r>
      <w:r w:rsidRPr="00784522">
        <w:rPr>
          <w:rFonts w:ascii="Arial Narrow" w:hAnsi="Arial Narrow"/>
        </w:rPr>
        <w:t>(orgs. 200</w:t>
      </w:r>
      <w:r>
        <w:rPr>
          <w:rFonts w:ascii="Arial Narrow" w:hAnsi="Arial Narrow"/>
        </w:rPr>
        <w:t>8-2010</w:t>
      </w:r>
      <w:r w:rsidRPr="00784522">
        <w:rPr>
          <w:rFonts w:ascii="Arial Narrow" w:hAnsi="Arial Narrow"/>
        </w:rPr>
        <w:t xml:space="preserve">) </w:t>
      </w:r>
      <w:r>
        <w:rPr>
          <w:rFonts w:ascii="Arial Narrow" w:hAnsi="Arial Narrow"/>
        </w:rPr>
        <w:t xml:space="preserve">III </w:t>
      </w:r>
      <w:r w:rsidRPr="00784522">
        <w:rPr>
          <w:rFonts w:ascii="Arial Narrow" w:hAnsi="Arial Narrow"/>
        </w:rPr>
        <w:t>343.</w:t>
      </w:r>
    </w:p>
  </w:footnote>
  <w:footnote w:id="274">
    <w:p w:rsidR="00392E0D" w:rsidRPr="001C124E" w:rsidRDefault="00392E0D" w:rsidP="00321E01">
      <w:pPr>
        <w:pStyle w:val="Textodenotaderodap"/>
        <w:rPr>
          <w:rFonts w:ascii="Arial Narrow" w:hAnsi="Arial Narrow"/>
        </w:rPr>
      </w:pPr>
      <w:r w:rsidRPr="001C124E">
        <w:rPr>
          <w:rStyle w:val="Refdenotaderodap"/>
          <w:rFonts w:ascii="Arial Narrow" w:hAnsi="Arial Narrow"/>
        </w:rPr>
        <w:footnoteRef/>
      </w:r>
      <w:r w:rsidRPr="001C124E">
        <w:rPr>
          <w:rFonts w:ascii="Arial Narrow" w:hAnsi="Arial Narrow"/>
        </w:rPr>
        <w:t xml:space="preserve"> </w:t>
      </w:r>
      <w:r>
        <w:rPr>
          <w:rFonts w:ascii="Arial Narrow" w:hAnsi="Arial Narrow"/>
        </w:rPr>
        <w:t xml:space="preserve">Citado em </w:t>
      </w:r>
      <w:r w:rsidRPr="001C124E">
        <w:rPr>
          <w:rFonts w:ascii="Arial Narrow" w:hAnsi="Arial Narrow"/>
        </w:rPr>
        <w:t>N</w:t>
      </w:r>
      <w:r>
        <w:rPr>
          <w:rFonts w:ascii="Arial Narrow" w:hAnsi="Arial Narrow"/>
        </w:rPr>
        <w:t xml:space="preserve">. </w:t>
      </w:r>
      <w:r w:rsidRPr="001C124E">
        <w:rPr>
          <w:rFonts w:ascii="Arial Narrow" w:hAnsi="Arial Narrow"/>
        </w:rPr>
        <w:t>Cohn (1992)</w:t>
      </w:r>
      <w:r>
        <w:rPr>
          <w:rFonts w:ascii="Arial Narrow" w:hAnsi="Arial Narrow"/>
        </w:rPr>
        <w:t xml:space="preserve"> 185-186.</w:t>
      </w:r>
    </w:p>
  </w:footnote>
  <w:footnote w:id="27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Dallin (1957) 68.</w:t>
      </w:r>
    </w:p>
  </w:footnote>
  <w:footnote w:id="276">
    <w:p w:rsidR="00392E0D" w:rsidRPr="00C92298" w:rsidRDefault="00392E0D" w:rsidP="00924A6D">
      <w:pPr>
        <w:pStyle w:val="Textodenotaderodap"/>
        <w:rPr>
          <w:rFonts w:ascii="Arial Narrow" w:hAnsi="Arial Narrow"/>
        </w:rPr>
      </w:pPr>
      <w:r w:rsidRPr="00C92298">
        <w:rPr>
          <w:rStyle w:val="Refdenotaderodap"/>
          <w:rFonts w:ascii="Arial Narrow" w:hAnsi="Arial Narrow"/>
        </w:rPr>
        <w:footnoteRef/>
      </w:r>
      <w:r w:rsidRPr="00446A73">
        <w:rPr>
          <w:rFonts w:ascii="Arial Narrow" w:hAnsi="Arial Narrow"/>
        </w:rPr>
        <w:t xml:space="preserve"> J. Noakes et al. (orgs. </w:t>
      </w:r>
      <w:r>
        <w:rPr>
          <w:rFonts w:ascii="Arial Narrow" w:hAnsi="Arial Narrow"/>
        </w:rPr>
        <w:t xml:space="preserve">2008-2010) III 4. Segundo estes autores, já em 1922 Hitler defendia uma política externa anti-russa, mas </w:t>
      </w:r>
      <w:r w:rsidRPr="003E305A">
        <w:rPr>
          <w:rFonts w:ascii="Arial Narrow" w:hAnsi="Arial Narrow"/>
        </w:rPr>
        <w:t>R. Cecil (1973) 179-180</w:t>
      </w:r>
      <w:r>
        <w:rPr>
          <w:rFonts w:ascii="Arial Narrow" w:hAnsi="Arial Narrow"/>
        </w:rPr>
        <w:t xml:space="preserve"> admitiu que até </w:t>
      </w:r>
      <w:r w:rsidRPr="00C916F5">
        <w:rPr>
          <w:rFonts w:ascii="Arial Narrow" w:hAnsi="Arial Narrow"/>
        </w:rPr>
        <w:t>1924 Hitler teria aceitado a eventualidade de uma aliança com a Rússia</w:t>
      </w:r>
      <w:r>
        <w:rPr>
          <w:rFonts w:ascii="Arial Narrow" w:hAnsi="Arial Narrow"/>
        </w:rPr>
        <w:t>.</w:t>
      </w:r>
    </w:p>
  </w:footnote>
  <w:footnote w:id="277">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Hitler (1995) 569. O tradutor inglês de </w:t>
      </w:r>
      <w:r w:rsidRPr="003E305A">
        <w:rPr>
          <w:rFonts w:ascii="Arial Narrow" w:hAnsi="Arial Narrow"/>
          <w:i/>
        </w:rPr>
        <w:t>Mein Kampf</w:t>
      </w:r>
      <w:r w:rsidRPr="003E305A">
        <w:rPr>
          <w:rFonts w:ascii="Arial Narrow" w:hAnsi="Arial Narrow"/>
        </w:rPr>
        <w:t xml:space="preserve"> escreve</w:t>
      </w:r>
      <w:r>
        <w:rPr>
          <w:rFonts w:ascii="Arial Narrow" w:hAnsi="Arial Narrow"/>
        </w:rPr>
        <w:t>u</w:t>
      </w:r>
      <w:r w:rsidRPr="003E305A">
        <w:rPr>
          <w:rFonts w:ascii="Arial Narrow" w:hAnsi="Arial Narrow"/>
        </w:rPr>
        <w:t xml:space="preserve"> que o povo francês estava </w:t>
      </w:r>
      <w:r w:rsidRPr="003E305A">
        <w:rPr>
          <w:rFonts w:ascii="Arial Narrow" w:hAnsi="Arial Narrow"/>
          <w:i/>
        </w:rPr>
        <w:t xml:space="preserve">«negrified», </w:t>
      </w:r>
      <w:r w:rsidRPr="003E305A">
        <w:rPr>
          <w:rFonts w:ascii="Arial Narrow" w:hAnsi="Arial Narrow"/>
        </w:rPr>
        <w:t xml:space="preserve">mas não consegui encontrar na língua portuguesa uma palavra única para exprimir esta concepção pejorativa, já que </w:t>
      </w:r>
      <w:r w:rsidRPr="003E305A">
        <w:rPr>
          <w:rFonts w:ascii="Arial Narrow" w:hAnsi="Arial Narrow"/>
          <w:i/>
        </w:rPr>
        <w:t xml:space="preserve">cafrealizado </w:t>
      </w:r>
      <w:r w:rsidRPr="003E305A">
        <w:rPr>
          <w:rFonts w:ascii="Arial Narrow" w:hAnsi="Arial Narrow"/>
        </w:rPr>
        <w:t xml:space="preserve">é demasiado arcaico e sugere um racismo estritamente português. Acerca da hostilidade manifestada contra a França ver ainda </w:t>
      </w:r>
      <w:r>
        <w:rPr>
          <w:rFonts w:ascii="Arial Narrow" w:hAnsi="Arial Narrow"/>
        </w:rPr>
        <w:t xml:space="preserve">Adolf Hitler, op. cit., </w:t>
      </w:r>
      <w:r w:rsidRPr="003E305A">
        <w:rPr>
          <w:rFonts w:ascii="Arial Narrow" w:hAnsi="Arial Narrow"/>
        </w:rPr>
        <w:t>565, 607-609 e 615 e segs. A noção de que a França se havia convertido num prolongamento da África</w:t>
      </w:r>
      <w:r>
        <w:rPr>
          <w:rFonts w:ascii="Arial Narrow" w:hAnsi="Arial Narrow"/>
        </w:rPr>
        <w:t>,</w:t>
      </w:r>
      <w:r w:rsidRPr="003E305A">
        <w:rPr>
          <w:rFonts w:ascii="Arial Narrow" w:hAnsi="Arial Narrow"/>
        </w:rPr>
        <w:t xml:space="preserve"> </w:t>
      </w:r>
      <w:r>
        <w:rPr>
          <w:rFonts w:ascii="Arial Narrow" w:hAnsi="Arial Narrow"/>
        </w:rPr>
        <w:t xml:space="preserve">comandado por judeus, </w:t>
      </w:r>
      <w:r w:rsidRPr="003E305A">
        <w:rPr>
          <w:rFonts w:ascii="Arial Narrow" w:hAnsi="Arial Narrow"/>
        </w:rPr>
        <w:t xml:space="preserve">foi defendida igualmente por </w:t>
      </w:r>
      <w:r>
        <w:rPr>
          <w:rFonts w:ascii="Arial Narrow" w:hAnsi="Arial Narrow"/>
        </w:rPr>
        <w:t xml:space="preserve">Alfred </w:t>
      </w:r>
      <w:r w:rsidRPr="003E305A">
        <w:rPr>
          <w:rFonts w:ascii="Arial Narrow" w:hAnsi="Arial Narrow"/>
        </w:rPr>
        <w:t>Rosenberg</w:t>
      </w:r>
      <w:r>
        <w:rPr>
          <w:rFonts w:ascii="Arial Narrow" w:hAnsi="Arial Narrow"/>
        </w:rPr>
        <w:t xml:space="preserve"> em </w:t>
      </w:r>
      <w:r w:rsidRPr="00AF52E0">
        <w:rPr>
          <w:rFonts w:ascii="Arial Narrow" w:hAnsi="Arial Narrow"/>
          <w:i/>
        </w:rPr>
        <w:t>O Mito do Século XX,</w:t>
      </w:r>
      <w:r w:rsidRPr="003E305A">
        <w:rPr>
          <w:rFonts w:ascii="Arial Narrow" w:hAnsi="Arial Narrow"/>
        </w:rPr>
        <w:t xml:space="preserve"> como se </w:t>
      </w:r>
      <w:r>
        <w:rPr>
          <w:rFonts w:ascii="Arial Narrow" w:hAnsi="Arial Narrow"/>
        </w:rPr>
        <w:t>vê em A. Rosenberg (</w:t>
      </w:r>
      <w:r w:rsidRPr="003E305A">
        <w:rPr>
          <w:rFonts w:ascii="Arial Narrow" w:hAnsi="Arial Narrow"/>
        </w:rPr>
        <w:t>198</w:t>
      </w:r>
      <w:r>
        <w:rPr>
          <w:rFonts w:ascii="Arial Narrow" w:hAnsi="Arial Narrow"/>
        </w:rPr>
        <w:t>6</w:t>
      </w:r>
      <w:r w:rsidRPr="003E305A">
        <w:rPr>
          <w:rFonts w:ascii="Arial Narrow" w:hAnsi="Arial Narrow"/>
        </w:rPr>
        <w:t xml:space="preserve">) </w:t>
      </w:r>
      <w:r>
        <w:rPr>
          <w:rFonts w:ascii="Arial Narrow" w:hAnsi="Arial Narrow"/>
        </w:rPr>
        <w:t xml:space="preserve">95-96, 596-599 ou id. [s. d. 2] 106, 432-433, 436-437. Escrevendo no final do Reich, o médico e antropologista Eugen Fischer, citado em </w:t>
      </w:r>
      <w:r w:rsidRPr="002B3F3B">
        <w:rPr>
          <w:rFonts w:ascii="Arial Narrow" w:hAnsi="Arial Narrow"/>
        </w:rPr>
        <w:t xml:space="preserve">A. Quinchon-Caudal (2013) </w:t>
      </w:r>
      <w:r>
        <w:rPr>
          <w:rFonts w:ascii="Arial Narrow" w:hAnsi="Arial Narrow"/>
        </w:rPr>
        <w:t xml:space="preserve">126, considerou que «o biólogo deve encarar com profunda inquietação o facto de as leis e instituições francesas permitirem a infiltração de sangue negro no organismo do povo francês». </w:t>
      </w:r>
      <w:r w:rsidRPr="003E305A">
        <w:rPr>
          <w:rFonts w:ascii="Arial Narrow" w:hAnsi="Arial Narrow"/>
        </w:rPr>
        <w:t xml:space="preserve">As opiniões dos hitlerianos acerca da influência negra em França ficarão mais claras se soubermos que entre as tropas de ocupação francesas estacionadas em solo alemão após a primeira guerra mundial se contavam militares senegaleses. Os racistas consideravam a presença africana no território alemão como uma afronta muitíssimo grave. </w:t>
      </w:r>
      <w:r w:rsidRPr="00E840DA">
        <w:rPr>
          <w:rFonts w:ascii="Arial Narrow" w:hAnsi="Arial Narrow"/>
        </w:rPr>
        <w:t>Rosenberg, depois de ter mencionado «o crime monstruoso que consistiu na mobilização de negros e mestiços contra o povo alemão», especificou que «</w:t>
      </w:r>
      <w:r>
        <w:rPr>
          <w:rFonts w:ascii="Arial Narrow" w:hAnsi="Arial Narrow"/>
        </w:rPr>
        <w:t xml:space="preserve">a culpa maior e mais directa cabe indubitavelmente à França», </w:t>
      </w:r>
      <w:r w:rsidRPr="00E840DA">
        <w:rPr>
          <w:rFonts w:ascii="Arial Narrow" w:hAnsi="Arial Narrow"/>
        </w:rPr>
        <w:t xml:space="preserve">que </w:t>
      </w:r>
      <w:r>
        <w:rPr>
          <w:rFonts w:ascii="Arial Narrow" w:hAnsi="Arial Narrow"/>
        </w:rPr>
        <w:t xml:space="preserve">«ocupou a Renânia, o berço da cultura europeia, recorrendo a tropas negras». </w:t>
      </w:r>
      <w:r w:rsidRPr="00E840DA">
        <w:rPr>
          <w:rFonts w:ascii="Arial Narrow" w:hAnsi="Arial Narrow"/>
        </w:rPr>
        <w:t xml:space="preserve">Ver A. Rosenberg (1986) 603 e id. </w:t>
      </w:r>
      <w:r w:rsidRPr="00575800">
        <w:rPr>
          <w:rFonts w:ascii="Arial Narrow" w:hAnsi="Arial Narrow"/>
        </w:rPr>
        <w:t>[s. d.</w:t>
      </w:r>
      <w:r>
        <w:rPr>
          <w:rFonts w:ascii="Arial Narrow" w:hAnsi="Arial Narrow"/>
        </w:rPr>
        <w:t xml:space="preserve"> 2] 436. </w:t>
      </w:r>
      <w:r w:rsidRPr="00575800">
        <w:rPr>
          <w:rFonts w:ascii="Arial Narrow" w:hAnsi="Arial Narrow"/>
        </w:rPr>
        <w:t xml:space="preserve">«Eu não sabia praticamente nada acerca da França. </w:t>
      </w:r>
      <w:r w:rsidRPr="003E305A">
        <w:rPr>
          <w:rFonts w:ascii="Arial Narrow" w:hAnsi="Arial Narrow"/>
        </w:rPr>
        <w:t xml:space="preserve">Sabia alguma coisa sobre Napoleão, sobre a guerra de 1870, a Grande Guerra e Versailles, sobre a ocupação da Renânia e a “Vergonha Negra”», recordou E. Salomon (1993) 457, um dos nomes significativos da extrema-direita radical alemã, mostrando involuntariamente a enorme importância que atribuía à presença de soldados africanos no seu país. Mesmo um democrata anti-racista como Victor Klemperer mencionou no seu diário, na entrada de 17 de Março de 1933, «a ocupação negra francesa». Ver M. Chalmers (org. 2006 a) 6. Segundo E. D. Cronon (1968) 192, em 1921 a Liga de Emergência Alemã contra o Horror Negro tentou obter o apoio de Marcus Garvey, dirigente ultra-racista do mais importante movimento negro dos Estados Unidos, na campanha para que os senegaleses fossem retirados das tropas francesas aquarteladas na Renânia. </w:t>
      </w:r>
      <w:r w:rsidRPr="00DB2AEE">
        <w:rPr>
          <w:rFonts w:ascii="Arial Narrow" w:hAnsi="Arial Narrow"/>
        </w:rPr>
        <w:t xml:space="preserve">Um artigo publicado em Maio de 1927 no </w:t>
      </w:r>
      <w:r w:rsidRPr="00DB2AEE">
        <w:rPr>
          <w:rFonts w:ascii="Arial Narrow" w:hAnsi="Arial Narrow"/>
          <w:i/>
        </w:rPr>
        <w:t>Eugenical News</w:t>
      </w:r>
      <w:r w:rsidRPr="00DB2AEE">
        <w:rPr>
          <w:rFonts w:ascii="Arial Narrow" w:hAnsi="Arial Narrow"/>
        </w:rPr>
        <w:t xml:space="preserve"> norte-americano simpatizou com as preocupações dos eugenistas alemães, temendo que as raças negras invadissem a Europa por meio das tropas coloniais francesas. Ver E. Black (2003) 282. </w:t>
      </w:r>
      <w:r w:rsidRPr="003E305A">
        <w:rPr>
          <w:rFonts w:ascii="Arial Narrow" w:hAnsi="Arial Narrow"/>
        </w:rPr>
        <w:t xml:space="preserve">O pequeno número de crianças </w:t>
      </w:r>
      <w:r>
        <w:rPr>
          <w:rFonts w:ascii="Arial Narrow" w:hAnsi="Arial Narrow"/>
        </w:rPr>
        <w:t>—</w:t>
      </w:r>
      <w:r w:rsidRPr="003E305A">
        <w:rPr>
          <w:rFonts w:ascii="Arial Narrow" w:hAnsi="Arial Narrow"/>
        </w:rPr>
        <w:t xml:space="preserve"> quinhentas ou seiscentas, a crer em </w:t>
      </w:r>
      <w:r w:rsidRPr="00DB2AEE">
        <w:rPr>
          <w:rFonts w:ascii="Arial Narrow" w:hAnsi="Arial Narrow"/>
        </w:rPr>
        <w:t>Edwin</w:t>
      </w:r>
      <w:r w:rsidRPr="003E305A">
        <w:rPr>
          <w:rFonts w:ascii="Arial Narrow" w:hAnsi="Arial Narrow"/>
        </w:rPr>
        <w:t xml:space="preserve"> Black</w:t>
      </w:r>
      <w:r>
        <w:rPr>
          <w:rFonts w:ascii="Arial Narrow" w:hAnsi="Arial Narrow"/>
        </w:rPr>
        <w:t>,</w:t>
      </w:r>
      <w:r w:rsidRPr="003E305A">
        <w:rPr>
          <w:rFonts w:ascii="Arial Narrow" w:hAnsi="Arial Narrow"/>
        </w:rPr>
        <w:t xml:space="preserve"> </w:t>
      </w:r>
      <w:r w:rsidRPr="000577B0">
        <w:rPr>
          <w:rFonts w:ascii="Arial Narrow" w:hAnsi="Arial Narrow"/>
        </w:rPr>
        <w:t>op. cit.,</w:t>
      </w:r>
      <w:r>
        <w:rPr>
          <w:rFonts w:ascii="Arial Narrow" w:hAnsi="Arial Narrow"/>
        </w:rPr>
        <w:t xml:space="preserve"> </w:t>
      </w:r>
      <w:r w:rsidRPr="003E305A">
        <w:rPr>
          <w:rFonts w:ascii="Arial Narrow" w:hAnsi="Arial Narrow"/>
        </w:rPr>
        <w:t xml:space="preserve">305 e 316 </w:t>
      </w:r>
      <w:r>
        <w:rPr>
          <w:rFonts w:ascii="Arial Narrow" w:hAnsi="Arial Narrow"/>
        </w:rPr>
        <w:t>—</w:t>
      </w:r>
      <w:r w:rsidRPr="003E305A">
        <w:rPr>
          <w:rFonts w:ascii="Arial Narrow" w:hAnsi="Arial Narrow"/>
        </w:rPr>
        <w:t xml:space="preserve"> que resultou das relações mantidas entre mulheres alemãs e aqueles soldados negros foi vítima de um ódio especial. </w:t>
      </w:r>
      <w:r>
        <w:rPr>
          <w:rFonts w:ascii="Arial Narrow" w:hAnsi="Arial Narrow"/>
        </w:rPr>
        <w:t xml:space="preserve">Ver a este respeito, por exemplo, </w:t>
      </w:r>
      <w:r w:rsidRPr="003C7C7C">
        <w:rPr>
          <w:rFonts w:ascii="Arial Narrow" w:hAnsi="Arial Narrow"/>
        </w:rPr>
        <w:t xml:space="preserve">Anne Quinchon-Caudal, op. cit., 208-209 e </w:t>
      </w:r>
      <w:r>
        <w:rPr>
          <w:rFonts w:ascii="Arial Narrow" w:hAnsi="Arial Narrow"/>
        </w:rPr>
        <w:t xml:space="preserve">Sh. F. Weiss (2010) 44. </w:t>
      </w:r>
      <w:r w:rsidRPr="003E305A">
        <w:rPr>
          <w:rFonts w:ascii="Arial Narrow" w:hAnsi="Arial Narrow"/>
        </w:rPr>
        <w:t>É importante saber que o programa de esterilização forçada a que estes mestiços se viram submetidos durante o Terceiro Reich havia já sido inteiramente preparado pela república de Weimar. Consultar a este respeito E. Conte et al. (1995) 92.</w:t>
      </w:r>
      <w:r>
        <w:rPr>
          <w:rFonts w:ascii="Arial Narrow" w:hAnsi="Arial Narrow"/>
        </w:rPr>
        <w:t xml:space="preserve"> A tese de que os franceses estavam «</w:t>
      </w:r>
      <w:r w:rsidRPr="00845045">
        <w:rPr>
          <w:rFonts w:ascii="Arial Narrow" w:hAnsi="Arial Narrow"/>
        </w:rPr>
        <w:t>cada vez mais convertidos num povo de pretos</w:t>
      </w:r>
      <w:r>
        <w:rPr>
          <w:rFonts w:ascii="Arial Narrow" w:hAnsi="Arial Narrow"/>
        </w:rPr>
        <w:t xml:space="preserve">» viu-se confirmada pelas apreciações de Céline, para quem os judeus, que dominariam a França, seriam «o produto de um cruzamento entre pretos e bárbaros asiáticos». Ver L.-F. Céline (1937) 193. Aliás, a noção de que os judeus seriam simplesmente negros foi defendida genericamente por Louis-Ferdinand Céline, </w:t>
      </w:r>
      <w:r w:rsidRPr="000577B0">
        <w:rPr>
          <w:rFonts w:ascii="Arial Narrow" w:hAnsi="Arial Narrow"/>
        </w:rPr>
        <w:t>op. cit.,</w:t>
      </w:r>
      <w:r>
        <w:rPr>
          <w:rFonts w:ascii="Arial Narrow" w:hAnsi="Arial Narrow"/>
        </w:rPr>
        <w:t xml:space="preserve"> </w:t>
      </w:r>
      <w:r w:rsidRPr="00B17CB1">
        <w:rPr>
          <w:rFonts w:ascii="Arial Narrow" w:hAnsi="Arial Narrow"/>
          <w:i/>
        </w:rPr>
        <w:t>passim</w:t>
      </w:r>
      <w:r>
        <w:rPr>
          <w:rFonts w:ascii="Arial Narrow" w:hAnsi="Arial Narrow"/>
        </w:rPr>
        <w:t xml:space="preserve">. Ver igualmente id. (1942) </w:t>
      </w:r>
      <w:r w:rsidRPr="005A4D16">
        <w:rPr>
          <w:rFonts w:ascii="Arial Narrow" w:hAnsi="Arial Narrow"/>
          <w:i/>
        </w:rPr>
        <w:t>passim,</w:t>
      </w:r>
      <w:r>
        <w:rPr>
          <w:rFonts w:ascii="Arial Narrow" w:hAnsi="Arial Narrow"/>
        </w:rPr>
        <w:t xml:space="preserve"> embora com menos frequência do que na obra anterior, nomeadamente quando escreveu (pág. 258) que «o judeu é já um preto». E em id. (1941) 140 lemos que «o preto [é] o verdadeiro papá do judeu».</w:t>
      </w:r>
    </w:p>
  </w:footnote>
  <w:footnote w:id="27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Hitler (1995) 564-566, 570, 607-608.</w:t>
      </w:r>
      <w:r>
        <w:rPr>
          <w:rFonts w:ascii="Arial Narrow" w:hAnsi="Arial Narrow"/>
        </w:rPr>
        <w:t xml:space="preserve"> A mesma dupla aliança foi defendida por Rosenberg em </w:t>
      </w:r>
      <w:r w:rsidRPr="00BC458E">
        <w:rPr>
          <w:rFonts w:ascii="Arial Narrow" w:hAnsi="Arial Narrow"/>
          <w:i/>
        </w:rPr>
        <w:t>O Mito do Século XX,</w:t>
      </w:r>
      <w:r>
        <w:rPr>
          <w:rFonts w:ascii="Arial Narrow" w:hAnsi="Arial Narrow"/>
        </w:rPr>
        <w:t xml:space="preserve"> acrescentando-lhe a aliança com o Japão, para cujos interesses seria reservada a Ásia. Ver A. Rosenberg (1986) 623, 625, 628-629 ou id. [s. d. 2] 451, 452, 454.</w:t>
      </w:r>
    </w:p>
  </w:footnote>
  <w:footnote w:id="279">
    <w:p w:rsidR="00392E0D" w:rsidRPr="00840B12" w:rsidRDefault="00392E0D">
      <w:pPr>
        <w:pStyle w:val="Textodenotaderodap"/>
        <w:rPr>
          <w:rFonts w:ascii="Arial Narrow" w:hAnsi="Arial Narrow"/>
        </w:rPr>
      </w:pPr>
      <w:r w:rsidRPr="00840B12">
        <w:rPr>
          <w:rStyle w:val="Refdenotaderodap"/>
          <w:rFonts w:ascii="Arial Narrow" w:hAnsi="Arial Narrow"/>
        </w:rPr>
        <w:footnoteRef/>
      </w:r>
      <w:r w:rsidRPr="00840B12">
        <w:rPr>
          <w:rFonts w:ascii="Arial Narrow" w:hAnsi="Arial Narrow"/>
        </w:rPr>
        <w:t xml:space="preserve"> </w:t>
      </w:r>
      <w:r>
        <w:rPr>
          <w:rFonts w:ascii="Arial Narrow" w:hAnsi="Arial Narrow"/>
        </w:rPr>
        <w:t xml:space="preserve">Segundo </w:t>
      </w:r>
      <w:r w:rsidRPr="003E305A">
        <w:rPr>
          <w:rFonts w:ascii="Arial Narrow" w:hAnsi="Arial Narrow"/>
        </w:rPr>
        <w:t xml:space="preserve">A. Bullock (1972) 318 n. 2 </w:t>
      </w:r>
      <w:r>
        <w:rPr>
          <w:rFonts w:ascii="Arial Narrow" w:hAnsi="Arial Narrow"/>
        </w:rPr>
        <w:t xml:space="preserve">e J. S. Roucek (1946) 331, o </w:t>
      </w:r>
      <w:r w:rsidRPr="003E305A">
        <w:rPr>
          <w:rFonts w:ascii="Arial Narrow" w:hAnsi="Arial Narrow"/>
        </w:rPr>
        <w:t>general e académico Karl Haushofer, promotor do pensamento geopolítico na Alemanha</w:t>
      </w:r>
      <w:r>
        <w:rPr>
          <w:rFonts w:ascii="Arial Narrow" w:hAnsi="Arial Narrow"/>
        </w:rPr>
        <w:t xml:space="preserve"> e mestre de Rudolf Hess,</w:t>
      </w:r>
      <w:r w:rsidRPr="003E305A">
        <w:rPr>
          <w:rFonts w:ascii="Arial Narrow" w:hAnsi="Arial Narrow"/>
        </w:rPr>
        <w:t xml:space="preserve"> era partidário de uma política externa pró-soviética. </w:t>
      </w:r>
      <w:r w:rsidRPr="00170C91">
        <w:rPr>
          <w:rFonts w:ascii="Arial Narrow" w:hAnsi="Arial Narrow"/>
        </w:rPr>
        <w:t xml:space="preserve">S. D. Shenfield (2001) 94 classificou-o mesmo como «um defensor consistente da aliança germano-soviética, que nunca se conformou com a invasão da URSS por Hitler». </w:t>
      </w:r>
      <w:r w:rsidRPr="003E305A">
        <w:rPr>
          <w:rFonts w:ascii="Arial Narrow" w:hAnsi="Arial Narrow"/>
        </w:rPr>
        <w:t xml:space="preserve">Todavia, </w:t>
      </w:r>
      <w:r>
        <w:rPr>
          <w:rFonts w:ascii="Arial Narrow" w:hAnsi="Arial Narrow"/>
        </w:rPr>
        <w:t xml:space="preserve">embora </w:t>
      </w:r>
      <w:r w:rsidRPr="003E305A">
        <w:rPr>
          <w:rFonts w:ascii="Arial Narrow" w:hAnsi="Arial Narrow"/>
        </w:rPr>
        <w:t>F. Neumann (1943) 174-175</w:t>
      </w:r>
      <w:r>
        <w:rPr>
          <w:rFonts w:ascii="Arial Narrow" w:hAnsi="Arial Narrow"/>
        </w:rPr>
        <w:t xml:space="preserve"> tivesse observado </w:t>
      </w:r>
      <w:r w:rsidRPr="003E305A">
        <w:rPr>
          <w:rFonts w:ascii="Arial Narrow" w:hAnsi="Arial Narrow"/>
        </w:rPr>
        <w:t>a ambivalência</w:t>
      </w:r>
      <w:r>
        <w:rPr>
          <w:rFonts w:ascii="Arial Narrow" w:hAnsi="Arial Narrow"/>
        </w:rPr>
        <w:t xml:space="preserve"> de </w:t>
      </w:r>
      <w:r w:rsidRPr="003E305A">
        <w:rPr>
          <w:rFonts w:ascii="Arial Narrow" w:hAnsi="Arial Narrow"/>
        </w:rPr>
        <w:t>Haushofer</w:t>
      </w:r>
      <w:r>
        <w:rPr>
          <w:rFonts w:ascii="Arial Narrow" w:hAnsi="Arial Narrow"/>
        </w:rPr>
        <w:t xml:space="preserve"> </w:t>
      </w:r>
      <w:r w:rsidRPr="003E305A">
        <w:rPr>
          <w:rFonts w:ascii="Arial Narrow" w:hAnsi="Arial Narrow"/>
        </w:rPr>
        <w:t>a respeito da Rússia</w:t>
      </w:r>
      <w:r>
        <w:rPr>
          <w:rFonts w:ascii="Arial Narrow" w:hAnsi="Arial Narrow"/>
        </w:rPr>
        <w:t xml:space="preserve">, em </w:t>
      </w:r>
      <w:r w:rsidRPr="00E14C99">
        <w:rPr>
          <w:rFonts w:ascii="Arial Narrow" w:hAnsi="Arial Narrow"/>
        </w:rPr>
        <w:t>R. Laudani (org. 2013)</w:t>
      </w:r>
      <w:r>
        <w:rPr>
          <w:rFonts w:ascii="Arial Narrow" w:hAnsi="Arial Narrow"/>
        </w:rPr>
        <w:t xml:space="preserve"> 279-280 Franz Neumann indicou que </w:t>
      </w:r>
      <w:r w:rsidRPr="003E305A">
        <w:rPr>
          <w:rFonts w:ascii="Arial Narrow" w:hAnsi="Arial Narrow"/>
        </w:rPr>
        <w:t>Haushofer</w:t>
      </w:r>
      <w:r>
        <w:rPr>
          <w:rFonts w:ascii="Arial Narrow" w:hAnsi="Arial Narrow"/>
        </w:rPr>
        <w:t xml:space="preserve"> defendia uma aliança das potências ocidentais, incluindo a Alemanha, contra a Rússia soviética, que reintegrasse este país no contexto capitalista. Também </w:t>
      </w:r>
      <w:r w:rsidRPr="003E305A">
        <w:rPr>
          <w:rFonts w:ascii="Arial Narrow" w:hAnsi="Arial Narrow"/>
        </w:rPr>
        <w:t>E. Nolte (1989) 357 consider</w:t>
      </w:r>
      <w:r>
        <w:rPr>
          <w:rFonts w:ascii="Arial Narrow" w:hAnsi="Arial Narrow"/>
        </w:rPr>
        <w:t xml:space="preserve">ou </w:t>
      </w:r>
      <w:r w:rsidRPr="003E305A">
        <w:rPr>
          <w:rFonts w:ascii="Arial Narrow" w:hAnsi="Arial Narrow"/>
        </w:rPr>
        <w:t xml:space="preserve">Haushofer favorável à aliança inglesa, o que ajudaria a explicar o misterioso voo para a Escócia que o seu discípulo Hess realizou em Maio de 1941 com o objectivo de persuadir o governo britânico a fazer a paz com o Reich. </w:t>
      </w:r>
      <w:r>
        <w:rPr>
          <w:rFonts w:ascii="Arial Narrow" w:hAnsi="Arial Narrow"/>
        </w:rPr>
        <w:t xml:space="preserve">Igualmente </w:t>
      </w:r>
      <w:r w:rsidRPr="003E305A">
        <w:rPr>
          <w:rFonts w:ascii="Arial Narrow" w:hAnsi="Arial Narrow"/>
        </w:rPr>
        <w:t>A. Dallin (1957) 11 e n. 2 atribui</w:t>
      </w:r>
      <w:r>
        <w:rPr>
          <w:rFonts w:ascii="Arial Narrow" w:hAnsi="Arial Narrow"/>
        </w:rPr>
        <w:t>u</w:t>
      </w:r>
      <w:r w:rsidRPr="003E305A">
        <w:rPr>
          <w:rFonts w:ascii="Arial Narrow" w:hAnsi="Arial Narrow"/>
        </w:rPr>
        <w:t xml:space="preserve"> a Haushofer simpatia pela aliança inglesa e o relacion</w:t>
      </w:r>
      <w:r>
        <w:rPr>
          <w:rFonts w:ascii="Arial Narrow" w:hAnsi="Arial Narrow"/>
        </w:rPr>
        <w:t>ou</w:t>
      </w:r>
      <w:r w:rsidRPr="003E305A">
        <w:rPr>
          <w:rFonts w:ascii="Arial Narrow" w:hAnsi="Arial Narrow"/>
        </w:rPr>
        <w:t xml:space="preserve"> com o voo de Hess para a Grã-Bretanha, o que torna estranha a posição daquele teórico da geopolítica, que ao mesmo tempo apelava para a formação de um bloco continental incluindo a Rússia e a China. </w:t>
      </w:r>
      <w:r>
        <w:rPr>
          <w:rFonts w:ascii="Arial Narrow" w:hAnsi="Arial Narrow"/>
        </w:rPr>
        <w:t xml:space="preserve">Talvez a questão se resolva lembrando que, a crer em Franz Neumann em </w:t>
      </w:r>
      <w:r w:rsidRPr="0006676B">
        <w:rPr>
          <w:rFonts w:ascii="Arial Narrow" w:hAnsi="Arial Narrow"/>
        </w:rPr>
        <w:t>R</w:t>
      </w:r>
      <w:r>
        <w:rPr>
          <w:rFonts w:ascii="Arial Narrow" w:hAnsi="Arial Narrow"/>
        </w:rPr>
        <w:t>affaele</w:t>
      </w:r>
      <w:r w:rsidRPr="0006676B">
        <w:rPr>
          <w:rFonts w:ascii="Arial Narrow" w:hAnsi="Arial Narrow"/>
        </w:rPr>
        <w:t xml:space="preserve"> Laudani</w:t>
      </w:r>
      <w:r>
        <w:rPr>
          <w:rFonts w:ascii="Arial Narrow" w:hAnsi="Arial Narrow"/>
        </w:rPr>
        <w:t>,</w:t>
      </w:r>
      <w:r w:rsidRPr="0006676B">
        <w:rPr>
          <w:rFonts w:ascii="Arial Narrow" w:hAnsi="Arial Narrow"/>
        </w:rPr>
        <w:t xml:space="preserve"> </w:t>
      </w:r>
      <w:r>
        <w:rPr>
          <w:rFonts w:ascii="Arial Narrow" w:hAnsi="Arial Narrow"/>
        </w:rPr>
        <w:t xml:space="preserve">op. cit., 281, </w:t>
      </w:r>
      <w:r w:rsidRPr="003E305A">
        <w:rPr>
          <w:rFonts w:ascii="Arial Narrow" w:hAnsi="Arial Narrow"/>
        </w:rPr>
        <w:t>Haushofer</w:t>
      </w:r>
      <w:r>
        <w:rPr>
          <w:rFonts w:ascii="Arial Narrow" w:hAnsi="Arial Narrow"/>
        </w:rPr>
        <w:t xml:space="preserve"> ter-se-ia mostrado favorável a uma orientação pró-russa durante o pacto germano-soviético. Todavia, um relatório elaborado pelos serviços secretos soviéticos a pedido de Stalin e baseado nos interrogatórios de dois prisioneiros de guerra que haviam desempenhado funções na intimidade de Hitler, publicado em </w:t>
      </w:r>
      <w:r w:rsidRPr="009E6567">
        <w:rPr>
          <w:rFonts w:ascii="Arial Narrow" w:hAnsi="Arial Narrow"/>
        </w:rPr>
        <w:t>H. Eberle et al. (org. 2005)</w:t>
      </w:r>
      <w:r>
        <w:rPr>
          <w:rFonts w:ascii="Arial Narrow" w:hAnsi="Arial Narrow"/>
        </w:rPr>
        <w:t xml:space="preserve">, pretendeu (págs. 139-140) que, a pedido de Hess, em Agosto de 1940 Haushofer se encontrara em Genebra com representantes britânicos para discutir uma proposta de paz, entre cujas condições se contava o cancelamento do pacto germano-soviético. Nesta perspectiva, a reabertura das hostilidades na frente leste estaria ligada ao fim da guerra na frente ocidental. Com efeito, </w:t>
      </w:r>
      <w:r w:rsidRPr="005B36F7">
        <w:rPr>
          <w:rFonts w:ascii="Arial Narrow" w:hAnsi="Arial Narrow"/>
        </w:rPr>
        <w:t>Alexander</w:t>
      </w:r>
      <w:r w:rsidRPr="003E305A">
        <w:rPr>
          <w:rFonts w:ascii="Arial Narrow" w:hAnsi="Arial Narrow"/>
        </w:rPr>
        <w:t xml:space="preserve"> Dallin</w:t>
      </w:r>
      <w:r>
        <w:rPr>
          <w:rFonts w:ascii="Arial Narrow" w:hAnsi="Arial Narrow"/>
        </w:rPr>
        <w:t>,</w:t>
      </w:r>
      <w:r w:rsidRPr="003E305A">
        <w:rPr>
          <w:rFonts w:ascii="Arial Narrow" w:hAnsi="Arial Narrow"/>
        </w:rPr>
        <w:t xml:space="preserve"> </w:t>
      </w:r>
      <w:r>
        <w:rPr>
          <w:rFonts w:ascii="Arial Narrow" w:hAnsi="Arial Narrow"/>
        </w:rPr>
        <w:t xml:space="preserve">op. cit., </w:t>
      </w:r>
      <w:r w:rsidRPr="003E305A">
        <w:rPr>
          <w:rFonts w:ascii="Arial Narrow" w:hAnsi="Arial Narrow"/>
        </w:rPr>
        <w:t>17 afirm</w:t>
      </w:r>
      <w:r>
        <w:rPr>
          <w:rFonts w:ascii="Arial Narrow" w:hAnsi="Arial Narrow"/>
        </w:rPr>
        <w:t>ou</w:t>
      </w:r>
      <w:r w:rsidRPr="003E305A">
        <w:rPr>
          <w:rFonts w:ascii="Arial Narrow" w:hAnsi="Arial Narrow"/>
        </w:rPr>
        <w:t xml:space="preserve"> que o voo de Hess para a Escócia se destina</w:t>
      </w:r>
      <w:r>
        <w:rPr>
          <w:rFonts w:ascii="Arial Narrow" w:hAnsi="Arial Narrow"/>
        </w:rPr>
        <w:t>r</w:t>
      </w:r>
      <w:r w:rsidRPr="003E305A">
        <w:rPr>
          <w:rFonts w:ascii="Arial Narrow" w:hAnsi="Arial Narrow"/>
        </w:rPr>
        <w:t>a a obter o apoio britânico no ataque iminente contra a União Soviética</w:t>
      </w:r>
      <w:r>
        <w:rPr>
          <w:rFonts w:ascii="Arial Narrow" w:hAnsi="Arial Narrow"/>
        </w:rPr>
        <w:t xml:space="preserve"> e H. G. Dahms (1968) I 292 indicou que Stalin achara muito suspeito o facto de tanto do lado germânico como do lado britânico se ter afirmado de imediato que Hess estava a sofrer de perturbações mentais. Passado muito termpo após o fim da segunda guerra mundial, a esposa de Hess declarou que ao voar para a Escócia o seu marido agira «consoante o pensamento de Adolf Hitler, mas sem que este o soubesse». Ver Ch. A. Gabel (1988) 240. Porém, o referido relatório dos serviços secretos soviéticos em </w:t>
      </w:r>
      <w:r w:rsidRPr="006A570B">
        <w:rPr>
          <w:rFonts w:ascii="Arial Narrow" w:hAnsi="Arial Narrow"/>
        </w:rPr>
        <w:t>Henrik Eberle e</w:t>
      </w:r>
      <w:r>
        <w:rPr>
          <w:rFonts w:ascii="Arial Narrow" w:hAnsi="Arial Narrow"/>
        </w:rPr>
        <w:t xml:space="preserve">t al., op. cit., 141-142 indicou que Hitler conheceria os termos da proposta de paz que Hess levara consigo, e que incluiriam o compromisso de que o Reich não interferiria no império britânico e aceitaria a hegemonia britânica no Mediterrâneo em troca do consentimento britânico à expansão germânica contra a União Soviética. </w:t>
      </w:r>
      <w:r w:rsidRPr="003E305A">
        <w:rPr>
          <w:rFonts w:ascii="Arial Narrow" w:hAnsi="Arial Narrow"/>
        </w:rPr>
        <w:t xml:space="preserve">Mostrando a este respeito uma </w:t>
      </w:r>
      <w:r>
        <w:rPr>
          <w:rFonts w:ascii="Arial Narrow" w:hAnsi="Arial Narrow"/>
        </w:rPr>
        <w:t>inverosímil</w:t>
      </w:r>
      <w:r w:rsidRPr="003E305A">
        <w:rPr>
          <w:rFonts w:ascii="Arial Narrow" w:hAnsi="Arial Narrow"/>
        </w:rPr>
        <w:t xml:space="preserve"> candura, A</w:t>
      </w:r>
      <w:r>
        <w:rPr>
          <w:rFonts w:ascii="Arial Narrow" w:hAnsi="Arial Narrow"/>
        </w:rPr>
        <w:t>lan</w:t>
      </w:r>
      <w:r w:rsidRPr="003E305A">
        <w:rPr>
          <w:rFonts w:ascii="Arial Narrow" w:hAnsi="Arial Narrow"/>
        </w:rPr>
        <w:t xml:space="preserve"> Bullock</w:t>
      </w:r>
      <w:r>
        <w:rPr>
          <w:rFonts w:ascii="Arial Narrow" w:hAnsi="Arial Narrow"/>
        </w:rPr>
        <w:t>,</w:t>
      </w:r>
      <w:r w:rsidRPr="003E305A">
        <w:rPr>
          <w:rFonts w:ascii="Arial Narrow" w:hAnsi="Arial Narrow"/>
        </w:rPr>
        <w:t xml:space="preserve"> </w:t>
      </w:r>
      <w:r>
        <w:rPr>
          <w:rFonts w:ascii="Arial Narrow" w:hAnsi="Arial Narrow"/>
        </w:rPr>
        <w:t xml:space="preserve">op. cit., </w:t>
      </w:r>
      <w:r w:rsidRPr="003E305A">
        <w:rPr>
          <w:rFonts w:ascii="Arial Narrow" w:hAnsi="Arial Narrow"/>
        </w:rPr>
        <w:t>645 admit</w:t>
      </w:r>
      <w:r>
        <w:rPr>
          <w:rFonts w:ascii="Arial Narrow" w:hAnsi="Arial Narrow"/>
        </w:rPr>
        <w:t>iu</w:t>
      </w:r>
      <w:r w:rsidRPr="003E305A">
        <w:rPr>
          <w:rFonts w:ascii="Arial Narrow" w:hAnsi="Arial Narrow"/>
        </w:rPr>
        <w:t xml:space="preserve"> que Hess nada </w:t>
      </w:r>
      <w:r>
        <w:rPr>
          <w:rFonts w:ascii="Arial Narrow" w:hAnsi="Arial Narrow"/>
        </w:rPr>
        <w:t>conhecesse</w:t>
      </w:r>
      <w:r w:rsidRPr="003E305A">
        <w:rPr>
          <w:rFonts w:ascii="Arial Narrow" w:hAnsi="Arial Narrow"/>
        </w:rPr>
        <w:t xml:space="preserve"> dos planos de invasão da URSS, só porque este assunto não consta do relatório oficial dos seus interrogadores. </w:t>
      </w:r>
      <w:r>
        <w:rPr>
          <w:rFonts w:ascii="Arial Narrow" w:hAnsi="Arial Narrow"/>
        </w:rPr>
        <w:t xml:space="preserve">Segundo Charles Gabel, </w:t>
      </w:r>
      <w:r w:rsidRPr="00922F78">
        <w:rPr>
          <w:rFonts w:ascii="Arial Narrow" w:hAnsi="Arial Narrow"/>
        </w:rPr>
        <w:t>op. cit.,</w:t>
      </w:r>
      <w:r>
        <w:rPr>
          <w:rFonts w:ascii="Arial Narrow" w:hAnsi="Arial Narrow"/>
        </w:rPr>
        <w:t xml:space="preserve"> 37, 109 e 131, o governo britânico impede o acesso a um dossier relativo ao voo de Hess, que só em 2017 será aberto ao público.</w:t>
      </w:r>
    </w:p>
  </w:footnote>
  <w:footnote w:id="28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446ABA">
        <w:rPr>
          <w:rFonts w:ascii="Arial Narrow" w:hAnsi="Arial Narrow"/>
        </w:rPr>
        <w:t xml:space="preserve"> Ver a n. 51 no capítulo 4 da Parte 1</w:t>
      </w:r>
      <w:r w:rsidRPr="003E305A">
        <w:rPr>
          <w:rFonts w:ascii="Arial Narrow" w:hAnsi="Arial Narrow"/>
        </w:rPr>
        <w:t>.</w:t>
      </w:r>
    </w:p>
  </w:footnote>
  <w:footnote w:id="281">
    <w:p w:rsidR="00392E0D" w:rsidRPr="00446A73" w:rsidRDefault="00392E0D" w:rsidP="00321E01">
      <w:pPr>
        <w:pStyle w:val="Textodenotaderodap"/>
        <w:rPr>
          <w:rFonts w:ascii="Arial Narrow" w:hAnsi="Arial Narrow"/>
        </w:rPr>
      </w:pPr>
      <w:r w:rsidRPr="003E305A">
        <w:rPr>
          <w:rStyle w:val="Refdenotaderodap"/>
          <w:rFonts w:ascii="Arial Narrow" w:hAnsi="Arial Narrow"/>
        </w:rPr>
        <w:footnoteRef/>
      </w:r>
      <w:r w:rsidRPr="00446A73">
        <w:rPr>
          <w:rFonts w:ascii="Arial Narrow" w:hAnsi="Arial Narrow"/>
        </w:rPr>
        <w:t xml:space="preserve"> A. Hitler (1995) 128-129, 587-588, 591-592, 598-599, 602-607.</w:t>
      </w:r>
    </w:p>
  </w:footnote>
  <w:footnote w:id="28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H. Rauschning (1939) 155-156.</w:t>
      </w:r>
      <w:r>
        <w:rPr>
          <w:rFonts w:ascii="Arial Narrow" w:hAnsi="Arial Narrow"/>
        </w:rPr>
        <w:t xml:space="preserve"> Já no número de 18 de Abril de 1926 do </w:t>
      </w:r>
      <w:r w:rsidRPr="00BC217C">
        <w:rPr>
          <w:rFonts w:ascii="Arial Narrow" w:hAnsi="Arial Narrow"/>
          <w:i/>
        </w:rPr>
        <w:t>Völkischer Beobachter</w:t>
      </w:r>
      <w:r>
        <w:rPr>
          <w:rFonts w:ascii="Arial Narrow" w:hAnsi="Arial Narrow"/>
        </w:rPr>
        <w:t xml:space="preserve"> Rosenberg havia sugerido a hipótese de estabelecer uma aliança com a União Soviética por um prazo limitado. Ver </w:t>
      </w:r>
      <w:r w:rsidRPr="00446ABA">
        <w:rPr>
          <w:rFonts w:ascii="Arial Narrow" w:hAnsi="Arial Narrow"/>
        </w:rPr>
        <w:t>I. Kamenetsky (1956) 19.</w:t>
      </w:r>
    </w:p>
  </w:footnote>
  <w:footnote w:id="283">
    <w:p w:rsidR="00392E0D" w:rsidRPr="003E305A" w:rsidRDefault="00392E0D" w:rsidP="008B329E">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t>
      </w:r>
      <w:r w:rsidRPr="00E7037D">
        <w:rPr>
          <w:rFonts w:ascii="Arial Narrow" w:hAnsi="Arial Narrow"/>
        </w:rPr>
        <w:t xml:space="preserve">J. C. Fest (1974) 1008, </w:t>
      </w:r>
      <w:r w:rsidRPr="00E51CD9">
        <w:rPr>
          <w:rFonts w:ascii="Arial Narrow" w:hAnsi="Arial Narrow"/>
        </w:rPr>
        <w:t xml:space="preserve">J. Noakes et al. (orgs. </w:t>
      </w:r>
      <w:r>
        <w:rPr>
          <w:rFonts w:ascii="Arial Narrow" w:hAnsi="Arial Narrow"/>
        </w:rPr>
        <w:t xml:space="preserve">2008-2010) III 131, </w:t>
      </w:r>
      <w:r w:rsidRPr="003E305A">
        <w:rPr>
          <w:rFonts w:ascii="Arial Narrow" w:hAnsi="Arial Narrow"/>
        </w:rPr>
        <w:t>E. Nolte (1989) 249</w:t>
      </w:r>
      <w:r>
        <w:rPr>
          <w:rFonts w:ascii="Arial Narrow" w:hAnsi="Arial Narrow"/>
        </w:rPr>
        <w:t xml:space="preserve"> e </w:t>
      </w:r>
      <w:r w:rsidRPr="00416B78">
        <w:rPr>
          <w:rFonts w:ascii="Arial Narrow" w:hAnsi="Arial Narrow"/>
        </w:rPr>
        <w:t>L. Waddington (2007) 156</w:t>
      </w:r>
      <w:r w:rsidRPr="003E305A">
        <w:rPr>
          <w:rFonts w:ascii="Arial Narrow" w:hAnsi="Arial Narrow"/>
        </w:rPr>
        <w:t xml:space="preserve">. </w:t>
      </w:r>
      <w:r>
        <w:rPr>
          <w:rFonts w:ascii="Arial Narrow" w:hAnsi="Arial Narrow"/>
        </w:rPr>
        <w:t xml:space="preserve">Ver também </w:t>
      </w:r>
      <w:r w:rsidRPr="003451F7">
        <w:rPr>
          <w:rFonts w:ascii="Arial Narrow" w:hAnsi="Arial Narrow"/>
        </w:rPr>
        <w:t xml:space="preserve">A. Tooze (2006) </w:t>
      </w:r>
      <w:r>
        <w:rPr>
          <w:rFonts w:ascii="Arial Narrow" w:hAnsi="Arial Narrow"/>
        </w:rPr>
        <w:t xml:space="preserve">320. </w:t>
      </w:r>
      <w:r w:rsidRPr="003E305A">
        <w:rPr>
          <w:rFonts w:ascii="Arial Narrow" w:hAnsi="Arial Narrow"/>
        </w:rPr>
        <w:t>E</w:t>
      </w:r>
      <w:r>
        <w:rPr>
          <w:rFonts w:ascii="Arial Narrow" w:hAnsi="Arial Narrow"/>
        </w:rPr>
        <w:t>rnst</w:t>
      </w:r>
      <w:r w:rsidRPr="003E305A">
        <w:rPr>
          <w:rFonts w:ascii="Arial Narrow" w:hAnsi="Arial Narrow"/>
        </w:rPr>
        <w:t xml:space="preserve"> Nolte</w:t>
      </w:r>
      <w:r>
        <w:rPr>
          <w:rFonts w:ascii="Arial Narrow" w:hAnsi="Arial Narrow"/>
        </w:rPr>
        <w:t xml:space="preserve"> </w:t>
      </w:r>
      <w:r w:rsidRPr="003E305A">
        <w:rPr>
          <w:rFonts w:ascii="Arial Narrow" w:hAnsi="Arial Narrow"/>
        </w:rPr>
        <w:t>não entende</w:t>
      </w:r>
      <w:r>
        <w:rPr>
          <w:rFonts w:ascii="Arial Narrow" w:hAnsi="Arial Narrow"/>
        </w:rPr>
        <w:t>u</w:t>
      </w:r>
      <w:r w:rsidRPr="003E305A">
        <w:rPr>
          <w:rFonts w:ascii="Arial Narrow" w:hAnsi="Arial Narrow"/>
        </w:rPr>
        <w:t xml:space="preserve"> </w:t>
      </w:r>
      <w:r>
        <w:rPr>
          <w:rFonts w:ascii="Arial Narrow" w:hAnsi="Arial Narrow"/>
        </w:rPr>
        <w:t>(</w:t>
      </w:r>
      <w:r w:rsidRPr="00A237B5">
        <w:rPr>
          <w:rFonts w:ascii="Arial Narrow" w:hAnsi="Arial Narrow"/>
        </w:rPr>
        <w:t>págs. 250-251</w:t>
      </w:r>
      <w:r>
        <w:rPr>
          <w:rFonts w:ascii="Arial Narrow" w:hAnsi="Arial Narrow"/>
        </w:rPr>
        <w:t xml:space="preserve">) </w:t>
      </w:r>
      <w:r w:rsidRPr="003E305A">
        <w:rPr>
          <w:rFonts w:ascii="Arial Narrow" w:hAnsi="Arial Narrow"/>
        </w:rPr>
        <w:t>o sentido do pacto germano-soviético</w:t>
      </w:r>
      <w:r>
        <w:rPr>
          <w:rFonts w:ascii="Arial Narrow" w:hAnsi="Arial Narrow"/>
        </w:rPr>
        <w:t>,</w:t>
      </w:r>
      <w:r w:rsidRPr="003E305A">
        <w:rPr>
          <w:rFonts w:ascii="Arial Narrow" w:hAnsi="Arial Narrow"/>
        </w:rPr>
        <w:t xml:space="preserve"> porque erradamente atribui</w:t>
      </w:r>
      <w:r>
        <w:rPr>
          <w:rFonts w:ascii="Arial Narrow" w:hAnsi="Arial Narrow"/>
        </w:rPr>
        <w:t>u</w:t>
      </w:r>
      <w:r w:rsidRPr="003E305A">
        <w:rPr>
          <w:rFonts w:ascii="Arial Narrow" w:hAnsi="Arial Narrow"/>
        </w:rPr>
        <w:t xml:space="preserve"> ao anticomunismo o papel principal nas acções de Hitler, quando na realidade ele </w:t>
      </w:r>
      <w:r>
        <w:rPr>
          <w:rFonts w:ascii="Arial Narrow" w:hAnsi="Arial Narrow"/>
        </w:rPr>
        <w:t>fo</w:t>
      </w:r>
      <w:r w:rsidRPr="003E305A">
        <w:rPr>
          <w:rFonts w:ascii="Arial Narrow" w:hAnsi="Arial Narrow"/>
        </w:rPr>
        <w:t>ra movido pela conjugação do antieslavismo na política externa e do anti-semitismo no plano interno. Antes de se lançar contra a União Soviética Hitler tinha de eliminar os rivais na frente ocidental, e em 1941 estava convencido de que conseguira fazê-lo. A. Bullock (1972) 558-559 sintetiz</w:t>
      </w:r>
      <w:r>
        <w:rPr>
          <w:rFonts w:ascii="Arial Narrow" w:hAnsi="Arial Narrow"/>
        </w:rPr>
        <w:t>ou</w:t>
      </w:r>
      <w:r w:rsidRPr="003E305A">
        <w:rPr>
          <w:rFonts w:ascii="Arial Narrow" w:hAnsi="Arial Narrow"/>
        </w:rPr>
        <w:t xml:space="preserve"> os dados da questão: «Nem o acordo com a Rússia nem a decisão de atacar a ocidente implicaram </w:t>
      </w:r>
      <w:r>
        <w:rPr>
          <w:rFonts w:ascii="Arial Narrow" w:hAnsi="Arial Narrow"/>
        </w:rPr>
        <w:t>nenhuma</w:t>
      </w:r>
      <w:r w:rsidRPr="003E305A">
        <w:rPr>
          <w:rFonts w:ascii="Arial Narrow" w:hAnsi="Arial Narrow"/>
        </w:rPr>
        <w:t xml:space="preserve"> alteração do objectivo último de Hitler </w:t>
      </w:r>
      <w:r>
        <w:rPr>
          <w:rFonts w:ascii="Arial Narrow" w:hAnsi="Arial Narrow"/>
        </w:rPr>
        <w:t>—</w:t>
      </w:r>
      <w:r w:rsidRPr="003E305A">
        <w:rPr>
          <w:rFonts w:ascii="Arial Narrow" w:hAnsi="Arial Narrow"/>
        </w:rPr>
        <w:t xml:space="preserve"> apoderar-se do </w:t>
      </w:r>
      <w:r w:rsidRPr="003E305A">
        <w:rPr>
          <w:rFonts w:ascii="Arial Narrow" w:hAnsi="Arial Narrow"/>
          <w:i/>
        </w:rPr>
        <w:t>Lebensraum</w:t>
      </w:r>
      <w:r w:rsidRPr="003E305A">
        <w:rPr>
          <w:rFonts w:ascii="Arial Narrow" w:hAnsi="Arial Narrow"/>
        </w:rPr>
        <w:t xml:space="preserve"> [espaço vital] alemão no Leste. Eliminar a oposição francesa e britânica era uma condição prévia, e não um substituto, para o prosseguimento das suas ambições a Leste». Aliás, já em 1914 o chanceler alemão apresentara a guerra que acabava de deflagrar como um conflito dos germanos contra os eslavos. Ver a este respeito A. Whiteside (1965) 326. Mas Hitler transpôs esse racismo elementar para uma dramaturgia rácica mais complexa e delirante.</w:t>
      </w:r>
    </w:p>
  </w:footnote>
  <w:footnote w:id="284">
    <w:p w:rsidR="00392E0D" w:rsidRPr="00D82921" w:rsidRDefault="00392E0D">
      <w:pPr>
        <w:pStyle w:val="Textodenotaderodap"/>
        <w:rPr>
          <w:rFonts w:ascii="Arial Narrow" w:hAnsi="Arial Narrow"/>
        </w:rPr>
      </w:pPr>
      <w:r w:rsidRPr="00D82921">
        <w:rPr>
          <w:rStyle w:val="Refdenotaderodap"/>
          <w:rFonts w:ascii="Arial Narrow" w:hAnsi="Arial Narrow"/>
        </w:rPr>
        <w:footnoteRef/>
      </w:r>
      <w:r w:rsidRPr="00446A73">
        <w:rPr>
          <w:rFonts w:ascii="Arial Narrow" w:hAnsi="Arial Narrow"/>
          <w:lang w:val="en-US"/>
        </w:rPr>
        <w:t xml:space="preserve"> J. Noakes et al. (orgs. </w:t>
      </w:r>
      <w:r>
        <w:rPr>
          <w:rFonts w:ascii="Arial Narrow" w:hAnsi="Arial Narrow"/>
        </w:rPr>
        <w:t>2008-2010) III 155.</w:t>
      </w:r>
    </w:p>
  </w:footnote>
  <w:footnote w:id="28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 xml:space="preserve">«A guerra contra a URSS constituiu o objectivo militar básico do rearmamento alemão», afirmou </w:t>
      </w:r>
      <w:r w:rsidRPr="009E521D">
        <w:rPr>
          <w:rFonts w:ascii="Arial Narrow" w:hAnsi="Arial Narrow"/>
          <w:bCs/>
        </w:rPr>
        <w:t>A. Sohn-Rethel</w:t>
      </w:r>
      <w:r>
        <w:rPr>
          <w:rFonts w:ascii="Arial Narrow" w:hAnsi="Arial Narrow"/>
        </w:rPr>
        <w:t xml:space="preserve"> (1987)</w:t>
      </w:r>
      <w:r w:rsidRPr="00766F93">
        <w:rPr>
          <w:rFonts w:ascii="Arial Narrow" w:hAnsi="Arial Narrow"/>
        </w:rPr>
        <w:t xml:space="preserve"> 97. </w:t>
      </w:r>
      <w:r w:rsidRPr="003E305A">
        <w:rPr>
          <w:rFonts w:ascii="Arial Narrow" w:hAnsi="Arial Narrow"/>
        </w:rPr>
        <w:t>Em Março de 1940 um analista lúcido, George Orwell, consider</w:t>
      </w:r>
      <w:r>
        <w:rPr>
          <w:rFonts w:ascii="Arial Narrow" w:hAnsi="Arial Narrow"/>
        </w:rPr>
        <w:t>ou</w:t>
      </w:r>
      <w:r w:rsidRPr="003E305A">
        <w:rPr>
          <w:rFonts w:ascii="Arial Narrow" w:hAnsi="Arial Narrow"/>
        </w:rPr>
        <w:t xml:space="preserve"> que «o pacto germano-soviético representa apenas uma alteração do calendário previsto. O plano enunciado em </w:t>
      </w:r>
      <w:r w:rsidRPr="003E305A">
        <w:rPr>
          <w:rFonts w:ascii="Arial Narrow" w:hAnsi="Arial Narrow"/>
          <w:i/>
        </w:rPr>
        <w:t>Mein Kampf</w:t>
      </w:r>
      <w:r w:rsidRPr="003E305A">
        <w:rPr>
          <w:rFonts w:ascii="Arial Narrow" w:hAnsi="Arial Narrow"/>
        </w:rPr>
        <w:t xml:space="preserve"> consistia em esmagar a Rússia primeiro, com o objectivo implícito de esmagar a Inglaterra em seguida. Agora verificou-se que é necessário tratar primeiro da Inglaterra porque, das duas, foi a Rússia a mais facilmente pressionada. Mas a vez da Rússia chegará quando a Inglaterra estiver fora de combate </w:t>
      </w:r>
      <w:r>
        <w:rPr>
          <w:rFonts w:ascii="Arial Narrow" w:hAnsi="Arial Narrow"/>
        </w:rPr>
        <w:t>—</w:t>
      </w:r>
      <w:r w:rsidRPr="003E305A">
        <w:rPr>
          <w:rFonts w:ascii="Arial Narrow" w:hAnsi="Arial Narrow"/>
        </w:rPr>
        <w:t xml:space="preserve"> é decerto assim que Hitler vê as coisas». Ver G. Orwell (1998 c) 203-204.</w:t>
      </w:r>
    </w:p>
  </w:footnote>
  <w:footnote w:id="286">
    <w:p w:rsidR="00392E0D" w:rsidRPr="00877A14" w:rsidRDefault="00392E0D">
      <w:pPr>
        <w:pStyle w:val="Textodenotaderodap"/>
        <w:rPr>
          <w:rFonts w:ascii="Arial Narrow" w:hAnsi="Arial Narrow"/>
        </w:rPr>
      </w:pPr>
      <w:r w:rsidRPr="00877A14">
        <w:rPr>
          <w:rStyle w:val="Refdenotaderodap"/>
          <w:rFonts w:ascii="Arial Narrow" w:hAnsi="Arial Narrow"/>
        </w:rPr>
        <w:footnoteRef/>
      </w:r>
      <w:r w:rsidRPr="00877A14">
        <w:rPr>
          <w:rFonts w:ascii="Arial Narrow" w:hAnsi="Arial Narrow"/>
        </w:rPr>
        <w:t xml:space="preserve"> </w:t>
      </w:r>
      <w:r>
        <w:rPr>
          <w:rFonts w:ascii="Arial Narrow" w:hAnsi="Arial Narrow"/>
        </w:rPr>
        <w:t>Citado em M. Gilbert (2011 b) I 24.</w:t>
      </w:r>
    </w:p>
  </w:footnote>
  <w:footnote w:id="287">
    <w:p w:rsidR="00392E0D" w:rsidRPr="00A03DEB" w:rsidRDefault="00392E0D">
      <w:pPr>
        <w:pStyle w:val="Textodenotaderodap"/>
        <w:rPr>
          <w:rFonts w:ascii="Arial Narrow" w:hAnsi="Arial Narrow"/>
        </w:rPr>
      </w:pPr>
      <w:r w:rsidRPr="00A03DEB">
        <w:rPr>
          <w:rStyle w:val="Refdenotaderodap"/>
          <w:rFonts w:ascii="Arial Narrow" w:hAnsi="Arial Narrow"/>
        </w:rPr>
        <w:footnoteRef/>
      </w:r>
      <w:r w:rsidRPr="00A03DEB">
        <w:rPr>
          <w:rFonts w:ascii="Arial Narrow" w:hAnsi="Arial Narrow"/>
        </w:rPr>
        <w:t xml:space="preserve"> </w:t>
      </w:r>
      <w:r>
        <w:rPr>
          <w:rFonts w:ascii="Arial Narrow" w:hAnsi="Arial Narrow"/>
        </w:rPr>
        <w:t>Id., ibid., I 27.</w:t>
      </w:r>
    </w:p>
  </w:footnote>
  <w:footnote w:id="288">
    <w:p w:rsidR="00392E0D" w:rsidRPr="00CE72FB" w:rsidRDefault="00392E0D">
      <w:pPr>
        <w:pStyle w:val="Textodenotaderodap"/>
        <w:rPr>
          <w:rFonts w:ascii="Arial Narrow" w:hAnsi="Arial Narrow"/>
        </w:rPr>
      </w:pPr>
      <w:r w:rsidRPr="00CE72FB">
        <w:rPr>
          <w:rStyle w:val="Refdenotaderodap"/>
          <w:rFonts w:ascii="Arial Narrow" w:hAnsi="Arial Narrow"/>
        </w:rPr>
        <w:footnoteRef/>
      </w:r>
      <w:r w:rsidRPr="00CE72FB">
        <w:rPr>
          <w:rFonts w:ascii="Arial Narrow" w:hAnsi="Arial Narrow"/>
        </w:rPr>
        <w:t xml:space="preserve"> </w:t>
      </w:r>
      <w:r>
        <w:rPr>
          <w:rFonts w:ascii="Arial Narrow" w:hAnsi="Arial Narrow"/>
        </w:rPr>
        <w:t>Citado em J. Noakes et al. (orgs. 2008-2010) III 156.</w:t>
      </w:r>
    </w:p>
  </w:footnote>
  <w:footnote w:id="289">
    <w:p w:rsidR="00392E0D" w:rsidRPr="00DE781F" w:rsidRDefault="00392E0D">
      <w:pPr>
        <w:pStyle w:val="Textodenotaderodap"/>
        <w:rPr>
          <w:rFonts w:ascii="Arial Narrow" w:hAnsi="Arial Narrow"/>
        </w:rPr>
      </w:pPr>
      <w:r w:rsidRPr="00DE781F">
        <w:rPr>
          <w:rStyle w:val="Refdenotaderodap"/>
          <w:rFonts w:ascii="Arial Narrow" w:hAnsi="Arial Narrow"/>
        </w:rPr>
        <w:footnoteRef/>
      </w:r>
      <w:r w:rsidRPr="00DE781F">
        <w:rPr>
          <w:rFonts w:ascii="Arial Narrow" w:hAnsi="Arial Narrow"/>
        </w:rPr>
        <w:t xml:space="preserve"> </w:t>
      </w:r>
      <w:r>
        <w:rPr>
          <w:rFonts w:ascii="Arial Narrow" w:hAnsi="Arial Narrow"/>
        </w:rPr>
        <w:t>Citado em M. Gilbert (2011 b) I 100.</w:t>
      </w:r>
    </w:p>
  </w:footnote>
  <w:footnote w:id="29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H.-R. Trevor-Roper (1947) 6, 8.</w:t>
      </w:r>
    </w:p>
  </w:footnote>
  <w:footnote w:id="291">
    <w:p w:rsidR="00392E0D" w:rsidRPr="004A0961" w:rsidRDefault="00392E0D">
      <w:pPr>
        <w:pStyle w:val="Textodenotaderodap"/>
        <w:rPr>
          <w:rFonts w:ascii="Arial Narrow" w:hAnsi="Arial Narrow"/>
        </w:rPr>
      </w:pPr>
      <w:r w:rsidRPr="004A0961">
        <w:rPr>
          <w:rStyle w:val="Refdenotaderodap"/>
          <w:rFonts w:ascii="Arial Narrow" w:hAnsi="Arial Narrow"/>
        </w:rPr>
        <w:footnoteRef/>
      </w:r>
      <w:r w:rsidRPr="004A0961">
        <w:rPr>
          <w:rFonts w:ascii="Arial Narrow" w:hAnsi="Arial Narrow"/>
        </w:rPr>
        <w:t xml:space="preserve"> </w:t>
      </w:r>
      <w:r>
        <w:rPr>
          <w:rFonts w:ascii="Arial Narrow" w:hAnsi="Arial Narrow"/>
        </w:rPr>
        <w:t>A. Beevor (2010) 13.</w:t>
      </w:r>
    </w:p>
  </w:footnote>
  <w:footnote w:id="292">
    <w:p w:rsidR="00392E0D" w:rsidRPr="005B296A" w:rsidRDefault="00392E0D">
      <w:pPr>
        <w:pStyle w:val="Textodenotaderodap"/>
        <w:rPr>
          <w:rFonts w:ascii="Arial Narrow" w:hAnsi="Arial Narrow"/>
        </w:rPr>
      </w:pPr>
      <w:r w:rsidRPr="00065240">
        <w:rPr>
          <w:rStyle w:val="Refdenotaderodap"/>
          <w:rFonts w:ascii="Arial Narrow" w:hAnsi="Arial Narrow"/>
        </w:rPr>
        <w:footnoteRef/>
      </w:r>
      <w:r w:rsidRPr="00065240">
        <w:rPr>
          <w:rFonts w:ascii="Arial Narrow" w:hAnsi="Arial Narrow"/>
        </w:rPr>
        <w:t xml:space="preserve"> </w:t>
      </w:r>
      <w:r>
        <w:rPr>
          <w:rFonts w:ascii="Arial Narrow" w:hAnsi="Arial Narrow"/>
        </w:rPr>
        <w:t xml:space="preserve">Citado em J. Noakes et al. </w:t>
      </w:r>
      <w:r w:rsidRPr="005B296A">
        <w:rPr>
          <w:rFonts w:ascii="Arial Narrow" w:hAnsi="Arial Narrow"/>
        </w:rPr>
        <w:t>(orgs. 2008-2010) III 320.</w:t>
      </w:r>
    </w:p>
  </w:footnote>
  <w:footnote w:id="293">
    <w:p w:rsidR="00392E0D" w:rsidRPr="001A02A4" w:rsidRDefault="00392E0D">
      <w:pPr>
        <w:pStyle w:val="Textodenotaderodap"/>
        <w:rPr>
          <w:rFonts w:ascii="Arial Narrow" w:hAnsi="Arial Narrow"/>
        </w:rPr>
      </w:pPr>
      <w:r w:rsidRPr="001A02A4">
        <w:rPr>
          <w:rStyle w:val="Refdenotaderodap"/>
          <w:rFonts w:ascii="Arial Narrow" w:hAnsi="Arial Narrow"/>
        </w:rPr>
        <w:footnoteRef/>
      </w:r>
      <w:r w:rsidRPr="001A02A4">
        <w:rPr>
          <w:rFonts w:ascii="Arial Narrow" w:hAnsi="Arial Narrow"/>
        </w:rPr>
        <w:t xml:space="preserve"> </w:t>
      </w:r>
      <w:r>
        <w:rPr>
          <w:rFonts w:ascii="Arial Narrow" w:hAnsi="Arial Narrow"/>
        </w:rPr>
        <w:t xml:space="preserve">Uma publicação dos SS chamou a atenção para o facto de o ataque à URSS se ter iniciado no dia do solstício de Verão. Ver </w:t>
      </w:r>
      <w:r w:rsidRPr="005B296A">
        <w:rPr>
          <w:rFonts w:ascii="Arial Narrow" w:hAnsi="Arial Narrow"/>
        </w:rPr>
        <w:t>K. Hammer (org. 1988-1994) IV 11. Será que a mitologia pagã se juntou à mitologia racial?</w:t>
      </w:r>
    </w:p>
  </w:footnote>
  <w:footnote w:id="294">
    <w:p w:rsidR="00392E0D" w:rsidRPr="00F654B3" w:rsidRDefault="00392E0D" w:rsidP="00577C74">
      <w:pPr>
        <w:pStyle w:val="Textodenotaderodap"/>
        <w:rPr>
          <w:rFonts w:ascii="Arial Narrow" w:hAnsi="Arial Narrow"/>
        </w:rPr>
      </w:pPr>
      <w:r w:rsidRPr="00577C74">
        <w:rPr>
          <w:rStyle w:val="Refdenotaderodap"/>
          <w:rFonts w:ascii="Arial Narrow" w:hAnsi="Arial Narrow"/>
        </w:rPr>
        <w:footnoteRef/>
      </w:r>
      <w:r w:rsidRPr="005B296A">
        <w:rPr>
          <w:rFonts w:ascii="Arial Narrow" w:hAnsi="Arial Narrow"/>
        </w:rPr>
        <w:t xml:space="preserve"> M. Gilbert (2011 b) I 172. </w:t>
      </w:r>
      <w:r w:rsidRPr="00577C74">
        <w:rPr>
          <w:rFonts w:ascii="Arial Narrow" w:hAnsi="Arial Narrow"/>
        </w:rPr>
        <w:t xml:space="preserve">Ver também o vol. </w:t>
      </w:r>
      <w:r w:rsidRPr="00F654B3">
        <w:rPr>
          <w:rFonts w:ascii="Arial Narrow" w:hAnsi="Arial Narrow"/>
        </w:rPr>
        <w:t xml:space="preserve">I, pág. 185. </w:t>
      </w:r>
      <w:r w:rsidRPr="00B83BAB">
        <w:rPr>
          <w:rFonts w:ascii="Arial Narrow" w:hAnsi="Arial Narrow"/>
        </w:rPr>
        <w:t xml:space="preserve">A. Tooze (2006) </w:t>
      </w:r>
      <w:r>
        <w:rPr>
          <w:rFonts w:ascii="Arial Narrow" w:hAnsi="Arial Narrow"/>
        </w:rPr>
        <w:t xml:space="preserve">437 observou que a invasão da União Soviética fora concebida como uma </w:t>
      </w:r>
      <w:r w:rsidRPr="00B83BAB">
        <w:rPr>
          <w:rFonts w:ascii="Arial Narrow" w:hAnsi="Arial Narrow"/>
          <w:i/>
        </w:rPr>
        <w:t>Blitzkrieg,</w:t>
      </w:r>
      <w:r>
        <w:rPr>
          <w:rFonts w:ascii="Arial Narrow" w:hAnsi="Arial Narrow"/>
        </w:rPr>
        <w:t xml:space="preserve"> em que tanto materiais como homens haviam sido lançados no assalto inicial sem se deixarem reservas significativas, mas explicou esta estratégia pelas dificuldades económicas do Reich e não pelas noções raciais de Hitler. Adiante </w:t>
      </w:r>
      <w:r w:rsidRPr="00B83BAB">
        <w:rPr>
          <w:rFonts w:ascii="Arial Narrow" w:hAnsi="Arial Narrow"/>
        </w:rPr>
        <w:t xml:space="preserve">Adam </w:t>
      </w:r>
      <w:r>
        <w:rPr>
          <w:rFonts w:ascii="Arial Narrow" w:hAnsi="Arial Narrow"/>
        </w:rPr>
        <w:t xml:space="preserve">Tooze escreveu (pág. 455) que «os pressupostos racistas» subjacentes à noção de que o Estado soviético se desmoronaria com o primeiro ataque «não eram, todavia, desprovidos de toda a racionalidade», e justificou esta consideração invocando o facto de o Produto Interno Bruto </w:t>
      </w:r>
      <w:r w:rsidRPr="00540887">
        <w:rPr>
          <w:rFonts w:ascii="Arial Narrow" w:hAnsi="Arial Narrow"/>
          <w:i/>
        </w:rPr>
        <w:t>per capita</w:t>
      </w:r>
      <w:r>
        <w:rPr>
          <w:rFonts w:ascii="Arial Narrow" w:hAnsi="Arial Narrow"/>
        </w:rPr>
        <w:t xml:space="preserve"> ser muito inferior na União Soviética ao que era no Reich. Parece-me estranho que o PIB possa servir de critério para avaliar a pertinência do racismo.</w:t>
      </w:r>
    </w:p>
  </w:footnote>
  <w:footnote w:id="295">
    <w:p w:rsidR="00392E0D" w:rsidRPr="0011006E" w:rsidRDefault="00392E0D" w:rsidP="00577C74">
      <w:pPr>
        <w:pStyle w:val="Textodenotaderodap"/>
        <w:rPr>
          <w:rFonts w:ascii="Arial Narrow" w:hAnsi="Arial Narrow"/>
        </w:rPr>
      </w:pPr>
      <w:r w:rsidRPr="00577C74">
        <w:rPr>
          <w:rStyle w:val="Refdenotaderodap"/>
          <w:rFonts w:ascii="Arial Narrow" w:hAnsi="Arial Narrow"/>
        </w:rPr>
        <w:footnoteRef/>
      </w:r>
      <w:r w:rsidRPr="00F654B3">
        <w:rPr>
          <w:rFonts w:ascii="Arial Narrow" w:hAnsi="Arial Narrow"/>
        </w:rPr>
        <w:t xml:space="preserve"> P. M. Baldwin (1981) 10-11, 12-13, 14-15. </w:t>
      </w:r>
      <w:r w:rsidRPr="00577C74">
        <w:rPr>
          <w:rFonts w:ascii="Arial Narrow" w:hAnsi="Arial Narrow"/>
        </w:rPr>
        <w:t xml:space="preserve">Todavia, é interessante que Hitler nunca tivesse mencionado Clausewitz nas conversas travadas durante a guerra no seu círculo de íntimos. Ver </w:t>
      </w:r>
      <w:r w:rsidRPr="00577C74">
        <w:rPr>
          <w:rFonts w:ascii="Arial Narrow" w:hAnsi="Arial Narrow"/>
          <w:bCs/>
          <w:i/>
        </w:rPr>
        <w:t>Hitler’s Table Talk...</w:t>
      </w:r>
      <w:r>
        <w:rPr>
          <w:rFonts w:ascii="Arial Narrow" w:hAnsi="Arial Narrow"/>
          <w:bCs/>
        </w:rPr>
        <w:t xml:space="preserve"> Será que lhe surgia como uma Némesis?</w:t>
      </w:r>
    </w:p>
  </w:footnote>
  <w:footnote w:id="296">
    <w:p w:rsidR="00392E0D" w:rsidRPr="00577C74" w:rsidRDefault="00392E0D" w:rsidP="00577C74">
      <w:pPr>
        <w:pStyle w:val="Textodenotaderodap"/>
        <w:rPr>
          <w:rFonts w:ascii="Arial Narrow" w:hAnsi="Arial Narrow"/>
        </w:rPr>
      </w:pPr>
      <w:r w:rsidRPr="00577C74">
        <w:rPr>
          <w:rStyle w:val="Refdenotaderodap"/>
          <w:rFonts w:ascii="Arial Narrow" w:hAnsi="Arial Narrow"/>
        </w:rPr>
        <w:footnoteRef/>
      </w:r>
      <w:r w:rsidRPr="00577C74">
        <w:rPr>
          <w:rFonts w:ascii="Arial Narrow" w:hAnsi="Arial Narrow"/>
        </w:rPr>
        <w:t xml:space="preserve"> C. Clausewitz (2011) 28. Ver também as págs. 28-29, 39-40, 59, 179, 314, 333-525, 529, 530, 551, 579-580 e 626. É curioso que P. M. Baldwin (1981) não tivesse mencionado es</w:t>
      </w:r>
      <w:r>
        <w:rPr>
          <w:rFonts w:ascii="Arial Narrow" w:hAnsi="Arial Narrow"/>
        </w:rPr>
        <w:t>s</w:t>
      </w:r>
      <w:r w:rsidRPr="00577C74">
        <w:rPr>
          <w:rFonts w:ascii="Arial Narrow" w:hAnsi="Arial Narrow"/>
        </w:rPr>
        <w:t>a tese, uma das centrais na obra de Clausewitz, num estudo sobre a influência exercida no Terceiro Reich por este teórico da guerra.</w:t>
      </w:r>
    </w:p>
  </w:footnote>
  <w:footnote w:id="297">
    <w:p w:rsidR="00392E0D" w:rsidRPr="00A02B6B" w:rsidRDefault="00392E0D" w:rsidP="00577C74">
      <w:pPr>
        <w:pStyle w:val="Textodenotaderodap"/>
        <w:rPr>
          <w:rFonts w:ascii="Arial Narrow" w:hAnsi="Arial Narrow"/>
          <w:lang w:val="en-US"/>
        </w:rPr>
      </w:pPr>
      <w:r w:rsidRPr="00577C74">
        <w:rPr>
          <w:rStyle w:val="Refdenotaderodap"/>
          <w:rFonts w:ascii="Arial Narrow" w:hAnsi="Arial Narrow"/>
        </w:rPr>
        <w:footnoteRef/>
      </w:r>
      <w:r w:rsidRPr="00A02B6B">
        <w:rPr>
          <w:rFonts w:ascii="Arial Narrow" w:hAnsi="Arial Narrow"/>
          <w:lang w:val="en-US"/>
        </w:rPr>
        <w:t xml:space="preserve"> C. Clausewitz (2011) 334 (sub. orig.).</w:t>
      </w:r>
    </w:p>
  </w:footnote>
  <w:footnote w:id="298">
    <w:p w:rsidR="00392E0D" w:rsidRPr="00A02B6B" w:rsidRDefault="00392E0D" w:rsidP="00577C74">
      <w:pPr>
        <w:pStyle w:val="Textodenotaderodap"/>
        <w:rPr>
          <w:rFonts w:ascii="Arial Narrow" w:hAnsi="Arial Narrow"/>
          <w:lang w:val="en-US"/>
        </w:rPr>
      </w:pPr>
      <w:r w:rsidRPr="00577C74">
        <w:rPr>
          <w:rStyle w:val="Refdenotaderodap"/>
          <w:rFonts w:ascii="Arial Narrow" w:hAnsi="Arial Narrow"/>
        </w:rPr>
        <w:footnoteRef/>
      </w:r>
      <w:r w:rsidRPr="00A02B6B">
        <w:rPr>
          <w:rFonts w:ascii="Arial Narrow" w:hAnsi="Arial Narrow"/>
          <w:lang w:val="en-US"/>
        </w:rPr>
        <w:t xml:space="preserve"> Id., ibid., 321, 360, 463 e segs., 481.</w:t>
      </w:r>
    </w:p>
  </w:footnote>
  <w:footnote w:id="299">
    <w:p w:rsidR="00392E0D" w:rsidRPr="00577C74" w:rsidRDefault="00392E0D" w:rsidP="00577C74">
      <w:pPr>
        <w:pStyle w:val="Textodenotaderodap"/>
        <w:rPr>
          <w:rFonts w:ascii="Arial Narrow" w:hAnsi="Arial Narrow"/>
          <w:lang w:val="en-US"/>
        </w:rPr>
      </w:pPr>
      <w:r w:rsidRPr="00577C74">
        <w:rPr>
          <w:rStyle w:val="Refdenotaderodap"/>
          <w:rFonts w:ascii="Arial Narrow" w:hAnsi="Arial Narrow"/>
        </w:rPr>
        <w:footnoteRef/>
      </w:r>
      <w:r w:rsidRPr="00577C74">
        <w:rPr>
          <w:rFonts w:ascii="Arial Narrow" w:hAnsi="Arial Narrow"/>
          <w:lang w:val="en-US"/>
        </w:rPr>
        <w:t xml:space="preserve"> Id., ibid., 530-531, 580.</w:t>
      </w:r>
    </w:p>
  </w:footnote>
  <w:footnote w:id="300">
    <w:p w:rsidR="00392E0D" w:rsidRPr="00A02B6B" w:rsidRDefault="00392E0D" w:rsidP="00577C74">
      <w:pPr>
        <w:pStyle w:val="Textodenotaderodap"/>
        <w:rPr>
          <w:rFonts w:ascii="Arial Narrow" w:hAnsi="Arial Narrow"/>
        </w:rPr>
      </w:pPr>
      <w:r w:rsidRPr="00577C74">
        <w:rPr>
          <w:rStyle w:val="Refdenotaderodap"/>
          <w:rFonts w:ascii="Arial Narrow" w:hAnsi="Arial Narrow"/>
        </w:rPr>
        <w:footnoteRef/>
      </w:r>
      <w:r w:rsidRPr="00A02B6B">
        <w:rPr>
          <w:rFonts w:ascii="Arial Narrow" w:hAnsi="Arial Narrow"/>
        </w:rPr>
        <w:t xml:space="preserve"> B. Brodie (2011) 713.</w:t>
      </w:r>
    </w:p>
  </w:footnote>
  <w:footnote w:id="301">
    <w:p w:rsidR="00392E0D" w:rsidRPr="00577C74" w:rsidRDefault="00392E0D" w:rsidP="00577C74">
      <w:pPr>
        <w:pStyle w:val="Textodenotaderodap"/>
        <w:rPr>
          <w:rFonts w:ascii="Arial Narrow" w:hAnsi="Arial Narrow"/>
        </w:rPr>
      </w:pPr>
      <w:r w:rsidRPr="00577C74">
        <w:rPr>
          <w:rStyle w:val="Refdenotaderodap"/>
          <w:rFonts w:ascii="Arial Narrow" w:hAnsi="Arial Narrow"/>
        </w:rPr>
        <w:footnoteRef/>
      </w:r>
      <w:r w:rsidRPr="00A02B6B">
        <w:rPr>
          <w:rFonts w:ascii="Arial Narrow" w:hAnsi="Arial Narrow"/>
        </w:rPr>
        <w:t xml:space="preserve"> C. Clausewitz (2011) 32. </w:t>
      </w:r>
      <w:r w:rsidRPr="00577C74">
        <w:rPr>
          <w:rFonts w:ascii="Arial Narrow" w:hAnsi="Arial Narrow"/>
        </w:rPr>
        <w:t>Ver em geral as págs. 24, 31-32, 33-34, 36, 37, 62, 102, 302, 303 e 616-622.</w:t>
      </w:r>
    </w:p>
  </w:footnote>
  <w:footnote w:id="302">
    <w:p w:rsidR="00392E0D" w:rsidRPr="00577C74" w:rsidRDefault="00392E0D" w:rsidP="00577C74">
      <w:pPr>
        <w:pStyle w:val="Textodenotaderodap"/>
        <w:rPr>
          <w:rFonts w:ascii="Arial Narrow" w:hAnsi="Arial Narrow"/>
        </w:rPr>
      </w:pPr>
      <w:r w:rsidRPr="00577C74">
        <w:rPr>
          <w:rStyle w:val="Refdenotaderodap"/>
          <w:rFonts w:ascii="Arial Narrow" w:hAnsi="Arial Narrow"/>
        </w:rPr>
        <w:footnoteRef/>
      </w:r>
      <w:r w:rsidRPr="00577C74">
        <w:rPr>
          <w:rFonts w:ascii="Arial Narrow" w:hAnsi="Arial Narrow"/>
        </w:rPr>
        <w:t xml:space="preserve"> Id., ibid., 616.</w:t>
      </w:r>
    </w:p>
  </w:footnote>
  <w:footnote w:id="303">
    <w:p w:rsidR="00392E0D" w:rsidRPr="00577C74" w:rsidRDefault="00392E0D" w:rsidP="00577C74">
      <w:pPr>
        <w:pStyle w:val="Textodenotaderodap"/>
        <w:rPr>
          <w:rFonts w:ascii="Arial Narrow" w:hAnsi="Arial Narrow"/>
        </w:rPr>
      </w:pPr>
      <w:r w:rsidRPr="00577C74">
        <w:rPr>
          <w:rStyle w:val="Refdenotaderodap"/>
          <w:rFonts w:ascii="Arial Narrow" w:hAnsi="Arial Narrow"/>
        </w:rPr>
        <w:footnoteRef/>
      </w:r>
      <w:r w:rsidRPr="00577C74">
        <w:rPr>
          <w:rFonts w:ascii="Arial Narrow" w:hAnsi="Arial Narrow"/>
        </w:rPr>
        <w:t xml:space="preserve"> Id., ibid., 181.</w:t>
      </w:r>
    </w:p>
  </w:footnote>
  <w:footnote w:id="304">
    <w:p w:rsidR="00392E0D" w:rsidRPr="00161F3E" w:rsidRDefault="00392E0D">
      <w:pPr>
        <w:pStyle w:val="Textodenotaderodap"/>
        <w:rPr>
          <w:rFonts w:ascii="Arial Narrow" w:hAnsi="Arial Narrow"/>
        </w:rPr>
      </w:pPr>
      <w:r w:rsidRPr="00161F3E">
        <w:rPr>
          <w:rStyle w:val="Refdenotaderodap"/>
          <w:rFonts w:ascii="Arial Narrow" w:hAnsi="Arial Narrow"/>
        </w:rPr>
        <w:footnoteRef/>
      </w:r>
      <w:r w:rsidRPr="00161F3E">
        <w:rPr>
          <w:rFonts w:ascii="Arial Narrow" w:hAnsi="Arial Narrow"/>
        </w:rPr>
        <w:t xml:space="preserve"> </w:t>
      </w:r>
      <w:r>
        <w:rPr>
          <w:rFonts w:ascii="Arial Narrow" w:hAnsi="Arial Narrow"/>
        </w:rPr>
        <w:t xml:space="preserve">Citada em </w:t>
      </w:r>
      <w:r w:rsidRPr="00161F3E">
        <w:rPr>
          <w:rFonts w:ascii="Arial Narrow" w:hAnsi="Arial Narrow"/>
        </w:rPr>
        <w:t xml:space="preserve">M. Edele et al. </w:t>
      </w:r>
      <w:r w:rsidRPr="00B4763C">
        <w:rPr>
          <w:rFonts w:ascii="Arial Narrow" w:hAnsi="Arial Narrow"/>
        </w:rPr>
        <w:t>(2009) 351.</w:t>
      </w:r>
    </w:p>
  </w:footnote>
  <w:footnote w:id="305">
    <w:p w:rsidR="00392E0D" w:rsidRPr="00A02B6B" w:rsidRDefault="00392E0D" w:rsidP="00A02B6B">
      <w:pPr>
        <w:pStyle w:val="Textodenotaderodap"/>
        <w:rPr>
          <w:rFonts w:ascii="Arial Narrow" w:hAnsi="Arial Narrow"/>
        </w:rPr>
      </w:pPr>
      <w:r w:rsidRPr="00A02B6B">
        <w:rPr>
          <w:rStyle w:val="Refdenotaderodap"/>
          <w:rFonts w:ascii="Arial Narrow" w:hAnsi="Arial Narrow"/>
        </w:rPr>
        <w:footnoteRef/>
      </w:r>
      <w:r w:rsidRPr="00A02B6B">
        <w:rPr>
          <w:rFonts w:ascii="Arial Narrow" w:hAnsi="Arial Narrow"/>
        </w:rPr>
        <w:t xml:space="preserve"> Esta passagem da conferência de Goebbels em 22 de Junho de 1941 está reproduzida em J. Noakes et al. (orgs. 2008-2010) IV 475.</w:t>
      </w:r>
      <w:r>
        <w:rPr>
          <w:rFonts w:ascii="Arial Narrow" w:hAnsi="Arial Narrow"/>
        </w:rPr>
        <w:t xml:space="preserve"> Em 15 de Junho Goebbels escrevera o mesmo no seu diário, como se vê em </w:t>
      </w:r>
      <w:r w:rsidRPr="00E9076F">
        <w:rPr>
          <w:rFonts w:ascii="Arial Narrow" w:hAnsi="Arial Narrow"/>
        </w:rPr>
        <w:t>S. Friedländer (2008) 211.</w:t>
      </w:r>
    </w:p>
  </w:footnote>
  <w:footnote w:id="306">
    <w:p w:rsidR="00392E0D" w:rsidRPr="00450BFA" w:rsidRDefault="00392E0D">
      <w:pPr>
        <w:pStyle w:val="Textodenotaderodap"/>
        <w:rPr>
          <w:rFonts w:ascii="Arial Narrow" w:hAnsi="Arial Narrow"/>
        </w:rPr>
      </w:pPr>
      <w:r w:rsidRPr="00E7037D">
        <w:rPr>
          <w:rStyle w:val="Refdenotaderodap"/>
          <w:rFonts w:ascii="Arial Narrow" w:hAnsi="Arial Narrow"/>
        </w:rPr>
        <w:footnoteRef/>
      </w:r>
      <w:r w:rsidRPr="00450BFA">
        <w:rPr>
          <w:rFonts w:ascii="Arial Narrow" w:hAnsi="Arial Narrow"/>
        </w:rPr>
        <w:t xml:space="preserve"> J. C. Fest (1974) 1059. Ver igualmente K. H. Roth et al. (2011) 212.</w:t>
      </w:r>
    </w:p>
  </w:footnote>
  <w:footnote w:id="307">
    <w:p w:rsidR="00392E0D" w:rsidRPr="00975CCF" w:rsidRDefault="00392E0D">
      <w:pPr>
        <w:pStyle w:val="Textodenotaderodap"/>
        <w:rPr>
          <w:rFonts w:ascii="Arial Narrow" w:hAnsi="Arial Narrow"/>
        </w:rPr>
      </w:pPr>
      <w:r w:rsidRPr="00975CCF">
        <w:rPr>
          <w:rStyle w:val="Refdenotaderodap"/>
          <w:rFonts w:ascii="Arial Narrow" w:hAnsi="Arial Narrow"/>
        </w:rPr>
        <w:footnoteRef/>
      </w:r>
      <w:r w:rsidRPr="00975CCF">
        <w:rPr>
          <w:rFonts w:ascii="Arial Narrow" w:hAnsi="Arial Narrow"/>
        </w:rPr>
        <w:t xml:space="preserve"> </w:t>
      </w:r>
      <w:r w:rsidRPr="00446ABA">
        <w:rPr>
          <w:rFonts w:ascii="Arial Narrow" w:hAnsi="Arial Narrow"/>
        </w:rPr>
        <w:t>I. Kamenetsky (1956) 27-29.</w:t>
      </w:r>
    </w:p>
  </w:footnote>
  <w:footnote w:id="308">
    <w:p w:rsidR="00392E0D" w:rsidRPr="00A02B6B" w:rsidRDefault="00392E0D" w:rsidP="00A02B6B">
      <w:pPr>
        <w:pStyle w:val="Textodenotaderodap"/>
        <w:rPr>
          <w:rFonts w:ascii="Arial Narrow" w:hAnsi="Arial Narrow"/>
        </w:rPr>
      </w:pPr>
      <w:r w:rsidRPr="00A02B6B">
        <w:rPr>
          <w:rStyle w:val="Refdenotaderodap"/>
          <w:rFonts w:ascii="Arial Narrow" w:hAnsi="Arial Narrow"/>
        </w:rPr>
        <w:footnoteRef/>
      </w:r>
      <w:r w:rsidRPr="00450BFA">
        <w:rPr>
          <w:rFonts w:ascii="Arial Narrow" w:hAnsi="Arial Narrow"/>
        </w:rPr>
        <w:t xml:space="preserve"> C. Clausewitz (2011) 533. </w:t>
      </w:r>
      <w:r w:rsidRPr="00A02B6B">
        <w:rPr>
          <w:rFonts w:ascii="Arial Narrow" w:hAnsi="Arial Narrow"/>
        </w:rPr>
        <w:t>Ver também as págs. 534, 579 e 581.</w:t>
      </w:r>
    </w:p>
  </w:footnote>
  <w:footnote w:id="309">
    <w:p w:rsidR="00392E0D" w:rsidRPr="00A02B6B" w:rsidRDefault="00392E0D" w:rsidP="00A02B6B">
      <w:pPr>
        <w:pStyle w:val="Textodenotaderodap"/>
        <w:rPr>
          <w:rFonts w:ascii="Arial Narrow" w:hAnsi="Arial Narrow"/>
        </w:rPr>
      </w:pPr>
      <w:r w:rsidRPr="00A02B6B">
        <w:rPr>
          <w:rStyle w:val="Refdenotaderodap"/>
          <w:rFonts w:ascii="Arial Narrow" w:hAnsi="Arial Narrow"/>
        </w:rPr>
        <w:footnoteRef/>
      </w:r>
      <w:r w:rsidRPr="00A02B6B">
        <w:rPr>
          <w:rFonts w:ascii="Arial Narrow" w:hAnsi="Arial Narrow"/>
        </w:rPr>
        <w:t xml:space="preserve"> Id., ibid., 40, 334, 357 e segs., 485 e segs., 530, 609, 639, 642.</w:t>
      </w:r>
    </w:p>
  </w:footnote>
  <w:footnote w:id="310">
    <w:p w:rsidR="00392E0D" w:rsidRPr="00B4763C" w:rsidRDefault="00392E0D" w:rsidP="00A02B6B">
      <w:pPr>
        <w:pStyle w:val="Textodenotaderodap"/>
        <w:rPr>
          <w:rFonts w:ascii="Arial Narrow" w:hAnsi="Arial Narrow"/>
        </w:rPr>
      </w:pPr>
      <w:r w:rsidRPr="00A02B6B">
        <w:rPr>
          <w:rStyle w:val="Refdenotaderodap"/>
          <w:rFonts w:ascii="Arial Narrow" w:hAnsi="Arial Narrow"/>
        </w:rPr>
        <w:footnoteRef/>
      </w:r>
      <w:r w:rsidRPr="00B4763C">
        <w:rPr>
          <w:rFonts w:ascii="Arial Narrow" w:hAnsi="Arial Narrow"/>
        </w:rPr>
        <w:t xml:space="preserve"> Id., ibid., 608.</w:t>
      </w:r>
    </w:p>
  </w:footnote>
  <w:footnote w:id="311">
    <w:p w:rsidR="00392E0D" w:rsidRPr="000C72AE" w:rsidRDefault="00392E0D">
      <w:pPr>
        <w:pStyle w:val="Textodenotaderodap"/>
        <w:rPr>
          <w:rFonts w:ascii="Arial Narrow" w:hAnsi="Arial Narrow"/>
        </w:rPr>
      </w:pPr>
      <w:r w:rsidRPr="000C72AE">
        <w:rPr>
          <w:rStyle w:val="Refdenotaderodap"/>
          <w:rFonts w:ascii="Arial Narrow" w:hAnsi="Arial Narrow"/>
        </w:rPr>
        <w:footnoteRef/>
      </w:r>
      <w:r w:rsidRPr="000C72AE">
        <w:rPr>
          <w:rFonts w:ascii="Arial Narrow" w:hAnsi="Arial Narrow"/>
        </w:rPr>
        <w:t xml:space="preserve"> A. Tooze (2006)</w:t>
      </w:r>
      <w:r>
        <w:rPr>
          <w:rFonts w:ascii="Arial Narrow" w:hAnsi="Arial Narrow"/>
        </w:rPr>
        <w:t xml:space="preserve"> 507-508.</w:t>
      </w:r>
    </w:p>
  </w:footnote>
  <w:footnote w:id="312">
    <w:p w:rsidR="00392E0D" w:rsidRPr="00CC413D" w:rsidRDefault="00392E0D">
      <w:pPr>
        <w:pStyle w:val="Textodenotaderodap"/>
        <w:rPr>
          <w:rFonts w:ascii="Arial Narrow" w:hAnsi="Arial Narrow"/>
        </w:rPr>
      </w:pPr>
      <w:r w:rsidRPr="00CC413D">
        <w:rPr>
          <w:rStyle w:val="Refdenotaderodap"/>
          <w:rFonts w:ascii="Arial Narrow" w:hAnsi="Arial Narrow"/>
        </w:rPr>
        <w:footnoteRef/>
      </w:r>
      <w:r w:rsidRPr="00CC413D">
        <w:rPr>
          <w:rFonts w:ascii="Arial Narrow" w:hAnsi="Arial Narrow"/>
        </w:rPr>
        <w:t xml:space="preserve"> </w:t>
      </w:r>
      <w:r>
        <w:rPr>
          <w:rFonts w:ascii="Arial Narrow" w:hAnsi="Arial Narrow"/>
        </w:rPr>
        <w:t xml:space="preserve">Esta carta de 7 de Dezembro de 1941 do general Stieff está citada em </w:t>
      </w:r>
      <w:r w:rsidRPr="00CC413D">
        <w:rPr>
          <w:rFonts w:ascii="Arial Narrow" w:hAnsi="Arial Narrow"/>
        </w:rPr>
        <w:t xml:space="preserve">M. Edele et al. </w:t>
      </w:r>
      <w:r w:rsidRPr="00B4763C">
        <w:rPr>
          <w:rFonts w:ascii="Arial Narrow" w:hAnsi="Arial Narrow"/>
        </w:rPr>
        <w:t>(2009) 374.</w:t>
      </w:r>
    </w:p>
  </w:footnote>
  <w:footnote w:id="313">
    <w:p w:rsidR="00392E0D" w:rsidRPr="000061E2" w:rsidRDefault="00392E0D">
      <w:pPr>
        <w:pStyle w:val="Textodenotaderodap"/>
        <w:rPr>
          <w:rFonts w:ascii="Arial Narrow" w:hAnsi="Arial Narrow"/>
        </w:rPr>
      </w:pPr>
      <w:r w:rsidRPr="00A02B6B">
        <w:rPr>
          <w:rStyle w:val="Refdenotaderodap"/>
          <w:rFonts w:ascii="Arial Narrow" w:hAnsi="Arial Narrow"/>
        </w:rPr>
        <w:footnoteRef/>
      </w:r>
      <w:r w:rsidRPr="00B4763C">
        <w:rPr>
          <w:rFonts w:ascii="Arial Narrow" w:hAnsi="Arial Narrow"/>
        </w:rPr>
        <w:t xml:space="preserve"> J. Noakes et al. </w:t>
      </w:r>
      <w:r w:rsidRPr="000061E2">
        <w:rPr>
          <w:rFonts w:ascii="Arial Narrow" w:hAnsi="Arial Narrow"/>
        </w:rPr>
        <w:t>(orgs. 2008-2010) IV 534. Ver também S. Friedländer (2008) 315.</w:t>
      </w:r>
    </w:p>
  </w:footnote>
  <w:footnote w:id="314">
    <w:p w:rsidR="00392E0D" w:rsidRPr="00326F8A" w:rsidRDefault="00392E0D" w:rsidP="00A16957">
      <w:pPr>
        <w:pStyle w:val="Textodenotaderodap"/>
        <w:rPr>
          <w:rFonts w:ascii="Arial Narrow" w:hAnsi="Arial Narrow"/>
          <w:lang w:val="en-US"/>
        </w:rPr>
      </w:pPr>
      <w:r w:rsidRPr="00326F8A">
        <w:rPr>
          <w:rStyle w:val="Refdenotaderodap"/>
          <w:rFonts w:ascii="Arial Narrow" w:hAnsi="Arial Narrow"/>
        </w:rPr>
        <w:footnoteRef/>
      </w:r>
      <w:r w:rsidRPr="00326F8A">
        <w:rPr>
          <w:rFonts w:ascii="Arial Narrow" w:hAnsi="Arial Narrow"/>
          <w:lang w:val="en-US"/>
        </w:rPr>
        <w:t xml:space="preserve"> </w:t>
      </w:r>
      <w:r w:rsidRPr="001B206A">
        <w:rPr>
          <w:rFonts w:ascii="Arial Narrow" w:hAnsi="Arial Narrow"/>
          <w:lang w:val="en-US"/>
        </w:rPr>
        <w:t xml:space="preserve">J. Noakes et al. (orgs. </w:t>
      </w:r>
      <w:r w:rsidRPr="00446A73">
        <w:rPr>
          <w:rFonts w:ascii="Arial Narrow" w:hAnsi="Arial Narrow"/>
          <w:lang w:val="en-US"/>
        </w:rPr>
        <w:t xml:space="preserve">2008-2010) </w:t>
      </w:r>
      <w:r>
        <w:rPr>
          <w:rFonts w:ascii="Arial Narrow" w:hAnsi="Arial Narrow"/>
          <w:lang w:val="en-US"/>
        </w:rPr>
        <w:t>IV 536-537, 539-540, 543, 544, 550.</w:t>
      </w:r>
    </w:p>
  </w:footnote>
  <w:footnote w:id="315">
    <w:p w:rsidR="00392E0D" w:rsidRPr="001E51EE" w:rsidRDefault="00392E0D" w:rsidP="001E51EE">
      <w:pPr>
        <w:pStyle w:val="Textodenotaderodap"/>
        <w:rPr>
          <w:rFonts w:ascii="Arial Narrow" w:hAnsi="Arial Narrow"/>
          <w:lang w:val="en-US"/>
        </w:rPr>
      </w:pPr>
      <w:r w:rsidRPr="000E2E60">
        <w:rPr>
          <w:rStyle w:val="Refdenotaderodap"/>
          <w:rFonts w:ascii="Arial Narrow" w:hAnsi="Arial Narrow"/>
        </w:rPr>
        <w:footnoteRef/>
      </w:r>
      <w:r w:rsidRPr="001E51EE">
        <w:rPr>
          <w:rFonts w:ascii="Arial Narrow" w:hAnsi="Arial Narrow"/>
          <w:iCs/>
          <w:lang w:val="en-US"/>
        </w:rPr>
        <w:t xml:space="preserve"> </w:t>
      </w:r>
      <w:r w:rsidRPr="001E51EE">
        <w:rPr>
          <w:rFonts w:ascii="Arial Narrow" w:hAnsi="Arial Narrow"/>
          <w:bCs/>
          <w:i/>
          <w:iCs/>
          <w:lang w:val="en-US"/>
        </w:rPr>
        <w:t>Hitler’s Table Talk</w:t>
      </w:r>
      <w:r w:rsidRPr="001E51EE">
        <w:rPr>
          <w:rFonts w:ascii="Arial Narrow" w:hAnsi="Arial Narrow"/>
          <w:iCs/>
          <w:lang w:val="en-US"/>
        </w:rPr>
        <w:t>..., 562.</w:t>
      </w:r>
    </w:p>
  </w:footnote>
  <w:footnote w:id="316">
    <w:p w:rsidR="00392E0D" w:rsidRPr="00D13EF7" w:rsidRDefault="00392E0D">
      <w:pPr>
        <w:pStyle w:val="Textodenotaderodap"/>
        <w:rPr>
          <w:rFonts w:ascii="Arial Narrow" w:hAnsi="Arial Narrow"/>
        </w:rPr>
      </w:pPr>
      <w:r w:rsidRPr="00E7162E">
        <w:rPr>
          <w:rStyle w:val="Refdenotaderodap"/>
          <w:rFonts w:ascii="Arial Narrow" w:hAnsi="Arial Narrow"/>
        </w:rPr>
        <w:footnoteRef/>
      </w:r>
      <w:r w:rsidRPr="00326F8A">
        <w:rPr>
          <w:rFonts w:ascii="Arial Narrow" w:hAnsi="Arial Narrow"/>
          <w:lang w:val="en-US"/>
        </w:rPr>
        <w:t xml:space="preserve"> A. Beevor (2010) 73.</w:t>
      </w:r>
      <w:r>
        <w:rPr>
          <w:rFonts w:ascii="Arial Narrow" w:hAnsi="Arial Narrow"/>
          <w:lang w:val="en-US"/>
        </w:rPr>
        <w:t xml:space="preserve"> </w:t>
      </w:r>
      <w:r w:rsidRPr="00D13EF7">
        <w:rPr>
          <w:rFonts w:ascii="Arial Narrow" w:hAnsi="Arial Narrow"/>
        </w:rPr>
        <w:t>Ver também J. C. Fest (1974) 1130.</w:t>
      </w:r>
      <w:r>
        <w:rPr>
          <w:rFonts w:ascii="Arial Narrow" w:hAnsi="Arial Narrow"/>
        </w:rPr>
        <w:t xml:space="preserve"> Note-se que este é o mesmo general Halder que, segundo </w:t>
      </w:r>
      <w:r w:rsidRPr="00925976">
        <w:rPr>
          <w:rFonts w:ascii="Arial Narrow" w:hAnsi="Arial Narrow"/>
        </w:rPr>
        <w:t>A. Tooze (2006)</w:t>
      </w:r>
      <w:r>
        <w:rPr>
          <w:rFonts w:ascii="Arial Narrow" w:hAnsi="Arial Narrow"/>
        </w:rPr>
        <w:t xml:space="preserve"> 487, em 3 de Julho de 1941 considerara que a guerra contra os soviéticos estava ganha.</w:t>
      </w:r>
    </w:p>
  </w:footnote>
  <w:footnote w:id="317">
    <w:p w:rsidR="00392E0D" w:rsidRPr="0010091B" w:rsidRDefault="00392E0D">
      <w:pPr>
        <w:pStyle w:val="Textodenotaderodap"/>
        <w:rPr>
          <w:rFonts w:ascii="Arial Narrow" w:hAnsi="Arial Narrow"/>
          <w:lang w:val="en-US"/>
        </w:rPr>
      </w:pPr>
      <w:r w:rsidRPr="00012612">
        <w:rPr>
          <w:rStyle w:val="Refdenotaderodap"/>
          <w:rFonts w:ascii="Arial Narrow" w:hAnsi="Arial Narrow"/>
        </w:rPr>
        <w:footnoteRef/>
      </w:r>
      <w:r w:rsidRPr="00C47B5D">
        <w:rPr>
          <w:rFonts w:ascii="Arial Narrow" w:hAnsi="Arial Narrow"/>
          <w:lang w:val="en-US"/>
        </w:rPr>
        <w:t xml:space="preserve"> A. Rosenberg (1986) 601; id. </w:t>
      </w:r>
      <w:r w:rsidRPr="0010091B">
        <w:rPr>
          <w:rFonts w:ascii="Arial Narrow" w:hAnsi="Arial Narrow"/>
          <w:lang w:val="en-US"/>
        </w:rPr>
        <w:t>[s. d. 2] 435.</w:t>
      </w:r>
    </w:p>
  </w:footnote>
  <w:footnote w:id="318">
    <w:p w:rsidR="00392E0D" w:rsidRPr="00D17E2D" w:rsidRDefault="00392E0D">
      <w:pPr>
        <w:pStyle w:val="Textodenotaderodap"/>
        <w:rPr>
          <w:rFonts w:ascii="Arial Narrow" w:hAnsi="Arial Narrow"/>
        </w:rPr>
      </w:pPr>
      <w:r w:rsidRPr="00AE2F0D">
        <w:rPr>
          <w:rStyle w:val="Refdenotaderodap"/>
          <w:rFonts w:ascii="Arial Narrow" w:hAnsi="Arial Narrow"/>
        </w:rPr>
        <w:footnoteRef/>
      </w:r>
      <w:r w:rsidRPr="00D17E2D">
        <w:rPr>
          <w:rFonts w:ascii="Arial Narrow" w:hAnsi="Arial Narrow"/>
        </w:rPr>
        <w:t xml:space="preserve"> </w:t>
      </w:r>
      <w:r>
        <w:rPr>
          <w:rFonts w:ascii="Arial Narrow" w:hAnsi="Arial Narrow"/>
        </w:rPr>
        <w:t xml:space="preserve">Este </w:t>
      </w:r>
      <w:r w:rsidRPr="00D17E2D">
        <w:rPr>
          <w:rFonts w:ascii="Arial Narrow" w:hAnsi="Arial Narrow"/>
        </w:rPr>
        <w:t xml:space="preserve">relatório </w:t>
      </w:r>
      <w:r>
        <w:rPr>
          <w:rFonts w:ascii="Arial Narrow" w:hAnsi="Arial Narrow"/>
        </w:rPr>
        <w:t xml:space="preserve">está em </w:t>
      </w:r>
      <w:r w:rsidRPr="00D17E2D">
        <w:rPr>
          <w:rFonts w:ascii="Arial Narrow" w:hAnsi="Arial Narrow"/>
        </w:rPr>
        <w:t>J. Noakes et al. (orgs.</w:t>
      </w:r>
      <w:r>
        <w:rPr>
          <w:rFonts w:ascii="Arial Narrow" w:hAnsi="Arial Narrow"/>
        </w:rPr>
        <w:t xml:space="preserve"> 2008-2010) III 304-308 e o trecho citado vem na pág. 308.</w:t>
      </w:r>
    </w:p>
  </w:footnote>
  <w:footnote w:id="31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Acerca da posição de Rosenberg quanto aos territórios ocupados a Leste e dos seus desacordos com os demais dirigentes </w:t>
      </w:r>
      <w:r>
        <w:rPr>
          <w:rFonts w:ascii="Arial Narrow" w:hAnsi="Arial Narrow"/>
        </w:rPr>
        <w:t>nacional-socialistas</w:t>
      </w:r>
      <w:r w:rsidRPr="003E305A">
        <w:rPr>
          <w:rFonts w:ascii="Arial Narrow" w:hAnsi="Arial Narrow"/>
        </w:rPr>
        <w:t xml:space="preserve"> ver A. Dallin (1957), nomeadamente as págs. 45 e segs., 107 e segs. e 666-668. A questão dos ucranianos é abordada </w:t>
      </w:r>
      <w:r>
        <w:rPr>
          <w:rFonts w:ascii="Arial Narrow" w:hAnsi="Arial Narrow"/>
        </w:rPr>
        <w:t xml:space="preserve">nas págs. </w:t>
      </w:r>
      <w:r w:rsidRPr="003E305A">
        <w:rPr>
          <w:rFonts w:ascii="Arial Narrow" w:hAnsi="Arial Narrow"/>
        </w:rPr>
        <w:t xml:space="preserve">107-119, 124-133, 141-161, 412-414, 443 e 460. Consultar a este respeito também E. Conte et al. </w:t>
      </w:r>
      <w:r w:rsidRPr="008250CC">
        <w:rPr>
          <w:rFonts w:ascii="Arial Narrow" w:hAnsi="Arial Narrow"/>
          <w:lang w:val="en-US"/>
        </w:rPr>
        <w:t>(1995) 316-317</w:t>
      </w:r>
      <w:r>
        <w:rPr>
          <w:rFonts w:ascii="Arial Narrow" w:hAnsi="Arial Narrow"/>
          <w:lang w:val="en-US"/>
        </w:rPr>
        <w:t>,</w:t>
      </w:r>
      <w:r w:rsidRPr="008250CC">
        <w:rPr>
          <w:rFonts w:ascii="Arial Narrow" w:hAnsi="Arial Narrow"/>
          <w:lang w:val="en-US"/>
        </w:rPr>
        <w:t xml:space="preserve"> </w:t>
      </w:r>
      <w:r w:rsidRPr="008250CC">
        <w:rPr>
          <w:rFonts w:ascii="Arial Narrow" w:hAnsi="Arial Narrow"/>
          <w:bCs/>
          <w:i/>
          <w:iCs/>
          <w:lang w:val="en-US"/>
        </w:rPr>
        <w:t>Hitler’s Table Talk</w:t>
      </w:r>
      <w:r w:rsidRPr="008250CC">
        <w:rPr>
          <w:rFonts w:ascii="Arial Narrow" w:hAnsi="Arial Narrow"/>
          <w:iCs/>
          <w:lang w:val="en-US"/>
        </w:rPr>
        <w:t>..., 34</w:t>
      </w:r>
      <w:r>
        <w:rPr>
          <w:rFonts w:ascii="Arial Narrow" w:hAnsi="Arial Narrow"/>
          <w:iCs/>
          <w:lang w:val="en-US"/>
        </w:rPr>
        <w:t>,</w:t>
      </w:r>
      <w:r w:rsidRPr="008250CC">
        <w:rPr>
          <w:rFonts w:ascii="Arial Narrow" w:hAnsi="Arial Narrow"/>
          <w:iCs/>
          <w:lang w:val="en-US"/>
        </w:rPr>
        <w:t xml:space="preserve"> </w:t>
      </w:r>
      <w:r w:rsidRPr="00E56F61">
        <w:rPr>
          <w:rFonts w:ascii="Arial Narrow" w:hAnsi="Arial Narrow"/>
          <w:lang w:val="en-US"/>
        </w:rPr>
        <w:t>I. Kamenetsky (1956)</w:t>
      </w:r>
      <w:r>
        <w:rPr>
          <w:rFonts w:ascii="Arial Narrow" w:hAnsi="Arial Narrow"/>
          <w:lang w:val="en-US"/>
        </w:rPr>
        <w:t xml:space="preserve"> 23-25, 60, </w:t>
      </w:r>
      <w:r w:rsidRPr="008250CC">
        <w:rPr>
          <w:rFonts w:ascii="Arial Narrow" w:hAnsi="Arial Narrow"/>
          <w:lang w:val="en-US"/>
        </w:rPr>
        <w:t xml:space="preserve">H. Mommsen (2009) 249 e A. Rosenberg [s. d. 1] 99-100. </w:t>
      </w:r>
      <w:r w:rsidRPr="003E305A">
        <w:rPr>
          <w:rFonts w:ascii="Arial Narrow" w:hAnsi="Arial Narrow"/>
        </w:rPr>
        <w:t>Embora forne</w:t>
      </w:r>
      <w:r>
        <w:rPr>
          <w:rFonts w:ascii="Arial Narrow" w:hAnsi="Arial Narrow"/>
        </w:rPr>
        <w:t xml:space="preserve">cesse </w:t>
      </w:r>
      <w:r w:rsidRPr="003E305A">
        <w:rPr>
          <w:rFonts w:ascii="Arial Narrow" w:hAnsi="Arial Narrow"/>
        </w:rPr>
        <w:t>os dados que permitem compreender a posição de Rosenberg, R. Cecil (1973) 175-177, 204-205 e 212-213 não entende</w:t>
      </w:r>
      <w:r>
        <w:rPr>
          <w:rFonts w:ascii="Arial Narrow" w:hAnsi="Arial Narrow"/>
        </w:rPr>
        <w:t>u</w:t>
      </w:r>
      <w:r w:rsidRPr="003E305A">
        <w:rPr>
          <w:rFonts w:ascii="Arial Narrow" w:hAnsi="Arial Narrow"/>
        </w:rPr>
        <w:t xml:space="preserve"> que para o doutrinador </w:t>
      </w:r>
      <w:r>
        <w:rPr>
          <w:rFonts w:ascii="Arial Narrow" w:hAnsi="Arial Narrow"/>
        </w:rPr>
        <w:t xml:space="preserve">nacional-socialista </w:t>
      </w:r>
      <w:r w:rsidRPr="003E305A">
        <w:rPr>
          <w:rFonts w:ascii="Arial Narrow" w:hAnsi="Arial Narrow"/>
        </w:rPr>
        <w:t>se tratava apenas de uma hierarquia de inferioridades rácicas. H. Rauschning (1939) 92 mostr</w:t>
      </w:r>
      <w:r>
        <w:rPr>
          <w:rFonts w:ascii="Arial Narrow" w:hAnsi="Arial Narrow"/>
        </w:rPr>
        <w:t>ou</w:t>
      </w:r>
      <w:r w:rsidRPr="003E305A">
        <w:rPr>
          <w:rFonts w:ascii="Arial Narrow" w:hAnsi="Arial Narrow"/>
        </w:rPr>
        <w:t xml:space="preserve"> que em 1933 e 1934 Rosenberg promovia activamente a causa ucraniana. Note-se que, segundo Alexander Dallin</w:t>
      </w:r>
      <w:r>
        <w:rPr>
          <w:rFonts w:ascii="Arial Narrow" w:hAnsi="Arial Narrow"/>
        </w:rPr>
        <w:t>,</w:t>
      </w:r>
      <w:r w:rsidRPr="003E305A">
        <w:rPr>
          <w:rFonts w:ascii="Arial Narrow" w:hAnsi="Arial Narrow"/>
        </w:rPr>
        <w:t xml:space="preserve"> </w:t>
      </w:r>
      <w:r w:rsidRPr="002F07D9">
        <w:rPr>
          <w:rFonts w:ascii="Arial Narrow" w:hAnsi="Arial Narrow"/>
        </w:rPr>
        <w:t>op. cit.,</w:t>
      </w:r>
      <w:r w:rsidRPr="003E305A">
        <w:rPr>
          <w:rFonts w:ascii="Arial Narrow" w:hAnsi="Arial Narrow"/>
        </w:rPr>
        <w:t xml:space="preserve"> 201, Rosenberg colocava a Bielo-Rússia no mesmo nível racial da Rússia. As orientações defendidas no interior da Wehrmacht e </w:t>
      </w:r>
      <w:r>
        <w:rPr>
          <w:rFonts w:ascii="Arial Narrow" w:hAnsi="Arial Narrow"/>
        </w:rPr>
        <w:t>em</w:t>
      </w:r>
      <w:r w:rsidRPr="003E305A">
        <w:rPr>
          <w:rFonts w:ascii="Arial Narrow" w:hAnsi="Arial Narrow"/>
        </w:rPr>
        <w:t xml:space="preserve"> alguns meios diplomáticos, bem como as polémicas a que deram lugar, encontram-se em id., ibid., sobretudo nas págs. 497 e segs.</w:t>
      </w:r>
      <w:r>
        <w:rPr>
          <w:rFonts w:ascii="Arial Narrow" w:hAnsi="Arial Narrow"/>
        </w:rPr>
        <w:t xml:space="preserve"> Por seu lado, </w:t>
      </w:r>
      <w:r w:rsidRPr="00416B78">
        <w:rPr>
          <w:rFonts w:ascii="Arial Narrow" w:hAnsi="Arial Narrow"/>
        </w:rPr>
        <w:t>L. Waddington (2007) 201 não entendeu a posição defendida por Rosenberg a respeito da Ucrânia e e apresentou-a ao contrário.</w:t>
      </w:r>
      <w:r>
        <w:rPr>
          <w:rFonts w:ascii="Arial Narrow" w:hAnsi="Arial Narrow"/>
        </w:rPr>
        <w:t xml:space="preserve"> Neste contexto, é importante saber que as autoridades nacional-socialistas enviaram para um campo de concentração o nacionalista ucraniano Stepan Bandera, que pretendia apoiar o Reich na guerra contra os soviéticos em troca da independência do seu país, e em Novembro de 1941 prenderam os outros dirigentes deste movimento, que de então em diante actuou sem o apoio oficial do Reich; só no Outono de 1944, quando a Ucrânia havia já sido libertada pelo Exército Vermelho, é que Bandera e os restantes dirigentes foram soltos e autorizados a prosseguir a luta pela independência. Ver </w:t>
      </w:r>
      <w:r w:rsidRPr="0010091B">
        <w:rPr>
          <w:rFonts w:ascii="Arial Narrow" w:hAnsi="Arial Narrow"/>
        </w:rPr>
        <w:t xml:space="preserve">Ihor Kamenetsky, op. cit., 43-44, 55 e </w:t>
      </w:r>
      <w:r w:rsidRPr="000D50FD">
        <w:rPr>
          <w:rFonts w:ascii="Arial Narrow" w:hAnsi="Arial Narrow"/>
        </w:rPr>
        <w:t>D. R. Marples (2011) 236-237</w:t>
      </w:r>
      <w:r>
        <w:rPr>
          <w:rFonts w:ascii="Arial Narrow" w:hAnsi="Arial Narrow"/>
        </w:rPr>
        <w:t>,</w:t>
      </w:r>
      <w:r w:rsidRPr="000D50FD">
        <w:rPr>
          <w:rFonts w:ascii="Arial Narrow" w:hAnsi="Arial Narrow"/>
        </w:rPr>
        <w:t xml:space="preserve"> 239-240.</w:t>
      </w:r>
      <w:r>
        <w:rPr>
          <w:rFonts w:ascii="Arial Narrow" w:hAnsi="Arial Narrow"/>
        </w:rPr>
        <w:t xml:space="preserve"> Mas </w:t>
      </w:r>
      <w:r w:rsidRPr="0010091B">
        <w:rPr>
          <w:rFonts w:ascii="Arial Narrow" w:hAnsi="Arial Narrow"/>
        </w:rPr>
        <w:t>Ihor Kamenetsky foi confuso (págs. 69-70), parecendo atribuir a Bandera acções de guerrilha dirigidas contra as tropas germânicas quando na realidade ele estava ainda preso.</w:t>
      </w:r>
    </w:p>
  </w:footnote>
  <w:footnote w:id="32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 K. Bramstedt (1945) 153-154. Este autor consider</w:t>
      </w:r>
      <w:r>
        <w:rPr>
          <w:rFonts w:ascii="Arial Narrow" w:hAnsi="Arial Narrow"/>
        </w:rPr>
        <w:t>ou</w:t>
      </w:r>
      <w:r w:rsidRPr="003E305A">
        <w:rPr>
          <w:rFonts w:ascii="Arial Narrow" w:hAnsi="Arial Narrow"/>
        </w:rPr>
        <w:t xml:space="preserve"> sob o mesmo ponto de vista a prisão de 2.650 professores noruegueses em 1941 e 1942. Mas na Noruega os intelectuais não foram vítimas de nenhum programa de liquidação sistemática e os professores presos haviam-se oposto às autoridades de ocupação, enquanto nos países eslavos </w:t>
      </w:r>
      <w:r>
        <w:rPr>
          <w:rFonts w:ascii="Arial Narrow" w:hAnsi="Arial Narrow"/>
        </w:rPr>
        <w:t xml:space="preserve">os intelectuais </w:t>
      </w:r>
      <w:r w:rsidRPr="003E305A">
        <w:rPr>
          <w:rFonts w:ascii="Arial Narrow" w:hAnsi="Arial Narrow"/>
        </w:rPr>
        <w:t xml:space="preserve">eram exterminados pelo mero facto de </w:t>
      </w:r>
      <w:r>
        <w:rPr>
          <w:rFonts w:ascii="Arial Narrow" w:hAnsi="Arial Narrow"/>
        </w:rPr>
        <w:t xml:space="preserve">o </w:t>
      </w:r>
      <w:r w:rsidRPr="003E305A">
        <w:rPr>
          <w:rFonts w:ascii="Arial Narrow" w:hAnsi="Arial Narrow"/>
        </w:rPr>
        <w:t xml:space="preserve">serem, independentemente das suas opiniões. H. Langbein (1981) 214 </w:t>
      </w:r>
      <w:r>
        <w:rPr>
          <w:rFonts w:ascii="Arial Narrow" w:hAnsi="Arial Narrow"/>
        </w:rPr>
        <w:t>explicou</w:t>
      </w:r>
      <w:r w:rsidRPr="003E305A">
        <w:rPr>
          <w:rFonts w:ascii="Arial Narrow" w:hAnsi="Arial Narrow"/>
        </w:rPr>
        <w:t xml:space="preserve"> que «foram raros os noruegueses internados nos campos de concentração naciona</w:t>
      </w:r>
      <w:r>
        <w:rPr>
          <w:rFonts w:ascii="Arial Narrow" w:hAnsi="Arial Narrow"/>
        </w:rPr>
        <w:t>l</w:t>
      </w:r>
      <w:r w:rsidRPr="003E305A">
        <w:rPr>
          <w:rFonts w:ascii="Arial Narrow" w:hAnsi="Arial Narrow"/>
        </w:rPr>
        <w:t>-socialistas, onde aliás os SS, que os consideravam como “nórdicos”, lhes reservaram um tratamento de favor».</w:t>
      </w:r>
      <w:r>
        <w:rPr>
          <w:rFonts w:ascii="Arial Narrow" w:hAnsi="Arial Narrow"/>
        </w:rPr>
        <w:t xml:space="preserve"> É extraordinário que </w:t>
      </w:r>
      <w:r w:rsidRPr="003E305A">
        <w:rPr>
          <w:rFonts w:ascii="Arial Narrow" w:hAnsi="Arial Narrow"/>
        </w:rPr>
        <w:t xml:space="preserve">A. Bullock (1972) 492 </w:t>
      </w:r>
      <w:r>
        <w:rPr>
          <w:rFonts w:ascii="Arial Narrow" w:hAnsi="Arial Narrow"/>
        </w:rPr>
        <w:t xml:space="preserve">tivesse </w:t>
      </w:r>
      <w:r w:rsidRPr="003E305A">
        <w:rPr>
          <w:rFonts w:ascii="Arial Narrow" w:hAnsi="Arial Narrow"/>
        </w:rPr>
        <w:t>pretend</w:t>
      </w:r>
      <w:r>
        <w:rPr>
          <w:rFonts w:ascii="Arial Narrow" w:hAnsi="Arial Narrow"/>
        </w:rPr>
        <w:t>ido</w:t>
      </w:r>
      <w:r w:rsidRPr="003E305A">
        <w:rPr>
          <w:rFonts w:ascii="Arial Narrow" w:hAnsi="Arial Narrow"/>
        </w:rPr>
        <w:t xml:space="preserve"> que «com a sua perspectiva austríaca acerca das questões políticas europeias, Hitler não partilhava a hostilidade aos polacos que é tradicional entre os alemães do norte [...]».</w:t>
      </w:r>
      <w:r>
        <w:rPr>
          <w:rFonts w:ascii="Arial Narrow" w:hAnsi="Arial Narrow"/>
        </w:rPr>
        <w:t xml:space="preserve"> Ver no mesmo sentido </w:t>
      </w:r>
      <w:r w:rsidRPr="00416B78">
        <w:rPr>
          <w:rFonts w:ascii="Arial Narrow" w:hAnsi="Arial Narrow"/>
        </w:rPr>
        <w:t>L. Waddington (2007) 57.</w:t>
      </w:r>
    </w:p>
  </w:footnote>
  <w:footnote w:id="321">
    <w:p w:rsidR="00392E0D" w:rsidRPr="00AE7F7B" w:rsidRDefault="00392E0D">
      <w:pPr>
        <w:pStyle w:val="Textodenotaderodap"/>
        <w:rPr>
          <w:rFonts w:ascii="Arial Narrow" w:hAnsi="Arial Narrow"/>
        </w:rPr>
      </w:pPr>
      <w:r w:rsidRPr="00AE7F7B">
        <w:rPr>
          <w:rStyle w:val="Refdenotaderodap"/>
          <w:rFonts w:ascii="Arial Narrow" w:hAnsi="Arial Narrow"/>
        </w:rPr>
        <w:footnoteRef/>
      </w:r>
      <w:r w:rsidRPr="00AE7F7B">
        <w:rPr>
          <w:rFonts w:ascii="Arial Narrow" w:hAnsi="Arial Narrow"/>
        </w:rPr>
        <w:t xml:space="preserve"> </w:t>
      </w:r>
      <w:r>
        <w:rPr>
          <w:rFonts w:ascii="Arial Narrow" w:hAnsi="Arial Narrow"/>
        </w:rPr>
        <w:t xml:space="preserve">M. Gilbert (2011 b) I 7. Acerca da forma como estas instruções foram rapidamente passadas à prática ver a pág. 14. Ver também </w:t>
      </w:r>
      <w:r w:rsidRPr="00E7598A">
        <w:rPr>
          <w:rFonts w:ascii="Arial Narrow" w:hAnsi="Arial Narrow"/>
        </w:rPr>
        <w:t xml:space="preserve">S. Friedländer (2008) 46 e </w:t>
      </w:r>
      <w:r>
        <w:rPr>
          <w:rFonts w:ascii="Arial Narrow" w:hAnsi="Arial Narrow"/>
        </w:rPr>
        <w:t>M. Roseman (2012) 26.</w:t>
      </w:r>
    </w:p>
  </w:footnote>
  <w:footnote w:id="322">
    <w:p w:rsidR="00392E0D" w:rsidRPr="00784522" w:rsidRDefault="00392E0D">
      <w:pPr>
        <w:pStyle w:val="Textodenotaderodap"/>
        <w:rPr>
          <w:rFonts w:ascii="Arial Narrow" w:hAnsi="Arial Narrow"/>
        </w:rPr>
      </w:pPr>
      <w:r w:rsidRPr="00CF14B1">
        <w:rPr>
          <w:rStyle w:val="Refdenotaderodap"/>
          <w:rFonts w:ascii="Arial Narrow" w:hAnsi="Arial Narrow"/>
        </w:rPr>
        <w:footnoteRef/>
      </w:r>
      <w:r w:rsidRPr="00CF14B1">
        <w:rPr>
          <w:rFonts w:ascii="Arial Narrow" w:hAnsi="Arial Narrow"/>
        </w:rPr>
        <w:t xml:space="preserve"> </w:t>
      </w:r>
      <w:r>
        <w:rPr>
          <w:rFonts w:ascii="Arial Narrow" w:hAnsi="Arial Narrow"/>
        </w:rPr>
        <w:t xml:space="preserve">Citado em J. Noakes et al. </w:t>
      </w:r>
      <w:r w:rsidRPr="00784522">
        <w:rPr>
          <w:rFonts w:ascii="Arial Narrow" w:hAnsi="Arial Narrow"/>
        </w:rPr>
        <w:t>(orgs. 200</w:t>
      </w:r>
      <w:r>
        <w:rPr>
          <w:rFonts w:ascii="Arial Narrow" w:hAnsi="Arial Narrow"/>
        </w:rPr>
        <w:t>8-2010</w:t>
      </w:r>
      <w:r w:rsidRPr="00784522">
        <w:rPr>
          <w:rFonts w:ascii="Arial Narrow" w:hAnsi="Arial Narrow"/>
        </w:rPr>
        <w:t xml:space="preserve">) </w:t>
      </w:r>
      <w:r>
        <w:rPr>
          <w:rFonts w:ascii="Arial Narrow" w:hAnsi="Arial Narrow"/>
        </w:rPr>
        <w:t xml:space="preserve">III </w:t>
      </w:r>
      <w:r w:rsidRPr="00784522">
        <w:rPr>
          <w:rFonts w:ascii="Arial Narrow" w:hAnsi="Arial Narrow"/>
        </w:rPr>
        <w:t>321.</w:t>
      </w:r>
    </w:p>
  </w:footnote>
  <w:footnote w:id="323">
    <w:p w:rsidR="00392E0D" w:rsidRPr="00C71EC6" w:rsidRDefault="00392E0D">
      <w:pPr>
        <w:pStyle w:val="Textodenotaderodap"/>
        <w:rPr>
          <w:rFonts w:ascii="Arial Narrow" w:hAnsi="Arial Narrow"/>
        </w:rPr>
      </w:pPr>
      <w:r w:rsidRPr="00B335CD">
        <w:rPr>
          <w:rStyle w:val="Refdenotaderodap"/>
          <w:rFonts w:ascii="Arial Narrow" w:hAnsi="Arial Narrow"/>
        </w:rPr>
        <w:footnoteRef/>
      </w:r>
      <w:r w:rsidRPr="00C71EC6">
        <w:rPr>
          <w:rFonts w:ascii="Arial Narrow" w:hAnsi="Arial Narrow"/>
        </w:rPr>
        <w:t xml:space="preserve"> Citado em M. Gilbert (2011 b) I 16</w:t>
      </w:r>
      <w:r>
        <w:rPr>
          <w:rFonts w:ascii="Arial Narrow" w:hAnsi="Arial Narrow"/>
        </w:rPr>
        <w:t xml:space="preserve"> e J. Noakes et al. </w:t>
      </w:r>
      <w:r w:rsidRPr="00784522">
        <w:rPr>
          <w:rFonts w:ascii="Arial Narrow" w:hAnsi="Arial Narrow"/>
        </w:rPr>
        <w:t>(orgs. 200</w:t>
      </w:r>
      <w:r>
        <w:rPr>
          <w:rFonts w:ascii="Arial Narrow" w:hAnsi="Arial Narrow"/>
        </w:rPr>
        <w:t>8-2010</w:t>
      </w:r>
      <w:r w:rsidRPr="00784522">
        <w:rPr>
          <w:rFonts w:ascii="Arial Narrow" w:hAnsi="Arial Narrow"/>
        </w:rPr>
        <w:t xml:space="preserve">) </w:t>
      </w:r>
      <w:r>
        <w:rPr>
          <w:rFonts w:ascii="Arial Narrow" w:hAnsi="Arial Narrow"/>
        </w:rPr>
        <w:t xml:space="preserve">III </w:t>
      </w:r>
      <w:r w:rsidRPr="00784522">
        <w:rPr>
          <w:rFonts w:ascii="Arial Narrow" w:hAnsi="Arial Narrow"/>
        </w:rPr>
        <w:t>322</w:t>
      </w:r>
      <w:r w:rsidRPr="00C71EC6">
        <w:rPr>
          <w:rFonts w:ascii="Arial Narrow" w:hAnsi="Arial Narrow"/>
        </w:rPr>
        <w:t>.</w:t>
      </w:r>
      <w:r>
        <w:rPr>
          <w:rFonts w:ascii="Arial Narrow" w:hAnsi="Arial Narrow"/>
        </w:rPr>
        <w:t xml:space="preserve"> Ver ainda </w:t>
      </w:r>
      <w:r w:rsidRPr="00E7598A">
        <w:rPr>
          <w:rFonts w:ascii="Arial Narrow" w:hAnsi="Arial Narrow"/>
        </w:rPr>
        <w:t>S. Friedländer (2008) 46.</w:t>
      </w:r>
    </w:p>
  </w:footnote>
  <w:footnote w:id="324">
    <w:p w:rsidR="00392E0D" w:rsidRPr="00E7598A" w:rsidRDefault="00392E0D">
      <w:pPr>
        <w:pStyle w:val="Textodenotaderodap"/>
        <w:rPr>
          <w:rFonts w:ascii="Arial Narrow" w:hAnsi="Arial Narrow"/>
        </w:rPr>
      </w:pPr>
      <w:r w:rsidRPr="00E74A7B">
        <w:rPr>
          <w:rStyle w:val="Refdenotaderodap"/>
          <w:rFonts w:ascii="Arial Narrow" w:hAnsi="Arial Narrow"/>
        </w:rPr>
        <w:footnoteRef/>
      </w:r>
      <w:r w:rsidRPr="00E74A7B">
        <w:rPr>
          <w:rFonts w:ascii="Arial Narrow" w:hAnsi="Arial Narrow"/>
        </w:rPr>
        <w:t xml:space="preserve"> </w:t>
      </w:r>
      <w:r>
        <w:rPr>
          <w:rFonts w:ascii="Arial Narrow" w:hAnsi="Arial Narrow"/>
        </w:rPr>
        <w:t xml:space="preserve">Citado em J. Noakes et al. </w:t>
      </w:r>
      <w:r w:rsidRPr="00E7598A">
        <w:rPr>
          <w:rFonts w:ascii="Arial Narrow" w:hAnsi="Arial Narrow"/>
        </w:rPr>
        <w:t>(orgs. 2008-2010) III 320. Ver também S. Friedländer (2008) 42-43.</w:t>
      </w:r>
    </w:p>
  </w:footnote>
  <w:footnote w:id="325">
    <w:p w:rsidR="00392E0D" w:rsidRPr="00E74A7B" w:rsidRDefault="00392E0D">
      <w:pPr>
        <w:pStyle w:val="Textodenotaderodap"/>
        <w:rPr>
          <w:rFonts w:ascii="Arial Narrow" w:hAnsi="Arial Narrow"/>
          <w:lang w:val="en-US"/>
        </w:rPr>
      </w:pPr>
      <w:r w:rsidRPr="007F3C43">
        <w:rPr>
          <w:rStyle w:val="Refdenotaderodap"/>
          <w:rFonts w:ascii="Arial Narrow" w:hAnsi="Arial Narrow"/>
        </w:rPr>
        <w:footnoteRef/>
      </w:r>
      <w:r w:rsidRPr="00E74A7B">
        <w:rPr>
          <w:rFonts w:ascii="Arial Narrow" w:hAnsi="Arial Narrow"/>
          <w:lang w:val="en-US"/>
        </w:rPr>
        <w:t xml:space="preserve"> M. Gilbert (2011 b) I 38.</w:t>
      </w:r>
    </w:p>
  </w:footnote>
  <w:footnote w:id="326">
    <w:p w:rsidR="00392E0D" w:rsidRPr="000B1FDE" w:rsidRDefault="00392E0D">
      <w:pPr>
        <w:pStyle w:val="Textodenotaderodap"/>
        <w:rPr>
          <w:rFonts w:ascii="Arial Narrow" w:hAnsi="Arial Narrow"/>
        </w:rPr>
      </w:pPr>
      <w:r w:rsidRPr="000B1FDE">
        <w:rPr>
          <w:rStyle w:val="Refdenotaderodap"/>
          <w:rFonts w:ascii="Arial Narrow" w:hAnsi="Arial Narrow"/>
        </w:rPr>
        <w:footnoteRef/>
      </w:r>
      <w:r w:rsidRPr="00784522">
        <w:rPr>
          <w:rFonts w:ascii="Arial Narrow" w:hAnsi="Arial Narrow"/>
          <w:lang w:val="en-US"/>
        </w:rPr>
        <w:t xml:space="preserve"> J. Noakes et al. </w:t>
      </w:r>
      <w:r w:rsidRPr="00E7598A">
        <w:rPr>
          <w:rFonts w:ascii="Arial Narrow" w:hAnsi="Arial Narrow"/>
        </w:rPr>
        <w:t xml:space="preserve">(orgs. </w:t>
      </w:r>
      <w:r>
        <w:rPr>
          <w:rFonts w:ascii="Arial Narrow" w:hAnsi="Arial Narrow"/>
        </w:rPr>
        <w:t>2008-2010) III 328-329.</w:t>
      </w:r>
    </w:p>
  </w:footnote>
  <w:footnote w:id="327">
    <w:p w:rsidR="00392E0D" w:rsidRPr="003E305A" w:rsidRDefault="00392E0D" w:rsidP="00BB38E5">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«Em nenhuma outra nação houve tantos padres e religiosos a ser internados», observ</w:t>
      </w:r>
      <w:r>
        <w:rPr>
          <w:rFonts w:ascii="Arial Narrow" w:hAnsi="Arial Narrow"/>
        </w:rPr>
        <w:t>ou</w:t>
      </w:r>
      <w:r w:rsidRPr="003E305A">
        <w:rPr>
          <w:rFonts w:ascii="Arial Narrow" w:hAnsi="Arial Narrow"/>
        </w:rPr>
        <w:t xml:space="preserve"> H. Langbein (1981) 179, acrescentando (pág. 180) que «em todos os campos encontrávamos universitários e estudantes polacos». Entre os polacos </w:t>
      </w:r>
      <w:r>
        <w:rPr>
          <w:rFonts w:ascii="Arial Narrow" w:hAnsi="Arial Narrow"/>
        </w:rPr>
        <w:t xml:space="preserve">internados </w:t>
      </w:r>
      <w:r w:rsidRPr="003E305A">
        <w:rPr>
          <w:rFonts w:ascii="Arial Narrow" w:hAnsi="Arial Narrow"/>
        </w:rPr>
        <w:t xml:space="preserve">nos campos de concentração </w:t>
      </w:r>
      <w:r>
        <w:rPr>
          <w:rFonts w:ascii="Arial Narrow" w:hAnsi="Arial Narrow"/>
        </w:rPr>
        <w:t xml:space="preserve">contavam-se </w:t>
      </w:r>
      <w:r w:rsidRPr="003E305A">
        <w:rPr>
          <w:rFonts w:ascii="Arial Narrow" w:hAnsi="Arial Narrow"/>
        </w:rPr>
        <w:t xml:space="preserve">com abundância proprietários fundiários, capitalistas e oficiais do exército, </w:t>
      </w:r>
      <w:r>
        <w:rPr>
          <w:rFonts w:ascii="Arial Narrow" w:hAnsi="Arial Narrow"/>
        </w:rPr>
        <w:t xml:space="preserve">e </w:t>
      </w:r>
      <w:r w:rsidRPr="003E305A">
        <w:rPr>
          <w:rFonts w:ascii="Arial Narrow" w:hAnsi="Arial Narrow"/>
        </w:rPr>
        <w:t>muitos deles adopta</w:t>
      </w:r>
      <w:r>
        <w:rPr>
          <w:rFonts w:ascii="Arial Narrow" w:hAnsi="Arial Narrow"/>
        </w:rPr>
        <w:t>va</w:t>
      </w:r>
      <w:r w:rsidRPr="003E305A">
        <w:rPr>
          <w:rFonts w:ascii="Arial Narrow" w:hAnsi="Arial Narrow"/>
        </w:rPr>
        <w:t>m posições ultranacionalistas, anti-semitas e genericamente reaccionárias ou mesmo fascistas, como relat</w:t>
      </w:r>
      <w:r>
        <w:rPr>
          <w:rFonts w:ascii="Arial Narrow" w:hAnsi="Arial Narrow"/>
        </w:rPr>
        <w:t>ou</w:t>
      </w:r>
      <w:r w:rsidRPr="003E305A">
        <w:rPr>
          <w:rFonts w:ascii="Arial Narrow" w:hAnsi="Arial Narrow"/>
        </w:rPr>
        <w:t xml:space="preserve"> Hermann Langbein</w:t>
      </w:r>
      <w:r>
        <w:rPr>
          <w:rFonts w:ascii="Arial Narrow" w:hAnsi="Arial Narrow"/>
        </w:rPr>
        <w:t>,</w:t>
      </w:r>
      <w:r w:rsidRPr="003E305A">
        <w:rPr>
          <w:rFonts w:ascii="Arial Narrow" w:hAnsi="Arial Narrow"/>
        </w:rPr>
        <w:t xml:space="preserve"> </w:t>
      </w:r>
      <w:r w:rsidRPr="0096358A">
        <w:rPr>
          <w:rFonts w:ascii="Arial Narrow" w:hAnsi="Arial Narrow"/>
        </w:rPr>
        <w:t>op. cit.,</w:t>
      </w:r>
      <w:r w:rsidRPr="003E305A">
        <w:rPr>
          <w:rFonts w:ascii="Arial Narrow" w:hAnsi="Arial Narrow"/>
        </w:rPr>
        <w:t xml:space="preserve"> 179-192.</w:t>
      </w:r>
    </w:p>
  </w:footnote>
  <w:footnote w:id="328">
    <w:p w:rsidR="00392E0D" w:rsidRPr="003E305A" w:rsidRDefault="00392E0D" w:rsidP="00BB38E5">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 L. Shirer (1995) II 351. A este respeito ver igualmente </w:t>
      </w:r>
      <w:r>
        <w:rPr>
          <w:rFonts w:ascii="Arial Narrow" w:hAnsi="Arial Narrow"/>
        </w:rPr>
        <w:t xml:space="preserve">H. G. Dahms (1968) II 193 e </w:t>
      </w:r>
      <w:r w:rsidRPr="003E305A">
        <w:rPr>
          <w:rFonts w:ascii="Arial Narrow" w:hAnsi="Arial Narrow"/>
        </w:rPr>
        <w:t>K. Sword, «Poland», em I. C. B. Dear et al. (orgs. 1995) 893-894.</w:t>
      </w:r>
    </w:p>
  </w:footnote>
  <w:footnote w:id="329">
    <w:p w:rsidR="00392E0D" w:rsidRPr="00CA40D3" w:rsidRDefault="00392E0D">
      <w:pPr>
        <w:pStyle w:val="Textodenotaderodap"/>
        <w:rPr>
          <w:rFonts w:ascii="Arial Narrow" w:hAnsi="Arial Narrow"/>
        </w:rPr>
      </w:pPr>
      <w:r w:rsidRPr="00CA40D3">
        <w:rPr>
          <w:rStyle w:val="Refdenotaderodap"/>
          <w:rFonts w:ascii="Arial Narrow" w:hAnsi="Arial Narrow"/>
        </w:rPr>
        <w:footnoteRef/>
      </w:r>
      <w:r w:rsidRPr="00CA40D3">
        <w:rPr>
          <w:rFonts w:ascii="Arial Narrow" w:hAnsi="Arial Narrow"/>
        </w:rPr>
        <w:t xml:space="preserve"> </w:t>
      </w:r>
      <w:r>
        <w:rPr>
          <w:rFonts w:ascii="Arial Narrow" w:hAnsi="Arial Narrow"/>
        </w:rPr>
        <w:t>J. Noakes et al. (orgs. 2008-2010) III 357 n. 22.</w:t>
      </w:r>
    </w:p>
  </w:footnote>
  <w:footnote w:id="330">
    <w:p w:rsidR="00392E0D" w:rsidRPr="003E305A" w:rsidRDefault="00392E0D" w:rsidP="00BB38E5">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 L. Shirer (1995) II 44.</w:t>
      </w:r>
    </w:p>
  </w:footnote>
  <w:footnote w:id="331">
    <w:p w:rsidR="00392E0D" w:rsidRPr="003E305A" w:rsidRDefault="00392E0D" w:rsidP="00BB38E5">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«AB Aktion», em I. C. B. Dear et al. </w:t>
      </w:r>
      <w:r w:rsidRPr="003E305A">
        <w:rPr>
          <w:rFonts w:ascii="Arial Narrow" w:hAnsi="Arial Narrow"/>
        </w:rPr>
        <w:t>(orgs. 1995) 1. S. Wiesenthal (1989) 165 mencion</w:t>
      </w:r>
      <w:r>
        <w:rPr>
          <w:rFonts w:ascii="Arial Narrow" w:hAnsi="Arial Narrow"/>
        </w:rPr>
        <w:t>ou</w:t>
      </w:r>
      <w:r w:rsidRPr="003E305A">
        <w:rPr>
          <w:rFonts w:ascii="Arial Narrow" w:hAnsi="Arial Narrow"/>
        </w:rPr>
        <w:t xml:space="preserve"> o extermínio de 5.000 intelectuais e artistas a partir da Primavera de 1940.</w:t>
      </w:r>
    </w:p>
  </w:footnote>
  <w:footnote w:id="332">
    <w:p w:rsidR="00392E0D" w:rsidRPr="000A0B28" w:rsidRDefault="00392E0D">
      <w:pPr>
        <w:pStyle w:val="Textodenotaderodap"/>
        <w:rPr>
          <w:rFonts w:ascii="Arial Narrow" w:hAnsi="Arial Narrow"/>
        </w:rPr>
      </w:pPr>
      <w:r w:rsidRPr="000A0B28">
        <w:rPr>
          <w:rStyle w:val="Refdenotaderodap"/>
          <w:rFonts w:ascii="Arial Narrow" w:hAnsi="Arial Narrow"/>
        </w:rPr>
        <w:footnoteRef/>
      </w:r>
      <w:r w:rsidRPr="00784522">
        <w:rPr>
          <w:rFonts w:ascii="Arial Narrow" w:hAnsi="Arial Narrow"/>
          <w:lang w:val="en-US"/>
        </w:rPr>
        <w:t xml:space="preserve"> J. Noakes et al. (orgs. </w:t>
      </w:r>
      <w:r>
        <w:rPr>
          <w:rFonts w:ascii="Arial Narrow" w:hAnsi="Arial Narrow"/>
        </w:rPr>
        <w:t>2008-2010) III 380.</w:t>
      </w:r>
    </w:p>
  </w:footnote>
  <w:footnote w:id="333">
    <w:p w:rsidR="00392E0D" w:rsidRPr="00F45CA9" w:rsidRDefault="00392E0D" w:rsidP="00450402">
      <w:pPr>
        <w:pStyle w:val="Textodenotaderodap"/>
        <w:rPr>
          <w:rFonts w:ascii="Arial Narrow" w:hAnsi="Arial Narrow"/>
        </w:rPr>
      </w:pPr>
      <w:r w:rsidRPr="00F45CA9">
        <w:rPr>
          <w:rStyle w:val="Refdenotaderodap"/>
          <w:rFonts w:ascii="Arial Narrow" w:hAnsi="Arial Narrow"/>
        </w:rPr>
        <w:footnoteRef/>
      </w:r>
      <w:r w:rsidRPr="00F45CA9">
        <w:rPr>
          <w:rFonts w:ascii="Arial Narrow" w:hAnsi="Arial Narrow"/>
        </w:rPr>
        <w:t xml:space="preserve"> </w:t>
      </w:r>
      <w:r>
        <w:rPr>
          <w:rFonts w:ascii="Arial Narrow" w:hAnsi="Arial Narrow"/>
        </w:rPr>
        <w:t xml:space="preserve">Citado em id., ibid., III </w:t>
      </w:r>
      <w:r w:rsidRPr="00450402">
        <w:rPr>
          <w:rFonts w:ascii="Arial Narrow" w:hAnsi="Arial Narrow"/>
        </w:rPr>
        <w:t>320.</w:t>
      </w:r>
    </w:p>
  </w:footnote>
  <w:footnote w:id="33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w:t>
      </w:r>
      <w:r>
        <w:rPr>
          <w:rFonts w:ascii="Arial Narrow" w:hAnsi="Arial Narrow"/>
        </w:rPr>
        <w:t>o em W. L. Shirer (1995) II 41.</w:t>
      </w:r>
    </w:p>
  </w:footnote>
  <w:footnote w:id="335">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R. Hilberg (1961) 142</w:t>
      </w:r>
      <w:r>
        <w:rPr>
          <w:rFonts w:ascii="Arial Narrow" w:hAnsi="Arial Narrow"/>
        </w:rPr>
        <w:t xml:space="preserve"> e </w:t>
      </w:r>
      <w:r w:rsidRPr="00071224">
        <w:rPr>
          <w:rFonts w:ascii="Arial Narrow" w:hAnsi="Arial Narrow"/>
        </w:rPr>
        <w:t>I. Kamenetsky (1956)</w:t>
      </w:r>
      <w:r>
        <w:rPr>
          <w:rFonts w:ascii="Arial Narrow" w:hAnsi="Arial Narrow"/>
        </w:rPr>
        <w:t xml:space="preserve"> 43</w:t>
      </w:r>
      <w:r w:rsidRPr="003E305A">
        <w:rPr>
          <w:rFonts w:ascii="Arial Narrow" w:hAnsi="Arial Narrow"/>
        </w:rPr>
        <w:t>.</w:t>
      </w:r>
    </w:p>
  </w:footnote>
  <w:footnote w:id="336">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G. M. Gilbert (1954) 668.</w:t>
      </w:r>
    </w:p>
  </w:footnote>
  <w:footnote w:id="337">
    <w:p w:rsidR="00392E0D" w:rsidRPr="003E305A" w:rsidRDefault="00392E0D" w:rsidP="00321E01">
      <w:pPr>
        <w:pStyle w:val="Textodenotaderodap"/>
        <w:rPr>
          <w:rFonts w:ascii="Arial Narrow" w:hAnsi="Arial Narrow"/>
          <w:lang w:val="es-ES"/>
        </w:rPr>
      </w:pPr>
      <w:r w:rsidRPr="003E305A">
        <w:rPr>
          <w:rStyle w:val="Refdenotaderodap"/>
          <w:rFonts w:ascii="Arial Narrow" w:hAnsi="Arial Narrow"/>
        </w:rPr>
        <w:footnoteRef/>
      </w:r>
      <w:r w:rsidRPr="003E305A">
        <w:rPr>
          <w:rFonts w:ascii="Arial Narrow" w:hAnsi="Arial Narrow"/>
        </w:rPr>
        <w:t xml:space="preserve"> Citado em A. Bullock (1972) 693 e W. L. Shirer (1995) II 344. </w:t>
      </w:r>
      <w:r w:rsidRPr="003E305A">
        <w:rPr>
          <w:rFonts w:ascii="Arial Narrow" w:hAnsi="Arial Narrow"/>
          <w:lang w:val="es-ES"/>
        </w:rPr>
        <w:t>Ver igualmente G. Aly et al. (2006) 173</w:t>
      </w:r>
      <w:r>
        <w:rPr>
          <w:rFonts w:ascii="Arial Narrow" w:hAnsi="Arial Narrow"/>
          <w:lang w:val="es-ES"/>
        </w:rPr>
        <w:t xml:space="preserve">, </w:t>
      </w:r>
      <w:r w:rsidRPr="001359C2">
        <w:rPr>
          <w:rFonts w:ascii="Arial Narrow" w:hAnsi="Arial Narrow"/>
          <w:lang w:val="en-US"/>
        </w:rPr>
        <w:t xml:space="preserve">I. Kamenetsky (1956) </w:t>
      </w:r>
      <w:r>
        <w:rPr>
          <w:rFonts w:ascii="Arial Narrow" w:hAnsi="Arial Narrow"/>
          <w:lang w:val="en-US"/>
        </w:rPr>
        <w:t>42-43</w:t>
      </w:r>
      <w:r>
        <w:rPr>
          <w:rFonts w:ascii="Arial Narrow" w:hAnsi="Arial Narrow"/>
          <w:lang w:val="es-ES"/>
        </w:rPr>
        <w:t xml:space="preserve"> e J. Noakes et al. (orgs. 2008-2010) III 380</w:t>
      </w:r>
      <w:r w:rsidRPr="003E305A">
        <w:rPr>
          <w:rFonts w:ascii="Arial Narrow" w:hAnsi="Arial Narrow"/>
          <w:lang w:val="es-ES"/>
        </w:rPr>
        <w:t>.</w:t>
      </w:r>
    </w:p>
  </w:footnote>
  <w:footnote w:id="338">
    <w:p w:rsidR="00392E0D" w:rsidRPr="003E305A" w:rsidRDefault="00392E0D" w:rsidP="00321E01">
      <w:pPr>
        <w:pStyle w:val="Textodenotaderodap"/>
        <w:rPr>
          <w:rFonts w:ascii="Arial Narrow" w:hAnsi="Arial Narrow"/>
          <w:lang w:val="es-ES"/>
        </w:rPr>
      </w:pPr>
      <w:r w:rsidRPr="003E305A">
        <w:rPr>
          <w:rStyle w:val="Refdenotaderodap"/>
          <w:rFonts w:ascii="Arial Narrow" w:hAnsi="Arial Narrow"/>
        </w:rPr>
        <w:footnoteRef/>
      </w:r>
      <w:r w:rsidRPr="003E305A">
        <w:rPr>
          <w:rFonts w:ascii="Arial Narrow" w:hAnsi="Arial Narrow"/>
          <w:lang w:val="es-ES"/>
        </w:rPr>
        <w:t xml:space="preserve"> A. Bullock (1972) 694; </w:t>
      </w:r>
      <w:r w:rsidRPr="002750C0">
        <w:rPr>
          <w:rFonts w:ascii="Arial Narrow" w:hAnsi="Arial Narrow"/>
          <w:lang w:val="en-US"/>
        </w:rPr>
        <w:t xml:space="preserve">I. Kamenetsky (1956) </w:t>
      </w:r>
      <w:r>
        <w:rPr>
          <w:rFonts w:ascii="Arial Narrow" w:hAnsi="Arial Narrow"/>
          <w:lang w:val="en-US"/>
        </w:rPr>
        <w:t xml:space="preserve">42, 44; </w:t>
      </w:r>
      <w:r>
        <w:rPr>
          <w:rFonts w:ascii="Arial Narrow" w:hAnsi="Arial Narrow"/>
          <w:lang w:val="es-ES"/>
        </w:rPr>
        <w:t xml:space="preserve">J. Noakes et al. (orgs. 2008-2010) III 269; </w:t>
      </w:r>
      <w:r w:rsidRPr="003E305A">
        <w:rPr>
          <w:rFonts w:ascii="Arial Narrow" w:hAnsi="Arial Narrow"/>
          <w:lang w:val="es-ES"/>
        </w:rPr>
        <w:t>W. L. Shirer (1995) II 344.</w:t>
      </w:r>
      <w:r>
        <w:rPr>
          <w:rFonts w:ascii="Arial Narrow" w:hAnsi="Arial Narrow"/>
          <w:lang w:val="es-ES"/>
        </w:rPr>
        <w:t xml:space="preserve"> Note-se que Hitler não classificava os checos como eslavos. «Basta um checo deixar crescer o bigode», afirmou ele aos seus comensais em </w:t>
      </w:r>
      <w:r w:rsidRPr="00437001">
        <w:rPr>
          <w:rFonts w:ascii="Arial Narrow" w:hAnsi="Arial Narrow"/>
          <w:iCs/>
        </w:rPr>
        <w:t>12 de Maio de 1942</w:t>
      </w:r>
      <w:r>
        <w:rPr>
          <w:rFonts w:ascii="Arial Narrow" w:hAnsi="Arial Narrow"/>
          <w:lang w:val="es-ES"/>
        </w:rPr>
        <w:t xml:space="preserve">, «para ficar patente, pela maneira como a coisa cai, que a sua origem é mongólica», o que não era propriamente um elogio. Aliás, em </w:t>
      </w:r>
      <w:r w:rsidRPr="00437001">
        <w:rPr>
          <w:rFonts w:ascii="Arial Narrow" w:hAnsi="Arial Narrow"/>
          <w:iCs/>
        </w:rPr>
        <w:t>23 de Janeiro</w:t>
      </w:r>
      <w:r>
        <w:rPr>
          <w:rFonts w:ascii="Arial Narrow" w:hAnsi="Arial Narrow"/>
          <w:lang w:val="es-ES"/>
        </w:rPr>
        <w:t xml:space="preserve"> desse ano ele afirmara já que o Checo «é mais mongol do que eslavo». Ver </w:t>
      </w:r>
      <w:r w:rsidRPr="00437001">
        <w:rPr>
          <w:rFonts w:ascii="Arial Narrow" w:hAnsi="Arial Narrow"/>
          <w:bCs/>
          <w:i/>
          <w:iCs/>
        </w:rPr>
        <w:t>Hitler’s Table Talk</w:t>
      </w:r>
      <w:r w:rsidRPr="00437001">
        <w:rPr>
          <w:rFonts w:ascii="Arial Narrow" w:hAnsi="Arial Narrow"/>
          <w:iCs/>
        </w:rPr>
        <w:t>..., 473 e 234.</w:t>
      </w:r>
    </w:p>
  </w:footnote>
  <w:footnote w:id="339">
    <w:p w:rsidR="00392E0D" w:rsidRPr="00437001" w:rsidRDefault="00392E0D" w:rsidP="00321E01">
      <w:pPr>
        <w:pStyle w:val="Textodenotaderodap"/>
        <w:rPr>
          <w:rFonts w:ascii="Arial Narrow" w:hAnsi="Arial Narrow"/>
        </w:rPr>
      </w:pPr>
      <w:r w:rsidRPr="003E305A">
        <w:rPr>
          <w:rStyle w:val="Refdenotaderodap"/>
          <w:rFonts w:ascii="Arial Narrow" w:hAnsi="Arial Narrow"/>
        </w:rPr>
        <w:footnoteRef/>
      </w:r>
      <w:r w:rsidRPr="00437001">
        <w:rPr>
          <w:rFonts w:ascii="Arial Narrow" w:hAnsi="Arial Narrow"/>
        </w:rPr>
        <w:t xml:space="preserve"> A. Dallin (1957) 127.</w:t>
      </w:r>
    </w:p>
  </w:footnote>
  <w:footnote w:id="34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E25E65">
        <w:rPr>
          <w:rFonts w:ascii="Arial Narrow" w:hAnsi="Arial Narrow"/>
        </w:rPr>
        <w:t xml:space="preserve"> Citado em id., ibid., 149. </w:t>
      </w:r>
      <w:r w:rsidRPr="003E305A">
        <w:rPr>
          <w:rFonts w:ascii="Arial Narrow" w:hAnsi="Arial Narrow"/>
        </w:rPr>
        <w:t xml:space="preserve">Este, pelo menos, não devia correr riscos. </w:t>
      </w:r>
      <w:r>
        <w:rPr>
          <w:rFonts w:ascii="Arial Narrow" w:hAnsi="Arial Narrow"/>
        </w:rPr>
        <w:t xml:space="preserve">Koch, por seu turno, declarou no Verão de 1943 que «se um dia eu encontrar um ucraniano que mereça sentar-se comigo à mesa, mandá-lo-ei fuzilar». Ver </w:t>
      </w:r>
      <w:r w:rsidRPr="00DC2A76">
        <w:rPr>
          <w:rFonts w:ascii="Arial Narrow" w:hAnsi="Arial Narrow"/>
        </w:rPr>
        <w:t xml:space="preserve">I. Kamenetsky (1956) </w:t>
      </w:r>
      <w:r>
        <w:rPr>
          <w:rFonts w:ascii="Arial Narrow" w:hAnsi="Arial Narrow"/>
        </w:rPr>
        <w:t xml:space="preserve">43. </w:t>
      </w:r>
      <w:r w:rsidRPr="003E305A">
        <w:rPr>
          <w:rFonts w:ascii="Arial Narrow" w:hAnsi="Arial Narrow"/>
        </w:rPr>
        <w:t>Note-se que atitudes deste tipo contavam com precedentes na Alemanha porque, segundo P. Broué (2006) 277, em Março de 1919, durante a vaga repressiva desencadeada em Berlim pelos corpos francos e pela direita da social-democracia, vinte e nove marinheiros foram escolhidos para serem fuzilados, entre várias centenas de prisioneiros, pelo facto de terem aspecto de pessoas inteligentes.</w:t>
      </w:r>
    </w:p>
  </w:footnote>
  <w:footnote w:id="341">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10091B">
        <w:rPr>
          <w:rFonts w:ascii="Arial Narrow" w:hAnsi="Arial Narrow"/>
          <w:lang w:val="en-US"/>
        </w:rPr>
        <w:t xml:space="preserve"> «Children», em I. C. B. Dear et al. (orgs. </w:t>
      </w:r>
      <w:r w:rsidRPr="007A5047">
        <w:rPr>
          <w:rFonts w:ascii="Arial Narrow" w:hAnsi="Arial Narrow"/>
          <w:lang w:val="en-US"/>
        </w:rPr>
        <w:t xml:space="preserve">1995) 209; A. Dallin (1957) 454, 458-471; </w:t>
      </w:r>
      <w:r w:rsidRPr="007A5047">
        <w:rPr>
          <w:rFonts w:ascii="Arial Narrow" w:hAnsi="Arial Narrow"/>
          <w:bCs/>
          <w:i/>
          <w:iCs/>
          <w:lang w:val="en-US"/>
        </w:rPr>
        <w:t>Hitler’s Table Talk</w:t>
      </w:r>
      <w:r w:rsidRPr="007A5047">
        <w:rPr>
          <w:rFonts w:ascii="Arial Narrow" w:hAnsi="Arial Narrow"/>
          <w:iCs/>
          <w:lang w:val="en-US"/>
        </w:rPr>
        <w:t>..., 15, 33, 34, 3</w:t>
      </w:r>
      <w:r>
        <w:rPr>
          <w:rFonts w:ascii="Arial Narrow" w:hAnsi="Arial Narrow"/>
          <w:iCs/>
          <w:lang w:val="en-US"/>
        </w:rPr>
        <w:t xml:space="preserve">54, 355, 424-425, 588-589; </w:t>
      </w:r>
      <w:r w:rsidRPr="007A5047">
        <w:rPr>
          <w:rFonts w:ascii="Arial Narrow" w:hAnsi="Arial Narrow"/>
          <w:iCs/>
          <w:lang w:val="en-US"/>
        </w:rPr>
        <w:t xml:space="preserve">I. Kamenetsky (1956) </w:t>
      </w:r>
      <w:r>
        <w:rPr>
          <w:rFonts w:ascii="Arial Narrow" w:hAnsi="Arial Narrow"/>
          <w:iCs/>
          <w:lang w:val="en-US"/>
        </w:rPr>
        <w:t xml:space="preserve">44-45, 79; </w:t>
      </w:r>
      <w:r w:rsidRPr="003E305A">
        <w:rPr>
          <w:rFonts w:ascii="Arial Narrow" w:hAnsi="Arial Narrow"/>
          <w:lang w:val="en-GB"/>
        </w:rPr>
        <w:t>W. L. Shirer (1995) II 343, 345.</w:t>
      </w:r>
    </w:p>
  </w:footnote>
  <w:footnote w:id="342">
    <w:p w:rsidR="00392E0D" w:rsidRPr="003C7C7C"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«Children», em I. C. B. Dear et al. (orgs. 1995) 209</w:t>
      </w:r>
      <w:r>
        <w:rPr>
          <w:rFonts w:ascii="Arial Narrow" w:hAnsi="Arial Narrow"/>
        </w:rPr>
        <w:t xml:space="preserve"> e J. Noakes et al. (orgs. 2008-2010) III 325</w:t>
      </w:r>
      <w:r w:rsidRPr="003E305A">
        <w:rPr>
          <w:rFonts w:ascii="Arial Narrow" w:hAnsi="Arial Narrow"/>
        </w:rPr>
        <w:t xml:space="preserve">. Ver igualmente G. Aly et al. </w:t>
      </w:r>
      <w:r w:rsidRPr="003C7C7C">
        <w:rPr>
          <w:rFonts w:ascii="Arial Narrow" w:hAnsi="Arial Narrow"/>
        </w:rPr>
        <w:t>(2006) 110 e S. Haffner (2011) 132. Em A. Quinchon-Caudal (2013) 207-208 encontram-se declarações de Himmler em Janeiro de 1943, um pouco diferentes mas no mesmo sentido.</w:t>
      </w:r>
    </w:p>
  </w:footnote>
  <w:footnote w:id="343">
    <w:p w:rsidR="00392E0D" w:rsidRPr="00321E01"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321E01">
        <w:rPr>
          <w:rFonts w:ascii="Arial Narrow" w:hAnsi="Arial Narrow"/>
          <w:lang w:val="en-US"/>
        </w:rPr>
        <w:t xml:space="preserve"> E. K. Bramstedt (1945) 154 n.</w:t>
      </w:r>
    </w:p>
  </w:footnote>
  <w:footnote w:id="344">
    <w:p w:rsidR="00392E0D" w:rsidRPr="00321E01"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321E01">
        <w:rPr>
          <w:rFonts w:ascii="Arial Narrow" w:hAnsi="Arial Narrow"/>
          <w:lang w:val="en-US"/>
        </w:rPr>
        <w:t xml:space="preserve"> H. Rauschning (1939) 55, 62.</w:t>
      </w:r>
    </w:p>
  </w:footnote>
  <w:footnote w:id="345">
    <w:p w:rsidR="00392E0D" w:rsidRPr="003C7C7C" w:rsidRDefault="00392E0D">
      <w:pPr>
        <w:pStyle w:val="Textodenotaderodap"/>
        <w:rPr>
          <w:rFonts w:ascii="Arial Narrow" w:hAnsi="Arial Narrow"/>
          <w:lang w:val="en-US"/>
        </w:rPr>
      </w:pPr>
      <w:r w:rsidRPr="001D7EE5">
        <w:rPr>
          <w:rStyle w:val="Refdenotaderodap"/>
          <w:rFonts w:ascii="Arial Narrow" w:hAnsi="Arial Narrow"/>
        </w:rPr>
        <w:footnoteRef/>
      </w:r>
      <w:r w:rsidRPr="00E13481">
        <w:rPr>
          <w:rFonts w:ascii="Arial Narrow" w:hAnsi="Arial Narrow"/>
          <w:lang w:val="en-US"/>
        </w:rPr>
        <w:t xml:space="preserve"> </w:t>
      </w:r>
      <w:r w:rsidRPr="00E13481">
        <w:rPr>
          <w:rFonts w:ascii="Arial Narrow" w:hAnsi="Arial Narrow"/>
          <w:bCs/>
          <w:i/>
          <w:iCs/>
          <w:lang w:val="en-US"/>
        </w:rPr>
        <w:t>Hitler’s Table Talk</w:t>
      </w:r>
      <w:r w:rsidRPr="00E13481">
        <w:rPr>
          <w:rFonts w:ascii="Arial Narrow" w:hAnsi="Arial Narrow"/>
          <w:iCs/>
          <w:lang w:val="en-US"/>
        </w:rPr>
        <w:t xml:space="preserve">..., 15. </w:t>
      </w:r>
      <w:r w:rsidRPr="003C7C7C">
        <w:rPr>
          <w:rFonts w:ascii="Arial Narrow" w:hAnsi="Arial Narrow"/>
          <w:iCs/>
          <w:lang w:val="en-US"/>
        </w:rPr>
        <w:t xml:space="preserve">A este respeito ver ainda </w:t>
      </w:r>
      <w:r w:rsidRPr="003C7C7C">
        <w:rPr>
          <w:rFonts w:ascii="Arial Narrow" w:hAnsi="Arial Narrow"/>
          <w:lang w:val="en-US"/>
        </w:rPr>
        <w:t>A. Bullock (1972) 656, A. Dallin (1957) 459 e M. Gilbert (2011 b) I 274.</w:t>
      </w:r>
    </w:p>
  </w:footnote>
  <w:footnote w:id="346">
    <w:p w:rsidR="00392E0D" w:rsidRPr="00D344B0" w:rsidRDefault="00392E0D">
      <w:pPr>
        <w:pStyle w:val="Textodenotaderodap"/>
        <w:rPr>
          <w:rFonts w:ascii="Arial Narrow" w:hAnsi="Arial Narrow"/>
        </w:rPr>
      </w:pPr>
      <w:r w:rsidRPr="007209BA">
        <w:rPr>
          <w:rStyle w:val="Refdenotaderodap"/>
          <w:rFonts w:ascii="Arial Narrow" w:hAnsi="Arial Narrow"/>
        </w:rPr>
        <w:footnoteRef/>
      </w:r>
      <w:r w:rsidRPr="003C7C7C">
        <w:rPr>
          <w:rFonts w:ascii="Arial Narrow" w:hAnsi="Arial Narrow"/>
          <w:lang w:val="en-US"/>
        </w:rPr>
        <w:t xml:space="preserve"> </w:t>
      </w:r>
      <w:r w:rsidRPr="003C7C7C">
        <w:rPr>
          <w:rFonts w:ascii="Arial Narrow" w:hAnsi="Arial Narrow"/>
          <w:bCs/>
          <w:i/>
          <w:iCs/>
          <w:lang w:val="en-US"/>
        </w:rPr>
        <w:t>Hitler’s Table Talk</w:t>
      </w:r>
      <w:r w:rsidRPr="003C7C7C">
        <w:rPr>
          <w:rFonts w:ascii="Arial Narrow" w:hAnsi="Arial Narrow"/>
          <w:iCs/>
          <w:lang w:val="en-US"/>
        </w:rPr>
        <w:t xml:space="preserve">..., </w:t>
      </w:r>
      <w:r w:rsidRPr="003C7C7C">
        <w:rPr>
          <w:rFonts w:ascii="Arial Narrow" w:hAnsi="Arial Narrow"/>
          <w:lang w:val="en-US"/>
        </w:rPr>
        <w:t xml:space="preserve">589. </w:t>
      </w:r>
      <w:r w:rsidRPr="00D344B0">
        <w:rPr>
          <w:rFonts w:ascii="Arial Narrow" w:hAnsi="Arial Narrow"/>
        </w:rPr>
        <w:t>Alfred Jodl era o chefe do Alto-Comando da Wehrmacht.</w:t>
      </w:r>
    </w:p>
  </w:footnote>
  <w:footnote w:id="347">
    <w:p w:rsidR="00392E0D" w:rsidRPr="00B2463D"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W. L. Shirer (1995) II 226-228.</w:t>
      </w:r>
      <w:r>
        <w:rPr>
          <w:rFonts w:ascii="Arial Narrow" w:hAnsi="Arial Narrow"/>
          <w:lang w:val="de-DE"/>
        </w:rPr>
        <w:t xml:space="preserve"> Acerca das reticências que os altos comandos da Wehrmacht colocaram  a essa ordem do Führer ver H. G. Dahms (1968) I 284-285. Entretanto, segundo M. Roseman (2012) 28, o Führer já havia retirado aos tribunais militares a jurisdição sobre os SS e os Einsatzgruppen. Ver também </w:t>
      </w:r>
      <w:r w:rsidRPr="00ED3430">
        <w:rPr>
          <w:rFonts w:ascii="Arial Narrow" w:hAnsi="Arial Narrow"/>
        </w:rPr>
        <w:t>S. Friedländer (2008) 223-224.</w:t>
      </w:r>
    </w:p>
  </w:footnote>
  <w:footnote w:id="34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H. Rauschning (1939) 57, 159-160. </w:t>
      </w:r>
      <w:r w:rsidRPr="003E305A">
        <w:rPr>
          <w:rFonts w:ascii="Arial Narrow" w:hAnsi="Arial Narrow"/>
        </w:rPr>
        <w:t>Ver igualmente a pág. 52.</w:t>
      </w:r>
    </w:p>
  </w:footnote>
  <w:footnote w:id="349">
    <w:p w:rsidR="00392E0D" w:rsidRPr="00F654B3"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 L. Shirer (1995) II 229. </w:t>
      </w:r>
      <w:r>
        <w:rPr>
          <w:rFonts w:ascii="Arial Narrow" w:hAnsi="Arial Narrow"/>
        </w:rPr>
        <w:t>Consultar</w:t>
      </w:r>
      <w:r w:rsidRPr="003E305A">
        <w:rPr>
          <w:rFonts w:ascii="Arial Narrow" w:hAnsi="Arial Narrow"/>
        </w:rPr>
        <w:t xml:space="preserve"> igualmente G. Aly et al. </w:t>
      </w:r>
      <w:r w:rsidRPr="00F654B3">
        <w:rPr>
          <w:rFonts w:ascii="Arial Narrow" w:hAnsi="Arial Narrow"/>
        </w:rPr>
        <w:t xml:space="preserve">(2006) 276 e A. Dallin (1957) 295. </w:t>
      </w:r>
      <w:r>
        <w:rPr>
          <w:rFonts w:ascii="Arial Narrow" w:hAnsi="Arial Narrow"/>
        </w:rPr>
        <w:t xml:space="preserve">Ver no mesmo sentido as posições de Herbert Backe em </w:t>
      </w:r>
      <w:r w:rsidRPr="001431BA">
        <w:rPr>
          <w:rFonts w:ascii="Arial Narrow" w:hAnsi="Arial Narrow"/>
        </w:rPr>
        <w:t>A. Tooze (2006)</w:t>
      </w:r>
      <w:r>
        <w:rPr>
          <w:rFonts w:ascii="Arial Narrow" w:hAnsi="Arial Narrow"/>
        </w:rPr>
        <w:t xml:space="preserve"> 478.</w:t>
      </w:r>
    </w:p>
  </w:footnote>
  <w:footnote w:id="35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F654B3">
        <w:rPr>
          <w:rFonts w:ascii="Arial Narrow" w:hAnsi="Arial Narrow"/>
        </w:rPr>
        <w:t xml:space="preserve"> Citado em G. Aly et al. </w:t>
      </w:r>
      <w:r w:rsidRPr="0083689F">
        <w:rPr>
          <w:rFonts w:ascii="Arial Narrow" w:hAnsi="Arial Narrow"/>
          <w:lang w:val="en-US"/>
        </w:rPr>
        <w:t>(2006) 58, A. Bullock (1972) 643, J.</w:t>
      </w:r>
      <w:r>
        <w:rPr>
          <w:rFonts w:ascii="Arial Narrow" w:hAnsi="Arial Narrow"/>
          <w:lang w:val="en-US"/>
        </w:rPr>
        <w:t xml:space="preserve"> Noakes et al. </w:t>
      </w:r>
      <w:r w:rsidRPr="00F654B3">
        <w:rPr>
          <w:rFonts w:ascii="Arial Narrow" w:hAnsi="Arial Narrow"/>
          <w:lang w:val="en-US"/>
        </w:rPr>
        <w:t xml:space="preserve">(orgs. 2008-2010) III 293, M. Roseman (2012) 31, W. L. Shirer (1995) II 230 e A. Tooze (2006) 479. </w:t>
      </w:r>
      <w:r w:rsidRPr="003E305A">
        <w:rPr>
          <w:rFonts w:ascii="Arial Narrow" w:hAnsi="Arial Narrow"/>
        </w:rPr>
        <w:t>Ver igualmente Götz Aly et al.,</w:t>
      </w:r>
      <w:r w:rsidRPr="00BE2AF7">
        <w:rPr>
          <w:rFonts w:ascii="Arial Narrow" w:hAnsi="Arial Narrow"/>
        </w:rPr>
        <w:t xml:space="preserve"> op. cit.,</w:t>
      </w:r>
      <w:r w:rsidRPr="003E305A">
        <w:rPr>
          <w:rFonts w:ascii="Arial Narrow" w:hAnsi="Arial Narrow"/>
        </w:rPr>
        <w:t xml:space="preserve"> 272. Note-se que tanto Alan Bullock como William Shirer escreve</w:t>
      </w:r>
      <w:r>
        <w:rPr>
          <w:rFonts w:ascii="Arial Narrow" w:hAnsi="Arial Narrow"/>
        </w:rPr>
        <w:t>ra</w:t>
      </w:r>
      <w:r w:rsidRPr="003E305A">
        <w:rPr>
          <w:rFonts w:ascii="Arial Narrow" w:hAnsi="Arial Narrow"/>
        </w:rPr>
        <w:t>m «muitos milhões de pessoas», enquanto Götz Aly et al. regista</w:t>
      </w:r>
      <w:r>
        <w:rPr>
          <w:rFonts w:ascii="Arial Narrow" w:hAnsi="Arial Narrow"/>
        </w:rPr>
        <w:t>ra</w:t>
      </w:r>
      <w:r w:rsidRPr="003E305A">
        <w:rPr>
          <w:rFonts w:ascii="Arial Narrow" w:hAnsi="Arial Narrow"/>
        </w:rPr>
        <w:t>m mais moderadamente «alguns milhões»</w:t>
      </w:r>
      <w:r>
        <w:rPr>
          <w:rFonts w:ascii="Arial Narrow" w:hAnsi="Arial Narrow"/>
        </w:rPr>
        <w:t>; por seu lado, J. Noakes et al. e Mark Roseman mencionaram «dezenas de milhões»</w:t>
      </w:r>
      <w:r w:rsidRPr="003E305A">
        <w:rPr>
          <w:rFonts w:ascii="Arial Narrow" w:hAnsi="Arial Narrow"/>
        </w:rPr>
        <w:t>.</w:t>
      </w:r>
    </w:p>
  </w:footnote>
  <w:footnote w:id="351">
    <w:p w:rsidR="00392E0D" w:rsidRPr="0037083F"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G. Aly et al. </w:t>
      </w:r>
      <w:r w:rsidRPr="003E305A">
        <w:rPr>
          <w:rFonts w:ascii="Arial Narrow" w:hAnsi="Arial Narrow"/>
          <w:lang w:val="en-GB"/>
        </w:rPr>
        <w:t>(2006) 272, A. Bullock (1972) 642-643, A. Dallin (1957) 311</w:t>
      </w:r>
      <w:r>
        <w:rPr>
          <w:rFonts w:ascii="Arial Narrow" w:hAnsi="Arial Narrow"/>
          <w:lang w:val="en-GB"/>
        </w:rPr>
        <w:t>,</w:t>
      </w:r>
      <w:r w:rsidRPr="003E305A">
        <w:rPr>
          <w:rFonts w:ascii="Arial Narrow" w:hAnsi="Arial Narrow"/>
          <w:lang w:val="en-GB"/>
        </w:rPr>
        <w:t xml:space="preserve"> W. L. Shirer (1995) II 229</w:t>
      </w:r>
      <w:r>
        <w:rPr>
          <w:rFonts w:ascii="Arial Narrow" w:hAnsi="Arial Narrow"/>
          <w:lang w:val="en-GB"/>
        </w:rPr>
        <w:t xml:space="preserve"> e </w:t>
      </w:r>
      <w:r w:rsidRPr="00B570D4">
        <w:rPr>
          <w:rFonts w:ascii="Arial Narrow" w:hAnsi="Arial Narrow"/>
          <w:lang w:val="en-US"/>
        </w:rPr>
        <w:t>A. Tooze (2006)</w:t>
      </w:r>
      <w:r>
        <w:rPr>
          <w:rFonts w:ascii="Arial Narrow" w:hAnsi="Arial Narrow"/>
          <w:lang w:val="en-US"/>
        </w:rPr>
        <w:t xml:space="preserve"> 480</w:t>
      </w:r>
      <w:r w:rsidRPr="003E305A">
        <w:rPr>
          <w:rFonts w:ascii="Arial Narrow" w:hAnsi="Arial Narrow"/>
          <w:lang w:val="en-GB"/>
        </w:rPr>
        <w:t xml:space="preserve">. </w:t>
      </w:r>
      <w:r w:rsidRPr="003E305A">
        <w:rPr>
          <w:rFonts w:ascii="Arial Narrow" w:hAnsi="Arial Narrow"/>
        </w:rPr>
        <w:t xml:space="preserve">O «solo negro» é, evidentemente, o </w:t>
      </w:r>
      <w:r w:rsidRPr="003E305A">
        <w:rPr>
          <w:rFonts w:ascii="Arial Narrow" w:hAnsi="Arial Narrow"/>
          <w:i/>
        </w:rPr>
        <w:t>tchernozem.</w:t>
      </w:r>
      <w:r>
        <w:rPr>
          <w:rFonts w:ascii="Arial Narrow" w:hAnsi="Arial Narrow"/>
        </w:rPr>
        <w:t xml:space="preserve"> Léon Degrelle, chefe do fascismo valão que combateu nos Waffen-SS, apresentou um retrato lírico das relações dos invasores com os caponeses ucranianos, limitando-se a ressalvar que «por vezes eles haviam sido tratados desajeitadamente por alguns administradores alemães». Ver L. Dregrelle (1949 a) </w:t>
      </w:r>
      <w:r w:rsidRPr="0037083F">
        <w:rPr>
          <w:rFonts w:ascii="Arial Narrow" w:hAnsi="Arial Narrow"/>
          <w:i/>
        </w:rPr>
        <w:t>passim</w:t>
      </w:r>
      <w:r w:rsidRPr="00A82762">
        <w:rPr>
          <w:rFonts w:ascii="Arial Narrow" w:hAnsi="Arial Narrow"/>
          <w:i/>
        </w:rPr>
        <w:t>;</w:t>
      </w:r>
      <w:r>
        <w:rPr>
          <w:rFonts w:ascii="Arial Narrow" w:hAnsi="Arial Narrow"/>
        </w:rPr>
        <w:t xml:space="preserve"> a frase citada encontra-se na pág. 203.</w:t>
      </w:r>
    </w:p>
  </w:footnote>
  <w:footnote w:id="35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G. Aly et al. (2006) 270.</w:t>
      </w:r>
    </w:p>
  </w:footnote>
  <w:footnote w:id="353">
    <w:p w:rsidR="00392E0D" w:rsidRPr="00F654B3" w:rsidRDefault="00392E0D">
      <w:pPr>
        <w:pStyle w:val="Textodenotaderodap"/>
        <w:rPr>
          <w:rFonts w:ascii="Arial Narrow" w:hAnsi="Arial Narrow"/>
        </w:rPr>
      </w:pPr>
      <w:r w:rsidRPr="00F654B3">
        <w:rPr>
          <w:rStyle w:val="Refdenotaderodap"/>
          <w:rFonts w:ascii="Arial Narrow" w:hAnsi="Arial Narrow"/>
        </w:rPr>
        <w:footnoteRef/>
      </w:r>
      <w:r w:rsidRPr="00F654B3">
        <w:rPr>
          <w:rFonts w:ascii="Arial Narrow" w:hAnsi="Arial Narrow"/>
        </w:rPr>
        <w:t xml:space="preserve"> A. Tooze (2006)</w:t>
      </w:r>
      <w:r>
        <w:rPr>
          <w:rFonts w:ascii="Arial Narrow" w:hAnsi="Arial Narrow"/>
        </w:rPr>
        <w:t xml:space="preserve"> 479.</w:t>
      </w:r>
    </w:p>
  </w:footnote>
  <w:footnote w:id="35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Bullock (1972) 654 n. 1</w:t>
      </w:r>
      <w:r>
        <w:rPr>
          <w:rFonts w:ascii="Arial Narrow" w:hAnsi="Arial Narrow"/>
        </w:rPr>
        <w:t>,</w:t>
      </w:r>
      <w:r w:rsidRPr="003E305A">
        <w:rPr>
          <w:rFonts w:ascii="Arial Narrow" w:hAnsi="Arial Narrow"/>
        </w:rPr>
        <w:t xml:space="preserve"> </w:t>
      </w:r>
      <w:r w:rsidRPr="000D50FD">
        <w:rPr>
          <w:rFonts w:ascii="Arial Narrow" w:hAnsi="Arial Narrow"/>
        </w:rPr>
        <w:t xml:space="preserve">A. Reid (2011) 168 </w:t>
      </w:r>
      <w:r w:rsidRPr="003E305A">
        <w:rPr>
          <w:rFonts w:ascii="Arial Narrow" w:hAnsi="Arial Narrow"/>
        </w:rPr>
        <w:t xml:space="preserve">e W. L. Shirer (1995) II 251-252. Ver igualmente A. Dallin (1957) 76-79. </w:t>
      </w:r>
      <w:r>
        <w:rPr>
          <w:rFonts w:ascii="Arial Narrow" w:hAnsi="Arial Narrow"/>
        </w:rPr>
        <w:t xml:space="preserve">Sobre a intenção de arrasar Leningrado ver também </w:t>
      </w:r>
      <w:r w:rsidRPr="009D3AE5">
        <w:rPr>
          <w:rFonts w:ascii="Arial Narrow" w:hAnsi="Arial Narrow"/>
          <w:bCs/>
          <w:i/>
          <w:iCs/>
        </w:rPr>
        <w:t>Hitler’s Table Talk</w:t>
      </w:r>
      <w:r w:rsidRPr="009D3AE5">
        <w:rPr>
          <w:rFonts w:ascii="Arial Narrow" w:hAnsi="Arial Narrow"/>
          <w:iCs/>
        </w:rPr>
        <w:t>...,</w:t>
      </w:r>
      <w:r>
        <w:rPr>
          <w:rFonts w:ascii="Arial Narrow" w:hAnsi="Arial Narrow"/>
          <w:iCs/>
        </w:rPr>
        <w:t xml:space="preserve"> 71, 98, 400-401, 617, 621-622. Sobre o processo que levou à directiva de 29 de Setembro e as reacções dos altos comandos da Wehrmacht ver </w:t>
      </w:r>
      <w:r w:rsidRPr="000D50FD">
        <w:rPr>
          <w:rFonts w:ascii="Arial Narrow" w:hAnsi="Arial Narrow"/>
          <w:iCs/>
        </w:rPr>
        <w:t>Anna Reid, op. cit., 163-170.</w:t>
      </w:r>
      <w:r>
        <w:rPr>
          <w:rFonts w:ascii="Arial Narrow" w:hAnsi="Arial Narrow"/>
          <w:iCs/>
        </w:rPr>
        <w:t xml:space="preserve"> </w:t>
      </w:r>
      <w:r>
        <w:rPr>
          <w:rFonts w:ascii="Arial Narrow" w:hAnsi="Arial Narrow"/>
        </w:rPr>
        <w:t xml:space="preserve">Segundo os dados oficiais soviéticos citados por </w:t>
      </w:r>
      <w:r w:rsidRPr="000D50FD">
        <w:rPr>
          <w:rFonts w:ascii="Arial Narrow" w:hAnsi="Arial Narrow"/>
          <w:iCs/>
        </w:rPr>
        <w:t>Anna Reid</w:t>
      </w:r>
      <w:r>
        <w:rPr>
          <w:rFonts w:ascii="Arial Narrow" w:hAnsi="Arial Narrow"/>
          <w:iCs/>
        </w:rPr>
        <w:t xml:space="preserve"> (págs. </w:t>
      </w:r>
      <w:r w:rsidRPr="00450BFA">
        <w:rPr>
          <w:rFonts w:ascii="Arial Narrow" w:hAnsi="Arial Narrow"/>
        </w:rPr>
        <w:t xml:space="preserve">176, 503), </w:t>
      </w:r>
      <w:r>
        <w:rPr>
          <w:rFonts w:ascii="Arial Narrow" w:hAnsi="Arial Narrow"/>
        </w:rPr>
        <w:t xml:space="preserve">morreram 649.000 civis durante os novecentos dias que durou o cerco de Leningrado, dos quais 632.253 de fome e doenças relacionadas e 16.747 de bombardeamentos aéreos e terrestres. Ver igualmente </w:t>
      </w:r>
      <w:r w:rsidRPr="003E305A">
        <w:rPr>
          <w:rFonts w:ascii="Arial Narrow" w:hAnsi="Arial Narrow"/>
        </w:rPr>
        <w:t>G. Aly et al. (2006) 279.</w:t>
      </w:r>
      <w:r>
        <w:rPr>
          <w:rFonts w:ascii="Arial Narrow" w:hAnsi="Arial Narrow"/>
        </w:rPr>
        <w:t xml:space="preserve"> No entanto, </w:t>
      </w:r>
      <w:r w:rsidRPr="000D50FD">
        <w:rPr>
          <w:rFonts w:ascii="Arial Narrow" w:hAnsi="Arial Narrow"/>
          <w:iCs/>
        </w:rPr>
        <w:t>Anna Reid</w:t>
      </w:r>
      <w:r>
        <w:rPr>
          <w:rFonts w:ascii="Arial Narrow" w:hAnsi="Arial Narrow"/>
          <w:iCs/>
        </w:rPr>
        <w:t xml:space="preserve"> considerou (págs. 503-505) que os números reais foram bastante mais elevados, podendo chegar a 700.000 ou 800.000.</w:t>
      </w:r>
    </w:p>
  </w:footnote>
  <w:footnote w:id="355">
    <w:p w:rsidR="00392E0D" w:rsidRPr="000D50FD" w:rsidRDefault="00392E0D">
      <w:pPr>
        <w:pStyle w:val="Textodenotaderodap"/>
        <w:rPr>
          <w:rFonts w:ascii="Arial Narrow" w:hAnsi="Arial Narrow"/>
          <w:lang w:val="en-US"/>
        </w:rPr>
      </w:pPr>
      <w:r w:rsidRPr="000D50FD">
        <w:rPr>
          <w:rStyle w:val="Refdenotaderodap"/>
          <w:rFonts w:ascii="Arial Narrow" w:hAnsi="Arial Narrow"/>
        </w:rPr>
        <w:footnoteRef/>
      </w:r>
      <w:r w:rsidRPr="000D50FD">
        <w:rPr>
          <w:rFonts w:ascii="Arial Narrow" w:hAnsi="Arial Narrow"/>
          <w:lang w:val="en-US"/>
        </w:rPr>
        <w:t xml:space="preserve"> A. Reid (2011)</w:t>
      </w:r>
      <w:r>
        <w:rPr>
          <w:rFonts w:ascii="Arial Narrow" w:hAnsi="Arial Narrow"/>
          <w:lang w:val="en-US"/>
        </w:rPr>
        <w:t xml:space="preserve"> 234-235, 260.</w:t>
      </w:r>
    </w:p>
  </w:footnote>
  <w:footnote w:id="356">
    <w:p w:rsidR="00392E0D" w:rsidRPr="00B81341" w:rsidRDefault="00392E0D" w:rsidP="00321E01">
      <w:pPr>
        <w:pStyle w:val="Textodenotaderodap"/>
        <w:rPr>
          <w:rFonts w:ascii="Arial Narrow" w:hAnsi="Arial Narrow"/>
        </w:rPr>
      </w:pPr>
      <w:r w:rsidRPr="003E305A">
        <w:rPr>
          <w:rStyle w:val="Refdenotaderodap"/>
          <w:rFonts w:ascii="Arial Narrow" w:hAnsi="Arial Narrow"/>
        </w:rPr>
        <w:footnoteRef/>
      </w:r>
      <w:r w:rsidRPr="000D7BB5">
        <w:rPr>
          <w:rFonts w:ascii="Arial Narrow" w:hAnsi="Arial Narrow"/>
          <w:lang w:val="en-US"/>
        </w:rPr>
        <w:t xml:space="preserve"> A. Dallin (1957) 76-79; </w:t>
      </w:r>
      <w:r w:rsidRPr="000D7BB5">
        <w:rPr>
          <w:rFonts w:ascii="Arial Narrow" w:hAnsi="Arial Narrow"/>
          <w:bCs/>
          <w:i/>
          <w:iCs/>
          <w:lang w:val="en-US"/>
        </w:rPr>
        <w:t>Hitler’s Table Talk</w:t>
      </w:r>
      <w:r w:rsidRPr="000D7BB5">
        <w:rPr>
          <w:rFonts w:ascii="Arial Narrow" w:hAnsi="Arial Narrow"/>
          <w:iCs/>
          <w:lang w:val="en-US"/>
        </w:rPr>
        <w:t xml:space="preserve">..., </w:t>
      </w:r>
      <w:r>
        <w:rPr>
          <w:rFonts w:ascii="Arial Narrow" w:hAnsi="Arial Narrow"/>
          <w:iCs/>
          <w:lang w:val="en-US"/>
        </w:rPr>
        <w:t xml:space="preserve">5, 71, 98, 617; </w:t>
      </w:r>
      <w:r w:rsidRPr="000D7BB5">
        <w:rPr>
          <w:rFonts w:ascii="Arial Narrow" w:hAnsi="Arial Narrow"/>
          <w:lang w:val="en-US"/>
        </w:rPr>
        <w:t xml:space="preserve">W. L. Shirer (1995) II 343, 351; G. R. Ueberschär, «Barbarossa», em I. C. B. Dear et al. </w:t>
      </w:r>
      <w:r w:rsidRPr="00B81341">
        <w:rPr>
          <w:rFonts w:ascii="Arial Narrow" w:hAnsi="Arial Narrow"/>
        </w:rPr>
        <w:t>(orgs. 1995) 110.</w:t>
      </w:r>
    </w:p>
  </w:footnote>
  <w:footnote w:id="357">
    <w:p w:rsidR="00392E0D" w:rsidRPr="00B81341" w:rsidRDefault="00392E0D">
      <w:pPr>
        <w:pStyle w:val="Textodenotaderodap"/>
        <w:rPr>
          <w:rFonts w:ascii="Arial Narrow" w:hAnsi="Arial Narrow"/>
        </w:rPr>
      </w:pPr>
      <w:r w:rsidRPr="00B86966">
        <w:rPr>
          <w:rStyle w:val="Refdenotaderodap"/>
          <w:rFonts w:ascii="Arial Narrow" w:hAnsi="Arial Narrow"/>
        </w:rPr>
        <w:footnoteRef/>
      </w:r>
      <w:r w:rsidRPr="00B81341">
        <w:rPr>
          <w:rFonts w:ascii="Arial Narrow" w:hAnsi="Arial Narrow"/>
        </w:rPr>
        <w:t xml:space="preserve"> M. Gilbert (2011 b) I 415.</w:t>
      </w:r>
    </w:p>
  </w:footnote>
  <w:footnote w:id="358">
    <w:p w:rsidR="00392E0D" w:rsidRPr="00B81341" w:rsidRDefault="00392E0D">
      <w:pPr>
        <w:pStyle w:val="Textodenotaderodap"/>
        <w:rPr>
          <w:rFonts w:ascii="Arial Narrow" w:hAnsi="Arial Narrow"/>
        </w:rPr>
      </w:pPr>
      <w:r w:rsidRPr="00C01AE1">
        <w:rPr>
          <w:rStyle w:val="Refdenotaderodap"/>
          <w:rFonts w:ascii="Arial Narrow" w:hAnsi="Arial Narrow"/>
        </w:rPr>
        <w:footnoteRef/>
      </w:r>
      <w:r w:rsidRPr="00B81341">
        <w:rPr>
          <w:rFonts w:ascii="Arial Narrow" w:hAnsi="Arial Narrow"/>
        </w:rPr>
        <w:t xml:space="preserve"> Id., ibid., I 431.</w:t>
      </w:r>
    </w:p>
  </w:footnote>
  <w:footnote w:id="35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4259B7">
        <w:rPr>
          <w:rFonts w:ascii="Arial Narrow" w:hAnsi="Arial Narrow"/>
        </w:rPr>
        <w:t xml:space="preserve"> </w:t>
      </w:r>
      <w:r>
        <w:rPr>
          <w:rFonts w:ascii="Arial Narrow" w:hAnsi="Arial Narrow"/>
        </w:rPr>
        <w:t>Ver a n. 166 do capítulo 4 da Parte 2.</w:t>
      </w:r>
    </w:p>
  </w:footnote>
  <w:footnote w:id="36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Bullock (1972) 659-660, A. Dallin (1957) 123 e W. L. Shirer (1995) II 252 n. Outra versão em Alexander Dallin,</w:t>
      </w:r>
      <w:r w:rsidRPr="006A0389">
        <w:rPr>
          <w:rFonts w:ascii="Arial Narrow" w:hAnsi="Arial Narrow"/>
        </w:rPr>
        <w:t xml:space="preserve"> op. cit.,</w:t>
      </w:r>
      <w:r w:rsidRPr="003E305A">
        <w:rPr>
          <w:rFonts w:ascii="Arial Narrow" w:hAnsi="Arial Narrow"/>
        </w:rPr>
        <w:t xml:space="preserve"> 415. </w:t>
      </w:r>
      <w:r>
        <w:rPr>
          <w:rFonts w:ascii="Arial Narrow" w:hAnsi="Arial Narrow"/>
        </w:rPr>
        <w:t xml:space="preserve">Ver também </w:t>
      </w:r>
      <w:r w:rsidRPr="0010091B">
        <w:rPr>
          <w:rFonts w:ascii="Arial Narrow" w:hAnsi="Arial Narrow"/>
        </w:rPr>
        <w:t xml:space="preserve">I. Kamenetsky (1956) 40 e </w:t>
      </w:r>
      <w:r w:rsidRPr="002844E6">
        <w:rPr>
          <w:rFonts w:ascii="Arial Narrow" w:hAnsi="Arial Narrow"/>
        </w:rPr>
        <w:t xml:space="preserve">A. Tooze (2006) </w:t>
      </w:r>
      <w:r>
        <w:rPr>
          <w:rFonts w:ascii="Arial Narrow" w:hAnsi="Arial Narrow"/>
        </w:rPr>
        <w:t xml:space="preserve">479-480. A antropofagia começara já durante o transporte dos soldados soviéticos aprisionados, como narrou L. Degrelle (1949 a) 25; ver também a pág. 158. </w:t>
      </w:r>
      <w:r w:rsidRPr="003E305A">
        <w:rPr>
          <w:rFonts w:ascii="Arial Narrow" w:hAnsi="Arial Narrow"/>
        </w:rPr>
        <w:t>Em Buchenwald</w:t>
      </w:r>
      <w:r>
        <w:rPr>
          <w:rFonts w:ascii="Arial Narrow" w:hAnsi="Arial Narrow"/>
        </w:rPr>
        <w:t>,</w:t>
      </w:r>
      <w:r w:rsidRPr="003E305A">
        <w:rPr>
          <w:rFonts w:ascii="Arial Narrow" w:hAnsi="Arial Narrow"/>
        </w:rPr>
        <w:t xml:space="preserve"> E. Kogon (2002) 132 mencion</w:t>
      </w:r>
      <w:r>
        <w:rPr>
          <w:rFonts w:ascii="Arial Narrow" w:hAnsi="Arial Narrow"/>
        </w:rPr>
        <w:t>ou</w:t>
      </w:r>
      <w:r w:rsidRPr="003E305A">
        <w:rPr>
          <w:rFonts w:ascii="Arial Narrow" w:hAnsi="Arial Narrow"/>
        </w:rPr>
        <w:t xml:space="preserve"> casos de prisioneiros ucranianos que praticaram antropofagia sobre cadáveres.</w:t>
      </w:r>
      <w:r>
        <w:rPr>
          <w:rFonts w:ascii="Arial Narrow" w:hAnsi="Arial Narrow"/>
        </w:rPr>
        <w:t xml:space="preserve"> Também os soldados soviéticos aprisionados pelo Sexto Exército germânico cercado frente a Stalingrado, em Janeiro de 1943, recorreram ao canibalismo, segundo A. Beevor (2010) 315. No </w:t>
      </w:r>
      <w:r w:rsidRPr="008858B8">
        <w:rPr>
          <w:rFonts w:ascii="Arial Narrow" w:hAnsi="Arial Narrow"/>
          <w:i/>
        </w:rPr>
        <w:t>ghetto</w:t>
      </w:r>
      <w:r>
        <w:rPr>
          <w:rFonts w:ascii="Arial Narrow" w:hAnsi="Arial Narrow"/>
        </w:rPr>
        <w:t xml:space="preserve"> de Varsóvia </w:t>
      </w:r>
      <w:r w:rsidRPr="003A3D08">
        <w:rPr>
          <w:rFonts w:ascii="Arial Narrow" w:hAnsi="Arial Narrow"/>
        </w:rPr>
        <w:t xml:space="preserve">S. Friedländer (2008) 585 registou um caso de canibalismo em Fevereiro de 1942. </w:t>
      </w:r>
      <w:r w:rsidRPr="003F5539">
        <w:rPr>
          <w:rFonts w:ascii="Arial Narrow" w:hAnsi="Arial Narrow"/>
        </w:rPr>
        <w:t>A. Reid (2011) 346-3</w:t>
      </w:r>
      <w:r>
        <w:rPr>
          <w:rFonts w:ascii="Arial Narrow" w:hAnsi="Arial Narrow"/>
        </w:rPr>
        <w:t>54</w:t>
      </w:r>
      <w:r w:rsidRPr="003F5539">
        <w:rPr>
          <w:rFonts w:ascii="Arial Narrow" w:hAnsi="Arial Narrow"/>
        </w:rPr>
        <w:t xml:space="preserve"> indicou que em Leningrado, durante o cerco, </w:t>
      </w:r>
      <w:r>
        <w:rPr>
          <w:rFonts w:ascii="Arial Narrow" w:hAnsi="Arial Narrow"/>
        </w:rPr>
        <w:t xml:space="preserve">ao longo de </w:t>
      </w:r>
      <w:r w:rsidRPr="003F5539">
        <w:rPr>
          <w:rFonts w:ascii="Arial Narrow" w:hAnsi="Arial Narrow"/>
        </w:rPr>
        <w:t>1942 mais de duas mil pessoas foram detidas sob a acusação de canibalismo</w:t>
      </w:r>
      <w:r>
        <w:rPr>
          <w:rFonts w:ascii="Arial Narrow" w:hAnsi="Arial Narrow"/>
        </w:rPr>
        <w:t>, praticado na maior parte sobre cadáveres</w:t>
      </w:r>
      <w:r w:rsidRPr="003F5539">
        <w:rPr>
          <w:rFonts w:ascii="Arial Narrow" w:hAnsi="Arial Narrow"/>
        </w:rPr>
        <w:t xml:space="preserve">. </w:t>
      </w:r>
      <w:r>
        <w:rPr>
          <w:rFonts w:ascii="Arial Narrow" w:hAnsi="Arial Narrow"/>
        </w:rPr>
        <w:t xml:space="preserve">Note-se, no entanto, que entre os soldados germânicos e romenos aprisionados pelos soviéticos depois da libertação de Stalingrado ocorreram igualmente muitos casos de canibalismo, consoante relatou Antony Beevor, </w:t>
      </w:r>
      <w:r w:rsidRPr="006A0389">
        <w:rPr>
          <w:rFonts w:ascii="Arial Narrow" w:hAnsi="Arial Narrow"/>
        </w:rPr>
        <w:t>op. cit.,</w:t>
      </w:r>
      <w:r>
        <w:rPr>
          <w:rFonts w:ascii="Arial Narrow" w:hAnsi="Arial Narrow"/>
        </w:rPr>
        <w:t xml:space="preserve"> 372, e o mesmo entre os prisioneiros italianos, a crer em </w:t>
      </w:r>
      <w:r w:rsidRPr="004F1512">
        <w:rPr>
          <w:rFonts w:ascii="Arial Narrow" w:hAnsi="Arial Narrow"/>
        </w:rPr>
        <w:t>H. J. Burgwyn (2012) 371</w:t>
      </w:r>
      <w:r>
        <w:rPr>
          <w:rFonts w:ascii="Arial Narrow" w:hAnsi="Arial Narrow"/>
        </w:rPr>
        <w:t>.</w:t>
      </w:r>
    </w:p>
  </w:footnote>
  <w:footnote w:id="36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O discurso de Himmler em </w:t>
      </w:r>
      <w:r>
        <w:rPr>
          <w:rFonts w:ascii="Arial Narrow" w:hAnsi="Arial Narrow"/>
        </w:rPr>
        <w:t>Posen</w:t>
      </w:r>
      <w:r w:rsidRPr="003E305A">
        <w:rPr>
          <w:rFonts w:ascii="Arial Narrow" w:hAnsi="Arial Narrow"/>
        </w:rPr>
        <w:t xml:space="preserve">, a 4 de Outubro de 1943, encontra-se citado em A. Bullock (1972) 697-698, A. Dallin (1957) 438, 593, </w:t>
      </w:r>
      <w:r>
        <w:rPr>
          <w:rFonts w:ascii="Arial Narrow" w:hAnsi="Arial Narrow"/>
        </w:rPr>
        <w:t xml:space="preserve">M. Gilbert (2011 b) II 543, J. Noakes et al. (orgs. 2008-2010) III 311-312, </w:t>
      </w:r>
      <w:r w:rsidRPr="003E305A">
        <w:rPr>
          <w:rFonts w:ascii="Arial Narrow" w:hAnsi="Arial Narrow"/>
        </w:rPr>
        <w:t>W. L. Shirer (1995) II 343 e H.-R. Trevor-Roper (1947) 25 n. 2.</w:t>
      </w:r>
    </w:p>
  </w:footnote>
  <w:footnote w:id="362">
    <w:p w:rsidR="00392E0D" w:rsidRPr="00F00C9C"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F00C9C">
        <w:rPr>
          <w:rFonts w:ascii="Arial Narrow" w:hAnsi="Arial Narrow"/>
          <w:lang w:val="en-US"/>
        </w:rPr>
        <w:t xml:space="preserve"> A. Dallin (1957) 454-458; M. Gilbert (2011 b) I 34</w:t>
      </w:r>
      <w:r>
        <w:rPr>
          <w:rFonts w:ascii="Arial Narrow" w:hAnsi="Arial Narrow"/>
          <w:lang w:val="en-US"/>
        </w:rPr>
        <w:t xml:space="preserve">; </w:t>
      </w:r>
      <w:r w:rsidRPr="000D7BB5">
        <w:rPr>
          <w:rFonts w:ascii="Arial Narrow" w:hAnsi="Arial Narrow"/>
          <w:bCs/>
          <w:i/>
          <w:iCs/>
          <w:lang w:val="en-US"/>
        </w:rPr>
        <w:t>Hitler’s Table Talk</w:t>
      </w:r>
      <w:r w:rsidRPr="000D7BB5">
        <w:rPr>
          <w:rFonts w:ascii="Arial Narrow" w:hAnsi="Arial Narrow"/>
          <w:iCs/>
          <w:lang w:val="en-US"/>
        </w:rPr>
        <w:t>...,</w:t>
      </w:r>
      <w:r>
        <w:rPr>
          <w:rFonts w:ascii="Arial Narrow" w:hAnsi="Arial Narrow"/>
          <w:iCs/>
          <w:lang w:val="en-US"/>
        </w:rPr>
        <w:t xml:space="preserve"> 34, 319, 425, 588, 617; </w:t>
      </w:r>
      <w:r w:rsidRPr="00433571">
        <w:rPr>
          <w:rFonts w:ascii="Arial Narrow" w:hAnsi="Arial Narrow"/>
          <w:iCs/>
          <w:lang w:val="en-US"/>
        </w:rPr>
        <w:t>I. Kamenetsky (1956)</w:t>
      </w:r>
      <w:r>
        <w:rPr>
          <w:rFonts w:ascii="Arial Narrow" w:hAnsi="Arial Narrow"/>
          <w:iCs/>
          <w:lang w:val="en-US"/>
        </w:rPr>
        <w:t xml:space="preserve"> 42</w:t>
      </w:r>
      <w:r w:rsidRPr="00F00C9C">
        <w:rPr>
          <w:rFonts w:ascii="Arial Narrow" w:hAnsi="Arial Narrow"/>
          <w:lang w:val="en-US"/>
        </w:rPr>
        <w:t>.</w:t>
      </w:r>
    </w:p>
  </w:footnote>
  <w:footnote w:id="363">
    <w:p w:rsidR="00392E0D" w:rsidRPr="00292069" w:rsidRDefault="00392E0D">
      <w:pPr>
        <w:pStyle w:val="Textodenotaderodap"/>
        <w:rPr>
          <w:rFonts w:ascii="Arial Narrow" w:hAnsi="Arial Narrow"/>
        </w:rPr>
      </w:pPr>
      <w:r w:rsidRPr="00292069">
        <w:rPr>
          <w:rStyle w:val="Refdenotaderodap"/>
          <w:rFonts w:ascii="Arial Narrow" w:hAnsi="Arial Narrow"/>
        </w:rPr>
        <w:footnoteRef/>
      </w:r>
      <w:r w:rsidRPr="006F060C">
        <w:rPr>
          <w:rFonts w:ascii="Arial Narrow" w:hAnsi="Arial Narrow"/>
          <w:lang w:val="en-US"/>
        </w:rPr>
        <w:t xml:space="preserve"> J. Noakes et al. (orgs. </w:t>
      </w:r>
      <w:r>
        <w:rPr>
          <w:rFonts w:ascii="Arial Narrow" w:hAnsi="Arial Narrow"/>
        </w:rPr>
        <w:t>2008-2010) IV 330.</w:t>
      </w:r>
    </w:p>
  </w:footnote>
  <w:footnote w:id="364">
    <w:p w:rsidR="00392E0D" w:rsidRPr="00FD73CA" w:rsidRDefault="00392E0D">
      <w:pPr>
        <w:pStyle w:val="Textodenotaderodap"/>
        <w:rPr>
          <w:rFonts w:ascii="Arial Narrow" w:hAnsi="Arial Narrow"/>
        </w:rPr>
      </w:pPr>
      <w:r w:rsidRPr="00FD73CA">
        <w:rPr>
          <w:rStyle w:val="Refdenotaderodap"/>
          <w:rFonts w:ascii="Arial Narrow" w:hAnsi="Arial Narrow"/>
        </w:rPr>
        <w:footnoteRef/>
      </w:r>
      <w:r w:rsidRPr="00FD73CA">
        <w:rPr>
          <w:rFonts w:ascii="Arial Narrow" w:hAnsi="Arial Narrow"/>
        </w:rPr>
        <w:t xml:space="preserve"> </w:t>
      </w:r>
      <w:r>
        <w:rPr>
          <w:rFonts w:ascii="Arial Narrow" w:hAnsi="Arial Narrow"/>
        </w:rPr>
        <w:t>Citado em M. Gilbert (2011 b) 412.</w:t>
      </w:r>
    </w:p>
  </w:footnote>
  <w:footnote w:id="36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Himmler declarou-o claramente n</w:t>
      </w:r>
      <w:r>
        <w:rPr>
          <w:rFonts w:ascii="Arial Narrow" w:hAnsi="Arial Narrow"/>
        </w:rPr>
        <w:t>um</w:t>
      </w:r>
      <w:r w:rsidRPr="003E305A">
        <w:rPr>
          <w:rFonts w:ascii="Arial Narrow" w:hAnsi="Arial Narrow"/>
        </w:rPr>
        <w:t xml:space="preserve"> discurso aos oficiais da Wehrmacht proferido em Bad Schachen em 14 de Outubro de 1943, consoante se lê em E. K. Bramstedt (1945) 243-244.</w:t>
      </w:r>
    </w:p>
  </w:footnote>
  <w:footnote w:id="366">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A. Hitler (1995) 267-269, 368.</w:t>
      </w:r>
    </w:p>
  </w:footnote>
  <w:footnote w:id="367">
    <w:p w:rsidR="00392E0D" w:rsidRPr="00DE6634" w:rsidRDefault="00392E0D" w:rsidP="00CE7905">
      <w:pPr>
        <w:pStyle w:val="Textodenotaderodap"/>
        <w:rPr>
          <w:rFonts w:ascii="Arial Narrow" w:hAnsi="Arial Narrow"/>
        </w:rPr>
      </w:pPr>
      <w:r w:rsidRPr="000F7EED">
        <w:rPr>
          <w:rStyle w:val="Refdenotaderodap"/>
          <w:rFonts w:ascii="Arial Narrow" w:hAnsi="Arial Narrow"/>
        </w:rPr>
        <w:footnoteRef/>
      </w:r>
      <w:r w:rsidRPr="00DE6634">
        <w:rPr>
          <w:rFonts w:ascii="Arial Narrow" w:hAnsi="Arial Narrow"/>
        </w:rPr>
        <w:t xml:space="preserve"> </w:t>
      </w:r>
      <w:r>
        <w:rPr>
          <w:rFonts w:ascii="Arial Narrow" w:hAnsi="Arial Narrow"/>
        </w:rPr>
        <w:t xml:space="preserve">Um antigo combatente nos Waffen-SS considerou que </w:t>
      </w:r>
      <w:r w:rsidRPr="00DE6634">
        <w:rPr>
          <w:rFonts w:ascii="Arial Narrow" w:hAnsi="Arial Narrow"/>
        </w:rPr>
        <w:t>«a saga h</w:t>
      </w:r>
      <w:r>
        <w:rPr>
          <w:rFonts w:ascii="Arial Narrow" w:hAnsi="Arial Narrow"/>
        </w:rPr>
        <w:t xml:space="preserve">itleriana propunha-se precisamente ressuscitar aquela sociedade feudal cuja extinção deplora e assentá-la sobre novas bases populares, dando-lhe como chefes pessoas desconhecidas, reveladas pelo sangue mais nobre [...]». Ver Saint-Loup (1987) 201. A uma conclusão convergente chegou </w:t>
      </w:r>
      <w:r w:rsidRPr="00274082">
        <w:rPr>
          <w:rFonts w:ascii="Arial Narrow" w:hAnsi="Arial Narrow"/>
        </w:rPr>
        <w:t>J. C. Fest (1974) 174 ao observar a «estranha mistura de medievalismo e modernidade» que caracterizara os nacionais-socialistas.</w:t>
      </w:r>
      <w:r>
        <w:rPr>
          <w:rFonts w:ascii="Arial Narrow" w:hAnsi="Arial Narrow"/>
        </w:rPr>
        <w:t xml:space="preserve"> Por seu lado, </w:t>
      </w:r>
      <w:r w:rsidRPr="000B629E">
        <w:rPr>
          <w:rFonts w:ascii="Arial Narrow" w:hAnsi="Arial Narrow"/>
        </w:rPr>
        <w:t>J. Herf (1986) 106 escreveu que «nas suas metáforas Jünger combinava as imagens feudais do serviço e do sacrifício com uma celebração modernista da eficiência e do vitalismo».</w:t>
      </w:r>
      <w:r>
        <w:rPr>
          <w:rFonts w:ascii="Arial Narrow" w:hAnsi="Arial Narrow"/>
        </w:rPr>
        <w:t xml:space="preserve"> Ainda acerca deste problema ver </w:t>
      </w:r>
      <w:r w:rsidRPr="00EE0146">
        <w:rPr>
          <w:rFonts w:ascii="Arial Narrow" w:hAnsi="Arial Narrow"/>
        </w:rPr>
        <w:t>Jeffrey Herf, op. cit., 171, 184 e 185.</w:t>
      </w:r>
    </w:p>
  </w:footnote>
  <w:footnote w:id="36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G. Aly et al. (2006) 114-120; E. Conte et al. </w:t>
      </w:r>
      <w:r w:rsidRPr="00321E01">
        <w:rPr>
          <w:rFonts w:ascii="Arial Narrow" w:hAnsi="Arial Narrow"/>
          <w:lang w:val="en-US"/>
        </w:rPr>
        <w:t xml:space="preserve">(1995) 266-344; </w:t>
      </w:r>
      <w:r>
        <w:rPr>
          <w:rFonts w:ascii="Arial Narrow" w:hAnsi="Arial Narrow"/>
          <w:lang w:val="en-US"/>
        </w:rPr>
        <w:t xml:space="preserve">M. Gilbert (2011 b) I 125; </w:t>
      </w:r>
      <w:r w:rsidRPr="00321E01">
        <w:rPr>
          <w:rFonts w:ascii="Arial Narrow" w:hAnsi="Arial Narrow"/>
          <w:lang w:val="en-US"/>
        </w:rPr>
        <w:t xml:space="preserve">W. L. Shirer (1995) II 351. </w:t>
      </w:r>
      <w:r w:rsidRPr="00582DAB">
        <w:rPr>
          <w:rFonts w:ascii="Arial Narrow" w:hAnsi="Arial Narrow"/>
        </w:rPr>
        <w:t>Po</w:t>
      </w:r>
      <w:r>
        <w:rPr>
          <w:rFonts w:ascii="Arial Narrow" w:hAnsi="Arial Narrow"/>
        </w:rPr>
        <w:t xml:space="preserve">rém, </w:t>
      </w:r>
      <w:r w:rsidRPr="003E305A">
        <w:rPr>
          <w:rFonts w:ascii="Arial Narrow" w:hAnsi="Arial Narrow"/>
        </w:rPr>
        <w:t xml:space="preserve">na sua minuciosa análise da colonização germânica da região de Zamość, na Polónia ocupada, Édouard Conte et al., </w:t>
      </w:r>
      <w:r w:rsidRPr="00582DAB">
        <w:rPr>
          <w:rFonts w:ascii="Arial Narrow" w:hAnsi="Arial Narrow"/>
        </w:rPr>
        <w:t>op. cit.,</w:t>
      </w:r>
      <w:r>
        <w:rPr>
          <w:rFonts w:ascii="Arial Narrow" w:hAnsi="Arial Narrow"/>
        </w:rPr>
        <w:t xml:space="preserve"> 265-344 confundira</w:t>
      </w:r>
      <w:r w:rsidRPr="003E305A">
        <w:rPr>
          <w:rFonts w:ascii="Arial Narrow" w:hAnsi="Arial Narrow"/>
        </w:rPr>
        <w:t xml:space="preserve">m o tratamento infligido aos judeus com o sofrido pelos eslavos, embora </w:t>
      </w:r>
      <w:r>
        <w:rPr>
          <w:rFonts w:ascii="Arial Narrow" w:hAnsi="Arial Narrow"/>
        </w:rPr>
        <w:t>dessem</w:t>
      </w:r>
      <w:r w:rsidRPr="003E305A">
        <w:rPr>
          <w:rFonts w:ascii="Arial Narrow" w:hAnsi="Arial Narrow"/>
        </w:rPr>
        <w:t xml:space="preserve"> elementos (págs. 277, 299, 309, 317, 341, 342) que permitem distinguir as duas situações.</w:t>
      </w:r>
    </w:p>
  </w:footnote>
  <w:footnote w:id="369">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Benoist-Méchin (1964-1966) II 18.</w:t>
      </w:r>
    </w:p>
  </w:footnote>
  <w:footnote w:id="370">
    <w:p w:rsidR="00392E0D" w:rsidRPr="00A22DD6" w:rsidRDefault="00392E0D">
      <w:pPr>
        <w:pStyle w:val="Textodenotaderodap"/>
        <w:rPr>
          <w:rFonts w:ascii="Arial Narrow" w:hAnsi="Arial Narrow"/>
        </w:rPr>
      </w:pPr>
      <w:r w:rsidRPr="00A22DD6">
        <w:rPr>
          <w:rStyle w:val="Refdenotaderodap"/>
          <w:rFonts w:ascii="Arial Narrow" w:hAnsi="Arial Narrow"/>
        </w:rPr>
        <w:footnoteRef/>
      </w:r>
      <w:r w:rsidRPr="00A22DD6">
        <w:rPr>
          <w:rFonts w:ascii="Arial Narrow" w:hAnsi="Arial Narrow"/>
        </w:rPr>
        <w:t xml:space="preserve"> Na</w:t>
      </w:r>
      <w:r>
        <w:rPr>
          <w:rFonts w:ascii="Arial Narrow" w:hAnsi="Arial Narrow"/>
        </w:rPr>
        <w:t xml:space="preserve"> noite de </w:t>
      </w:r>
      <w:r w:rsidRPr="00A22DD6">
        <w:rPr>
          <w:rFonts w:ascii="Arial Narrow" w:hAnsi="Arial Narrow"/>
          <w:iCs/>
        </w:rPr>
        <w:t>17</w:t>
      </w:r>
      <w:r>
        <w:rPr>
          <w:rFonts w:ascii="Arial Narrow" w:hAnsi="Arial Narrow"/>
          <w:iCs/>
        </w:rPr>
        <w:t xml:space="preserve"> para </w:t>
      </w:r>
      <w:r w:rsidRPr="00A22DD6">
        <w:rPr>
          <w:rFonts w:ascii="Arial Narrow" w:hAnsi="Arial Narrow"/>
          <w:iCs/>
        </w:rPr>
        <w:t>18 de Setembro de 1941</w:t>
      </w:r>
      <w:r>
        <w:rPr>
          <w:rFonts w:ascii="Arial Narrow" w:hAnsi="Arial Narrow"/>
          <w:iCs/>
        </w:rPr>
        <w:t xml:space="preserve">, em </w:t>
      </w:r>
      <w:r w:rsidRPr="00A22DD6">
        <w:rPr>
          <w:rFonts w:ascii="Arial Narrow" w:hAnsi="Arial Narrow"/>
          <w:bCs/>
          <w:i/>
          <w:iCs/>
        </w:rPr>
        <w:t>Hitler’s Table Talk</w:t>
      </w:r>
      <w:r w:rsidRPr="00A22DD6">
        <w:rPr>
          <w:rFonts w:ascii="Arial Narrow" w:hAnsi="Arial Narrow"/>
          <w:iCs/>
        </w:rPr>
        <w:t>...,</w:t>
      </w:r>
      <w:r>
        <w:rPr>
          <w:rFonts w:ascii="Arial Narrow" w:hAnsi="Arial Narrow"/>
          <w:iCs/>
        </w:rPr>
        <w:t xml:space="preserve"> 33.</w:t>
      </w:r>
    </w:p>
  </w:footnote>
  <w:footnote w:id="371">
    <w:p w:rsidR="00392E0D" w:rsidRPr="00A22DD6" w:rsidRDefault="00392E0D" w:rsidP="00321E01">
      <w:pPr>
        <w:pStyle w:val="Textodenotaderodap"/>
        <w:rPr>
          <w:rFonts w:ascii="Arial Narrow" w:hAnsi="Arial Narrow"/>
        </w:rPr>
      </w:pPr>
      <w:r w:rsidRPr="003E305A">
        <w:rPr>
          <w:rStyle w:val="Refdenotaderodap"/>
          <w:rFonts w:ascii="Arial Narrow" w:hAnsi="Arial Narrow"/>
        </w:rPr>
        <w:footnoteRef/>
      </w:r>
      <w:r w:rsidRPr="00A22DD6">
        <w:rPr>
          <w:rFonts w:ascii="Arial Narrow" w:hAnsi="Arial Narrow"/>
        </w:rPr>
        <w:t xml:space="preserve"> R. Cecil (1973) 202.</w:t>
      </w:r>
      <w:r>
        <w:rPr>
          <w:rFonts w:ascii="Arial Narrow" w:hAnsi="Arial Narrow"/>
        </w:rPr>
        <w:t xml:space="preserve"> Acerca das ideias do Führer a este respeito ver </w:t>
      </w:r>
      <w:r w:rsidRPr="00A22DD6">
        <w:rPr>
          <w:rFonts w:ascii="Arial Narrow" w:hAnsi="Arial Narrow"/>
          <w:bCs/>
          <w:i/>
          <w:iCs/>
        </w:rPr>
        <w:t>Hitler’s Table Talk</w:t>
      </w:r>
      <w:r w:rsidRPr="00A22DD6">
        <w:rPr>
          <w:rFonts w:ascii="Arial Narrow" w:hAnsi="Arial Narrow"/>
          <w:iCs/>
        </w:rPr>
        <w:t>...,</w:t>
      </w:r>
      <w:r>
        <w:rPr>
          <w:rFonts w:ascii="Arial Narrow" w:hAnsi="Arial Narrow"/>
          <w:iCs/>
        </w:rPr>
        <w:t xml:space="preserve"> 34, 40.</w:t>
      </w:r>
    </w:p>
  </w:footnote>
  <w:footnote w:id="37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H. Rauschning (1939) 55. Ver igualmente as declarações de Hitler reproduzidas em Benoist-Méchin (1964-1966) IV 289.</w:t>
      </w:r>
    </w:p>
  </w:footnote>
  <w:footnote w:id="373">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 L. Shirer (1995) II 351.</w:t>
      </w:r>
    </w:p>
  </w:footnote>
  <w:footnote w:id="37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II 43.</w:t>
      </w:r>
    </w:p>
  </w:footnote>
  <w:footnote w:id="37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II 229.</w:t>
      </w:r>
    </w:p>
  </w:footnote>
  <w:footnote w:id="376">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II 343, 351.</w:t>
      </w:r>
    </w:p>
  </w:footnote>
  <w:footnote w:id="377">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F. Neumann (1943) 212-213.</w:t>
      </w:r>
    </w:p>
  </w:footnote>
  <w:footnote w:id="37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H. Rauschning (1939) 61.</w:t>
      </w:r>
    </w:p>
  </w:footnote>
  <w:footnote w:id="37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 L. Shirer (1995) I 531.</w:t>
      </w:r>
    </w:p>
  </w:footnote>
  <w:footnote w:id="380">
    <w:p w:rsidR="00392E0D" w:rsidRPr="00BE5500"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BE5500">
        <w:rPr>
          <w:rFonts w:ascii="Arial Narrow" w:hAnsi="Arial Narrow"/>
          <w:lang w:val="en-US"/>
        </w:rPr>
        <w:t xml:space="preserve"> Id., ibid., I 545-546.</w:t>
      </w:r>
    </w:p>
  </w:footnote>
  <w:footnote w:id="38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116EA9">
        <w:rPr>
          <w:rFonts w:ascii="Arial Narrow" w:hAnsi="Arial Narrow"/>
          <w:lang w:val="en-US"/>
        </w:rPr>
        <w:t xml:space="preserve"> Citado em A. Bullock (1972) 697-698, A. Dallin (1957) 438, 593, M. Gilbert (2011 b) II 543, J. Noakes et al. </w:t>
      </w:r>
      <w:r w:rsidRPr="00BE5500">
        <w:rPr>
          <w:rFonts w:ascii="Arial Narrow" w:hAnsi="Arial Narrow"/>
        </w:rPr>
        <w:t>(orgs. 200</w:t>
      </w:r>
      <w:r>
        <w:rPr>
          <w:rFonts w:ascii="Arial Narrow" w:hAnsi="Arial Narrow"/>
        </w:rPr>
        <w:t>8-2010</w:t>
      </w:r>
      <w:r w:rsidRPr="00BE5500">
        <w:rPr>
          <w:rFonts w:ascii="Arial Narrow" w:hAnsi="Arial Narrow"/>
        </w:rPr>
        <w:t xml:space="preserve">) </w:t>
      </w:r>
      <w:r>
        <w:rPr>
          <w:rFonts w:ascii="Arial Narrow" w:hAnsi="Arial Narrow"/>
        </w:rPr>
        <w:t xml:space="preserve">III </w:t>
      </w:r>
      <w:r w:rsidRPr="00BE5500">
        <w:rPr>
          <w:rFonts w:ascii="Arial Narrow" w:hAnsi="Arial Narrow"/>
        </w:rPr>
        <w:t xml:space="preserve">311-312, </w:t>
      </w:r>
      <w:r w:rsidRPr="003E305A">
        <w:rPr>
          <w:rFonts w:ascii="Arial Narrow" w:hAnsi="Arial Narrow"/>
        </w:rPr>
        <w:t>A. Pichot (2000) 126, W. L. Shirer (1995) II 343 e H.-R. Trevor-Roper (1947) 25 n. 2.</w:t>
      </w:r>
    </w:p>
  </w:footnote>
  <w:footnote w:id="38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«Devido às dificuldades criadas pela falta de pessoas», pretende</w:t>
      </w:r>
      <w:r>
        <w:rPr>
          <w:rFonts w:ascii="Arial Narrow" w:hAnsi="Arial Narrow"/>
        </w:rPr>
        <w:t>u</w:t>
      </w:r>
      <w:r w:rsidRPr="003E305A">
        <w:rPr>
          <w:rFonts w:ascii="Arial Narrow" w:hAnsi="Arial Narrow"/>
        </w:rPr>
        <w:t xml:space="preserve"> A. Dallin (1957) 596, «eles [os Waffen</w:t>
      </w:r>
      <w:r>
        <w:rPr>
          <w:rFonts w:ascii="Arial Narrow" w:hAnsi="Arial Narrow"/>
        </w:rPr>
        <w:t>-</w:t>
      </w:r>
      <w:r w:rsidRPr="003E305A">
        <w:rPr>
          <w:rFonts w:ascii="Arial Narrow" w:hAnsi="Arial Narrow"/>
        </w:rPr>
        <w:t xml:space="preserve">SS] foram obrigados a mitigar os seus “padrões de pureza” originais [...]». No mesmo sentido ler a pág. 600. Uma tese idêntica </w:t>
      </w:r>
      <w:r>
        <w:rPr>
          <w:rFonts w:ascii="Arial Narrow" w:hAnsi="Arial Narrow"/>
        </w:rPr>
        <w:t>foi</w:t>
      </w:r>
      <w:r w:rsidRPr="003E305A">
        <w:rPr>
          <w:rFonts w:ascii="Arial Narrow" w:hAnsi="Arial Narrow"/>
        </w:rPr>
        <w:t xml:space="preserve"> defendida por J. Billig (2000) 282 e R. L. Koehl (1983) 184, 215-216. Mas Robert Lewis Koehl</w:t>
      </w:r>
      <w:r>
        <w:rPr>
          <w:rFonts w:ascii="Arial Narrow" w:hAnsi="Arial Narrow"/>
        </w:rPr>
        <w:t>,</w:t>
      </w:r>
      <w:r w:rsidRPr="003E305A">
        <w:rPr>
          <w:rFonts w:ascii="Arial Narrow" w:hAnsi="Arial Narrow"/>
        </w:rPr>
        <w:t xml:space="preserve"> </w:t>
      </w:r>
      <w:r w:rsidRPr="00D57473">
        <w:rPr>
          <w:rFonts w:ascii="Arial Narrow" w:hAnsi="Arial Narrow"/>
        </w:rPr>
        <w:t>op. cit.,</w:t>
      </w:r>
      <w:r w:rsidRPr="003E305A">
        <w:rPr>
          <w:rFonts w:ascii="Arial Narrow" w:hAnsi="Arial Narrow"/>
        </w:rPr>
        <w:t xml:space="preserve"> 189 confund</w:t>
      </w:r>
      <w:r>
        <w:rPr>
          <w:rFonts w:ascii="Arial Narrow" w:hAnsi="Arial Narrow"/>
        </w:rPr>
        <w:t>iu</w:t>
      </w:r>
      <w:r w:rsidRPr="003E305A">
        <w:rPr>
          <w:rFonts w:ascii="Arial Narrow" w:hAnsi="Arial Narrow"/>
        </w:rPr>
        <w:t xml:space="preserve"> a deterioração dos cursos de formação provocada pelo afluxo de recrutas com uma hipotética liberalização dos critérios raciais.</w:t>
      </w:r>
      <w:r>
        <w:rPr>
          <w:rFonts w:ascii="Arial Narrow" w:hAnsi="Arial Narrow"/>
        </w:rPr>
        <w:t xml:space="preserve"> Também </w:t>
      </w:r>
      <w:r w:rsidRPr="002F061C">
        <w:rPr>
          <w:rFonts w:ascii="Arial Narrow" w:hAnsi="Arial Narrow"/>
        </w:rPr>
        <w:t xml:space="preserve">A. Quinchon-Caudal (2013) </w:t>
      </w:r>
      <w:r>
        <w:rPr>
          <w:rFonts w:ascii="Arial Narrow" w:hAnsi="Arial Narrow"/>
        </w:rPr>
        <w:t xml:space="preserve">96, 102, </w:t>
      </w:r>
      <w:r w:rsidRPr="002544C3">
        <w:rPr>
          <w:rFonts w:ascii="Arial Narrow" w:hAnsi="Arial Narrow"/>
        </w:rPr>
        <w:t>W. Sofsky (199</w:t>
      </w:r>
      <w:r>
        <w:rPr>
          <w:rFonts w:ascii="Arial Narrow" w:hAnsi="Arial Narrow"/>
        </w:rPr>
        <w:t>7</w:t>
      </w:r>
      <w:r w:rsidRPr="002544C3">
        <w:rPr>
          <w:rFonts w:ascii="Arial Narrow" w:hAnsi="Arial Narrow"/>
        </w:rPr>
        <w:t>) 195</w:t>
      </w:r>
      <w:r>
        <w:rPr>
          <w:rFonts w:ascii="Arial Narrow" w:hAnsi="Arial Narrow"/>
        </w:rPr>
        <w:t xml:space="preserve"> e </w:t>
      </w:r>
      <w:r w:rsidRPr="001534E2">
        <w:rPr>
          <w:rFonts w:ascii="Arial Narrow" w:hAnsi="Arial Narrow"/>
        </w:rPr>
        <w:t xml:space="preserve">H. F. Ziegler (1989) </w:t>
      </w:r>
      <w:r>
        <w:rPr>
          <w:rFonts w:ascii="Arial Narrow" w:hAnsi="Arial Narrow"/>
        </w:rPr>
        <w:t>56 n. 94 consideraram</w:t>
      </w:r>
      <w:r w:rsidRPr="002544C3">
        <w:rPr>
          <w:rFonts w:ascii="Arial Narrow" w:hAnsi="Arial Narrow"/>
        </w:rPr>
        <w:t xml:space="preserve"> que os critérios de recrutamento racial dos SS </w:t>
      </w:r>
      <w:r>
        <w:rPr>
          <w:rFonts w:ascii="Arial Narrow" w:hAnsi="Arial Narrow"/>
        </w:rPr>
        <w:t xml:space="preserve">haviam </w:t>
      </w:r>
      <w:r w:rsidRPr="002544C3">
        <w:rPr>
          <w:rFonts w:ascii="Arial Narrow" w:hAnsi="Arial Narrow"/>
        </w:rPr>
        <w:t>baixa</w:t>
      </w:r>
      <w:r>
        <w:rPr>
          <w:rFonts w:ascii="Arial Narrow" w:hAnsi="Arial Narrow"/>
        </w:rPr>
        <w:t>do</w:t>
      </w:r>
      <w:r w:rsidRPr="002544C3">
        <w:rPr>
          <w:rFonts w:ascii="Arial Narrow" w:hAnsi="Arial Narrow"/>
        </w:rPr>
        <w:t xml:space="preserve"> durante a guerra e</w:t>
      </w:r>
      <w:r>
        <w:rPr>
          <w:rFonts w:ascii="Arial Narrow" w:hAnsi="Arial Narrow"/>
        </w:rPr>
        <w:t xml:space="preserve"> </w:t>
      </w:r>
      <w:r w:rsidRPr="002544C3">
        <w:rPr>
          <w:rFonts w:ascii="Arial Narrow" w:hAnsi="Arial Narrow"/>
        </w:rPr>
        <w:t>invoc</w:t>
      </w:r>
      <w:r>
        <w:rPr>
          <w:rFonts w:ascii="Arial Narrow" w:hAnsi="Arial Narrow"/>
        </w:rPr>
        <w:t xml:space="preserve">aram </w:t>
      </w:r>
      <w:r w:rsidRPr="002544C3">
        <w:rPr>
          <w:rFonts w:ascii="Arial Narrow" w:hAnsi="Arial Narrow"/>
        </w:rPr>
        <w:t xml:space="preserve">o facto de se </w:t>
      </w:r>
      <w:r>
        <w:rPr>
          <w:rFonts w:ascii="Arial Narrow" w:hAnsi="Arial Narrow"/>
        </w:rPr>
        <w:t xml:space="preserve">terem aberto </w:t>
      </w:r>
      <w:r w:rsidRPr="002544C3">
        <w:rPr>
          <w:rFonts w:ascii="Arial Narrow" w:hAnsi="Arial Narrow"/>
        </w:rPr>
        <w:t>a estrangeiros, o que mostra que não entende</w:t>
      </w:r>
      <w:r>
        <w:rPr>
          <w:rFonts w:ascii="Arial Narrow" w:hAnsi="Arial Narrow"/>
        </w:rPr>
        <w:t>ram</w:t>
      </w:r>
      <w:r w:rsidRPr="002544C3">
        <w:rPr>
          <w:rFonts w:ascii="Arial Narrow" w:hAnsi="Arial Narrow"/>
        </w:rPr>
        <w:t xml:space="preserve"> o plano racial </w:t>
      </w:r>
      <w:r>
        <w:rPr>
          <w:rFonts w:ascii="Arial Narrow" w:hAnsi="Arial Narrow"/>
        </w:rPr>
        <w:t xml:space="preserve">e supranacional </w:t>
      </w:r>
      <w:r w:rsidRPr="002544C3">
        <w:rPr>
          <w:rFonts w:ascii="Arial Narrow" w:hAnsi="Arial Narrow"/>
        </w:rPr>
        <w:t xml:space="preserve">em que </w:t>
      </w:r>
      <w:r>
        <w:rPr>
          <w:rFonts w:ascii="Arial Narrow" w:hAnsi="Arial Narrow"/>
        </w:rPr>
        <w:t xml:space="preserve">os SS </w:t>
      </w:r>
      <w:r w:rsidRPr="002544C3">
        <w:rPr>
          <w:rFonts w:ascii="Arial Narrow" w:hAnsi="Arial Narrow"/>
        </w:rPr>
        <w:t>se colocavam.</w:t>
      </w:r>
    </w:p>
  </w:footnote>
  <w:footnote w:id="383">
    <w:p w:rsidR="00392E0D" w:rsidRPr="0085515F" w:rsidRDefault="00392E0D">
      <w:pPr>
        <w:pStyle w:val="Textodenotaderodap"/>
        <w:rPr>
          <w:rFonts w:ascii="Arial Narrow" w:hAnsi="Arial Narrow"/>
        </w:rPr>
      </w:pPr>
      <w:r w:rsidRPr="0085515F">
        <w:rPr>
          <w:rStyle w:val="Refdenotaderodap"/>
          <w:rFonts w:ascii="Arial Narrow" w:hAnsi="Arial Narrow"/>
        </w:rPr>
        <w:footnoteRef/>
      </w:r>
      <w:r w:rsidRPr="0085515F">
        <w:rPr>
          <w:rFonts w:ascii="Arial Narrow" w:hAnsi="Arial Narrow"/>
        </w:rPr>
        <w:t xml:space="preserve"> H. F. Ziegler (1989) 55</w:t>
      </w:r>
      <w:r>
        <w:rPr>
          <w:rFonts w:ascii="Arial Narrow" w:hAnsi="Arial Narrow"/>
        </w:rPr>
        <w:t>-56</w:t>
      </w:r>
      <w:r w:rsidRPr="0085515F">
        <w:rPr>
          <w:rFonts w:ascii="Arial Narrow" w:hAnsi="Arial Narrow"/>
        </w:rPr>
        <w:t xml:space="preserve"> confundiu estes aspectos</w:t>
      </w:r>
      <w:r>
        <w:rPr>
          <w:rFonts w:ascii="Arial Narrow" w:hAnsi="Arial Narrow"/>
        </w:rPr>
        <w:t>, o que o levou a considerar erradamente (pág. 57) que «a pureza racial não podia constituir-se como o critério da elite no interior dos SS».</w:t>
      </w:r>
    </w:p>
  </w:footnote>
  <w:footnote w:id="384">
    <w:p w:rsidR="00392E0D" w:rsidRPr="003E305A" w:rsidRDefault="00392E0D" w:rsidP="00321E01">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rPr>
        <w:t xml:space="preserve"> M. Wheeler, «Yugoslavia», em I. C. B. Dear et al. </w:t>
      </w:r>
      <w:r w:rsidRPr="003E305A">
        <w:rPr>
          <w:rFonts w:ascii="Arial Narrow" w:hAnsi="Arial Narrow"/>
          <w:lang w:val="fr-FR"/>
        </w:rPr>
        <w:t>(orgs. 1995) 1295.</w:t>
      </w:r>
      <w:r>
        <w:rPr>
          <w:rFonts w:ascii="Arial Narrow" w:hAnsi="Arial Narrow"/>
          <w:lang w:val="fr-FR"/>
        </w:rPr>
        <w:t xml:space="preserve"> O que não impediu Léon Degrelle, o mais condecorado dos estrangeiros dos Waffen-SS, de os classificar como «mais eslavos do que os ucranianos». Ver. L. Degrelle (1949 a) 48.</w:t>
      </w:r>
    </w:p>
  </w:footnote>
  <w:footnote w:id="385">
    <w:p w:rsidR="00392E0D" w:rsidRPr="0074417D" w:rsidRDefault="00392E0D">
      <w:pPr>
        <w:pStyle w:val="Textodenotaderodap"/>
        <w:rPr>
          <w:rFonts w:ascii="Arial Narrow" w:hAnsi="Arial Narrow"/>
          <w:lang w:val="en-US"/>
        </w:rPr>
      </w:pPr>
      <w:r w:rsidRPr="0074417D">
        <w:rPr>
          <w:rStyle w:val="Refdenotaderodap"/>
          <w:rFonts w:ascii="Arial Narrow" w:hAnsi="Arial Narrow"/>
        </w:rPr>
        <w:footnoteRef/>
      </w:r>
      <w:r w:rsidRPr="0074417D">
        <w:rPr>
          <w:rFonts w:ascii="Arial Narrow" w:hAnsi="Arial Narrow"/>
          <w:lang w:val="en-US"/>
        </w:rPr>
        <w:t xml:space="preserve"> </w:t>
      </w:r>
      <w:r w:rsidRPr="00437001">
        <w:rPr>
          <w:rFonts w:ascii="Arial Narrow" w:hAnsi="Arial Narrow"/>
          <w:bCs/>
          <w:i/>
          <w:iCs/>
          <w:lang w:val="en-US"/>
        </w:rPr>
        <w:t>Hitler’s Table Talk</w:t>
      </w:r>
      <w:r w:rsidRPr="00437001">
        <w:rPr>
          <w:rFonts w:ascii="Arial Narrow" w:hAnsi="Arial Narrow"/>
          <w:iCs/>
          <w:lang w:val="en-US"/>
        </w:rPr>
        <w:t>..., 95, 473.</w:t>
      </w:r>
    </w:p>
  </w:footnote>
  <w:footnote w:id="386">
    <w:p w:rsidR="00392E0D" w:rsidRPr="006C1757" w:rsidRDefault="00392E0D">
      <w:pPr>
        <w:pStyle w:val="Textodenotaderodap"/>
        <w:rPr>
          <w:rFonts w:ascii="Arial Narrow" w:hAnsi="Arial Narrow"/>
          <w:lang w:val="en-US"/>
        </w:rPr>
      </w:pPr>
      <w:r w:rsidRPr="007A5C80">
        <w:rPr>
          <w:rStyle w:val="Refdenotaderodap"/>
          <w:rFonts w:ascii="Arial Narrow" w:hAnsi="Arial Narrow"/>
        </w:rPr>
        <w:footnoteRef/>
      </w:r>
      <w:r w:rsidRPr="006C1757">
        <w:rPr>
          <w:rFonts w:ascii="Arial Narrow" w:hAnsi="Arial Narrow"/>
          <w:lang w:val="en-US"/>
        </w:rPr>
        <w:t xml:space="preserve"> L. Degrelle (2000) 153</w:t>
      </w:r>
      <w:r>
        <w:rPr>
          <w:rFonts w:ascii="Arial Narrow" w:hAnsi="Arial Narrow"/>
          <w:lang w:val="en-US"/>
        </w:rPr>
        <w:t>; id. [s. d.] 18</w:t>
      </w:r>
      <w:r w:rsidRPr="006C1757">
        <w:rPr>
          <w:rFonts w:ascii="Arial Narrow" w:hAnsi="Arial Narrow"/>
          <w:lang w:val="en-US"/>
        </w:rPr>
        <w:t>.</w:t>
      </w:r>
    </w:p>
  </w:footnote>
  <w:footnote w:id="387">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A. Dallin (1957) 600</w:t>
      </w:r>
      <w:r>
        <w:rPr>
          <w:rFonts w:ascii="Arial Narrow" w:hAnsi="Arial Narrow"/>
          <w:lang w:val="fr-FR"/>
        </w:rPr>
        <w:t xml:space="preserve">; </w:t>
      </w:r>
      <w:r w:rsidRPr="006C1757">
        <w:rPr>
          <w:rFonts w:ascii="Arial Narrow" w:hAnsi="Arial Narrow"/>
          <w:lang w:val="en-US"/>
        </w:rPr>
        <w:t>L. Degrelle (2000) 153</w:t>
      </w:r>
      <w:r w:rsidRPr="003E305A">
        <w:rPr>
          <w:rFonts w:ascii="Arial Narrow" w:hAnsi="Arial Narrow"/>
          <w:lang w:val="fr-FR"/>
        </w:rPr>
        <w:t>.</w:t>
      </w:r>
      <w:r>
        <w:rPr>
          <w:rFonts w:ascii="Arial Narrow" w:hAnsi="Arial Narrow"/>
          <w:lang w:val="fr-FR"/>
        </w:rPr>
        <w:t xml:space="preserve"> M. Gilbert (2011 b) II 534 referiu uma revolta de uma divisão dos Waffen-SS constituída por muçulmanos da Bósnia.</w:t>
      </w:r>
    </w:p>
  </w:footnote>
  <w:footnote w:id="388">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M. Bardèche et al. </w:t>
      </w:r>
      <w:r w:rsidRPr="003E305A">
        <w:rPr>
          <w:rFonts w:ascii="Arial Narrow" w:hAnsi="Arial Narrow"/>
        </w:rPr>
        <w:t>(1969) 105-106.</w:t>
      </w:r>
    </w:p>
  </w:footnote>
  <w:footnote w:id="38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As declarações de Hitler e dos SS favoráveis aos muçulmanos do Cáucaso e dos Balcãs, e em geral aos povos turcos, encontram-se em A. Dallin (1957) 251 e 601. Segundo G. Aly et al. (2006) 111, o Führer anunciou em 1942 que «existem ainda alguns godos no Cáucaso e na Crimeia». O que não impediu que de início, e durante cerca de seis meses, os SS matassem prisioneiros muçulmanos que, por serem circuncisos, haviam sido tomados por judeus. Ver a este respeito Alexander Dallin,</w:t>
      </w:r>
      <w:r w:rsidRPr="00D57473">
        <w:rPr>
          <w:rFonts w:ascii="Arial Narrow" w:hAnsi="Arial Narrow"/>
        </w:rPr>
        <w:t xml:space="preserve"> op. cit.,</w:t>
      </w:r>
      <w:r w:rsidRPr="003E305A">
        <w:rPr>
          <w:rFonts w:ascii="Arial Narrow" w:hAnsi="Arial Narrow"/>
        </w:rPr>
        <w:t xml:space="preserve"> 418.</w:t>
      </w:r>
    </w:p>
  </w:footnote>
  <w:footnote w:id="390">
    <w:p w:rsidR="00392E0D" w:rsidRPr="00FE50FD" w:rsidRDefault="00392E0D" w:rsidP="00D57473">
      <w:pPr>
        <w:pStyle w:val="Textodenotaderodap"/>
        <w:ind w:firstLine="708"/>
        <w:rPr>
          <w:rFonts w:ascii="Arial Narrow" w:hAnsi="Arial Narrow"/>
        </w:rPr>
      </w:pPr>
      <w:r w:rsidRPr="008939F2">
        <w:rPr>
          <w:rStyle w:val="Refdenotaderodap"/>
          <w:rFonts w:ascii="Arial Narrow" w:hAnsi="Arial Narrow"/>
        </w:rPr>
        <w:footnoteRef/>
      </w:r>
      <w:r w:rsidRPr="00FE50FD">
        <w:rPr>
          <w:rFonts w:ascii="Arial Narrow" w:hAnsi="Arial Narrow"/>
        </w:rPr>
        <w:t xml:space="preserve"> </w:t>
      </w:r>
      <w:r w:rsidRPr="009F11E1">
        <w:rPr>
          <w:rFonts w:ascii="Arial Narrow" w:hAnsi="Arial Narrow"/>
        </w:rPr>
        <w:t xml:space="preserve">Ł. Hirszowicz (1966) </w:t>
      </w:r>
      <w:r w:rsidRPr="00FE50FD">
        <w:rPr>
          <w:rFonts w:ascii="Arial Narrow" w:hAnsi="Arial Narrow"/>
        </w:rPr>
        <w:t>262-263, 267, 312-313.</w:t>
      </w:r>
    </w:p>
  </w:footnote>
  <w:footnote w:id="391">
    <w:p w:rsidR="00392E0D" w:rsidRPr="003A33F2" w:rsidRDefault="00392E0D" w:rsidP="00FE50FD">
      <w:pPr>
        <w:pStyle w:val="Textodenotaderodap"/>
        <w:rPr>
          <w:rFonts w:ascii="Arial Narrow" w:hAnsi="Arial Narrow"/>
        </w:rPr>
      </w:pPr>
      <w:r w:rsidRPr="003A33F2">
        <w:rPr>
          <w:rStyle w:val="Refdenotaderodap"/>
          <w:rFonts w:ascii="Arial Narrow" w:hAnsi="Arial Narrow"/>
        </w:rPr>
        <w:footnoteRef/>
      </w:r>
      <w:r w:rsidRPr="003A33F2">
        <w:rPr>
          <w:rFonts w:ascii="Arial Narrow" w:hAnsi="Arial Narrow"/>
        </w:rPr>
        <w:t xml:space="preserve"> </w:t>
      </w:r>
      <w:r>
        <w:rPr>
          <w:rFonts w:ascii="Arial Narrow" w:hAnsi="Arial Narrow"/>
        </w:rPr>
        <w:t xml:space="preserve">Em </w:t>
      </w:r>
      <w:r w:rsidRPr="003A33F2">
        <w:rPr>
          <w:rFonts w:ascii="Arial Narrow" w:hAnsi="Arial Narrow"/>
          <w:iCs/>
        </w:rPr>
        <w:t>1 de Julho de 1942</w:t>
      </w:r>
      <w:r>
        <w:rPr>
          <w:rFonts w:ascii="Arial Narrow" w:hAnsi="Arial Narrow"/>
          <w:iCs/>
        </w:rPr>
        <w:t xml:space="preserve">, em </w:t>
      </w:r>
      <w:r w:rsidRPr="003A33F2">
        <w:rPr>
          <w:rFonts w:ascii="Arial Narrow" w:hAnsi="Arial Narrow"/>
          <w:bCs/>
          <w:i/>
          <w:iCs/>
        </w:rPr>
        <w:t>Hitler’s Table Talk</w:t>
      </w:r>
      <w:r w:rsidRPr="003A33F2">
        <w:rPr>
          <w:rFonts w:ascii="Arial Narrow" w:hAnsi="Arial Narrow"/>
          <w:iCs/>
        </w:rPr>
        <w:t>...,</w:t>
      </w:r>
      <w:r>
        <w:rPr>
          <w:rFonts w:ascii="Arial Narrow" w:hAnsi="Arial Narrow"/>
          <w:iCs/>
        </w:rPr>
        <w:t xml:space="preserve"> 547.</w:t>
      </w:r>
    </w:p>
  </w:footnote>
  <w:footnote w:id="392">
    <w:p w:rsidR="00392E0D" w:rsidRPr="008A797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D57473">
        <w:rPr>
          <w:rFonts w:ascii="Arial Narrow" w:hAnsi="Arial Narrow"/>
          <w:lang w:val="en-US"/>
        </w:rPr>
        <w:t xml:space="preserve"> L. Degrelle [s. d.] 17; R. L. Koehl (1983) 207. </w:t>
      </w:r>
      <w:r>
        <w:rPr>
          <w:rFonts w:ascii="Arial Narrow" w:hAnsi="Arial Narrow"/>
        </w:rPr>
        <w:t xml:space="preserve">O Führer atribuía a </w:t>
      </w:r>
      <w:r w:rsidRPr="008A797A">
        <w:rPr>
          <w:rFonts w:ascii="Arial Narrow" w:hAnsi="Arial Narrow"/>
          <w:iCs/>
        </w:rPr>
        <w:t xml:space="preserve">Antonescu </w:t>
      </w:r>
      <w:r>
        <w:rPr>
          <w:rFonts w:ascii="Arial Narrow" w:hAnsi="Arial Narrow"/>
          <w:iCs/>
        </w:rPr>
        <w:t xml:space="preserve">uma </w:t>
      </w:r>
      <w:r w:rsidRPr="008A797A">
        <w:rPr>
          <w:rFonts w:ascii="Arial Narrow" w:hAnsi="Arial Narrow"/>
          <w:iCs/>
        </w:rPr>
        <w:t>origem germ</w:t>
      </w:r>
      <w:r>
        <w:rPr>
          <w:rFonts w:ascii="Arial Narrow" w:hAnsi="Arial Narrow"/>
          <w:iCs/>
        </w:rPr>
        <w:t xml:space="preserve">ânica, mas desprezava a composição racial da generalidade dos romenos. Ver </w:t>
      </w:r>
      <w:r w:rsidRPr="008A797A">
        <w:rPr>
          <w:rFonts w:ascii="Arial Narrow" w:hAnsi="Arial Narrow"/>
          <w:bCs/>
          <w:i/>
          <w:iCs/>
        </w:rPr>
        <w:t>Hitler’s Table Talk</w:t>
      </w:r>
      <w:r w:rsidRPr="008A797A">
        <w:rPr>
          <w:rFonts w:ascii="Arial Narrow" w:hAnsi="Arial Narrow"/>
          <w:iCs/>
        </w:rPr>
        <w:t>...,</w:t>
      </w:r>
      <w:r>
        <w:rPr>
          <w:rFonts w:ascii="Arial Narrow" w:hAnsi="Arial Narrow"/>
          <w:iCs/>
        </w:rPr>
        <w:t xml:space="preserve"> 49 e 337.</w:t>
      </w:r>
    </w:p>
  </w:footnote>
  <w:footnote w:id="393">
    <w:p w:rsidR="00392E0D" w:rsidRPr="0010091B" w:rsidRDefault="00392E0D" w:rsidP="00E925C8">
      <w:pPr>
        <w:pStyle w:val="Textodenotaderodap"/>
        <w:rPr>
          <w:rFonts w:ascii="Arial Narrow" w:hAnsi="Arial Narrow"/>
        </w:rPr>
      </w:pPr>
      <w:r w:rsidRPr="003E305A">
        <w:rPr>
          <w:rStyle w:val="Refdenotaderodap"/>
          <w:rFonts w:ascii="Arial Narrow" w:hAnsi="Arial Narrow"/>
        </w:rPr>
        <w:footnoteRef/>
      </w:r>
      <w:r w:rsidRPr="0010091B">
        <w:rPr>
          <w:rFonts w:ascii="Arial Narrow" w:hAnsi="Arial Narrow"/>
        </w:rPr>
        <w:t xml:space="preserve"> A. Dallin (1957) 598-599; I. Kamenetsky (1956) 74. Aliás, a crer em Ihor Kamenetsky, op. cit., 74 n. 28, na Galícia foram autorizados estabelecimentos de ensino superior e uma instituição política rudimentar.</w:t>
      </w:r>
    </w:p>
  </w:footnote>
  <w:footnote w:id="394">
    <w:p w:rsidR="00392E0D" w:rsidRPr="0010091B" w:rsidRDefault="00392E0D" w:rsidP="00E925C8">
      <w:pPr>
        <w:pStyle w:val="Textodenotaderodap"/>
        <w:rPr>
          <w:rFonts w:ascii="Arial Narrow" w:hAnsi="Arial Narrow"/>
        </w:rPr>
      </w:pPr>
      <w:r w:rsidRPr="003E305A">
        <w:rPr>
          <w:rStyle w:val="Refdenotaderodap"/>
          <w:rFonts w:ascii="Arial Narrow" w:hAnsi="Arial Narrow"/>
        </w:rPr>
        <w:footnoteRef/>
      </w:r>
      <w:r w:rsidRPr="0010091B">
        <w:rPr>
          <w:rFonts w:ascii="Arial Narrow" w:hAnsi="Arial Narrow"/>
        </w:rPr>
        <w:t xml:space="preserve"> S. Littman (2003) 59. Ver ainda A. Dallin (1957) 599.</w:t>
      </w:r>
    </w:p>
  </w:footnote>
  <w:footnote w:id="39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 xml:space="preserve">A. Rosenberg [s. d. 1] 96 afirmou que os estónios e os letões eram considerados povos germânicos. L. Degrelle (1949 a) 335-336 mencionou um corpo de elite dos Waffen-SS formado, entre outros, por estónios e letões. </w:t>
      </w:r>
      <w:r w:rsidRPr="003E305A">
        <w:rPr>
          <w:rFonts w:ascii="Arial Narrow" w:hAnsi="Arial Narrow"/>
        </w:rPr>
        <w:t>M. Bardèche et al. (1969) 43 e 110 refer</w:t>
      </w:r>
      <w:r>
        <w:rPr>
          <w:rFonts w:ascii="Arial Narrow" w:hAnsi="Arial Narrow"/>
        </w:rPr>
        <w:t>ira</w:t>
      </w:r>
      <w:r w:rsidRPr="003E305A">
        <w:rPr>
          <w:rFonts w:ascii="Arial Narrow" w:hAnsi="Arial Narrow"/>
        </w:rPr>
        <w:t>m a existência de uma divisão, ou brigada, estónia nos Waffen</w:t>
      </w:r>
      <w:r>
        <w:rPr>
          <w:rFonts w:ascii="Arial Narrow" w:hAnsi="Arial Narrow"/>
        </w:rPr>
        <w:t>-</w:t>
      </w:r>
      <w:r w:rsidRPr="003E305A">
        <w:rPr>
          <w:rFonts w:ascii="Arial Narrow" w:hAnsi="Arial Narrow"/>
        </w:rPr>
        <w:t>SS e A. Dallin (1957) 195 inform</w:t>
      </w:r>
      <w:r>
        <w:rPr>
          <w:rFonts w:ascii="Arial Narrow" w:hAnsi="Arial Narrow"/>
        </w:rPr>
        <w:t>ou</w:t>
      </w:r>
      <w:r w:rsidRPr="003E305A">
        <w:rPr>
          <w:rFonts w:ascii="Arial Narrow" w:hAnsi="Arial Narrow"/>
        </w:rPr>
        <w:t xml:space="preserve"> que no final de 1943 Himmler insisti</w:t>
      </w:r>
      <w:r>
        <w:rPr>
          <w:rFonts w:ascii="Arial Narrow" w:hAnsi="Arial Narrow"/>
        </w:rPr>
        <w:t>r</w:t>
      </w:r>
      <w:r w:rsidRPr="003E305A">
        <w:rPr>
          <w:rFonts w:ascii="Arial Narrow" w:hAnsi="Arial Narrow"/>
        </w:rPr>
        <w:t>a no recrutamento de estónios e de letões para os SS.</w:t>
      </w:r>
      <w:r>
        <w:rPr>
          <w:rFonts w:ascii="Arial Narrow" w:hAnsi="Arial Narrow"/>
        </w:rPr>
        <w:t xml:space="preserve"> H. G. Dahms (1968) II 325 e J. Noakes et al. (orgs. 2008-2010) III 529 mencionaram um corpo letão nos Waffen-SS. Para um episódio com uma companhia SS formada por letões ver F. MacLean (1998) 151.</w:t>
      </w:r>
    </w:p>
  </w:footnote>
  <w:footnote w:id="396">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A. Dallin (1957) 191, 464.</w:t>
      </w:r>
    </w:p>
  </w:footnote>
  <w:footnote w:id="397">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391</w:t>
      </w:r>
      <w:r>
        <w:rPr>
          <w:rFonts w:ascii="Arial Narrow" w:hAnsi="Arial Narrow"/>
          <w:lang w:val="en-GB"/>
        </w:rPr>
        <w:t xml:space="preserve">, </w:t>
      </w:r>
      <w:r w:rsidRPr="003E305A">
        <w:rPr>
          <w:rFonts w:ascii="Arial Narrow" w:hAnsi="Arial Narrow"/>
          <w:lang w:val="en-GB"/>
        </w:rPr>
        <w:t>442.</w:t>
      </w:r>
    </w:p>
  </w:footnote>
  <w:footnote w:id="398">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182-184.</w:t>
      </w:r>
    </w:p>
  </w:footnote>
  <w:footnote w:id="399">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5F4453">
        <w:rPr>
          <w:rFonts w:ascii="Arial Narrow" w:hAnsi="Arial Narrow"/>
          <w:lang w:val="en-US"/>
        </w:rPr>
        <w:t xml:space="preserve"> R. Cecil (1973) 200; H. G. Dahms (1968) II 194-195; A. Dallin (1957) 184-185. </w:t>
      </w:r>
      <w:r w:rsidRPr="005F4453">
        <w:rPr>
          <w:rFonts w:ascii="Arial Narrow" w:hAnsi="Arial Narrow"/>
        </w:rPr>
        <w:t xml:space="preserve">É estranho que em </w:t>
      </w:r>
      <w:r w:rsidRPr="005F4453">
        <w:rPr>
          <w:rFonts w:ascii="Arial Narrow" w:hAnsi="Arial Narrow"/>
          <w:iCs/>
        </w:rPr>
        <w:t>Julho de 1941 o Führer, depois de ter classificado os est</w:t>
      </w:r>
      <w:r>
        <w:rPr>
          <w:rFonts w:ascii="Arial Narrow" w:hAnsi="Arial Narrow"/>
          <w:iCs/>
        </w:rPr>
        <w:t xml:space="preserve">ónios como «a elite dos povos bálticos», tivesse atribuído o segundo lugar aos lituanos e deixado os letões para o fim. </w:t>
      </w:r>
      <w:r w:rsidRPr="00437001">
        <w:rPr>
          <w:rFonts w:ascii="Arial Narrow" w:hAnsi="Arial Narrow"/>
          <w:iCs/>
        </w:rPr>
        <w:t xml:space="preserve">Ver </w:t>
      </w:r>
      <w:r w:rsidRPr="00437001">
        <w:rPr>
          <w:rFonts w:ascii="Arial Narrow" w:hAnsi="Arial Narrow"/>
          <w:bCs/>
          <w:i/>
          <w:iCs/>
        </w:rPr>
        <w:t>Hitler’s Table Talk</w:t>
      </w:r>
      <w:r w:rsidRPr="00437001">
        <w:rPr>
          <w:rFonts w:ascii="Arial Narrow" w:hAnsi="Arial Narrow"/>
          <w:iCs/>
        </w:rPr>
        <w:t xml:space="preserve">..., 8. </w:t>
      </w:r>
      <w:r w:rsidRPr="0072004F">
        <w:rPr>
          <w:rFonts w:ascii="Arial Narrow" w:hAnsi="Arial Narrow"/>
        </w:rPr>
        <w:t xml:space="preserve">H. Arendt (1994) 154 confundiu estónios, letões e lituanos com os </w:t>
      </w:r>
      <w:r w:rsidRPr="0072004F">
        <w:rPr>
          <w:rFonts w:ascii="Arial Narrow" w:hAnsi="Arial Narrow"/>
          <w:i/>
        </w:rPr>
        <w:t>Untermenshen</w:t>
      </w:r>
      <w:r w:rsidRPr="0072004F">
        <w:rPr>
          <w:rFonts w:ascii="Arial Narrow" w:hAnsi="Arial Narrow"/>
        </w:rPr>
        <w:t xml:space="preserve">. </w:t>
      </w:r>
      <w:r w:rsidRPr="003E305A">
        <w:rPr>
          <w:rFonts w:ascii="Arial Narrow" w:hAnsi="Arial Narrow"/>
        </w:rPr>
        <w:t>Apesar de ter estudado atentamente o nacional-socialismo e se ter interessado com detalhe pelo anti-semitismo contemporâneo, esta autora mostr</w:t>
      </w:r>
      <w:r>
        <w:rPr>
          <w:rFonts w:ascii="Arial Narrow" w:hAnsi="Arial Narrow"/>
        </w:rPr>
        <w:t>ou</w:t>
      </w:r>
      <w:r w:rsidRPr="003E305A">
        <w:rPr>
          <w:rFonts w:ascii="Arial Narrow" w:hAnsi="Arial Narrow"/>
        </w:rPr>
        <w:t>-se incapaz de entender a dialéctica interna do racismo hitleriano e o papel que nele ocupavam os eslavos e os judeus.</w:t>
      </w:r>
    </w:p>
  </w:footnote>
  <w:footnote w:id="400">
    <w:p w:rsidR="00392E0D" w:rsidRPr="00761240"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M. Bardèche et al. (1969) 110; A. Dallin (1957) 597.</w:t>
      </w:r>
      <w:r>
        <w:rPr>
          <w:rFonts w:ascii="Arial Narrow" w:hAnsi="Arial Narrow"/>
          <w:lang w:val="fr-FR"/>
        </w:rPr>
        <w:t xml:space="preserve"> </w:t>
      </w:r>
      <w:r w:rsidRPr="002D2199">
        <w:rPr>
          <w:rFonts w:ascii="Arial Narrow" w:hAnsi="Arial Narrow"/>
        </w:rPr>
        <w:t>Sem citar fontes</w:t>
      </w:r>
      <w:r>
        <w:rPr>
          <w:rFonts w:ascii="Arial Narrow" w:hAnsi="Arial Narrow"/>
        </w:rPr>
        <w:t>,</w:t>
      </w:r>
      <w:r w:rsidRPr="002D2199">
        <w:rPr>
          <w:rFonts w:ascii="Arial Narrow" w:hAnsi="Arial Narrow"/>
        </w:rPr>
        <w:t xml:space="preserve"> W. Sofsky (199</w:t>
      </w:r>
      <w:r>
        <w:rPr>
          <w:rFonts w:ascii="Arial Narrow" w:hAnsi="Arial Narrow"/>
        </w:rPr>
        <w:t>7</w:t>
      </w:r>
      <w:r w:rsidRPr="002D2199">
        <w:rPr>
          <w:rFonts w:ascii="Arial Narrow" w:hAnsi="Arial Narrow"/>
        </w:rPr>
        <w:t>) 195</w:t>
      </w:r>
      <w:r>
        <w:rPr>
          <w:rFonts w:ascii="Arial Narrow" w:hAnsi="Arial Narrow"/>
        </w:rPr>
        <w:t xml:space="preserve"> </w:t>
      </w:r>
      <w:r w:rsidRPr="002D2199">
        <w:rPr>
          <w:rFonts w:ascii="Arial Narrow" w:hAnsi="Arial Narrow"/>
        </w:rPr>
        <w:t>mencion</w:t>
      </w:r>
      <w:r>
        <w:rPr>
          <w:rFonts w:ascii="Arial Narrow" w:hAnsi="Arial Narrow"/>
        </w:rPr>
        <w:t>ou</w:t>
      </w:r>
      <w:r w:rsidRPr="002D2199">
        <w:rPr>
          <w:rFonts w:ascii="Arial Narrow" w:hAnsi="Arial Narrow"/>
        </w:rPr>
        <w:t xml:space="preserve"> o recrutamento de lituanos </w:t>
      </w:r>
      <w:r>
        <w:rPr>
          <w:rFonts w:ascii="Arial Narrow" w:hAnsi="Arial Narrow"/>
        </w:rPr>
        <w:t>pel</w:t>
      </w:r>
      <w:r w:rsidRPr="002D2199">
        <w:rPr>
          <w:rFonts w:ascii="Arial Narrow" w:hAnsi="Arial Narrow"/>
        </w:rPr>
        <w:t>os SS,</w:t>
      </w:r>
      <w:r>
        <w:rPr>
          <w:rFonts w:ascii="Arial Narrow" w:hAnsi="Arial Narrow"/>
        </w:rPr>
        <w:t xml:space="preserve"> mas este autor parece-me pouco credível em tudo o que diz respeito às noções rácicas dos nacionais-socialistas. A revista </w:t>
      </w:r>
      <w:r w:rsidRPr="00203197">
        <w:rPr>
          <w:rFonts w:ascii="Arial Narrow" w:hAnsi="Arial Narrow"/>
          <w:i/>
        </w:rPr>
        <w:t>SS Leitheft</w:t>
      </w:r>
      <w:r>
        <w:rPr>
          <w:rFonts w:ascii="Arial Narrow" w:hAnsi="Arial Narrow"/>
          <w:i/>
        </w:rPr>
        <w:t>,</w:t>
      </w:r>
      <w:r>
        <w:rPr>
          <w:rFonts w:ascii="Arial Narrow" w:hAnsi="Arial Narrow"/>
        </w:rPr>
        <w:t xml:space="preserve"> num artigo de Fevereiro de 1944, mencionou o recrutamento de estónios e letões, sem citar lituanos. </w:t>
      </w:r>
      <w:r w:rsidRPr="0010091B">
        <w:rPr>
          <w:rFonts w:ascii="Arial Narrow" w:hAnsi="Arial Narrow"/>
        </w:rPr>
        <w:t>Ver K. Hammer (org. 1988-1994) II 14.</w:t>
      </w:r>
    </w:p>
  </w:footnote>
  <w:footnote w:id="401">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R. L. Koehl (1983) 174, 184. </w:t>
      </w:r>
      <w:r>
        <w:rPr>
          <w:rFonts w:ascii="Arial Narrow" w:hAnsi="Arial Narrow"/>
        </w:rPr>
        <w:t xml:space="preserve">Ver também F. MacLean (1998) 99. </w:t>
      </w:r>
    </w:p>
  </w:footnote>
  <w:footnote w:id="402">
    <w:p w:rsidR="00392E0D" w:rsidRPr="003E305A" w:rsidRDefault="00392E0D" w:rsidP="00321E01">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M. Bardèche et al. (1969) 107-108, 110; </w:t>
      </w:r>
      <w:r w:rsidRPr="00DE2E09">
        <w:rPr>
          <w:rFonts w:ascii="Arial Narrow" w:hAnsi="Arial Narrow"/>
          <w:lang w:val="en-US"/>
        </w:rPr>
        <w:t>S. Friedländer (2008)</w:t>
      </w:r>
      <w:r>
        <w:rPr>
          <w:rFonts w:ascii="Arial Narrow" w:hAnsi="Arial Narrow"/>
          <w:lang w:val="en-US"/>
        </w:rPr>
        <w:t xml:space="preserve"> 543; </w:t>
      </w:r>
      <w:r w:rsidRPr="003E305A">
        <w:rPr>
          <w:rFonts w:ascii="Arial Narrow" w:hAnsi="Arial Narrow"/>
          <w:lang w:val="fr-FR"/>
        </w:rPr>
        <w:t>S. Littman (2003) 25-26, 36-38</w:t>
      </w:r>
      <w:r>
        <w:rPr>
          <w:rFonts w:ascii="Arial Narrow" w:hAnsi="Arial Narrow"/>
          <w:lang w:val="fr-FR"/>
        </w:rPr>
        <w:t>; F. MacLean (1998) 84</w:t>
      </w:r>
      <w:r w:rsidRPr="003E305A">
        <w:rPr>
          <w:rFonts w:ascii="Arial Narrow" w:hAnsi="Arial Narrow"/>
          <w:lang w:val="fr-FR"/>
        </w:rPr>
        <w:t>.</w:t>
      </w:r>
    </w:p>
  </w:footnote>
  <w:footnote w:id="403">
    <w:p w:rsidR="00392E0D" w:rsidRPr="00C56D15" w:rsidRDefault="00392E0D">
      <w:pPr>
        <w:pStyle w:val="Textodenotaderodap"/>
        <w:rPr>
          <w:rFonts w:ascii="Arial Narrow" w:hAnsi="Arial Narrow"/>
        </w:rPr>
      </w:pPr>
      <w:r w:rsidRPr="00C56D15">
        <w:rPr>
          <w:rStyle w:val="Refdenotaderodap"/>
          <w:rFonts w:ascii="Arial Narrow" w:hAnsi="Arial Narrow"/>
        </w:rPr>
        <w:footnoteRef/>
      </w:r>
      <w:r w:rsidRPr="00C56D15">
        <w:rPr>
          <w:rFonts w:ascii="Arial Narrow" w:hAnsi="Arial Narrow"/>
        </w:rPr>
        <w:t xml:space="preserve"> H. Eberle et al. (org. 2005)</w:t>
      </w:r>
      <w:r>
        <w:rPr>
          <w:rFonts w:ascii="Arial Narrow" w:hAnsi="Arial Narrow"/>
        </w:rPr>
        <w:t xml:space="preserve"> 149.</w:t>
      </w:r>
    </w:p>
  </w:footnote>
  <w:footnote w:id="404">
    <w:p w:rsidR="00392E0D" w:rsidRPr="00F119EC" w:rsidRDefault="00392E0D">
      <w:pPr>
        <w:pStyle w:val="Textodenotaderodap"/>
        <w:rPr>
          <w:rFonts w:ascii="Arial Narrow" w:hAnsi="Arial Narrow"/>
        </w:rPr>
      </w:pPr>
      <w:r w:rsidRPr="00F119EC">
        <w:rPr>
          <w:rStyle w:val="Refdenotaderodap"/>
          <w:rFonts w:ascii="Arial Narrow" w:hAnsi="Arial Narrow"/>
        </w:rPr>
        <w:footnoteRef/>
      </w:r>
      <w:r w:rsidRPr="00F119EC">
        <w:rPr>
          <w:rFonts w:ascii="Arial Narrow" w:hAnsi="Arial Narrow"/>
        </w:rPr>
        <w:t xml:space="preserve"> </w:t>
      </w:r>
      <w:r w:rsidRPr="003E305A">
        <w:rPr>
          <w:rFonts w:ascii="Arial Narrow" w:hAnsi="Arial Narrow"/>
        </w:rPr>
        <w:t xml:space="preserve">Segundo S. Wiesenthal (1989) 205, no Outono de 1944 as unidades de polícia ucranianas que ainda restavam </w:t>
      </w:r>
      <w:r>
        <w:rPr>
          <w:rFonts w:ascii="Arial Narrow" w:hAnsi="Arial Narrow"/>
        </w:rPr>
        <w:t>haviam sido</w:t>
      </w:r>
      <w:r w:rsidRPr="003E305A">
        <w:rPr>
          <w:rFonts w:ascii="Arial Narrow" w:hAnsi="Arial Narrow"/>
        </w:rPr>
        <w:t xml:space="preserve"> integradas na divisão SS da Galícia, o que decerto lev</w:t>
      </w:r>
      <w:r>
        <w:rPr>
          <w:rFonts w:ascii="Arial Narrow" w:hAnsi="Arial Narrow"/>
        </w:rPr>
        <w:t>ara</w:t>
      </w:r>
      <w:r w:rsidRPr="003E305A">
        <w:rPr>
          <w:rFonts w:ascii="Arial Narrow" w:hAnsi="Arial Narrow"/>
        </w:rPr>
        <w:t xml:space="preserve"> a grandes confusões, pois A. Dallin (1957) 647 n. 2 coment</w:t>
      </w:r>
      <w:r>
        <w:rPr>
          <w:rFonts w:ascii="Arial Narrow" w:hAnsi="Arial Narrow"/>
        </w:rPr>
        <w:t>ou</w:t>
      </w:r>
      <w:r w:rsidRPr="003E305A">
        <w:rPr>
          <w:rFonts w:ascii="Arial Narrow" w:hAnsi="Arial Narrow"/>
        </w:rPr>
        <w:t xml:space="preserve"> que «em Março de 1945 nem Hitler nem ninguém no seu quartel-general conseguiam distinguir entre os SS da Galícia e as outras unidades ucranianas que combatiam ao lado do Reich». No mesmo sentido vão as observações de M. Bardèche et al. (1969) 111. </w:t>
      </w:r>
      <w:r>
        <w:rPr>
          <w:rFonts w:ascii="Arial Narrow" w:hAnsi="Arial Narrow"/>
        </w:rPr>
        <w:t xml:space="preserve">Porém, </w:t>
      </w:r>
      <w:r w:rsidRPr="003E305A">
        <w:rPr>
          <w:rFonts w:ascii="Arial Narrow" w:hAnsi="Arial Narrow"/>
        </w:rPr>
        <w:t>segundo S. Littman (2003) 52-53, 57, 66 e 83-84, já em 1943 se teria procedido à incorporação de algumas unidades da polícia ucraniana nos SS da Galícia, enquanto outras haviam sido incorporadas no Verão e no Outono de 1944 e em Março de 1945.</w:t>
      </w:r>
    </w:p>
  </w:footnote>
  <w:footnote w:id="405">
    <w:p w:rsidR="00392E0D" w:rsidRPr="00170C91" w:rsidRDefault="00392E0D" w:rsidP="00321E01">
      <w:pPr>
        <w:pStyle w:val="Textodenotaderodap"/>
        <w:rPr>
          <w:rFonts w:ascii="Arial Narrow" w:hAnsi="Arial Narrow"/>
        </w:rPr>
      </w:pPr>
      <w:r w:rsidRPr="0020208C">
        <w:rPr>
          <w:rStyle w:val="Refdenotaderodap"/>
          <w:rFonts w:ascii="Arial Narrow" w:hAnsi="Arial Narrow"/>
        </w:rPr>
        <w:footnoteRef/>
      </w:r>
      <w:r w:rsidRPr="00170C91">
        <w:rPr>
          <w:rFonts w:ascii="Arial Narrow" w:hAnsi="Arial Narrow"/>
        </w:rPr>
        <w:t xml:space="preserve"> F. MacLean (1998) 12, 15, 42.</w:t>
      </w:r>
    </w:p>
  </w:footnote>
  <w:footnote w:id="406">
    <w:p w:rsidR="00392E0D" w:rsidRPr="00170C91" w:rsidRDefault="00392E0D" w:rsidP="00321E01">
      <w:pPr>
        <w:pStyle w:val="Textodenotaderodap"/>
        <w:rPr>
          <w:rFonts w:ascii="Arial Narrow" w:hAnsi="Arial Narrow"/>
        </w:rPr>
      </w:pPr>
      <w:r w:rsidRPr="0020208C">
        <w:rPr>
          <w:rStyle w:val="Refdenotaderodap"/>
          <w:rFonts w:ascii="Arial Narrow" w:hAnsi="Arial Narrow"/>
        </w:rPr>
        <w:footnoteRef/>
      </w:r>
      <w:r w:rsidRPr="00170C91">
        <w:rPr>
          <w:rFonts w:ascii="Arial Narrow" w:hAnsi="Arial Narrow"/>
        </w:rPr>
        <w:t xml:space="preserve"> Id., ibid., 15, 42, 43. Segundo </w:t>
      </w:r>
      <w:r w:rsidRPr="00E96151">
        <w:rPr>
          <w:rFonts w:ascii="Arial Narrow" w:hAnsi="Arial Narrow"/>
          <w:lang w:val="fr-FR"/>
        </w:rPr>
        <w:t>W. W. Kay (2008)</w:t>
      </w:r>
      <w:r>
        <w:rPr>
          <w:rFonts w:ascii="Arial Narrow" w:hAnsi="Arial Narrow"/>
          <w:lang w:val="fr-FR"/>
        </w:rPr>
        <w:t>,</w:t>
      </w:r>
      <w:r w:rsidRPr="00E96151">
        <w:rPr>
          <w:rFonts w:ascii="Arial Narrow" w:hAnsi="Arial Narrow"/>
          <w:lang w:val="fr-FR"/>
        </w:rPr>
        <w:t xml:space="preserve"> </w:t>
      </w:r>
      <w:r w:rsidRPr="00170C91">
        <w:rPr>
          <w:rFonts w:ascii="Arial Narrow" w:hAnsi="Arial Narrow"/>
        </w:rPr>
        <w:t>Göring, a principal autoridade em matéria de caça, proibiu o uso de armadilhas.</w:t>
      </w:r>
    </w:p>
  </w:footnote>
  <w:footnote w:id="407">
    <w:p w:rsidR="00392E0D" w:rsidRPr="00170C91" w:rsidRDefault="00392E0D">
      <w:pPr>
        <w:pStyle w:val="Textodenotaderodap"/>
        <w:rPr>
          <w:rFonts w:ascii="Arial Narrow" w:hAnsi="Arial Narrow"/>
        </w:rPr>
      </w:pPr>
      <w:r w:rsidRPr="00844934">
        <w:rPr>
          <w:rStyle w:val="Refdenotaderodap"/>
          <w:rFonts w:ascii="Arial Narrow" w:hAnsi="Arial Narrow"/>
        </w:rPr>
        <w:footnoteRef/>
      </w:r>
      <w:r w:rsidRPr="00170C91">
        <w:rPr>
          <w:rFonts w:ascii="Arial Narrow" w:hAnsi="Arial Narrow"/>
        </w:rPr>
        <w:t xml:space="preserve"> </w:t>
      </w:r>
      <w:r w:rsidRPr="00170C91">
        <w:rPr>
          <w:rFonts w:ascii="Arial Narrow" w:hAnsi="Arial Narrow"/>
          <w:bCs/>
          <w:i/>
          <w:iCs/>
        </w:rPr>
        <w:t>Hitler’s Table Talk</w:t>
      </w:r>
      <w:r w:rsidRPr="00170C91">
        <w:rPr>
          <w:rFonts w:ascii="Arial Narrow" w:hAnsi="Arial Narrow"/>
          <w:iCs/>
        </w:rPr>
        <w:t>..., 93, 107, 329.</w:t>
      </w:r>
    </w:p>
  </w:footnote>
  <w:footnote w:id="408">
    <w:p w:rsidR="00392E0D" w:rsidRPr="00126549" w:rsidRDefault="00392E0D">
      <w:pPr>
        <w:pStyle w:val="Textodenotaderodap"/>
        <w:rPr>
          <w:rFonts w:ascii="Arial Narrow" w:hAnsi="Arial Narrow"/>
        </w:rPr>
      </w:pPr>
      <w:r w:rsidRPr="00126549">
        <w:rPr>
          <w:rStyle w:val="Refdenotaderodap"/>
          <w:rFonts w:ascii="Arial Narrow" w:hAnsi="Arial Narrow"/>
        </w:rPr>
        <w:footnoteRef/>
      </w:r>
      <w:r w:rsidRPr="00126549">
        <w:rPr>
          <w:rFonts w:ascii="Arial Narrow" w:hAnsi="Arial Narrow"/>
        </w:rPr>
        <w:t xml:space="preserve"> </w:t>
      </w:r>
      <w:r>
        <w:rPr>
          <w:rFonts w:ascii="Arial Narrow" w:hAnsi="Arial Narrow"/>
        </w:rPr>
        <w:t xml:space="preserve">Na noite de </w:t>
      </w:r>
      <w:r w:rsidRPr="00126549">
        <w:rPr>
          <w:rFonts w:ascii="Arial Narrow" w:hAnsi="Arial Narrow"/>
          <w:iCs/>
        </w:rPr>
        <w:t>3</w:t>
      </w:r>
      <w:r>
        <w:rPr>
          <w:rFonts w:ascii="Arial Narrow" w:hAnsi="Arial Narrow"/>
          <w:iCs/>
        </w:rPr>
        <w:t xml:space="preserve"> para </w:t>
      </w:r>
      <w:r w:rsidRPr="00126549">
        <w:rPr>
          <w:rFonts w:ascii="Arial Narrow" w:hAnsi="Arial Narrow"/>
          <w:iCs/>
        </w:rPr>
        <w:t>4 de Janeiro de 1942</w:t>
      </w:r>
      <w:r>
        <w:rPr>
          <w:rFonts w:ascii="Arial Narrow" w:hAnsi="Arial Narrow"/>
          <w:iCs/>
        </w:rPr>
        <w:t>, em ibid.</w:t>
      </w:r>
      <w:r w:rsidRPr="00170C91">
        <w:rPr>
          <w:rFonts w:ascii="Arial Narrow" w:hAnsi="Arial Narrow"/>
          <w:iCs/>
        </w:rPr>
        <w:t xml:space="preserve">, </w:t>
      </w:r>
      <w:r>
        <w:rPr>
          <w:rFonts w:ascii="Arial Narrow" w:hAnsi="Arial Narrow"/>
          <w:iCs/>
        </w:rPr>
        <w:t>171.</w:t>
      </w:r>
    </w:p>
  </w:footnote>
  <w:footnote w:id="409">
    <w:p w:rsidR="00392E0D" w:rsidRPr="0020208C" w:rsidRDefault="00392E0D" w:rsidP="00321E01">
      <w:pPr>
        <w:pStyle w:val="Textodenotaderodap"/>
        <w:rPr>
          <w:rFonts w:ascii="Arial Narrow" w:hAnsi="Arial Narrow"/>
        </w:rPr>
      </w:pPr>
      <w:r w:rsidRPr="0020208C">
        <w:rPr>
          <w:rStyle w:val="Refdenotaderodap"/>
          <w:rFonts w:ascii="Arial Narrow" w:hAnsi="Arial Narrow"/>
        </w:rPr>
        <w:footnoteRef/>
      </w:r>
      <w:r w:rsidRPr="0020208C">
        <w:rPr>
          <w:rFonts w:ascii="Arial Narrow" w:hAnsi="Arial Narrow"/>
        </w:rPr>
        <w:t xml:space="preserve"> </w:t>
      </w:r>
      <w:r>
        <w:rPr>
          <w:rFonts w:ascii="Arial Narrow" w:hAnsi="Arial Narrow"/>
        </w:rPr>
        <w:t>Ibid., 640</w:t>
      </w:r>
      <w:r w:rsidRPr="0020208C">
        <w:rPr>
          <w:rFonts w:ascii="Arial Narrow" w:hAnsi="Arial Narrow"/>
        </w:rPr>
        <w:t>.</w:t>
      </w:r>
      <w:r>
        <w:rPr>
          <w:rFonts w:ascii="Arial Narrow" w:hAnsi="Arial Narrow"/>
        </w:rPr>
        <w:t xml:space="preserve"> Ver também a pág. 682.</w:t>
      </w:r>
    </w:p>
  </w:footnote>
  <w:footnote w:id="410">
    <w:p w:rsidR="00392E0D" w:rsidRPr="00B2463D" w:rsidRDefault="00392E0D" w:rsidP="003F29ED">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r w:rsidRPr="0048271D">
        <w:rPr>
          <w:rFonts w:ascii="Arial Narrow" w:hAnsi="Arial Narrow"/>
          <w:lang w:val="en-US"/>
        </w:rPr>
        <w:t xml:space="preserve">F. MacLean (1998) </w:t>
      </w:r>
      <w:r w:rsidRPr="00B2463D">
        <w:rPr>
          <w:rFonts w:ascii="Arial Narrow" w:hAnsi="Arial Narrow"/>
          <w:lang w:val="en-GB"/>
        </w:rPr>
        <w:t>14, 27</w:t>
      </w:r>
      <w:r>
        <w:rPr>
          <w:rFonts w:ascii="Arial Narrow" w:hAnsi="Arial Narrow"/>
          <w:lang w:val="en-GB"/>
        </w:rPr>
        <w:t xml:space="preserve">, </w:t>
      </w:r>
      <w:r w:rsidRPr="00B2463D">
        <w:rPr>
          <w:rFonts w:ascii="Arial Narrow" w:hAnsi="Arial Narrow"/>
          <w:lang w:val="en-GB"/>
        </w:rPr>
        <w:t>61 e segs., 212-213.</w:t>
      </w:r>
    </w:p>
  </w:footnote>
  <w:footnote w:id="411">
    <w:p w:rsidR="00392E0D" w:rsidRPr="00B2463D" w:rsidRDefault="00392E0D" w:rsidP="003F29ED">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15, 154, 164.</w:t>
      </w:r>
    </w:p>
  </w:footnote>
  <w:footnote w:id="412">
    <w:p w:rsidR="00392E0D" w:rsidRPr="00321E01" w:rsidRDefault="00392E0D" w:rsidP="00321E01">
      <w:pPr>
        <w:pStyle w:val="Textodenotaderodap"/>
        <w:rPr>
          <w:rFonts w:ascii="Arial Narrow" w:hAnsi="Arial Narrow"/>
          <w:lang w:val="en-US"/>
        </w:rPr>
      </w:pPr>
      <w:r w:rsidRPr="0020208C">
        <w:rPr>
          <w:rStyle w:val="Refdenotaderodap"/>
          <w:rFonts w:ascii="Arial Narrow" w:hAnsi="Arial Narrow"/>
        </w:rPr>
        <w:footnoteRef/>
      </w:r>
      <w:r w:rsidRPr="00321E01">
        <w:rPr>
          <w:rFonts w:ascii="Arial Narrow" w:hAnsi="Arial Narrow"/>
          <w:lang w:val="en-US"/>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xml:space="preserve">, ibid., </w:t>
      </w:r>
      <w:r w:rsidRPr="00321E01">
        <w:rPr>
          <w:rFonts w:ascii="Arial Narrow" w:hAnsi="Arial Narrow"/>
          <w:lang w:val="en-US"/>
        </w:rPr>
        <w:t>43.</w:t>
      </w:r>
    </w:p>
  </w:footnote>
  <w:footnote w:id="413">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282.</w:t>
      </w:r>
    </w:p>
  </w:footnote>
  <w:footnote w:id="414">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121, 282.</w:t>
      </w:r>
    </w:p>
  </w:footnote>
  <w:footnote w:id="415">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r>
        <w:rPr>
          <w:rFonts w:ascii="Arial Narrow" w:hAnsi="Arial Narrow"/>
          <w:lang w:val="en-GB"/>
        </w:rPr>
        <w:t xml:space="preserve">Id., ibid., </w:t>
      </w:r>
      <w:r w:rsidRPr="00B2463D">
        <w:rPr>
          <w:rFonts w:ascii="Arial Narrow" w:hAnsi="Arial Narrow"/>
          <w:lang w:val="en-GB"/>
        </w:rPr>
        <w:t>209.</w:t>
      </w:r>
    </w:p>
  </w:footnote>
  <w:footnote w:id="416">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154.</w:t>
      </w:r>
    </w:p>
  </w:footnote>
  <w:footnote w:id="417">
    <w:p w:rsidR="00392E0D" w:rsidRPr="007F1650"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7F1650">
        <w:rPr>
          <w:rFonts w:ascii="Arial Narrow" w:hAnsi="Arial Narrow"/>
          <w:lang w:val="en-GB"/>
        </w:rPr>
        <w:t xml:space="preserve"> Id., ibid., 282.</w:t>
      </w:r>
    </w:p>
  </w:footnote>
  <w:footnote w:id="418">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80-81.</w:t>
      </w:r>
    </w:p>
  </w:footnote>
  <w:footnote w:id="419">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xml:space="preserve">, ibid., </w:t>
      </w:r>
      <w:r w:rsidRPr="007962CC">
        <w:rPr>
          <w:rFonts w:ascii="Arial Narrow" w:hAnsi="Arial Narrow"/>
          <w:lang w:val="en-GB"/>
        </w:rPr>
        <w:t>13, 15, 154, 179, 239</w:t>
      </w:r>
      <w:r>
        <w:rPr>
          <w:rFonts w:ascii="Arial Narrow" w:hAnsi="Arial Narrow"/>
          <w:lang w:val="en-GB"/>
        </w:rPr>
        <w:t xml:space="preserve">, </w:t>
      </w:r>
      <w:r w:rsidRPr="00B2463D">
        <w:rPr>
          <w:rFonts w:ascii="Arial Narrow" w:hAnsi="Arial Narrow"/>
          <w:lang w:val="en-GB"/>
        </w:rPr>
        <w:t>282.</w:t>
      </w:r>
    </w:p>
  </w:footnote>
  <w:footnote w:id="420">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15, 74, 121, 162, 164, 169.</w:t>
      </w:r>
    </w:p>
  </w:footnote>
  <w:footnote w:id="421">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r>
        <w:rPr>
          <w:rFonts w:ascii="Arial Narrow" w:hAnsi="Arial Narrow"/>
          <w:lang w:val="en-GB"/>
        </w:rPr>
        <w:t xml:space="preserve">H. Langbein (1981) 21, 30, 62, 401-404, 430, 444; </w:t>
      </w:r>
      <w:r w:rsidRPr="00385200">
        <w:rPr>
          <w:rFonts w:ascii="Arial Narrow" w:hAnsi="Arial Narrow"/>
          <w:lang w:val="en-GB"/>
        </w:rPr>
        <w:t xml:space="preserve">F. MacLean (1998) </w:t>
      </w:r>
      <w:r w:rsidRPr="00B2463D">
        <w:rPr>
          <w:rFonts w:ascii="Arial Narrow" w:hAnsi="Arial Narrow"/>
          <w:lang w:val="en-GB"/>
        </w:rPr>
        <w:t>202-204.</w:t>
      </w:r>
    </w:p>
  </w:footnote>
  <w:footnote w:id="422">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r w:rsidRPr="00385200">
        <w:rPr>
          <w:rFonts w:ascii="Arial Narrow" w:hAnsi="Arial Narrow"/>
          <w:lang w:val="en-GB"/>
        </w:rPr>
        <w:t xml:space="preserve">F. MacLean (1998) </w:t>
      </w:r>
      <w:r w:rsidRPr="00B2463D">
        <w:rPr>
          <w:rFonts w:ascii="Arial Narrow" w:hAnsi="Arial Narrow"/>
          <w:lang w:val="en-GB"/>
        </w:rPr>
        <w:t>282.</w:t>
      </w:r>
    </w:p>
  </w:footnote>
  <w:footnote w:id="423">
    <w:p w:rsidR="00392E0D" w:rsidRPr="00B2463D" w:rsidRDefault="00392E0D" w:rsidP="00321E01">
      <w:pPr>
        <w:pStyle w:val="Textodenotaderodap"/>
        <w:ind w:firstLine="708"/>
        <w:rPr>
          <w:rFonts w:ascii="Arial Narrow" w:hAnsi="Arial Narrow"/>
          <w:lang w:val="de-DE"/>
        </w:rPr>
      </w:pPr>
      <w:r w:rsidRPr="0020208C">
        <w:rPr>
          <w:rStyle w:val="Refdenotaderodap"/>
          <w:rFonts w:ascii="Arial Narrow" w:hAnsi="Arial Narrow"/>
        </w:rPr>
        <w:footnoteRef/>
      </w:r>
      <w:r w:rsidRPr="00B2463D">
        <w:rPr>
          <w:rFonts w:ascii="Arial Narrow" w:hAnsi="Arial Narrow"/>
          <w:lang w:val="de-DE"/>
        </w:rPr>
        <w:t xml:space="preserve"> J. Billig (2000) 20, 211 e segs.</w:t>
      </w:r>
    </w:p>
  </w:footnote>
  <w:footnote w:id="424">
    <w:p w:rsidR="00392E0D" w:rsidRPr="00413467" w:rsidRDefault="00392E0D" w:rsidP="00321E01">
      <w:pPr>
        <w:pStyle w:val="Textodenotaderodap"/>
        <w:rPr>
          <w:rFonts w:ascii="Arial Narrow" w:hAnsi="Arial Narrow"/>
          <w:lang w:val="de-DE"/>
        </w:rPr>
      </w:pPr>
      <w:r w:rsidRPr="0020208C">
        <w:rPr>
          <w:rStyle w:val="Refdenotaderodap"/>
          <w:rFonts w:ascii="Arial Narrow" w:hAnsi="Arial Narrow"/>
        </w:rPr>
        <w:footnoteRef/>
      </w:r>
      <w:r w:rsidRPr="00413467">
        <w:rPr>
          <w:rFonts w:ascii="Arial Narrow" w:hAnsi="Arial Narrow"/>
          <w:lang w:val="de-DE"/>
        </w:rPr>
        <w:t xml:space="preserve"> F. MacLean (1998) 65-66, 123, 130, 232-234.</w:t>
      </w:r>
    </w:p>
  </w:footnote>
  <w:footnote w:id="425">
    <w:p w:rsidR="00392E0D" w:rsidRPr="0020208C" w:rsidRDefault="00392E0D" w:rsidP="00321E01">
      <w:pPr>
        <w:pStyle w:val="Textodenotaderodap"/>
        <w:rPr>
          <w:rFonts w:ascii="Arial Narrow" w:hAnsi="Arial Narrow"/>
        </w:rPr>
      </w:pPr>
      <w:r w:rsidRPr="0020208C">
        <w:rPr>
          <w:rStyle w:val="Refdenotaderodap"/>
          <w:rFonts w:ascii="Arial Narrow" w:hAnsi="Arial Narrow"/>
        </w:rPr>
        <w:footnoteRef/>
      </w:r>
      <w:r w:rsidRPr="0020208C">
        <w:rPr>
          <w:rFonts w:ascii="Arial Narrow" w:hAnsi="Arial Narrow"/>
        </w:rPr>
        <w:t xml:space="preserve"> Citado em </w:t>
      </w:r>
      <w:r>
        <w:rPr>
          <w:rFonts w:ascii="Arial Narrow" w:hAnsi="Arial Narrow"/>
        </w:rPr>
        <w:t xml:space="preserve">id., ibid., </w:t>
      </w:r>
      <w:r w:rsidRPr="0020208C">
        <w:rPr>
          <w:rFonts w:ascii="Arial Narrow" w:hAnsi="Arial Narrow"/>
        </w:rPr>
        <w:t>154.</w:t>
      </w:r>
    </w:p>
  </w:footnote>
  <w:footnote w:id="426">
    <w:p w:rsidR="00392E0D" w:rsidRPr="0020208C" w:rsidRDefault="00392E0D" w:rsidP="00321E01">
      <w:pPr>
        <w:pStyle w:val="Textodenotaderodap"/>
        <w:rPr>
          <w:rFonts w:ascii="Arial Narrow" w:hAnsi="Arial Narrow"/>
        </w:rPr>
      </w:pPr>
      <w:r w:rsidRPr="0020208C">
        <w:rPr>
          <w:rStyle w:val="Refdenotaderodap"/>
          <w:rFonts w:ascii="Arial Narrow" w:hAnsi="Arial Narrow"/>
        </w:rPr>
        <w:footnoteRef/>
      </w:r>
      <w:r w:rsidRPr="0020208C">
        <w:rPr>
          <w:rFonts w:ascii="Arial Narrow" w:hAnsi="Arial Narrow"/>
        </w:rPr>
        <w:t xml:space="preserve"> </w:t>
      </w:r>
      <w:r>
        <w:rPr>
          <w:rFonts w:ascii="Arial Narrow" w:hAnsi="Arial Narrow"/>
        </w:rPr>
        <w:t xml:space="preserve">Id., ibid., </w:t>
      </w:r>
      <w:r w:rsidRPr="0020208C">
        <w:rPr>
          <w:rFonts w:ascii="Arial Narrow" w:hAnsi="Arial Narrow"/>
        </w:rPr>
        <w:t>124, 138.</w:t>
      </w:r>
    </w:p>
  </w:footnote>
  <w:footnote w:id="427">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20208C">
        <w:rPr>
          <w:rFonts w:ascii="Arial Narrow" w:hAnsi="Arial Narrow"/>
        </w:rPr>
        <w:t xml:space="preserve"> </w:t>
      </w:r>
      <w:r>
        <w:rPr>
          <w:rFonts w:ascii="Arial Narrow" w:hAnsi="Arial Narrow"/>
        </w:rPr>
        <w:t xml:space="preserve">Id., ibid., </w:t>
      </w:r>
      <w:r w:rsidRPr="0020208C">
        <w:rPr>
          <w:rFonts w:ascii="Arial Narrow" w:hAnsi="Arial Narrow"/>
        </w:rPr>
        <w:t xml:space="preserve">282. Ver também as págs. </w:t>
      </w:r>
      <w:r w:rsidRPr="00B2463D">
        <w:rPr>
          <w:rFonts w:ascii="Arial Narrow" w:hAnsi="Arial Narrow"/>
          <w:lang w:val="en-GB"/>
        </w:rPr>
        <w:t>160 e 165.</w:t>
      </w:r>
    </w:p>
  </w:footnote>
  <w:footnote w:id="428">
    <w:p w:rsidR="00392E0D" w:rsidRPr="00B2463D" w:rsidRDefault="00392E0D" w:rsidP="00321E01">
      <w:pPr>
        <w:pStyle w:val="Textodenotaderodap"/>
        <w:rPr>
          <w:rFonts w:ascii="Arial Narrow" w:hAnsi="Arial Narrow"/>
          <w:lang w:val="en-GB"/>
        </w:rPr>
      </w:pPr>
      <w:r w:rsidRPr="0020208C">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163, 164, 172</w:t>
      </w:r>
      <w:r>
        <w:rPr>
          <w:rFonts w:ascii="Arial Narrow" w:hAnsi="Arial Narrow"/>
          <w:lang w:val="en-GB"/>
        </w:rPr>
        <w:t xml:space="preserve">, </w:t>
      </w:r>
      <w:r w:rsidRPr="00B2463D">
        <w:rPr>
          <w:rFonts w:ascii="Arial Narrow" w:hAnsi="Arial Narrow"/>
          <w:lang w:val="en-GB"/>
        </w:rPr>
        <w:t>178.</w:t>
      </w:r>
    </w:p>
  </w:footnote>
  <w:footnote w:id="429">
    <w:p w:rsidR="00392E0D" w:rsidRPr="00321E01" w:rsidRDefault="00392E0D" w:rsidP="00321E01">
      <w:pPr>
        <w:pStyle w:val="Textodenotaderodap"/>
        <w:rPr>
          <w:rFonts w:ascii="Arial Narrow" w:hAnsi="Arial Narrow"/>
          <w:lang w:val="en-US"/>
        </w:rPr>
      </w:pPr>
      <w:r w:rsidRPr="0020208C">
        <w:rPr>
          <w:rStyle w:val="Refdenotaderodap"/>
          <w:rFonts w:ascii="Arial Narrow" w:hAnsi="Arial Narrow"/>
        </w:rPr>
        <w:footnoteRef/>
      </w:r>
      <w:r w:rsidRPr="00321E01">
        <w:rPr>
          <w:rFonts w:ascii="Arial Narrow" w:hAnsi="Arial Narrow"/>
          <w:lang w:val="en-US"/>
        </w:rPr>
        <w:t xml:space="preserve"> Id., ibid., 74, 78, 204.</w:t>
      </w:r>
    </w:p>
  </w:footnote>
  <w:footnote w:id="430">
    <w:p w:rsidR="00392E0D" w:rsidRPr="0020208C" w:rsidRDefault="00392E0D" w:rsidP="00542C96">
      <w:pPr>
        <w:pStyle w:val="Textodenotaderodap"/>
        <w:rPr>
          <w:rFonts w:ascii="Arial Narrow" w:hAnsi="Arial Narrow"/>
        </w:rPr>
      </w:pPr>
      <w:r w:rsidRPr="0020208C">
        <w:rPr>
          <w:rStyle w:val="Refdenotaderodap"/>
          <w:rFonts w:ascii="Arial Narrow" w:hAnsi="Arial Narrow"/>
        </w:rPr>
        <w:footnoteRef/>
      </w:r>
      <w:r w:rsidRPr="00200DF0">
        <w:rPr>
          <w:rFonts w:ascii="Arial Narrow" w:hAnsi="Arial Narrow"/>
          <w:lang w:val="en-US"/>
        </w:rPr>
        <w:t xml:space="preserve"> Id., ibid., 122, 163.</w:t>
      </w:r>
      <w:r w:rsidRPr="00200DF0">
        <w:rPr>
          <w:rFonts w:ascii="Arial Narrow" w:hAnsi="Arial Narrow"/>
          <w:noProof/>
          <w:sz w:val="24"/>
          <w:szCs w:val="24"/>
          <w:lang w:val="en-US" w:eastAsia="en-US"/>
        </w:rPr>
        <w:t xml:space="preserve"> </w:t>
      </w:r>
      <w:r w:rsidRPr="00474590">
        <w:rPr>
          <w:rFonts w:ascii="Arial Narrow" w:hAnsi="Arial Narrow"/>
        </w:rPr>
        <w:t>Ver igualmente a pág. 124.</w:t>
      </w:r>
      <w:r>
        <w:rPr>
          <w:rFonts w:ascii="Arial Narrow" w:hAnsi="Arial Narrow"/>
        </w:rPr>
        <w:t xml:space="preserve"> </w:t>
      </w:r>
      <w:r w:rsidRPr="0014305A">
        <w:rPr>
          <w:rFonts w:ascii="Arial Narrow" w:hAnsi="Arial Narrow"/>
        </w:rPr>
        <w:t>A. Quinchon-Caudal (2013) 102 pretendeu que naquele Sonderkommando</w:t>
      </w:r>
      <w:r>
        <w:rPr>
          <w:rFonts w:ascii="Arial Narrow" w:hAnsi="Arial Narrow"/>
        </w:rPr>
        <w:t xml:space="preserve"> se alistaram também ciganos, mas não encontrei outras referências; talvez fossem apenas tropas auxiliares, para as quais a questão racial não se colocava.</w:t>
      </w:r>
    </w:p>
  </w:footnote>
  <w:footnote w:id="431">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Quanto a Bronislav Vladislavovitch Kaminsky e ao seu relacionamento com os nacionais-socialistas, em especial com os SS, ver: C. Andreyev, «Soviet Exiles at War», em I. C. B. Dear et al. (orgs. 1995) 1032; A. Dallin (1957) 525 n. 3, 526, 614; id. (1972) 244 e segs.</w:t>
      </w:r>
    </w:p>
  </w:footnote>
  <w:footnote w:id="432">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Dallin (1972) 249.</w:t>
      </w:r>
    </w:p>
  </w:footnote>
  <w:footnote w:id="433">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Nos meados de 1942, explic</w:t>
      </w:r>
      <w:r>
        <w:rPr>
          <w:rFonts w:ascii="Arial Narrow" w:hAnsi="Arial Narrow"/>
        </w:rPr>
        <w:t>ou</w:t>
      </w:r>
      <w:r w:rsidRPr="003E305A">
        <w:rPr>
          <w:rFonts w:ascii="Arial Narrow" w:hAnsi="Arial Narrow"/>
        </w:rPr>
        <w:t xml:space="preserve"> id., ibid., 254, 85% das milícias de Kaminsky eram formados por habitantes da região, sendo os restantes ou desertores da guerrilha ou antigos prisioneiros de guerra libertados pelos </w:t>
      </w:r>
      <w:r>
        <w:rPr>
          <w:rFonts w:ascii="Arial Narrow" w:hAnsi="Arial Narrow"/>
        </w:rPr>
        <w:t>germanos</w:t>
      </w:r>
      <w:r w:rsidRPr="003E305A">
        <w:rPr>
          <w:rFonts w:ascii="Arial Narrow" w:hAnsi="Arial Narrow"/>
        </w:rPr>
        <w:t>.</w:t>
      </w:r>
    </w:p>
  </w:footnote>
  <w:footnote w:id="434">
    <w:p w:rsidR="00392E0D" w:rsidRPr="003E305A" w:rsidRDefault="00392E0D" w:rsidP="00321E01">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M. Bardèche et al. (1969) 99; A. Dallin (1972) 271-272, 274.</w:t>
      </w:r>
    </w:p>
  </w:footnote>
  <w:footnote w:id="435">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A. Dallin (1972) 271.</w:t>
      </w:r>
    </w:p>
  </w:footnote>
  <w:footnote w:id="436">
    <w:p w:rsidR="00392E0D" w:rsidRPr="00FC4730"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FC4730">
        <w:rPr>
          <w:rFonts w:ascii="Arial Narrow" w:hAnsi="Arial Narrow"/>
          <w:lang w:val="en-US"/>
        </w:rPr>
        <w:t xml:space="preserve"> Id., ibid., 392 n. 62.</w:t>
      </w:r>
    </w:p>
  </w:footnote>
  <w:footnote w:id="437">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Em Dezembro de 1944, segundo id. (1957) 649-650, o chefe da Secção do Leste no Ministério da Propaganda transmitiu a Goebbels um relatório em que tomou posição contra o movimento reunido em torno do general Vlassov, acusando-o de constituir uma mistura de liberalismo e bolchevismo, além de não ter uma orientação anti-semita, enquanto o movimento de Kaminsky seria verdadeiramente nacional-socialista.</w:t>
      </w:r>
    </w:p>
  </w:footnote>
  <w:footnote w:id="438">
    <w:p w:rsidR="00392E0D" w:rsidRPr="00FC4730" w:rsidRDefault="00392E0D" w:rsidP="00FC4730">
      <w:pPr>
        <w:pStyle w:val="Textodenotaderodap"/>
        <w:rPr>
          <w:rFonts w:ascii="Arial Narrow" w:hAnsi="Arial Narrow"/>
        </w:rPr>
      </w:pPr>
      <w:r w:rsidRPr="002934C2">
        <w:rPr>
          <w:rStyle w:val="Refdenotaderodap"/>
          <w:rFonts w:ascii="Arial Narrow" w:hAnsi="Arial Narrow"/>
        </w:rPr>
        <w:footnoteRef/>
      </w:r>
      <w:r w:rsidRPr="002934C2">
        <w:rPr>
          <w:rFonts w:ascii="Arial Narrow" w:hAnsi="Arial Narrow"/>
        </w:rPr>
        <w:t xml:space="preserve"> </w:t>
      </w:r>
      <w:r w:rsidRPr="003E305A">
        <w:rPr>
          <w:rFonts w:ascii="Arial Narrow" w:hAnsi="Arial Narrow"/>
        </w:rPr>
        <w:t>Embora relat</w:t>
      </w:r>
      <w:r>
        <w:rPr>
          <w:rFonts w:ascii="Arial Narrow" w:hAnsi="Arial Narrow"/>
        </w:rPr>
        <w:t>ass</w:t>
      </w:r>
      <w:r w:rsidRPr="003E305A">
        <w:rPr>
          <w:rFonts w:ascii="Arial Narrow" w:hAnsi="Arial Narrow"/>
        </w:rPr>
        <w:t>e estes factos, A. Dallin (1957) 525-526 e (1972) 272 não explic</w:t>
      </w:r>
      <w:r>
        <w:rPr>
          <w:rFonts w:ascii="Arial Narrow" w:hAnsi="Arial Narrow"/>
        </w:rPr>
        <w:t>ou</w:t>
      </w:r>
      <w:r w:rsidRPr="003E305A">
        <w:rPr>
          <w:rFonts w:ascii="Arial Narrow" w:hAnsi="Arial Narrow"/>
        </w:rPr>
        <w:t xml:space="preserve"> como eles puderam ser compatíveis com o antieslavismo </w:t>
      </w:r>
      <w:r>
        <w:rPr>
          <w:rFonts w:ascii="Arial Narrow" w:hAnsi="Arial Narrow"/>
        </w:rPr>
        <w:t>nacional-socialista</w:t>
      </w:r>
      <w:r w:rsidRPr="003E305A">
        <w:rPr>
          <w:rFonts w:ascii="Arial Narrow" w:hAnsi="Arial Narrow"/>
        </w:rPr>
        <w:t>. Acerca dos solidaristas ver igualmente M. Bardèche et al. (1969) 99.</w:t>
      </w:r>
      <w:r>
        <w:rPr>
          <w:rFonts w:ascii="Arial Narrow" w:hAnsi="Arial Narrow"/>
        </w:rPr>
        <w:t xml:space="preserve"> </w:t>
      </w:r>
      <w:r w:rsidRPr="003E305A">
        <w:rPr>
          <w:rFonts w:ascii="Arial Narrow" w:hAnsi="Arial Narrow"/>
        </w:rPr>
        <w:t xml:space="preserve">Depois da guerra </w:t>
      </w:r>
      <w:r>
        <w:rPr>
          <w:rFonts w:ascii="Arial Narrow" w:hAnsi="Arial Narrow"/>
        </w:rPr>
        <w:t>a</w:t>
      </w:r>
      <w:r w:rsidRPr="003E305A">
        <w:rPr>
          <w:rFonts w:ascii="Arial Narrow" w:hAnsi="Arial Narrow"/>
        </w:rPr>
        <w:t xml:space="preserve"> NTS foi utilizado pelos serviços secretos norte-americanos como instrumento de propaganda anticomunista e como meio para infiltrar agentes na União Soviética, o que por sua vez tornou os solidaristas objecto de especial atenção por parte da espionagem de Moscovo. Ver a este respeito D. J. Dallin (1956) 350-358. Talvez esta linha de filiação explique as simpatias que hoje são manifestadas por Hitler e pelo </w:t>
      </w:r>
      <w:r>
        <w:rPr>
          <w:rFonts w:ascii="Arial Narrow" w:hAnsi="Arial Narrow"/>
        </w:rPr>
        <w:t xml:space="preserve">nacional-socialismo </w:t>
      </w:r>
      <w:r w:rsidRPr="003E305A">
        <w:rPr>
          <w:rFonts w:ascii="Arial Narrow" w:hAnsi="Arial Narrow"/>
        </w:rPr>
        <w:t>em alguns meios políticos do que foi a União Soviética, e mesmo pessoas ocupando cargos da maior responsabilidade, como o antigo membro do Partido Comunista Alexandr Lukachenka, eleito presidente da Bielo-Rússia em Julho de 1994 e reeleito em 2001</w:t>
      </w:r>
      <w:r>
        <w:rPr>
          <w:rFonts w:ascii="Arial Narrow" w:hAnsi="Arial Narrow"/>
        </w:rPr>
        <w:t>, 2006 e 2010</w:t>
      </w:r>
      <w:r w:rsidRPr="003E305A">
        <w:rPr>
          <w:rFonts w:ascii="Arial Narrow" w:hAnsi="Arial Narrow"/>
        </w:rPr>
        <w:t>, expressaram publicamente a sua admiração por Hitler, como indic</w:t>
      </w:r>
      <w:r>
        <w:rPr>
          <w:rFonts w:ascii="Arial Narrow" w:hAnsi="Arial Narrow"/>
        </w:rPr>
        <w:t>ou</w:t>
      </w:r>
      <w:r w:rsidRPr="003E305A">
        <w:rPr>
          <w:rFonts w:ascii="Arial Narrow" w:hAnsi="Arial Narrow"/>
        </w:rPr>
        <w:t xml:space="preserve"> V. Tismaneanu (1998) 53. Este autor coment</w:t>
      </w:r>
      <w:r>
        <w:rPr>
          <w:rFonts w:ascii="Arial Narrow" w:hAnsi="Arial Narrow"/>
        </w:rPr>
        <w:t>ou</w:t>
      </w:r>
      <w:r w:rsidRPr="003E305A">
        <w:rPr>
          <w:rFonts w:ascii="Arial Narrow" w:hAnsi="Arial Narrow"/>
        </w:rPr>
        <w:t>, com razão</w:t>
      </w:r>
      <w:r>
        <w:rPr>
          <w:rFonts w:ascii="Arial Narrow" w:hAnsi="Arial Narrow"/>
        </w:rPr>
        <w:t xml:space="preserve"> (</w:t>
      </w:r>
      <w:r w:rsidRPr="003E305A">
        <w:rPr>
          <w:rFonts w:ascii="Arial Narrow" w:hAnsi="Arial Narrow"/>
        </w:rPr>
        <w:t>pág. 54</w:t>
      </w:r>
      <w:r>
        <w:rPr>
          <w:rFonts w:ascii="Arial Narrow" w:hAnsi="Arial Narrow"/>
        </w:rPr>
        <w:t>)</w:t>
      </w:r>
      <w:r w:rsidRPr="003E305A">
        <w:rPr>
          <w:rFonts w:ascii="Arial Narrow" w:hAnsi="Arial Narrow"/>
        </w:rPr>
        <w:t xml:space="preserve">, que um dos maiores paradoxos da Rússia pós-soviética é «o aparecimento de um movimento nazi num país em que não existe praticamente nenhuma família que não tenha tido um dos seus membros assassinado pelos alemães durante a segunda guerra mundial». A extrema-direita </w:t>
      </w:r>
      <w:r>
        <w:rPr>
          <w:rFonts w:ascii="Arial Narrow" w:hAnsi="Arial Narrow"/>
        </w:rPr>
        <w:t xml:space="preserve">e os fascistas </w:t>
      </w:r>
      <w:r w:rsidRPr="003E305A">
        <w:rPr>
          <w:rFonts w:ascii="Arial Narrow" w:hAnsi="Arial Narrow"/>
        </w:rPr>
        <w:t>do Leste europeu reduz</w:t>
      </w:r>
      <w:r>
        <w:rPr>
          <w:rFonts w:ascii="Arial Narrow" w:hAnsi="Arial Narrow"/>
        </w:rPr>
        <w:t>em</w:t>
      </w:r>
      <w:r w:rsidRPr="003E305A">
        <w:rPr>
          <w:rFonts w:ascii="Arial Narrow" w:hAnsi="Arial Narrow"/>
        </w:rPr>
        <w:t xml:space="preserve"> o racismo hitleriano à sua componente anti-semita e prefere esquecer que o antieslavismo fora o outro dos grandes eixos orientadores do </w:t>
      </w:r>
      <w:r>
        <w:rPr>
          <w:rFonts w:ascii="Arial Narrow" w:hAnsi="Arial Narrow"/>
        </w:rPr>
        <w:t>nacional-socialismo</w:t>
      </w:r>
      <w:r w:rsidRPr="003E305A">
        <w:rPr>
          <w:rFonts w:ascii="Arial Narrow" w:hAnsi="Arial Narrow"/>
        </w:rPr>
        <w:t xml:space="preserve">. Esta escamoteação é particularmente visível na Polónia actual. Convém lembrar que neste país o anti-semitismo atingira entre as duas guerras mundiais uma amplitude talvez superior à que o caracterizava na Alemanha da mesma época, a tal ponto que em Julho e Agosto de 1946, mais de um ano depois do final da guerra, dois ou três mil judeus polacos foram assassinados numa série de </w:t>
      </w:r>
      <w:r w:rsidRPr="003E305A">
        <w:rPr>
          <w:rFonts w:ascii="Arial Narrow" w:hAnsi="Arial Narrow"/>
          <w:i/>
        </w:rPr>
        <w:t>pogroms,</w:t>
      </w:r>
      <w:r w:rsidRPr="003E305A">
        <w:rPr>
          <w:rFonts w:ascii="Arial Narrow" w:hAnsi="Arial Narrow"/>
        </w:rPr>
        <w:t xml:space="preserve"> como relat</w:t>
      </w:r>
      <w:r>
        <w:rPr>
          <w:rFonts w:ascii="Arial Narrow" w:hAnsi="Arial Narrow"/>
        </w:rPr>
        <w:t>ou</w:t>
      </w:r>
      <w:r w:rsidRPr="003E305A">
        <w:rPr>
          <w:rFonts w:ascii="Arial Narrow" w:hAnsi="Arial Narrow"/>
        </w:rPr>
        <w:t xml:space="preserve"> Vladimir Tismaneanu</w:t>
      </w:r>
      <w:r>
        <w:rPr>
          <w:rFonts w:ascii="Arial Narrow" w:hAnsi="Arial Narrow"/>
        </w:rPr>
        <w:t>,</w:t>
      </w:r>
      <w:r w:rsidRPr="003E305A">
        <w:rPr>
          <w:rFonts w:ascii="Arial Narrow" w:hAnsi="Arial Narrow"/>
        </w:rPr>
        <w:t xml:space="preserve"> </w:t>
      </w:r>
      <w:r w:rsidRPr="00CF2876">
        <w:rPr>
          <w:rFonts w:ascii="Arial Narrow" w:hAnsi="Arial Narrow"/>
        </w:rPr>
        <w:t>op. cit.,</w:t>
      </w:r>
      <w:r w:rsidRPr="003E305A">
        <w:rPr>
          <w:rFonts w:ascii="Arial Narrow" w:hAnsi="Arial Narrow"/>
        </w:rPr>
        <w:t xml:space="preserve"> 101</w:t>
      </w:r>
      <w:r>
        <w:rPr>
          <w:rFonts w:ascii="Arial Narrow" w:hAnsi="Arial Narrow"/>
        </w:rPr>
        <w:t>; ver também M. Gilbert (2011 b) II 845. Segundo N. Stone (2011) 29, foi este o momento que o cardeal e arcebispo de Cracóvia escolheu para proferir declarações anti-semitas</w:t>
      </w:r>
      <w:r w:rsidRPr="003E305A">
        <w:rPr>
          <w:rFonts w:ascii="Arial Narrow" w:hAnsi="Arial Narrow"/>
        </w:rPr>
        <w:t xml:space="preserve">. É bom igualmente saber que na Hungria uma organização fascista clandestina conseguiu organizar um </w:t>
      </w:r>
      <w:r w:rsidRPr="003E305A">
        <w:rPr>
          <w:rFonts w:ascii="Arial Narrow" w:hAnsi="Arial Narrow"/>
          <w:i/>
        </w:rPr>
        <w:t>pogrom</w:t>
      </w:r>
      <w:r w:rsidRPr="003E305A">
        <w:rPr>
          <w:rFonts w:ascii="Arial Narrow" w:hAnsi="Arial Narrow"/>
        </w:rPr>
        <w:t xml:space="preserve"> em 1946, segundo leio em M. Bardèche et al. </w:t>
      </w:r>
      <w:r w:rsidRPr="00FC4730">
        <w:rPr>
          <w:rFonts w:ascii="Arial Narrow" w:hAnsi="Arial Narrow"/>
        </w:rPr>
        <w:t>(1969) 28.</w:t>
      </w:r>
    </w:p>
  </w:footnote>
  <w:footnote w:id="439">
    <w:p w:rsidR="00392E0D" w:rsidRPr="00B2463D"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Quanto à organização de tropas auxiliares pela Wehrmacht, recrutadas entre a população soviética, ver C. Andreyev, «Soviet Exiles at War», em I. C. B. Dear et al. </w:t>
      </w:r>
      <w:r w:rsidRPr="00B2463D">
        <w:rPr>
          <w:rFonts w:ascii="Arial Narrow" w:hAnsi="Arial Narrow"/>
        </w:rPr>
        <w:t>(orgs. 1995) 1031 e A. Dallin (1957) 299, 497 e segs.</w:t>
      </w:r>
      <w:r>
        <w:rPr>
          <w:rFonts w:ascii="Arial Narrow" w:hAnsi="Arial Narrow"/>
        </w:rPr>
        <w:t xml:space="preserve"> Consultar também A. Beevor (2010) 166, 246, 317-318 e H. G. Dahms (1968) II 197, 213.</w:t>
      </w:r>
    </w:p>
  </w:footnote>
  <w:footnote w:id="440">
    <w:p w:rsidR="00392E0D" w:rsidRPr="001A4CD7"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1A4CD7">
        <w:rPr>
          <w:rFonts w:ascii="Arial Narrow" w:hAnsi="Arial Narrow"/>
          <w:lang w:val="en-US"/>
        </w:rPr>
        <w:t xml:space="preserve"> A. Dallin (1957) 500, 502, 534, 541-542</w:t>
      </w:r>
      <w:r>
        <w:rPr>
          <w:rFonts w:ascii="Arial Narrow" w:hAnsi="Arial Narrow"/>
          <w:lang w:val="en-US"/>
        </w:rPr>
        <w:t>; J. Noakes et al. (orgs. 2008-2010) III 291</w:t>
      </w:r>
      <w:r w:rsidRPr="001A4CD7">
        <w:rPr>
          <w:rFonts w:ascii="Arial Narrow" w:hAnsi="Arial Narrow"/>
          <w:lang w:val="en-US"/>
        </w:rPr>
        <w:t>.</w:t>
      </w:r>
    </w:p>
  </w:footnote>
  <w:footnote w:id="441">
    <w:p w:rsidR="00392E0D" w:rsidRPr="001A4CD7"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1A4CD7">
        <w:rPr>
          <w:rFonts w:ascii="Arial Narrow" w:hAnsi="Arial Narrow"/>
          <w:lang w:val="en-US"/>
        </w:rPr>
        <w:t xml:space="preserve"> A. Beevor (2010) 166-167, 253, 359; A. Dallin (1957) 534-538, 542, 551-552</w:t>
      </w:r>
      <w:r>
        <w:rPr>
          <w:rFonts w:ascii="Arial Narrow" w:hAnsi="Arial Narrow"/>
          <w:lang w:val="en-US"/>
        </w:rPr>
        <w:t>; H. Mommsen (2009) 246; J. Noakes et al. (orgs. 2008-2010) III 307</w:t>
      </w:r>
      <w:r w:rsidRPr="001A4CD7">
        <w:rPr>
          <w:rFonts w:ascii="Arial Narrow" w:hAnsi="Arial Narrow"/>
          <w:lang w:val="en-US"/>
        </w:rPr>
        <w:t>.</w:t>
      </w:r>
    </w:p>
  </w:footnote>
  <w:footnote w:id="44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116EA9">
        <w:rPr>
          <w:rFonts w:ascii="Arial Narrow" w:hAnsi="Arial Narrow"/>
          <w:lang w:val="en-US"/>
        </w:rPr>
        <w:t xml:space="preserve"> Acerca de Vlassov ver A. Dallin (1957) 553-557. Acessoriamente consultei C. Andreyev, «Soviet Exiles at War», em I. C. B. Dear et al. </w:t>
      </w:r>
      <w:r w:rsidRPr="003E305A">
        <w:rPr>
          <w:rFonts w:ascii="Arial Narrow" w:hAnsi="Arial Narrow"/>
        </w:rPr>
        <w:t>(orgs. 1995) 1029-1031</w:t>
      </w:r>
      <w:r>
        <w:rPr>
          <w:rFonts w:ascii="Arial Narrow" w:hAnsi="Arial Narrow"/>
        </w:rPr>
        <w:t xml:space="preserve">, </w:t>
      </w:r>
      <w:r w:rsidRPr="0010091B">
        <w:rPr>
          <w:rFonts w:ascii="Arial Narrow" w:hAnsi="Arial Narrow"/>
        </w:rPr>
        <w:t>I. Kamenetsky (1956) 61-62</w:t>
      </w:r>
      <w:r>
        <w:rPr>
          <w:rFonts w:ascii="Arial Narrow" w:hAnsi="Arial Narrow"/>
        </w:rPr>
        <w:t xml:space="preserve"> e</w:t>
      </w:r>
      <w:r w:rsidRPr="003E305A">
        <w:rPr>
          <w:rFonts w:ascii="Arial Narrow" w:hAnsi="Arial Narrow"/>
        </w:rPr>
        <w:t xml:space="preserve"> E. Nolte (1989) 398-401.</w:t>
      </w:r>
    </w:p>
  </w:footnote>
  <w:footnote w:id="443">
    <w:p w:rsidR="00392E0D" w:rsidRPr="00446A73" w:rsidRDefault="00392E0D" w:rsidP="00321E01">
      <w:pPr>
        <w:pStyle w:val="Textodenotaderodap"/>
        <w:rPr>
          <w:rFonts w:ascii="Arial Narrow" w:hAnsi="Arial Narrow"/>
        </w:rPr>
      </w:pPr>
      <w:r w:rsidRPr="003E305A">
        <w:rPr>
          <w:rStyle w:val="Refdenotaderodap"/>
          <w:rFonts w:ascii="Arial Narrow" w:hAnsi="Arial Narrow"/>
        </w:rPr>
        <w:footnoteRef/>
      </w:r>
      <w:r w:rsidRPr="00446A73">
        <w:rPr>
          <w:rFonts w:ascii="Arial Narrow" w:hAnsi="Arial Narrow"/>
        </w:rPr>
        <w:t xml:space="preserve"> Citado em H. Rauschning (1939) 59.</w:t>
      </w:r>
    </w:p>
  </w:footnote>
  <w:footnote w:id="444">
    <w:p w:rsidR="00392E0D" w:rsidRPr="0010091B" w:rsidRDefault="00392E0D">
      <w:pPr>
        <w:pStyle w:val="Textodenotaderodap"/>
        <w:rPr>
          <w:rFonts w:ascii="Arial Narrow" w:hAnsi="Arial Narrow"/>
          <w:lang w:val="en-US"/>
        </w:rPr>
      </w:pPr>
      <w:r w:rsidRPr="006352DD">
        <w:rPr>
          <w:rStyle w:val="Refdenotaderodap"/>
          <w:rFonts w:ascii="Arial Narrow" w:hAnsi="Arial Narrow"/>
        </w:rPr>
        <w:footnoteRef/>
      </w:r>
      <w:r w:rsidRPr="0010091B">
        <w:rPr>
          <w:rFonts w:ascii="Arial Narrow" w:hAnsi="Arial Narrow"/>
          <w:lang w:val="en-US"/>
        </w:rPr>
        <w:t xml:space="preserve"> </w:t>
      </w:r>
      <w:r w:rsidRPr="0010091B">
        <w:rPr>
          <w:rFonts w:ascii="Arial Narrow" w:hAnsi="Arial Narrow"/>
          <w:bCs/>
          <w:i/>
          <w:iCs/>
          <w:lang w:val="en-US"/>
        </w:rPr>
        <w:t>Hitler’s Table Talk</w:t>
      </w:r>
      <w:r w:rsidRPr="0010091B">
        <w:rPr>
          <w:rFonts w:ascii="Arial Narrow" w:hAnsi="Arial Narrow"/>
          <w:iCs/>
          <w:lang w:val="en-US"/>
        </w:rPr>
        <w:t>..., 541.</w:t>
      </w:r>
    </w:p>
  </w:footnote>
  <w:footnote w:id="445">
    <w:p w:rsidR="00392E0D" w:rsidRPr="0083689F" w:rsidRDefault="00392E0D" w:rsidP="00321E01">
      <w:pPr>
        <w:pStyle w:val="Textodenotaderodap"/>
        <w:rPr>
          <w:rFonts w:ascii="Arial Narrow" w:hAnsi="Arial Narrow"/>
        </w:rPr>
      </w:pPr>
      <w:r w:rsidRPr="003E305A">
        <w:rPr>
          <w:rStyle w:val="Refdenotaderodap"/>
          <w:rFonts w:ascii="Arial Narrow" w:hAnsi="Arial Narrow"/>
        </w:rPr>
        <w:footnoteRef/>
      </w:r>
      <w:r w:rsidRPr="006352DD">
        <w:rPr>
          <w:rFonts w:ascii="Arial Narrow" w:hAnsi="Arial Narrow"/>
          <w:lang w:val="en-US"/>
        </w:rPr>
        <w:t xml:space="preserve"> F. Neumann (1943) 208; J. Noakes et al. </w:t>
      </w:r>
      <w:r w:rsidRPr="0083689F">
        <w:rPr>
          <w:rFonts w:ascii="Arial Narrow" w:hAnsi="Arial Narrow"/>
        </w:rPr>
        <w:t>(orgs. 200</w:t>
      </w:r>
      <w:r>
        <w:rPr>
          <w:rFonts w:ascii="Arial Narrow" w:hAnsi="Arial Narrow"/>
        </w:rPr>
        <w:t>8-2010</w:t>
      </w:r>
      <w:r w:rsidRPr="0083689F">
        <w:rPr>
          <w:rFonts w:ascii="Arial Narrow" w:hAnsi="Arial Narrow"/>
        </w:rPr>
        <w:t xml:space="preserve">) </w:t>
      </w:r>
      <w:r>
        <w:rPr>
          <w:rFonts w:ascii="Arial Narrow" w:hAnsi="Arial Narrow"/>
        </w:rPr>
        <w:t xml:space="preserve">III </w:t>
      </w:r>
      <w:r w:rsidRPr="0083689F">
        <w:rPr>
          <w:rFonts w:ascii="Arial Narrow" w:hAnsi="Arial Narrow"/>
        </w:rPr>
        <w:t>286-290.</w:t>
      </w:r>
    </w:p>
  </w:footnote>
  <w:footnote w:id="446">
    <w:p w:rsidR="00392E0D" w:rsidRPr="00B54626" w:rsidRDefault="00392E0D">
      <w:pPr>
        <w:pStyle w:val="Textodenotaderodap"/>
        <w:rPr>
          <w:rFonts w:ascii="Arial Narrow" w:hAnsi="Arial Narrow"/>
          <w:lang w:val="en-US"/>
        </w:rPr>
      </w:pPr>
      <w:r w:rsidRPr="00B54626">
        <w:rPr>
          <w:rStyle w:val="Refdenotaderodap"/>
          <w:rFonts w:ascii="Arial Narrow" w:hAnsi="Arial Narrow"/>
        </w:rPr>
        <w:footnoteRef/>
      </w:r>
      <w:r w:rsidRPr="00163059">
        <w:rPr>
          <w:rFonts w:ascii="Arial Narrow" w:hAnsi="Arial Narrow"/>
        </w:rPr>
        <w:t xml:space="preserve"> Citado em J. Noakes et al. </w:t>
      </w:r>
      <w:r>
        <w:rPr>
          <w:rFonts w:ascii="Arial Narrow" w:hAnsi="Arial Narrow"/>
          <w:lang w:val="en-US"/>
        </w:rPr>
        <w:t>(orgs. 2008-2010) III 287.</w:t>
      </w:r>
    </w:p>
  </w:footnote>
  <w:footnote w:id="447">
    <w:p w:rsidR="00392E0D" w:rsidRPr="00163059" w:rsidRDefault="00392E0D">
      <w:pPr>
        <w:pStyle w:val="Textodenotaderodap"/>
        <w:rPr>
          <w:rFonts w:ascii="Arial Narrow" w:hAnsi="Arial Narrow"/>
          <w:lang w:val="en-US"/>
        </w:rPr>
      </w:pPr>
      <w:r w:rsidRPr="00163059">
        <w:rPr>
          <w:rStyle w:val="Refdenotaderodap"/>
          <w:rFonts w:ascii="Arial Narrow" w:hAnsi="Arial Narrow"/>
        </w:rPr>
        <w:footnoteRef/>
      </w:r>
      <w:r w:rsidRPr="00163059">
        <w:rPr>
          <w:rFonts w:ascii="Arial Narrow" w:hAnsi="Arial Narrow"/>
          <w:lang w:val="en-US"/>
        </w:rPr>
        <w:t xml:space="preserve"> </w:t>
      </w:r>
      <w:r>
        <w:rPr>
          <w:rFonts w:ascii="Arial Narrow" w:hAnsi="Arial Narrow"/>
          <w:lang w:val="en-US"/>
        </w:rPr>
        <w:t>Id., ibid., III 290.</w:t>
      </w:r>
    </w:p>
  </w:footnote>
  <w:footnote w:id="448">
    <w:p w:rsidR="00392E0D" w:rsidRPr="00A6183D" w:rsidRDefault="00392E0D">
      <w:pPr>
        <w:pStyle w:val="Textodenotaderodap"/>
        <w:rPr>
          <w:rFonts w:ascii="Arial Narrow" w:hAnsi="Arial Narrow"/>
          <w:lang w:val="en-US"/>
        </w:rPr>
      </w:pPr>
      <w:r w:rsidRPr="00A6183D">
        <w:rPr>
          <w:rStyle w:val="Refdenotaderodap"/>
          <w:rFonts w:ascii="Arial Narrow" w:hAnsi="Arial Narrow"/>
        </w:rPr>
        <w:footnoteRef/>
      </w:r>
      <w:r w:rsidRPr="00A6183D">
        <w:rPr>
          <w:rFonts w:ascii="Arial Narrow" w:hAnsi="Arial Narrow"/>
          <w:lang w:val="en-US"/>
        </w:rPr>
        <w:t xml:space="preserve"> </w:t>
      </w:r>
      <w:r>
        <w:rPr>
          <w:rFonts w:ascii="Arial Narrow" w:hAnsi="Arial Narrow"/>
          <w:lang w:val="en-US"/>
        </w:rPr>
        <w:t>Id., ibid., III 293-294.</w:t>
      </w:r>
    </w:p>
  </w:footnote>
  <w:footnote w:id="449">
    <w:p w:rsidR="00392E0D" w:rsidRPr="00DE6634" w:rsidRDefault="00392E0D">
      <w:pPr>
        <w:pStyle w:val="Textodenotaderodap"/>
        <w:rPr>
          <w:rFonts w:ascii="Arial Narrow" w:hAnsi="Arial Narrow"/>
          <w:lang w:val="en-US"/>
        </w:rPr>
      </w:pPr>
      <w:r w:rsidRPr="00DF55A4">
        <w:rPr>
          <w:rStyle w:val="Refdenotaderodap"/>
          <w:rFonts w:ascii="Arial Narrow" w:hAnsi="Arial Narrow"/>
        </w:rPr>
        <w:footnoteRef/>
      </w:r>
      <w:r w:rsidRPr="00446A73">
        <w:rPr>
          <w:rFonts w:ascii="Arial Narrow" w:hAnsi="Arial Narrow"/>
          <w:lang w:val="en-US"/>
        </w:rPr>
        <w:t xml:space="preserve"> </w:t>
      </w:r>
      <w:r w:rsidRPr="00DE6634">
        <w:rPr>
          <w:rFonts w:ascii="Arial Narrow" w:hAnsi="Arial Narrow"/>
          <w:lang w:val="en-US"/>
        </w:rPr>
        <w:t>Saint-Loup (1987) 150.</w:t>
      </w:r>
    </w:p>
  </w:footnote>
  <w:footnote w:id="450">
    <w:p w:rsidR="00392E0D" w:rsidRPr="00B2463D"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Benoist-Méchin (1964-1966) IV 287; J. Billig (2000) 68-69; K. Heiden (1934) 94</w:t>
      </w:r>
      <w:r>
        <w:rPr>
          <w:rFonts w:ascii="Arial Narrow" w:hAnsi="Arial Narrow"/>
          <w:lang w:val="de-DE"/>
        </w:rPr>
        <w:t xml:space="preserve">; </w:t>
      </w:r>
      <w:r w:rsidRPr="00F93F18">
        <w:rPr>
          <w:rFonts w:ascii="Arial Narrow" w:hAnsi="Arial Narrow"/>
          <w:lang w:val="en-US"/>
        </w:rPr>
        <w:t xml:space="preserve">J. Kuczynski et al. </w:t>
      </w:r>
      <w:r w:rsidRPr="003A3D08">
        <w:rPr>
          <w:rFonts w:ascii="Arial Narrow" w:hAnsi="Arial Narrow"/>
        </w:rPr>
        <w:t>(1942) 52</w:t>
      </w:r>
      <w:r w:rsidRPr="00B2463D">
        <w:rPr>
          <w:rFonts w:ascii="Arial Narrow" w:hAnsi="Arial Narrow"/>
          <w:lang w:val="de-DE"/>
        </w:rPr>
        <w:t>.</w:t>
      </w:r>
    </w:p>
  </w:footnote>
  <w:footnote w:id="45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t>
      </w:r>
      <w:r>
        <w:rPr>
          <w:rFonts w:ascii="Arial Narrow" w:hAnsi="Arial Narrow"/>
        </w:rPr>
        <w:t xml:space="preserve">J. Noakes et al. (orgs. 2008-2010) I 135 e </w:t>
      </w:r>
      <w:r w:rsidRPr="003E305A">
        <w:rPr>
          <w:rFonts w:ascii="Arial Narrow" w:hAnsi="Arial Narrow"/>
        </w:rPr>
        <w:t>W. L. Shirer (1995) I 206.</w:t>
      </w:r>
    </w:p>
  </w:footnote>
  <w:footnote w:id="45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D443BE">
        <w:rPr>
          <w:rFonts w:ascii="Arial Narrow" w:hAnsi="Arial Narrow"/>
        </w:rPr>
        <w:t xml:space="preserve"> </w:t>
      </w:r>
      <w:r w:rsidRPr="00CB1AC1">
        <w:rPr>
          <w:rFonts w:ascii="Arial Narrow" w:hAnsi="Arial Narrow"/>
        </w:rPr>
        <w:t xml:space="preserve">A. Hitler (1995) </w:t>
      </w:r>
      <w:r w:rsidRPr="00D443BE">
        <w:rPr>
          <w:rFonts w:ascii="Arial Narrow" w:hAnsi="Arial Narrow"/>
        </w:rPr>
        <w:t>270.</w:t>
      </w:r>
      <w:r>
        <w:rPr>
          <w:rFonts w:ascii="Arial Narrow" w:hAnsi="Arial Narrow"/>
        </w:rPr>
        <w:t xml:space="preserve"> Por seu lado, </w:t>
      </w:r>
      <w:r w:rsidRPr="003E305A">
        <w:rPr>
          <w:rFonts w:ascii="Arial Narrow" w:hAnsi="Arial Narrow"/>
        </w:rPr>
        <w:t xml:space="preserve">H. S. Chamberlain (1913) 686 e 1288-1289 atribuíra qualidades muito diferentes à raça germânica, na qual incluía os celtas e os antigos eslavos. Para ele os germanos seriam os únicos capazes de combinar a liberdade individual com a edificação social de Estados, porque só eles teriam a aptidão para conjugar o mundo visível e colectivo, onde reinava a ordem política e o determinismo da natureza, com o mundo invisível e pessoal, onde se expandia a liberdade subjectiva e a imaginação poética e religiosa. Partindo de uma frase de Goethe, Houston Stewart Chamberlain defendeu </w:t>
      </w:r>
      <w:r>
        <w:rPr>
          <w:rFonts w:ascii="Arial Narrow" w:hAnsi="Arial Narrow"/>
        </w:rPr>
        <w:t>(</w:t>
      </w:r>
      <w:r w:rsidRPr="003E305A">
        <w:rPr>
          <w:rFonts w:ascii="Arial Narrow" w:hAnsi="Arial Narrow"/>
        </w:rPr>
        <w:t>págs. 926-937</w:t>
      </w:r>
      <w:r>
        <w:rPr>
          <w:rFonts w:ascii="Arial Narrow" w:hAnsi="Arial Narrow"/>
        </w:rPr>
        <w:t xml:space="preserve">) </w:t>
      </w:r>
      <w:r w:rsidRPr="003E305A">
        <w:rPr>
          <w:rFonts w:ascii="Arial Narrow" w:hAnsi="Arial Narrow"/>
        </w:rPr>
        <w:t xml:space="preserve">que, ao contrário da ideia universalista, que procurava abolir os limites exteriores para colocar limites internos ao espírito, a aspiração íntima </w:t>
      </w:r>
      <w:r>
        <w:rPr>
          <w:rFonts w:ascii="Arial Narrow" w:hAnsi="Arial Narrow"/>
        </w:rPr>
        <w:t>—</w:t>
      </w:r>
      <w:r w:rsidRPr="003E305A">
        <w:rPr>
          <w:rFonts w:ascii="Arial Narrow" w:hAnsi="Arial Narrow"/>
        </w:rPr>
        <w:t xml:space="preserve"> e criativa </w:t>
      </w:r>
      <w:r>
        <w:rPr>
          <w:rFonts w:ascii="Arial Narrow" w:hAnsi="Arial Narrow"/>
        </w:rPr>
        <w:t>—</w:t>
      </w:r>
      <w:r w:rsidRPr="003E305A">
        <w:rPr>
          <w:rFonts w:ascii="Arial Narrow" w:hAnsi="Arial Narrow"/>
        </w:rPr>
        <w:t xml:space="preserve"> à ausência de limites só podia decorrer da formação de limites exteriores, que eram os limites de raça e de nação. Por isso Chamberlain pretendeu</w:t>
      </w:r>
      <w:r>
        <w:rPr>
          <w:rFonts w:ascii="Arial Narrow" w:hAnsi="Arial Narrow"/>
        </w:rPr>
        <w:t xml:space="preserve"> (</w:t>
      </w:r>
      <w:r w:rsidRPr="003E305A">
        <w:rPr>
          <w:rFonts w:ascii="Arial Narrow" w:hAnsi="Arial Narrow"/>
        </w:rPr>
        <w:t>págs. 685-686</w:t>
      </w:r>
      <w:r>
        <w:rPr>
          <w:rFonts w:ascii="Arial Narrow" w:hAnsi="Arial Narrow"/>
        </w:rPr>
        <w:t>)</w:t>
      </w:r>
      <w:r w:rsidRPr="003E305A">
        <w:rPr>
          <w:rFonts w:ascii="Arial Narrow" w:hAnsi="Arial Narrow"/>
        </w:rPr>
        <w:t xml:space="preserve"> que só o Germano tinha direito à liberdade, porque só ele possuía a força física e a força intelectual necessária</w:t>
      </w:r>
      <w:r>
        <w:rPr>
          <w:rFonts w:ascii="Arial Narrow" w:hAnsi="Arial Narrow"/>
        </w:rPr>
        <w:t>s</w:t>
      </w:r>
      <w:r w:rsidRPr="003E305A">
        <w:rPr>
          <w:rFonts w:ascii="Arial Narrow" w:hAnsi="Arial Narrow"/>
        </w:rPr>
        <w:t xml:space="preserve"> para ser livre. Decerto não agradaria a Hitler caracterizar os germanos com uma tão </w:t>
      </w:r>
      <w:r>
        <w:rPr>
          <w:rFonts w:ascii="Arial Narrow" w:hAnsi="Arial Narrow"/>
        </w:rPr>
        <w:t>temerária</w:t>
      </w:r>
      <w:r w:rsidRPr="003E305A">
        <w:rPr>
          <w:rFonts w:ascii="Arial Narrow" w:hAnsi="Arial Narrow"/>
        </w:rPr>
        <w:t xml:space="preserve"> ambiguidade</w:t>
      </w:r>
      <w:r>
        <w:rPr>
          <w:rFonts w:ascii="Arial Narrow" w:hAnsi="Arial Narrow"/>
        </w:rPr>
        <w:t xml:space="preserve">, e no entanto os SS destacaram esta ideia de Chamberlain numa publicação de 1941. Ver </w:t>
      </w:r>
      <w:r w:rsidRPr="005B296A">
        <w:rPr>
          <w:rFonts w:ascii="Arial Narrow" w:hAnsi="Arial Narrow"/>
        </w:rPr>
        <w:t>K. Hammer (org. 1988-1994) IV 31-34.</w:t>
      </w:r>
    </w:p>
  </w:footnote>
  <w:footnote w:id="453">
    <w:p w:rsidR="00392E0D" w:rsidRPr="00E25A7A"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3E305A">
        <w:rPr>
          <w:rFonts w:ascii="Arial Narrow" w:hAnsi="Arial Narrow"/>
        </w:rPr>
        <w:t xml:space="preserve"> L. Poliakov (1971) 278 indic</w:t>
      </w:r>
      <w:r>
        <w:rPr>
          <w:rFonts w:ascii="Arial Narrow" w:hAnsi="Arial Narrow"/>
        </w:rPr>
        <w:t>ou</w:t>
      </w:r>
      <w:r w:rsidRPr="003E305A">
        <w:rPr>
          <w:rFonts w:ascii="Arial Narrow" w:hAnsi="Arial Narrow"/>
        </w:rPr>
        <w:t xml:space="preserve"> que «sob o Terceiro Reich a unanimidade faz-se sobretudo em torno do conceito de </w:t>
      </w:r>
      <w:r w:rsidRPr="003E305A">
        <w:rPr>
          <w:rFonts w:ascii="Arial Narrow" w:hAnsi="Arial Narrow"/>
          <w:i/>
        </w:rPr>
        <w:t>nordicismo,</w:t>
      </w:r>
      <w:r w:rsidRPr="003E305A">
        <w:rPr>
          <w:rFonts w:ascii="Arial Narrow" w:hAnsi="Arial Narrow"/>
        </w:rPr>
        <w:t xml:space="preserve"> em detrimento dos de </w:t>
      </w:r>
      <w:r w:rsidRPr="003E305A">
        <w:rPr>
          <w:rFonts w:ascii="Arial Narrow" w:hAnsi="Arial Narrow"/>
          <w:i/>
        </w:rPr>
        <w:t>arianismo</w:t>
      </w:r>
      <w:r w:rsidRPr="003E305A">
        <w:rPr>
          <w:rFonts w:ascii="Arial Narrow" w:hAnsi="Arial Narrow"/>
        </w:rPr>
        <w:t xml:space="preserve"> e de </w:t>
      </w:r>
      <w:r w:rsidRPr="003E305A">
        <w:rPr>
          <w:rFonts w:ascii="Arial Narrow" w:hAnsi="Arial Narrow"/>
          <w:i/>
        </w:rPr>
        <w:t>germanismo</w:t>
      </w:r>
      <w:r w:rsidRPr="003E305A">
        <w:rPr>
          <w:rFonts w:ascii="Arial Narrow" w:hAnsi="Arial Narrow"/>
        </w:rPr>
        <w:t>».</w:t>
      </w:r>
      <w:r>
        <w:rPr>
          <w:rFonts w:ascii="Arial Narrow" w:hAnsi="Arial Narrow"/>
        </w:rPr>
        <w:t xml:space="preserve"> Já Lothrop Stoddard, que usava o conceito de </w:t>
      </w:r>
      <w:r w:rsidRPr="00607150">
        <w:rPr>
          <w:rFonts w:ascii="Arial Narrow" w:hAnsi="Arial Narrow"/>
          <w:i/>
        </w:rPr>
        <w:t>nórdico,</w:t>
      </w:r>
      <w:r>
        <w:rPr>
          <w:rFonts w:ascii="Arial Narrow" w:hAnsi="Arial Narrow"/>
        </w:rPr>
        <w:t xml:space="preserve"> criticara «a enganosa terminologia “ariano”». </w:t>
      </w:r>
      <w:r w:rsidRPr="00E25A7A">
        <w:rPr>
          <w:rFonts w:ascii="Arial Narrow" w:hAnsi="Arial Narrow"/>
          <w:lang w:val="en-US"/>
        </w:rPr>
        <w:t xml:space="preserve">Ver </w:t>
      </w:r>
      <w:r w:rsidRPr="00BE68D0">
        <w:rPr>
          <w:rFonts w:ascii="Arial Narrow" w:hAnsi="Arial Narrow"/>
          <w:lang w:val="en-US"/>
        </w:rPr>
        <w:t>L. Stoddard (1921)</w:t>
      </w:r>
      <w:r>
        <w:rPr>
          <w:rFonts w:ascii="Arial Narrow" w:hAnsi="Arial Narrow"/>
          <w:lang w:val="en-US"/>
        </w:rPr>
        <w:t xml:space="preserve"> 200.</w:t>
      </w:r>
    </w:p>
  </w:footnote>
  <w:footnote w:id="454">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J. Billig (2000) 52-53; E. Conte et al. (1995) 38-39.</w:t>
      </w:r>
    </w:p>
  </w:footnote>
  <w:footnote w:id="455">
    <w:p w:rsidR="00392E0D" w:rsidRPr="00E25A7A" w:rsidRDefault="00392E0D">
      <w:pPr>
        <w:pStyle w:val="Textodenotaderodap"/>
        <w:rPr>
          <w:rFonts w:ascii="Arial Narrow" w:hAnsi="Arial Narrow"/>
        </w:rPr>
      </w:pPr>
      <w:r w:rsidRPr="000E1D86">
        <w:rPr>
          <w:rStyle w:val="Refdenotaderodap"/>
          <w:rFonts w:ascii="Arial Narrow" w:hAnsi="Arial Narrow"/>
        </w:rPr>
        <w:footnoteRef/>
      </w:r>
      <w:r w:rsidRPr="00DA56C3">
        <w:rPr>
          <w:rFonts w:ascii="Arial Narrow" w:hAnsi="Arial Narrow"/>
          <w:lang w:val="en-US"/>
        </w:rPr>
        <w:t xml:space="preserve"> A. Rosenberg (1986) 135</w:t>
      </w:r>
      <w:r>
        <w:rPr>
          <w:rFonts w:ascii="Arial Narrow" w:hAnsi="Arial Narrow"/>
          <w:lang w:val="en-US"/>
        </w:rPr>
        <w:t>, 141</w:t>
      </w:r>
      <w:r w:rsidRPr="00DA56C3">
        <w:rPr>
          <w:rFonts w:ascii="Arial Narrow" w:hAnsi="Arial Narrow"/>
          <w:lang w:val="en-US"/>
        </w:rPr>
        <w:t xml:space="preserve">; id. </w:t>
      </w:r>
      <w:r w:rsidRPr="00E25A7A">
        <w:rPr>
          <w:rFonts w:ascii="Arial Narrow" w:hAnsi="Arial Narrow"/>
        </w:rPr>
        <w:t>[s. d. 2] 131, 136.</w:t>
      </w:r>
    </w:p>
  </w:footnote>
  <w:footnote w:id="456">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E. Conte et al. (1995) 90.</w:t>
      </w:r>
      <w:r>
        <w:rPr>
          <w:rFonts w:ascii="Arial Narrow" w:hAnsi="Arial Narrow"/>
          <w:lang w:val="fr-FR"/>
        </w:rPr>
        <w:t xml:space="preserve"> H. J. Morgenthau (1946) 135-136 chamou a atenção para a atemporalidade das características raciais na doutrina nacional-socialista. Acerca de uma mitologia baseada nas noções de raça, espaço e eternidade, inspiradora dos SS, ver </w:t>
      </w:r>
      <w:r w:rsidRPr="009265F5">
        <w:rPr>
          <w:rFonts w:ascii="Arial Narrow" w:hAnsi="Arial Narrow"/>
        </w:rPr>
        <w:t>J. Baberowski et al. (2009) 191.</w:t>
      </w:r>
    </w:p>
  </w:footnote>
  <w:footnote w:id="457">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B. Miller-Lane (1973) 183.</w:t>
      </w:r>
    </w:p>
  </w:footnote>
  <w:footnote w:id="45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E. K. Bramstedt (1945) 71, 169; J. P. Faye (1980) 160-161, 230 e n.; K. Heiden (1934) 18 n.</w:t>
      </w:r>
      <w:r>
        <w:rPr>
          <w:rFonts w:ascii="Arial Narrow" w:hAnsi="Arial Narrow"/>
          <w:lang w:val="de-DE"/>
        </w:rPr>
        <w:t xml:space="preserve"> </w:t>
      </w:r>
      <w:r w:rsidRPr="003E305A">
        <w:rPr>
          <w:rFonts w:ascii="Arial Narrow" w:hAnsi="Arial Narrow"/>
        </w:rPr>
        <w:t xml:space="preserve">Tradutor de </w:t>
      </w:r>
      <w:r w:rsidRPr="003E305A">
        <w:rPr>
          <w:rFonts w:ascii="Arial Narrow" w:hAnsi="Arial Narrow"/>
          <w:i/>
        </w:rPr>
        <w:t>Mein Kampf</w:t>
      </w:r>
      <w:r w:rsidRPr="003E305A">
        <w:rPr>
          <w:rFonts w:ascii="Arial Narrow" w:hAnsi="Arial Narrow"/>
        </w:rPr>
        <w:t xml:space="preserve"> para inglês, Ralph Manheim deu de </w:t>
      </w:r>
      <w:r w:rsidRPr="003E305A">
        <w:rPr>
          <w:rFonts w:ascii="Arial Narrow" w:hAnsi="Arial Narrow"/>
          <w:i/>
        </w:rPr>
        <w:t>völkisch</w:t>
      </w:r>
      <w:r w:rsidRPr="003E305A">
        <w:rPr>
          <w:rFonts w:ascii="Arial Narrow" w:hAnsi="Arial Narrow"/>
        </w:rPr>
        <w:t xml:space="preserve"> e de </w:t>
      </w:r>
      <w:r w:rsidRPr="003E305A">
        <w:rPr>
          <w:rFonts w:ascii="Arial Narrow" w:hAnsi="Arial Narrow"/>
          <w:i/>
        </w:rPr>
        <w:t>Volksgenossen</w:t>
      </w:r>
      <w:r w:rsidRPr="003E305A">
        <w:rPr>
          <w:rFonts w:ascii="Arial Narrow" w:hAnsi="Arial Narrow"/>
        </w:rPr>
        <w:t xml:space="preserve"> versões neutras, como </w:t>
      </w:r>
      <w:r w:rsidRPr="003E305A">
        <w:rPr>
          <w:rFonts w:ascii="Arial Narrow" w:hAnsi="Arial Narrow"/>
          <w:i/>
        </w:rPr>
        <w:t>«nationalist»</w:t>
      </w:r>
      <w:r w:rsidRPr="003E305A">
        <w:rPr>
          <w:rFonts w:ascii="Arial Narrow" w:hAnsi="Arial Narrow"/>
        </w:rPr>
        <w:t xml:space="preserve"> e </w:t>
      </w:r>
      <w:r w:rsidRPr="003E305A">
        <w:rPr>
          <w:rFonts w:ascii="Arial Narrow" w:hAnsi="Arial Narrow"/>
          <w:i/>
        </w:rPr>
        <w:t>«national comrades»,</w:t>
      </w:r>
      <w:r w:rsidRPr="003E305A">
        <w:rPr>
          <w:rFonts w:ascii="Arial Narrow" w:hAnsi="Arial Narrow"/>
        </w:rPr>
        <w:t xml:space="preserve"> com o argumento de que eram termos correntes antes do aparecimento dos </w:t>
      </w:r>
      <w:r>
        <w:rPr>
          <w:rFonts w:ascii="Arial Narrow" w:hAnsi="Arial Narrow"/>
        </w:rPr>
        <w:t>nacionais-socialistas</w:t>
      </w:r>
      <w:r w:rsidRPr="003E305A">
        <w:rPr>
          <w:rFonts w:ascii="Arial Narrow" w:hAnsi="Arial Narrow"/>
        </w:rPr>
        <w:t>, sendo usados por muitas pessoas sem conotação racista. Ver A. Hitler (1995) 12 n. 3 e 84 n. 1. Parece-me que</w:t>
      </w:r>
      <w:r>
        <w:rPr>
          <w:rFonts w:ascii="Arial Narrow" w:hAnsi="Arial Narrow"/>
        </w:rPr>
        <w:t>,</w:t>
      </w:r>
      <w:r w:rsidRPr="003E305A">
        <w:rPr>
          <w:rFonts w:ascii="Arial Narrow" w:hAnsi="Arial Narrow"/>
        </w:rPr>
        <w:t xml:space="preserve"> </w:t>
      </w:r>
      <w:r>
        <w:rPr>
          <w:rFonts w:ascii="Arial Narrow" w:hAnsi="Arial Narrow"/>
        </w:rPr>
        <w:t xml:space="preserve">pelo contrário, </w:t>
      </w:r>
      <w:r w:rsidRPr="003E305A">
        <w:rPr>
          <w:rFonts w:ascii="Arial Narrow" w:hAnsi="Arial Narrow"/>
        </w:rPr>
        <w:t>isto devia ter levado o tradutor a acentuar a especificidade hitleriana no emprego daquelas palavras, como explic</w:t>
      </w:r>
      <w:r>
        <w:rPr>
          <w:rFonts w:ascii="Arial Narrow" w:hAnsi="Arial Narrow"/>
        </w:rPr>
        <w:t>ou</w:t>
      </w:r>
      <w:r w:rsidRPr="003E305A">
        <w:rPr>
          <w:rFonts w:ascii="Arial Narrow" w:hAnsi="Arial Narrow"/>
        </w:rPr>
        <w:t xml:space="preserve"> J. Billig (2000) 70 ao escrever que «quando Hitler pronuncia o termo </w:t>
      </w:r>
      <w:r w:rsidRPr="003E305A">
        <w:rPr>
          <w:rFonts w:ascii="Arial Narrow" w:hAnsi="Arial Narrow"/>
          <w:i/>
        </w:rPr>
        <w:t>“völkisch”</w:t>
      </w:r>
      <w:r w:rsidRPr="003E305A">
        <w:rPr>
          <w:rFonts w:ascii="Arial Narrow" w:hAnsi="Arial Narrow"/>
        </w:rPr>
        <w:t xml:space="preserve"> numa acepção positiva, em oposição à forma como o empregavam os movimentos políticos que se denominavam precisamente </w:t>
      </w:r>
      <w:r w:rsidRPr="003E305A">
        <w:rPr>
          <w:rFonts w:ascii="Arial Narrow" w:hAnsi="Arial Narrow"/>
          <w:i/>
        </w:rPr>
        <w:t>“völkisch”</w:t>
      </w:r>
      <w:r w:rsidRPr="003E305A">
        <w:rPr>
          <w:rFonts w:ascii="Arial Narrow" w:hAnsi="Arial Narrow"/>
        </w:rPr>
        <w:t xml:space="preserve"> (na acepção do tradicionalismo) e que são objecto das suas críticas mais mordazes, ele confere a esse termo o sentido de “raça”». E Joseph Billig insist</w:t>
      </w:r>
      <w:r>
        <w:rPr>
          <w:rFonts w:ascii="Arial Narrow" w:hAnsi="Arial Narrow"/>
        </w:rPr>
        <w:t>iu</w:t>
      </w:r>
      <w:r w:rsidRPr="003E305A">
        <w:rPr>
          <w:rFonts w:ascii="Arial Narrow" w:hAnsi="Arial Narrow"/>
        </w:rPr>
        <w:t xml:space="preserve"> </w:t>
      </w:r>
      <w:r>
        <w:rPr>
          <w:rFonts w:ascii="Arial Narrow" w:hAnsi="Arial Narrow"/>
        </w:rPr>
        <w:t>(</w:t>
      </w:r>
      <w:r w:rsidRPr="003E305A">
        <w:rPr>
          <w:rFonts w:ascii="Arial Narrow" w:hAnsi="Arial Narrow"/>
        </w:rPr>
        <w:t>pág. 35</w:t>
      </w:r>
      <w:r>
        <w:rPr>
          <w:rFonts w:ascii="Arial Narrow" w:hAnsi="Arial Narrow"/>
        </w:rPr>
        <w:t xml:space="preserve">) </w:t>
      </w:r>
      <w:r w:rsidRPr="003E305A">
        <w:rPr>
          <w:rFonts w:ascii="Arial Narrow" w:hAnsi="Arial Narrow"/>
        </w:rPr>
        <w:t xml:space="preserve">que «o termo </w:t>
      </w:r>
      <w:r w:rsidRPr="003E305A">
        <w:rPr>
          <w:rFonts w:ascii="Arial Narrow" w:hAnsi="Arial Narrow"/>
          <w:i/>
        </w:rPr>
        <w:t>“Völkische”</w:t>
      </w:r>
      <w:r w:rsidRPr="003E305A">
        <w:rPr>
          <w:rFonts w:ascii="Arial Narrow" w:hAnsi="Arial Narrow"/>
        </w:rPr>
        <w:t xml:space="preserve"> (“Populista”), </w:t>
      </w:r>
      <w:r w:rsidRPr="003E305A">
        <w:rPr>
          <w:rFonts w:ascii="Arial Narrow" w:hAnsi="Arial Narrow"/>
          <w:i/>
        </w:rPr>
        <w:t>na sua acepção positiva,</w:t>
      </w:r>
      <w:r w:rsidRPr="003E305A">
        <w:rPr>
          <w:rFonts w:ascii="Arial Narrow" w:hAnsi="Arial Narrow"/>
        </w:rPr>
        <w:t xml:space="preserve"> significa para Hitler o racismo» (sub. orig.). Por isso A. Bullock (1972) 67 n. 1 te</w:t>
      </w:r>
      <w:r>
        <w:rPr>
          <w:rFonts w:ascii="Arial Narrow" w:hAnsi="Arial Narrow"/>
        </w:rPr>
        <w:t>ve</w:t>
      </w:r>
      <w:r w:rsidRPr="003E305A">
        <w:rPr>
          <w:rFonts w:ascii="Arial Narrow" w:hAnsi="Arial Narrow"/>
        </w:rPr>
        <w:t xml:space="preserve"> razão ao traduzir o nome do jornal </w:t>
      </w:r>
      <w:r w:rsidRPr="003E305A">
        <w:rPr>
          <w:rFonts w:ascii="Arial Narrow" w:hAnsi="Arial Narrow"/>
          <w:i/>
        </w:rPr>
        <w:t>Völkischer Beobachter</w:t>
      </w:r>
      <w:r w:rsidRPr="003E305A">
        <w:rPr>
          <w:rFonts w:ascii="Arial Narrow" w:hAnsi="Arial Narrow"/>
        </w:rPr>
        <w:t xml:space="preserve"> como </w:t>
      </w:r>
      <w:r w:rsidRPr="003E305A">
        <w:rPr>
          <w:rFonts w:ascii="Arial Narrow" w:hAnsi="Arial Narrow"/>
          <w:i/>
        </w:rPr>
        <w:t>«Racist Observer»</w:t>
      </w:r>
      <w:r w:rsidRPr="003E305A">
        <w:rPr>
          <w:rFonts w:ascii="Arial Narrow" w:hAnsi="Arial Narrow"/>
        </w:rPr>
        <w:t>. Este historiador coment</w:t>
      </w:r>
      <w:r>
        <w:rPr>
          <w:rFonts w:ascii="Arial Narrow" w:hAnsi="Arial Narrow"/>
        </w:rPr>
        <w:t>ou</w:t>
      </w:r>
      <w:r w:rsidRPr="003E305A">
        <w:rPr>
          <w:rFonts w:ascii="Arial Narrow" w:hAnsi="Arial Narrow"/>
        </w:rPr>
        <w:t xml:space="preserve"> (pág. 123 n. 1) que </w:t>
      </w:r>
      <w:r w:rsidRPr="003E305A">
        <w:rPr>
          <w:rFonts w:ascii="Arial Narrow" w:hAnsi="Arial Narrow"/>
          <w:i/>
        </w:rPr>
        <w:t>völkisch</w:t>
      </w:r>
      <w:r w:rsidRPr="003E305A">
        <w:rPr>
          <w:rFonts w:ascii="Arial Narrow" w:hAnsi="Arial Narrow"/>
        </w:rPr>
        <w:t xml:space="preserve"> é «uma palavra difícil de traduzir porque combina a ideia de nacionalismo com as ideias de raça [...] e de anti-semitismo». Esta observação é confirmada por Jean Pierre Faye, tão competente enquanto linguista como lúcido e arguto na análise histórica, demonstrando que </w:t>
      </w:r>
      <w:r w:rsidRPr="003E305A">
        <w:rPr>
          <w:rFonts w:ascii="Arial Narrow" w:hAnsi="Arial Narrow"/>
          <w:i/>
        </w:rPr>
        <w:t>racista</w:t>
      </w:r>
      <w:r w:rsidRPr="003E305A">
        <w:rPr>
          <w:rFonts w:ascii="Arial Narrow" w:hAnsi="Arial Narrow"/>
        </w:rPr>
        <w:t xml:space="preserve"> é a tradução mais correcta de </w:t>
      </w:r>
      <w:r w:rsidRPr="003E305A">
        <w:rPr>
          <w:rFonts w:ascii="Arial Narrow" w:hAnsi="Arial Narrow"/>
          <w:i/>
        </w:rPr>
        <w:t>völkisch</w:t>
      </w:r>
      <w:r w:rsidRPr="003E305A">
        <w:rPr>
          <w:rFonts w:ascii="Arial Narrow" w:hAnsi="Arial Narrow"/>
        </w:rPr>
        <w:t xml:space="preserve"> e citando uma conversa pessoal com Herbert Marcuse em abono da tradução de </w:t>
      </w:r>
      <w:r w:rsidRPr="003E305A">
        <w:rPr>
          <w:rFonts w:ascii="Arial Narrow" w:hAnsi="Arial Narrow"/>
          <w:i/>
        </w:rPr>
        <w:t>Volksgenosse</w:t>
      </w:r>
      <w:r w:rsidRPr="003E305A">
        <w:rPr>
          <w:rFonts w:ascii="Arial Narrow" w:hAnsi="Arial Narrow"/>
        </w:rPr>
        <w:t xml:space="preserve"> como </w:t>
      </w:r>
      <w:r w:rsidRPr="004E4A33">
        <w:rPr>
          <w:rFonts w:ascii="Arial Narrow" w:hAnsi="Arial Narrow"/>
          <w:i/>
        </w:rPr>
        <w:t>«</w:t>
      </w:r>
      <w:r w:rsidRPr="003E305A">
        <w:rPr>
          <w:rFonts w:ascii="Arial Narrow" w:hAnsi="Arial Narrow"/>
          <w:i/>
        </w:rPr>
        <w:t>camarada de raça</w:t>
      </w:r>
      <w:r>
        <w:rPr>
          <w:rFonts w:ascii="Arial Narrow" w:hAnsi="Arial Narrow"/>
          <w:i/>
        </w:rPr>
        <w:t>»</w:t>
      </w:r>
      <w:r w:rsidRPr="003E305A">
        <w:rPr>
          <w:rFonts w:ascii="Arial Narrow" w:hAnsi="Arial Narrow"/>
        </w:rPr>
        <w:t>. Ver a este respeito J. P. Faye (1972) 87 n. 37, (1976) I 330 e (1980) 151-158, 726 n. 8.</w:t>
      </w:r>
      <w:r>
        <w:rPr>
          <w:rFonts w:ascii="Arial Narrow" w:hAnsi="Arial Narrow"/>
        </w:rPr>
        <w:t xml:space="preserve"> Com efeito, é como </w:t>
      </w:r>
      <w:r w:rsidRPr="003C5A53">
        <w:rPr>
          <w:rFonts w:ascii="Arial Narrow" w:hAnsi="Arial Narrow"/>
          <w:i/>
        </w:rPr>
        <w:t>«racial comrades»</w:t>
      </w:r>
      <w:r>
        <w:rPr>
          <w:rFonts w:ascii="Arial Narrow" w:hAnsi="Arial Narrow"/>
        </w:rPr>
        <w:t xml:space="preserve"> que a expressão aparece traduzida em H. Marcuse em </w:t>
      </w:r>
      <w:r w:rsidRPr="00010A18">
        <w:rPr>
          <w:rFonts w:ascii="Arial Narrow" w:hAnsi="Arial Narrow"/>
        </w:rPr>
        <w:t>R. Laudani (org. 2013)</w:t>
      </w:r>
      <w:r>
        <w:rPr>
          <w:rFonts w:ascii="Arial Narrow" w:hAnsi="Arial Narrow"/>
        </w:rPr>
        <w:t xml:space="preserve"> 818. Em abono desta interpretação, note-se que Moeller van den Bruck e os demais membros do Juni-Klub tenderam a rejeitar o termo </w:t>
      </w:r>
      <w:r w:rsidRPr="006553CB">
        <w:rPr>
          <w:rFonts w:ascii="Arial Narrow" w:hAnsi="Arial Narrow"/>
          <w:i/>
        </w:rPr>
        <w:t>völkisch</w:t>
      </w:r>
      <w:r>
        <w:rPr>
          <w:rFonts w:ascii="Arial Narrow" w:hAnsi="Arial Narrow"/>
        </w:rPr>
        <w:t xml:space="preserve"> devido às suas conotações racistas, preferindo-lhe termos como </w:t>
      </w:r>
      <w:r w:rsidRPr="006553CB">
        <w:rPr>
          <w:rFonts w:ascii="Arial Narrow" w:hAnsi="Arial Narrow"/>
          <w:i/>
        </w:rPr>
        <w:t>volkhaft</w:t>
      </w:r>
      <w:r>
        <w:rPr>
          <w:rFonts w:ascii="Arial Narrow" w:hAnsi="Arial Narrow"/>
        </w:rPr>
        <w:t xml:space="preserve"> ou </w:t>
      </w:r>
      <w:r w:rsidRPr="006553CB">
        <w:rPr>
          <w:rFonts w:ascii="Arial Narrow" w:hAnsi="Arial Narrow"/>
          <w:i/>
        </w:rPr>
        <w:t>volklich</w:t>
      </w:r>
      <w:r>
        <w:rPr>
          <w:rFonts w:ascii="Arial Narrow" w:hAnsi="Arial Narrow"/>
        </w:rPr>
        <w:t xml:space="preserve">. Ver </w:t>
      </w:r>
      <w:r w:rsidRPr="004E4A33">
        <w:rPr>
          <w:rFonts w:ascii="Arial Narrow" w:hAnsi="Arial Narrow"/>
        </w:rPr>
        <w:t xml:space="preserve">A. Quinchon-Caudal (2013) </w:t>
      </w:r>
      <w:r>
        <w:rPr>
          <w:rFonts w:ascii="Arial Narrow" w:hAnsi="Arial Narrow"/>
        </w:rPr>
        <w:t xml:space="preserve">60. Sobre este problema ver também </w:t>
      </w:r>
      <w:r w:rsidRPr="004E4A33">
        <w:rPr>
          <w:rFonts w:ascii="Arial Narrow" w:hAnsi="Arial Narrow"/>
        </w:rPr>
        <w:t>Anne Quinchon-Caudal</w:t>
      </w:r>
      <w:r>
        <w:rPr>
          <w:rFonts w:ascii="Arial Narrow" w:hAnsi="Arial Narrow"/>
        </w:rPr>
        <w:t>,</w:t>
      </w:r>
      <w:r w:rsidRPr="004E4A33">
        <w:rPr>
          <w:rFonts w:ascii="Arial Narrow" w:hAnsi="Arial Narrow"/>
        </w:rPr>
        <w:t xml:space="preserve"> </w:t>
      </w:r>
      <w:r>
        <w:rPr>
          <w:rFonts w:ascii="Arial Narrow" w:hAnsi="Arial Narrow"/>
        </w:rPr>
        <w:t xml:space="preserve">op. cit., </w:t>
      </w:r>
      <w:r w:rsidRPr="004E4A33">
        <w:rPr>
          <w:rFonts w:ascii="Arial Narrow" w:hAnsi="Arial Narrow"/>
        </w:rPr>
        <w:t>45-46.</w:t>
      </w:r>
    </w:p>
  </w:footnote>
  <w:footnote w:id="459">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E. Conte et al. (1995) 212; A. Kaes et al. (orgs. 1995) 125.</w:t>
      </w:r>
    </w:p>
  </w:footnote>
  <w:footnote w:id="460">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J. P. Faye (1980) 538.</w:t>
      </w:r>
    </w:p>
  </w:footnote>
  <w:footnote w:id="461">
    <w:p w:rsidR="00392E0D" w:rsidRPr="00B2463D"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Billig (2000) 69; F. Neumann (1943) 213</w:t>
      </w:r>
      <w:r>
        <w:rPr>
          <w:rFonts w:ascii="Arial Narrow" w:hAnsi="Arial Narrow"/>
          <w:lang w:val="de-DE"/>
        </w:rPr>
        <w:t xml:space="preserve">; </w:t>
      </w:r>
      <w:r w:rsidRPr="00BA43FB">
        <w:rPr>
          <w:rFonts w:ascii="Arial Narrow" w:hAnsi="Arial Narrow"/>
          <w:lang w:val="en-US"/>
        </w:rPr>
        <w:t xml:space="preserve">K. H. Roth et al. </w:t>
      </w:r>
      <w:r w:rsidRPr="00450BFA">
        <w:rPr>
          <w:rFonts w:ascii="Arial Narrow" w:hAnsi="Arial Narrow"/>
        </w:rPr>
        <w:t>(2011) 221</w:t>
      </w:r>
      <w:r>
        <w:rPr>
          <w:rFonts w:ascii="Arial Narrow" w:hAnsi="Arial Narrow"/>
        </w:rPr>
        <w:t>, 228</w:t>
      </w:r>
      <w:r w:rsidRPr="00B2463D">
        <w:rPr>
          <w:rFonts w:ascii="Arial Narrow" w:hAnsi="Arial Narrow"/>
          <w:lang w:val="de-DE"/>
        </w:rPr>
        <w:t>.</w:t>
      </w:r>
    </w:p>
  </w:footnote>
  <w:footnote w:id="462">
    <w:p w:rsidR="00392E0D" w:rsidRPr="00B84468" w:rsidRDefault="00392E0D">
      <w:pPr>
        <w:pStyle w:val="Textodenotaderodap"/>
        <w:rPr>
          <w:rFonts w:ascii="Arial Narrow" w:hAnsi="Arial Narrow"/>
        </w:rPr>
      </w:pPr>
      <w:r w:rsidRPr="00B84468">
        <w:rPr>
          <w:rStyle w:val="Refdenotaderodap"/>
          <w:rFonts w:ascii="Arial Narrow" w:hAnsi="Arial Narrow"/>
        </w:rPr>
        <w:footnoteRef/>
      </w:r>
      <w:r w:rsidRPr="00B84468">
        <w:rPr>
          <w:rFonts w:ascii="Arial Narrow" w:hAnsi="Arial Narrow"/>
        </w:rPr>
        <w:t xml:space="preserve"> </w:t>
      </w:r>
      <w:r>
        <w:rPr>
          <w:rFonts w:ascii="Arial Narrow" w:hAnsi="Arial Narrow"/>
        </w:rPr>
        <w:t xml:space="preserve">O editorial de Goebbels em </w:t>
      </w:r>
      <w:r w:rsidRPr="003A0FA4">
        <w:rPr>
          <w:rFonts w:ascii="Arial Narrow" w:hAnsi="Arial Narrow"/>
          <w:i/>
        </w:rPr>
        <w:t>Das Reich</w:t>
      </w:r>
      <w:r>
        <w:rPr>
          <w:rFonts w:ascii="Arial Narrow" w:hAnsi="Arial Narrow"/>
          <w:i/>
        </w:rPr>
        <w:t>,</w:t>
      </w:r>
      <w:r>
        <w:rPr>
          <w:rFonts w:ascii="Arial Narrow" w:hAnsi="Arial Narrow"/>
        </w:rPr>
        <w:t xml:space="preserve"> 31 de Maio de 1942, encontra-se antologiado em J. Noakes et al. </w:t>
      </w:r>
      <w:r w:rsidRPr="00B84468">
        <w:rPr>
          <w:rFonts w:ascii="Arial Narrow" w:hAnsi="Arial Narrow"/>
        </w:rPr>
        <w:t xml:space="preserve">(orgs. 2008-2010) IV 486-487. </w:t>
      </w:r>
      <w:r>
        <w:rPr>
          <w:rFonts w:ascii="Arial Narrow" w:hAnsi="Arial Narrow"/>
        </w:rPr>
        <w:t>A passagem citada vem na pág. 486.</w:t>
      </w:r>
    </w:p>
  </w:footnote>
  <w:footnote w:id="463">
    <w:p w:rsidR="00392E0D" w:rsidRPr="00B84468" w:rsidRDefault="00392E0D">
      <w:pPr>
        <w:pStyle w:val="Textodenotaderodap"/>
        <w:rPr>
          <w:rFonts w:ascii="Arial Narrow" w:hAnsi="Arial Narrow"/>
        </w:rPr>
      </w:pPr>
      <w:r w:rsidRPr="002451A2">
        <w:rPr>
          <w:rStyle w:val="Refdenotaderodap"/>
          <w:rFonts w:ascii="Arial Narrow" w:hAnsi="Arial Narrow"/>
        </w:rPr>
        <w:footnoteRef/>
      </w:r>
      <w:r w:rsidRPr="002451A2">
        <w:rPr>
          <w:rFonts w:ascii="Arial Narrow" w:hAnsi="Arial Narrow"/>
        </w:rPr>
        <w:t xml:space="preserve"> </w:t>
      </w:r>
      <w:r>
        <w:rPr>
          <w:rFonts w:ascii="Arial Narrow" w:hAnsi="Arial Narrow"/>
        </w:rPr>
        <w:t xml:space="preserve">Citado em id., ibid., </w:t>
      </w:r>
      <w:r w:rsidRPr="00B84468">
        <w:rPr>
          <w:rFonts w:ascii="Arial Narrow" w:hAnsi="Arial Narrow"/>
        </w:rPr>
        <w:t>IV 293.</w:t>
      </w:r>
    </w:p>
  </w:footnote>
  <w:footnote w:id="464">
    <w:p w:rsidR="00392E0D" w:rsidRPr="00B84468" w:rsidRDefault="00392E0D">
      <w:pPr>
        <w:pStyle w:val="Textodenotaderodap"/>
        <w:rPr>
          <w:rFonts w:ascii="Arial Narrow" w:hAnsi="Arial Narrow"/>
        </w:rPr>
      </w:pPr>
      <w:r w:rsidRPr="005B6934">
        <w:rPr>
          <w:rStyle w:val="Refdenotaderodap"/>
          <w:rFonts w:ascii="Arial Narrow" w:hAnsi="Arial Narrow"/>
        </w:rPr>
        <w:footnoteRef/>
      </w:r>
      <w:r w:rsidRPr="00B84468">
        <w:rPr>
          <w:rFonts w:ascii="Arial Narrow" w:hAnsi="Arial Narrow"/>
        </w:rPr>
        <w:t xml:space="preserve"> </w:t>
      </w:r>
      <w:r>
        <w:rPr>
          <w:rFonts w:ascii="Arial Narrow" w:hAnsi="Arial Narrow"/>
        </w:rPr>
        <w:t xml:space="preserve">Citado em </w:t>
      </w:r>
      <w:r w:rsidRPr="00B84468">
        <w:rPr>
          <w:rFonts w:ascii="Arial Narrow" w:hAnsi="Arial Narrow"/>
        </w:rPr>
        <w:t>id., ibid., IV 245.</w:t>
      </w:r>
    </w:p>
  </w:footnote>
  <w:footnote w:id="465">
    <w:p w:rsidR="00392E0D" w:rsidRPr="00B2463D"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Citado em A. Bullock (1972) 692</w:t>
      </w:r>
      <w:r>
        <w:rPr>
          <w:rFonts w:ascii="Arial Narrow" w:hAnsi="Arial Narrow"/>
          <w:lang w:val="de-DE"/>
        </w:rPr>
        <w:t>,</w:t>
      </w:r>
      <w:r w:rsidRPr="00B2463D">
        <w:rPr>
          <w:rFonts w:ascii="Arial Narrow" w:hAnsi="Arial Narrow"/>
          <w:lang w:val="de-DE"/>
        </w:rPr>
        <w:t xml:space="preserve"> </w:t>
      </w:r>
      <w:r>
        <w:rPr>
          <w:rFonts w:ascii="Arial Narrow" w:hAnsi="Arial Narrow"/>
          <w:lang w:val="de-DE"/>
        </w:rPr>
        <w:t xml:space="preserve">M. Gilbert (2011 b) II 477 </w:t>
      </w:r>
      <w:r w:rsidRPr="00B2463D">
        <w:rPr>
          <w:rFonts w:ascii="Arial Narrow" w:hAnsi="Arial Narrow"/>
          <w:lang w:val="de-DE"/>
        </w:rPr>
        <w:t>e W. L. Shirer (1995) II 345.</w:t>
      </w:r>
      <w:r>
        <w:rPr>
          <w:rFonts w:ascii="Arial Narrow" w:hAnsi="Arial Narrow"/>
          <w:lang w:val="de-DE"/>
        </w:rPr>
        <w:t xml:space="preserve"> A crer em H. G. Dahms (1968) II 196, Koch referia-se aos ucranianos como um «povo de escravos».</w:t>
      </w:r>
    </w:p>
  </w:footnote>
  <w:footnote w:id="466">
    <w:p w:rsidR="00392E0D" w:rsidRPr="009B026C" w:rsidRDefault="00392E0D">
      <w:pPr>
        <w:pStyle w:val="Textodenotaderodap"/>
        <w:rPr>
          <w:rFonts w:ascii="Arial Narrow" w:hAnsi="Arial Narrow"/>
        </w:rPr>
      </w:pPr>
      <w:r w:rsidRPr="009B026C">
        <w:rPr>
          <w:rStyle w:val="Refdenotaderodap"/>
          <w:rFonts w:ascii="Arial Narrow" w:hAnsi="Arial Narrow"/>
        </w:rPr>
        <w:footnoteRef/>
      </w:r>
      <w:r w:rsidRPr="006F060C">
        <w:rPr>
          <w:rFonts w:ascii="Arial Narrow" w:hAnsi="Arial Narrow"/>
          <w:lang w:val="en-US"/>
        </w:rPr>
        <w:t xml:space="preserve"> J. Noakes et al. (orgs. </w:t>
      </w:r>
      <w:r w:rsidRPr="00450BFA">
        <w:rPr>
          <w:rFonts w:ascii="Arial Narrow" w:hAnsi="Arial Narrow"/>
          <w:lang w:val="en-US"/>
        </w:rPr>
        <w:t xml:space="preserve">2008-2010) IV 326-327; K. H. Roth et al. </w:t>
      </w:r>
      <w:r w:rsidRPr="007534F8">
        <w:rPr>
          <w:rFonts w:ascii="Arial Narrow" w:hAnsi="Arial Narrow"/>
        </w:rPr>
        <w:t>(2011) 221-223</w:t>
      </w:r>
      <w:r>
        <w:rPr>
          <w:rFonts w:ascii="Arial Narrow" w:hAnsi="Arial Narrow"/>
        </w:rPr>
        <w:t>.</w:t>
      </w:r>
    </w:p>
  </w:footnote>
  <w:footnote w:id="467">
    <w:p w:rsidR="00392E0D" w:rsidRPr="00640BE5" w:rsidRDefault="00392E0D" w:rsidP="00321E01">
      <w:pPr>
        <w:pStyle w:val="Textodenotaderodap"/>
        <w:rPr>
          <w:rFonts w:ascii="Arial Narrow" w:hAnsi="Arial Narrow"/>
        </w:rPr>
      </w:pPr>
      <w:r w:rsidRPr="003E305A">
        <w:rPr>
          <w:rStyle w:val="Refdenotaderodap"/>
          <w:rFonts w:ascii="Arial Narrow" w:hAnsi="Arial Narrow"/>
        </w:rPr>
        <w:footnoteRef/>
      </w:r>
      <w:r w:rsidRPr="00640BE5">
        <w:rPr>
          <w:rFonts w:ascii="Arial Narrow" w:hAnsi="Arial Narrow"/>
        </w:rPr>
        <w:t xml:space="preserve"> A. Hitler (1995) 360.</w:t>
      </w:r>
    </w:p>
  </w:footnote>
  <w:footnote w:id="46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Bullock (1972) 699 e </w:t>
      </w:r>
      <w:r>
        <w:rPr>
          <w:rFonts w:ascii="Arial Narrow" w:hAnsi="Arial Narrow"/>
        </w:rPr>
        <w:t>parcialmente</w:t>
      </w:r>
      <w:r w:rsidRPr="003E305A">
        <w:rPr>
          <w:rFonts w:ascii="Arial Narrow" w:hAnsi="Arial Narrow"/>
        </w:rPr>
        <w:t xml:space="preserve"> em J. Billig (2000) 272.</w:t>
      </w:r>
      <w:r>
        <w:rPr>
          <w:rFonts w:ascii="Arial Narrow" w:hAnsi="Arial Narrow"/>
        </w:rPr>
        <w:t xml:space="preserve"> Ver ainda </w:t>
      </w:r>
      <w:r w:rsidRPr="00AB78B0">
        <w:rPr>
          <w:rFonts w:ascii="Arial Narrow" w:hAnsi="Arial Narrow"/>
          <w:bCs/>
          <w:i/>
          <w:iCs/>
        </w:rPr>
        <w:t>Hitler’s Table Talk</w:t>
      </w:r>
      <w:r w:rsidRPr="00AB78B0">
        <w:rPr>
          <w:rFonts w:ascii="Arial Narrow" w:hAnsi="Arial Narrow"/>
          <w:iCs/>
        </w:rPr>
        <w:t>...,</w:t>
      </w:r>
      <w:r>
        <w:rPr>
          <w:rFonts w:ascii="Arial Narrow" w:hAnsi="Arial Narrow"/>
          <w:iCs/>
        </w:rPr>
        <w:t xml:space="preserve"> 167.</w:t>
      </w:r>
    </w:p>
  </w:footnote>
  <w:footnote w:id="469">
    <w:p w:rsidR="00392E0D" w:rsidRPr="00B2463D"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Citado em H. Rauschning (1939) 58-61.</w:t>
      </w:r>
    </w:p>
  </w:footnote>
  <w:footnote w:id="47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es-ES"/>
        </w:rPr>
        <w:t xml:space="preserve"> E. Conte et al. </w:t>
      </w:r>
      <w:r w:rsidRPr="003E305A">
        <w:rPr>
          <w:rFonts w:ascii="Arial Narrow" w:hAnsi="Arial Narrow"/>
        </w:rPr>
        <w:t>(1995) 210</w:t>
      </w:r>
      <w:r>
        <w:rPr>
          <w:rFonts w:ascii="Arial Narrow" w:hAnsi="Arial Narrow"/>
        </w:rPr>
        <w:t xml:space="preserve">; </w:t>
      </w:r>
      <w:r w:rsidRPr="003C7C7C">
        <w:rPr>
          <w:rFonts w:ascii="Arial Narrow" w:hAnsi="Arial Narrow"/>
        </w:rPr>
        <w:t>A. Quinchon-Caudal (2013) 214</w:t>
      </w:r>
      <w:r w:rsidRPr="003E305A">
        <w:rPr>
          <w:rFonts w:ascii="Arial Narrow" w:hAnsi="Arial Narrow"/>
        </w:rPr>
        <w:t>. A este respeito ver, por exemplo, Joseph Goebbels antologiado em R. Griffin (org. 1995) 120.</w:t>
      </w:r>
    </w:p>
  </w:footnote>
  <w:footnote w:id="471">
    <w:p w:rsidR="00392E0D" w:rsidRPr="00F52218" w:rsidRDefault="00392E0D" w:rsidP="008C1F99">
      <w:pPr>
        <w:pStyle w:val="Textodenotaderodap"/>
        <w:rPr>
          <w:rFonts w:ascii="Arial Narrow" w:hAnsi="Arial Narrow"/>
        </w:rPr>
      </w:pPr>
      <w:r w:rsidRPr="00F52218">
        <w:rPr>
          <w:rStyle w:val="Refdenotaderodap"/>
          <w:rFonts w:ascii="Arial Narrow" w:hAnsi="Arial Narrow"/>
        </w:rPr>
        <w:footnoteRef/>
      </w:r>
      <w:r w:rsidRPr="00F52218">
        <w:rPr>
          <w:rFonts w:ascii="Arial Narrow" w:hAnsi="Arial Narrow"/>
        </w:rPr>
        <w:t xml:space="preserve"> </w:t>
      </w:r>
      <w:r w:rsidRPr="003E305A">
        <w:rPr>
          <w:rFonts w:ascii="Arial Narrow" w:hAnsi="Arial Narrow"/>
        </w:rPr>
        <w:t>A. Dallin (1957) 9 n. 1</w:t>
      </w:r>
      <w:r>
        <w:rPr>
          <w:rFonts w:ascii="Arial Narrow" w:hAnsi="Arial Narrow"/>
        </w:rPr>
        <w:t xml:space="preserve">. Esta atribuição é sugerida por </w:t>
      </w:r>
      <w:r w:rsidRPr="003E305A">
        <w:rPr>
          <w:rFonts w:ascii="Arial Narrow" w:hAnsi="Arial Narrow"/>
        </w:rPr>
        <w:t xml:space="preserve">uma passagem </w:t>
      </w:r>
      <w:r>
        <w:rPr>
          <w:rFonts w:ascii="Arial Narrow" w:hAnsi="Arial Narrow"/>
        </w:rPr>
        <w:t xml:space="preserve">de </w:t>
      </w:r>
      <w:r w:rsidRPr="00911440">
        <w:rPr>
          <w:rFonts w:ascii="Arial Narrow" w:hAnsi="Arial Narrow"/>
          <w:i/>
        </w:rPr>
        <w:t>O Mito do Século XX</w:t>
      </w:r>
      <w:r>
        <w:rPr>
          <w:rFonts w:ascii="Arial Narrow" w:hAnsi="Arial Narrow"/>
          <w:i/>
        </w:rPr>
        <w:t>,</w:t>
      </w:r>
      <w:r>
        <w:rPr>
          <w:rFonts w:ascii="Arial Narrow" w:hAnsi="Arial Narrow"/>
        </w:rPr>
        <w:t xml:space="preserve"> como se pode ver em A. Rosenberg (1986) 437 ou id. [s. d. 2] 321. Ver ainda a n. 179 do capítulo 1 desta Parte 4.</w:t>
      </w:r>
    </w:p>
  </w:footnote>
  <w:footnote w:id="472">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E. Frisch, «Jüdische Aufzeichnungen», </w:t>
      </w:r>
      <w:r w:rsidRPr="003E305A">
        <w:rPr>
          <w:rFonts w:ascii="Arial Narrow" w:hAnsi="Arial Narrow"/>
          <w:i/>
          <w:lang w:val="fr-FR"/>
        </w:rPr>
        <w:t>Der Neue Merkur,</w:t>
      </w:r>
      <w:r w:rsidRPr="003E305A">
        <w:rPr>
          <w:rFonts w:ascii="Arial Narrow" w:hAnsi="Arial Narrow"/>
          <w:lang w:val="fr-FR"/>
        </w:rPr>
        <w:t xml:space="preserve"> 1921-1922, antologiado em A. Kaes et al. </w:t>
      </w:r>
      <w:r w:rsidRPr="003E305A">
        <w:rPr>
          <w:rFonts w:ascii="Arial Narrow" w:hAnsi="Arial Narrow"/>
        </w:rPr>
        <w:t>(orgs. 1995) 253-255. A passagem citada encontra-se na pág. 253.</w:t>
      </w:r>
    </w:p>
  </w:footnote>
  <w:footnote w:id="473">
    <w:p w:rsidR="00392E0D" w:rsidRPr="001F54CA" w:rsidRDefault="00392E0D" w:rsidP="00435263">
      <w:pPr>
        <w:pStyle w:val="Textodenotaderodap"/>
        <w:rPr>
          <w:rFonts w:ascii="Arial Narrow" w:hAnsi="Arial Narrow"/>
        </w:rPr>
      </w:pPr>
      <w:r w:rsidRPr="001F54CA">
        <w:rPr>
          <w:rStyle w:val="Refdenotaderodap"/>
          <w:rFonts w:ascii="Arial Narrow" w:hAnsi="Arial Narrow"/>
        </w:rPr>
        <w:footnoteRef/>
      </w:r>
      <w:r>
        <w:rPr>
          <w:rFonts w:ascii="Arial Narrow" w:hAnsi="Arial Narrow"/>
        </w:rPr>
        <w:t xml:space="preserve"> A. Hitler (1995) 48.</w:t>
      </w:r>
    </w:p>
  </w:footnote>
  <w:footnote w:id="474">
    <w:p w:rsidR="00392E0D" w:rsidRPr="00CE0CEF" w:rsidRDefault="00392E0D">
      <w:pPr>
        <w:pStyle w:val="Textodenotaderodap"/>
        <w:rPr>
          <w:rFonts w:ascii="Arial Narrow" w:hAnsi="Arial Narrow"/>
          <w:lang w:val="en-US"/>
        </w:rPr>
      </w:pPr>
      <w:r w:rsidRPr="00CE0CEF">
        <w:rPr>
          <w:rStyle w:val="Refdenotaderodap"/>
          <w:rFonts w:ascii="Arial Narrow" w:hAnsi="Arial Narrow"/>
        </w:rPr>
        <w:footnoteRef/>
      </w:r>
      <w:r w:rsidRPr="00CE0CEF">
        <w:rPr>
          <w:rFonts w:ascii="Arial Narrow" w:hAnsi="Arial Narrow"/>
          <w:lang w:val="en-US"/>
        </w:rPr>
        <w:t xml:space="preserve"> M. Mayer (1966)</w:t>
      </w:r>
      <w:r>
        <w:rPr>
          <w:rFonts w:ascii="Arial Narrow" w:hAnsi="Arial Narrow"/>
          <w:lang w:val="en-US"/>
        </w:rPr>
        <w:t xml:space="preserve"> 144.</w:t>
      </w:r>
    </w:p>
  </w:footnote>
  <w:footnote w:id="475">
    <w:p w:rsidR="00392E0D" w:rsidRPr="003E305A" w:rsidRDefault="00392E0D" w:rsidP="00AF6143">
      <w:pPr>
        <w:pStyle w:val="Textodenotaderodap"/>
        <w:rPr>
          <w:rFonts w:ascii="Arial Narrow" w:hAnsi="Arial Narrow"/>
        </w:rPr>
      </w:pPr>
      <w:r w:rsidRPr="003E305A">
        <w:rPr>
          <w:rStyle w:val="Refdenotaderodap"/>
          <w:rFonts w:ascii="Arial Narrow" w:hAnsi="Arial Narrow"/>
        </w:rPr>
        <w:footnoteRef/>
      </w:r>
      <w:r w:rsidRPr="00435263">
        <w:rPr>
          <w:rFonts w:ascii="Arial Narrow" w:hAnsi="Arial Narrow"/>
          <w:lang w:val="en-US"/>
        </w:rPr>
        <w:t xml:space="preserve"> J. Droz [s. d.] 38; </w:t>
      </w:r>
      <w:r w:rsidRPr="00B5025A">
        <w:rPr>
          <w:rFonts w:ascii="Arial Narrow" w:hAnsi="Arial Narrow"/>
          <w:lang w:val="en-US"/>
        </w:rPr>
        <w:t xml:space="preserve">M. Mann (2004) </w:t>
      </w:r>
      <w:r>
        <w:rPr>
          <w:rFonts w:ascii="Arial Narrow" w:hAnsi="Arial Narrow"/>
          <w:lang w:val="en-US"/>
        </w:rPr>
        <w:t xml:space="preserve">141; </w:t>
      </w:r>
      <w:r w:rsidRPr="00435263">
        <w:rPr>
          <w:rFonts w:ascii="Arial Narrow" w:hAnsi="Arial Narrow"/>
          <w:lang w:val="en-US"/>
        </w:rPr>
        <w:t xml:space="preserve">J. Noakes et al. </w:t>
      </w:r>
      <w:r w:rsidRPr="009D6AC1">
        <w:rPr>
          <w:rFonts w:ascii="Arial Narrow" w:hAnsi="Arial Narrow"/>
          <w:lang w:val="en-US"/>
        </w:rPr>
        <w:t xml:space="preserve">(orgs. 2008-2010) II 328; K. Polkehn (1976) 55; </w:t>
      </w:r>
      <w:r w:rsidRPr="007E4EC1">
        <w:rPr>
          <w:rFonts w:ascii="Arial Narrow" w:hAnsi="Arial Narrow"/>
          <w:lang w:val="en-US"/>
        </w:rPr>
        <w:t>K</w:t>
      </w:r>
      <w:r>
        <w:rPr>
          <w:rFonts w:ascii="Arial Narrow" w:hAnsi="Arial Narrow"/>
          <w:lang w:val="en-US"/>
        </w:rPr>
        <w:t>.</w:t>
      </w:r>
      <w:r w:rsidRPr="007E4EC1">
        <w:rPr>
          <w:rFonts w:ascii="Arial Narrow" w:hAnsi="Arial Narrow"/>
          <w:lang w:val="en-US"/>
        </w:rPr>
        <w:t xml:space="preserve"> A. Schleunes (1990)</w:t>
      </w:r>
      <w:r>
        <w:rPr>
          <w:rFonts w:ascii="Arial Narrow" w:hAnsi="Arial Narrow"/>
          <w:lang w:val="en-US"/>
        </w:rPr>
        <w:t xml:space="preserve"> 6, 38</w:t>
      </w:r>
      <w:r w:rsidRPr="009D6AC1">
        <w:rPr>
          <w:rFonts w:ascii="Arial Narrow" w:hAnsi="Arial Narrow"/>
          <w:lang w:val="en-US"/>
        </w:rPr>
        <w:t xml:space="preserve">. </w:t>
      </w:r>
      <w:r>
        <w:rPr>
          <w:rFonts w:ascii="Arial Narrow" w:hAnsi="Arial Narrow"/>
        </w:rPr>
        <w:t xml:space="preserve">Segundo </w:t>
      </w:r>
      <w:r w:rsidRPr="00055440">
        <w:rPr>
          <w:rFonts w:ascii="Arial Narrow" w:hAnsi="Arial Narrow"/>
        </w:rPr>
        <w:t>N</w:t>
      </w:r>
      <w:r>
        <w:rPr>
          <w:rFonts w:ascii="Arial Narrow" w:hAnsi="Arial Narrow"/>
        </w:rPr>
        <w:t xml:space="preserve">. </w:t>
      </w:r>
      <w:r w:rsidRPr="00055440">
        <w:rPr>
          <w:rFonts w:ascii="Arial Narrow" w:hAnsi="Arial Narrow"/>
        </w:rPr>
        <w:t>Cohn (1992) 40</w:t>
      </w:r>
      <w:r>
        <w:rPr>
          <w:rFonts w:ascii="Arial Narrow" w:hAnsi="Arial Narrow"/>
        </w:rPr>
        <w:t xml:space="preserve">, </w:t>
      </w:r>
      <w:r w:rsidRPr="00055440">
        <w:rPr>
          <w:rFonts w:ascii="Arial Narrow" w:hAnsi="Arial Narrow"/>
        </w:rPr>
        <w:t>no último terço do século XIX, quando receberam os direitos cívicos, os judeus compunham 1,2% da população</w:t>
      </w:r>
      <w:r>
        <w:rPr>
          <w:rFonts w:ascii="Arial Narrow" w:hAnsi="Arial Narrow"/>
        </w:rPr>
        <w:t xml:space="preserve"> alemã</w:t>
      </w:r>
      <w:r w:rsidRPr="00055440">
        <w:rPr>
          <w:rFonts w:ascii="Arial Narrow" w:hAnsi="Arial Narrow"/>
        </w:rPr>
        <w:t xml:space="preserve">. </w:t>
      </w:r>
      <w:r w:rsidRPr="00D64447">
        <w:rPr>
          <w:rFonts w:ascii="Arial Narrow" w:hAnsi="Arial Narrow"/>
          <w:bCs/>
        </w:rPr>
        <w:t xml:space="preserve">S. G. Payne </w:t>
      </w:r>
      <w:r w:rsidRPr="00D64447">
        <w:rPr>
          <w:rFonts w:ascii="Arial Narrow" w:hAnsi="Arial Narrow"/>
        </w:rPr>
        <w:t xml:space="preserve">(2003 b) 56 apresentou percentagens diferentes, considerando que os judeus constituíam 1,25% da população alemã em 1871 e 0,95% em 1910, enquanto que em Berlim os judeus desceram de 5,1% para 4,4% entre 1895 e 1910. </w:t>
      </w:r>
      <w:r w:rsidRPr="003E305A">
        <w:rPr>
          <w:rFonts w:ascii="Arial Narrow" w:hAnsi="Arial Narrow"/>
        </w:rPr>
        <w:t>«Os judeus não chegam sequer a um por cento dos alemães», recorda</w:t>
      </w:r>
      <w:r>
        <w:rPr>
          <w:rFonts w:ascii="Arial Narrow" w:hAnsi="Arial Narrow"/>
        </w:rPr>
        <w:t>r</w:t>
      </w:r>
      <w:r w:rsidRPr="003E305A">
        <w:rPr>
          <w:rFonts w:ascii="Arial Narrow" w:hAnsi="Arial Narrow"/>
        </w:rPr>
        <w:t>a, num panfleto de Abril de 1932, a secção de Hamburgo da Central-Verein deutscher Staatsbürger jüdischen Glaubens. «Será realmente possível que um de nós prevaleça sobre cem de vós?». Este texto encontra-se em A. Kaes et al. (orgs. 1995) 274. Do mesmo modo, em França, Z. Sternhell (1978) 224 observ</w:t>
      </w:r>
      <w:r>
        <w:rPr>
          <w:rFonts w:ascii="Arial Narrow" w:hAnsi="Arial Narrow"/>
        </w:rPr>
        <w:t>ou</w:t>
      </w:r>
      <w:r w:rsidRPr="003E305A">
        <w:rPr>
          <w:rFonts w:ascii="Arial Narrow" w:hAnsi="Arial Narrow"/>
        </w:rPr>
        <w:t xml:space="preserve"> que «o anti-semitismo popular não representa uma reacção à presença judaica».</w:t>
      </w:r>
    </w:p>
  </w:footnote>
  <w:footnote w:id="476">
    <w:p w:rsidR="00392E0D" w:rsidRPr="005B1B2A" w:rsidRDefault="00392E0D">
      <w:pPr>
        <w:pStyle w:val="Textodenotaderodap"/>
        <w:rPr>
          <w:rFonts w:ascii="Arial Narrow" w:hAnsi="Arial Narrow"/>
          <w:lang w:val="en-US"/>
        </w:rPr>
      </w:pPr>
      <w:r w:rsidRPr="005B1B2A">
        <w:rPr>
          <w:rStyle w:val="Refdenotaderodap"/>
          <w:rFonts w:ascii="Arial Narrow" w:hAnsi="Arial Narrow"/>
        </w:rPr>
        <w:footnoteRef/>
      </w:r>
      <w:r w:rsidRPr="005B1B2A">
        <w:rPr>
          <w:rFonts w:ascii="Arial Narrow" w:hAnsi="Arial Narrow"/>
          <w:lang w:val="en-US"/>
        </w:rPr>
        <w:t xml:space="preserve"> K</w:t>
      </w:r>
      <w:r>
        <w:rPr>
          <w:rFonts w:ascii="Arial Narrow" w:hAnsi="Arial Narrow"/>
          <w:lang w:val="en-US"/>
        </w:rPr>
        <w:t>.</w:t>
      </w:r>
      <w:r w:rsidRPr="005B1B2A">
        <w:rPr>
          <w:rFonts w:ascii="Arial Narrow" w:hAnsi="Arial Narrow"/>
          <w:lang w:val="en-US"/>
        </w:rPr>
        <w:t xml:space="preserve"> A. Schleunes (1990)</w:t>
      </w:r>
      <w:r>
        <w:rPr>
          <w:rFonts w:ascii="Arial Narrow" w:hAnsi="Arial Narrow"/>
          <w:lang w:val="en-US"/>
        </w:rPr>
        <w:t xml:space="preserve"> 37.</w:t>
      </w:r>
    </w:p>
  </w:footnote>
  <w:footnote w:id="477">
    <w:p w:rsidR="00392E0D" w:rsidRPr="009624E1" w:rsidRDefault="00392E0D">
      <w:pPr>
        <w:pStyle w:val="Textodenotaderodap"/>
        <w:rPr>
          <w:rFonts w:ascii="Arial Narrow" w:hAnsi="Arial Narrow"/>
        </w:rPr>
      </w:pPr>
      <w:r w:rsidRPr="00B5025A">
        <w:rPr>
          <w:rStyle w:val="Refdenotaderodap"/>
          <w:rFonts w:ascii="Arial Narrow" w:hAnsi="Arial Narrow"/>
        </w:rPr>
        <w:footnoteRef/>
      </w:r>
      <w:r w:rsidRPr="005B1B2A">
        <w:rPr>
          <w:rFonts w:ascii="Arial Narrow" w:hAnsi="Arial Narrow"/>
          <w:lang w:val="en-US"/>
        </w:rPr>
        <w:t xml:space="preserve"> M. Mann (2004) 141</w:t>
      </w:r>
      <w:r>
        <w:rPr>
          <w:rFonts w:ascii="Arial Narrow" w:hAnsi="Arial Narrow"/>
          <w:lang w:val="en-US"/>
        </w:rPr>
        <w:t xml:space="preserve">; </w:t>
      </w:r>
      <w:r w:rsidRPr="005E016A">
        <w:rPr>
          <w:rFonts w:ascii="Arial Narrow" w:hAnsi="Arial Narrow"/>
          <w:lang w:val="en-US"/>
        </w:rPr>
        <w:t>K</w:t>
      </w:r>
      <w:r>
        <w:rPr>
          <w:rFonts w:ascii="Arial Narrow" w:hAnsi="Arial Narrow"/>
          <w:lang w:val="en-US"/>
        </w:rPr>
        <w:t>.</w:t>
      </w:r>
      <w:r w:rsidRPr="005E016A">
        <w:rPr>
          <w:rFonts w:ascii="Arial Narrow" w:hAnsi="Arial Narrow"/>
          <w:lang w:val="en-US"/>
        </w:rPr>
        <w:t xml:space="preserve"> A. Schleunes (1990)</w:t>
      </w:r>
      <w:r>
        <w:rPr>
          <w:rFonts w:ascii="Arial Narrow" w:hAnsi="Arial Narrow"/>
          <w:lang w:val="en-US"/>
        </w:rPr>
        <w:t xml:space="preserve"> 40</w:t>
      </w:r>
      <w:r w:rsidRPr="005B1B2A">
        <w:rPr>
          <w:rFonts w:ascii="Arial Narrow" w:hAnsi="Arial Narrow"/>
          <w:lang w:val="en-US"/>
        </w:rPr>
        <w:t>.</w:t>
      </w:r>
      <w:r>
        <w:rPr>
          <w:rFonts w:ascii="Arial Narrow" w:hAnsi="Arial Narrow"/>
          <w:lang w:val="en-US"/>
        </w:rPr>
        <w:t xml:space="preserve"> </w:t>
      </w:r>
      <w:r w:rsidRPr="009624E1">
        <w:rPr>
          <w:rFonts w:ascii="Arial Narrow" w:hAnsi="Arial Narrow"/>
        </w:rPr>
        <w:t>Isto não impediu uma universitária contemporânea de escrever, referindo-se à época da primeira guerra mundial, que «os judeus alemães tinham uma participação considerável nas grandes empresas, na comunicação social e na finança». Ver L. Waddington (2007) 13.</w:t>
      </w:r>
    </w:p>
  </w:footnote>
  <w:footnote w:id="478">
    <w:p w:rsidR="00392E0D" w:rsidRPr="006B2731" w:rsidRDefault="00392E0D">
      <w:pPr>
        <w:pStyle w:val="Textodenotaderodap"/>
        <w:rPr>
          <w:rFonts w:ascii="Arial Narrow" w:hAnsi="Arial Narrow"/>
        </w:rPr>
      </w:pPr>
      <w:r w:rsidRPr="006B2731">
        <w:rPr>
          <w:rStyle w:val="Refdenotaderodap"/>
          <w:rFonts w:ascii="Arial Narrow" w:hAnsi="Arial Narrow"/>
        </w:rPr>
        <w:footnoteRef/>
      </w:r>
      <w:r w:rsidRPr="006B2731">
        <w:rPr>
          <w:rFonts w:ascii="Arial Narrow" w:hAnsi="Arial Narrow"/>
        </w:rPr>
        <w:t xml:space="preserve"> </w:t>
      </w:r>
      <w:r>
        <w:rPr>
          <w:rFonts w:ascii="Arial Narrow" w:hAnsi="Arial Narrow"/>
        </w:rPr>
        <w:t xml:space="preserve">Note-se ainda que, a crer em </w:t>
      </w:r>
      <w:r w:rsidRPr="00806FE2">
        <w:rPr>
          <w:rFonts w:ascii="Arial Narrow" w:hAnsi="Arial Narrow"/>
        </w:rPr>
        <w:t>R. Laudani (org. 2013)</w:t>
      </w:r>
      <w:r>
        <w:rPr>
          <w:rFonts w:ascii="Arial Narrow" w:hAnsi="Arial Narrow"/>
        </w:rPr>
        <w:t xml:space="preserve"> 139, durante a segunda guerra mundial, nos níveis superiores da hierarquia nacional-socialista só uma minoria era de origem prussiana, sendo a grande maioria originária da Renânia, da Alemanha central, da Baviera e da Áustria.</w:t>
      </w:r>
    </w:p>
  </w:footnote>
  <w:footnote w:id="479">
    <w:p w:rsidR="00392E0D" w:rsidRPr="00A20895" w:rsidRDefault="00392E0D">
      <w:pPr>
        <w:pStyle w:val="Textodenotaderodap"/>
        <w:rPr>
          <w:rFonts w:ascii="Arial Narrow" w:hAnsi="Arial Narrow"/>
        </w:rPr>
      </w:pPr>
      <w:r w:rsidRPr="00A20895">
        <w:rPr>
          <w:rStyle w:val="Refdenotaderodap"/>
          <w:rFonts w:ascii="Arial Narrow" w:hAnsi="Arial Narrow"/>
        </w:rPr>
        <w:footnoteRef/>
      </w:r>
      <w:r w:rsidRPr="007E4EC1">
        <w:rPr>
          <w:rFonts w:ascii="Arial Narrow" w:hAnsi="Arial Narrow"/>
          <w:lang w:val="en-US"/>
        </w:rPr>
        <w:t xml:space="preserve"> K. Polkehn (1976) 55; K</w:t>
      </w:r>
      <w:r>
        <w:rPr>
          <w:rFonts w:ascii="Arial Narrow" w:hAnsi="Arial Narrow"/>
          <w:lang w:val="en-US"/>
        </w:rPr>
        <w:t>.</w:t>
      </w:r>
      <w:r w:rsidRPr="007E4EC1">
        <w:rPr>
          <w:rFonts w:ascii="Arial Narrow" w:hAnsi="Arial Narrow"/>
          <w:lang w:val="en-US"/>
        </w:rPr>
        <w:t xml:space="preserve"> A. Schleunes (1990)</w:t>
      </w:r>
      <w:r>
        <w:rPr>
          <w:rFonts w:ascii="Arial Narrow" w:hAnsi="Arial Narrow"/>
          <w:lang w:val="en-US"/>
        </w:rPr>
        <w:t xml:space="preserve"> 38-39</w:t>
      </w:r>
      <w:r w:rsidRPr="007E4EC1">
        <w:rPr>
          <w:rFonts w:ascii="Arial Narrow" w:hAnsi="Arial Narrow"/>
          <w:lang w:val="en-US"/>
        </w:rPr>
        <w:t xml:space="preserve">. </w:t>
      </w:r>
      <w:r w:rsidRPr="00047FE5">
        <w:rPr>
          <w:rFonts w:ascii="Arial Narrow" w:hAnsi="Arial Narrow"/>
        </w:rPr>
        <w:t>Por</w:t>
      </w:r>
      <w:r>
        <w:rPr>
          <w:rFonts w:ascii="Arial Narrow" w:hAnsi="Arial Narrow"/>
        </w:rPr>
        <w:t xml:space="preserve">ém, no que diz respeito à formação ideológica de Hitler convém saber que, segundo </w:t>
      </w:r>
      <w:r w:rsidRPr="00274082">
        <w:rPr>
          <w:rFonts w:ascii="Arial Narrow" w:hAnsi="Arial Narrow"/>
        </w:rPr>
        <w:t>J. C. Fest (1974) 43,</w:t>
      </w:r>
      <w:r>
        <w:rPr>
          <w:rFonts w:ascii="Arial Narrow" w:hAnsi="Arial Narrow"/>
        </w:rPr>
        <w:t xml:space="preserve"> em Viena os judeus compunham 2% da população em 1857 e mais de 8,5% em 1910.</w:t>
      </w:r>
    </w:p>
  </w:footnote>
  <w:footnote w:id="480">
    <w:p w:rsidR="00392E0D" w:rsidRPr="00E47F76" w:rsidRDefault="00392E0D">
      <w:pPr>
        <w:pStyle w:val="Textodenotaderodap"/>
        <w:rPr>
          <w:rFonts w:ascii="Arial Narrow" w:hAnsi="Arial Narrow"/>
        </w:rPr>
      </w:pPr>
      <w:r w:rsidRPr="00E47F76">
        <w:rPr>
          <w:rStyle w:val="Refdenotaderodap"/>
          <w:rFonts w:ascii="Arial Narrow" w:hAnsi="Arial Narrow"/>
        </w:rPr>
        <w:footnoteRef/>
      </w:r>
      <w:r w:rsidRPr="00E47F76">
        <w:rPr>
          <w:rFonts w:ascii="Arial Narrow" w:hAnsi="Arial Narrow"/>
        </w:rPr>
        <w:t xml:space="preserve"> </w:t>
      </w:r>
      <w:r>
        <w:rPr>
          <w:rFonts w:ascii="Arial Narrow" w:hAnsi="Arial Narrow"/>
        </w:rPr>
        <w:t xml:space="preserve">Citado em </w:t>
      </w:r>
      <w:r w:rsidRPr="00B5025A">
        <w:rPr>
          <w:rFonts w:ascii="Arial Narrow" w:hAnsi="Arial Narrow"/>
        </w:rPr>
        <w:t>S. Friedländer (2008) 142.</w:t>
      </w:r>
    </w:p>
  </w:footnote>
  <w:footnote w:id="481">
    <w:p w:rsidR="00392E0D" w:rsidRPr="0070684F" w:rsidRDefault="00392E0D" w:rsidP="00321E01">
      <w:pPr>
        <w:pStyle w:val="Textodenotaderodap"/>
        <w:rPr>
          <w:rFonts w:ascii="Arial Narrow" w:hAnsi="Arial Narrow"/>
        </w:rPr>
      </w:pPr>
      <w:r w:rsidRPr="0070684F">
        <w:rPr>
          <w:rStyle w:val="Refdenotaderodap"/>
          <w:rFonts w:ascii="Arial Narrow" w:hAnsi="Arial Narrow"/>
        </w:rPr>
        <w:footnoteRef/>
      </w:r>
      <w:r w:rsidRPr="0070684F">
        <w:rPr>
          <w:rFonts w:ascii="Arial Narrow" w:hAnsi="Arial Narrow"/>
        </w:rPr>
        <w:t xml:space="preserve"> M</w:t>
      </w:r>
      <w:r>
        <w:rPr>
          <w:rFonts w:ascii="Arial Narrow" w:hAnsi="Arial Narrow"/>
        </w:rPr>
        <w:t xml:space="preserve">. </w:t>
      </w:r>
      <w:r w:rsidRPr="0070684F">
        <w:rPr>
          <w:rFonts w:ascii="Arial Narrow" w:hAnsi="Arial Narrow"/>
        </w:rPr>
        <w:t>Manoïlesco (1936)</w:t>
      </w:r>
      <w:r>
        <w:rPr>
          <w:rFonts w:ascii="Arial Narrow" w:hAnsi="Arial Narrow"/>
        </w:rPr>
        <w:t xml:space="preserve"> </w:t>
      </w:r>
      <w:r w:rsidRPr="0070684F">
        <w:rPr>
          <w:rFonts w:ascii="Arial Narrow" w:hAnsi="Arial Narrow"/>
        </w:rPr>
        <w:t xml:space="preserve">180 </w:t>
      </w:r>
      <w:r>
        <w:rPr>
          <w:rFonts w:ascii="Arial Narrow" w:hAnsi="Arial Narrow"/>
        </w:rPr>
        <w:t>(</w:t>
      </w:r>
      <w:r w:rsidRPr="0070684F">
        <w:rPr>
          <w:rFonts w:ascii="Arial Narrow" w:hAnsi="Arial Narrow"/>
        </w:rPr>
        <w:t>subs. orig.</w:t>
      </w:r>
      <w:r>
        <w:rPr>
          <w:rFonts w:ascii="Arial Narrow" w:hAnsi="Arial Narrow"/>
        </w:rPr>
        <w:t>).</w:t>
      </w:r>
    </w:p>
  </w:footnote>
  <w:footnote w:id="482">
    <w:p w:rsidR="00392E0D" w:rsidRPr="0070684F" w:rsidRDefault="00392E0D" w:rsidP="00321E01">
      <w:pPr>
        <w:pStyle w:val="Textodenotaderodap"/>
        <w:rPr>
          <w:rFonts w:ascii="Arial Narrow" w:hAnsi="Arial Narrow"/>
        </w:rPr>
      </w:pPr>
      <w:r w:rsidRPr="003E305A">
        <w:rPr>
          <w:rStyle w:val="Refdenotaderodap"/>
          <w:rFonts w:ascii="Arial Narrow" w:hAnsi="Arial Narrow"/>
        </w:rPr>
        <w:footnoteRef/>
      </w:r>
      <w:r w:rsidRPr="00F24446">
        <w:rPr>
          <w:rFonts w:ascii="Arial Narrow" w:hAnsi="Arial Narrow"/>
          <w:lang w:val="en-US"/>
        </w:rPr>
        <w:t xml:space="preserve"> J. Droz [s. d.] 38-39; J. Noakes et al. </w:t>
      </w:r>
      <w:r>
        <w:rPr>
          <w:rFonts w:ascii="Arial Narrow" w:hAnsi="Arial Narrow"/>
        </w:rPr>
        <w:t>(orgs. 2008-2010) II 328-329</w:t>
      </w:r>
      <w:r w:rsidRPr="0070684F">
        <w:rPr>
          <w:rFonts w:ascii="Arial Narrow" w:hAnsi="Arial Narrow"/>
        </w:rPr>
        <w:t>.</w:t>
      </w:r>
    </w:p>
  </w:footnote>
  <w:footnote w:id="483">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A. Bullock (1972) 40. </w:t>
      </w:r>
      <w:r w:rsidRPr="003E305A">
        <w:rPr>
          <w:rFonts w:ascii="Arial Narrow" w:hAnsi="Arial Narrow"/>
        </w:rPr>
        <w:t xml:space="preserve">Referindo-se a Hitler, H. Rauschning (1939) 262 </w:t>
      </w:r>
      <w:r>
        <w:rPr>
          <w:rFonts w:ascii="Arial Narrow" w:hAnsi="Arial Narrow"/>
        </w:rPr>
        <w:t>notou</w:t>
      </w:r>
      <w:r w:rsidRPr="003E305A">
        <w:rPr>
          <w:rFonts w:ascii="Arial Narrow" w:hAnsi="Arial Narrow"/>
        </w:rPr>
        <w:t xml:space="preserve"> que «a furiosa obstinação do seu anti-semitismo só se torna compreensível pela transfiguração mítica do Judeu em protótipo do Mal».</w:t>
      </w:r>
    </w:p>
  </w:footnote>
  <w:footnote w:id="484">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Antologiado em A. Kaes et al. (orgs. 1995) 138.</w:t>
      </w:r>
    </w:p>
  </w:footnote>
  <w:footnote w:id="485">
    <w:p w:rsidR="00392E0D" w:rsidRPr="00597FB9" w:rsidRDefault="00392E0D">
      <w:pPr>
        <w:pStyle w:val="Textodenotaderodap"/>
        <w:rPr>
          <w:rFonts w:ascii="Arial Narrow" w:hAnsi="Arial Narrow"/>
        </w:rPr>
      </w:pPr>
      <w:r w:rsidRPr="00597FB9">
        <w:rPr>
          <w:rStyle w:val="Refdenotaderodap"/>
          <w:rFonts w:ascii="Arial Narrow" w:hAnsi="Arial Narrow"/>
        </w:rPr>
        <w:footnoteRef/>
      </w:r>
      <w:r w:rsidRPr="00597FB9">
        <w:rPr>
          <w:rFonts w:ascii="Arial Narrow" w:hAnsi="Arial Narrow"/>
        </w:rPr>
        <w:t xml:space="preserve"> </w:t>
      </w:r>
      <w:r>
        <w:rPr>
          <w:rFonts w:ascii="Arial Narrow" w:hAnsi="Arial Narrow"/>
        </w:rPr>
        <w:t>Segui a versão de A. Rosenberg [s. d. 2] 207 e não a de id. (1986) 234. Os judeus são ainda classificados de «parasitas» em id. (1986) 435-437, 440 ou id. [s. d. 2] 320-323.</w:t>
      </w:r>
    </w:p>
  </w:footnote>
  <w:footnote w:id="486">
    <w:p w:rsidR="00392E0D" w:rsidRPr="0056068C" w:rsidRDefault="00392E0D" w:rsidP="00321E01">
      <w:pPr>
        <w:pStyle w:val="Textodenotaderodap"/>
        <w:rPr>
          <w:rFonts w:ascii="Arial Narrow" w:hAnsi="Arial Narrow"/>
        </w:rPr>
      </w:pPr>
      <w:r w:rsidRPr="0056068C">
        <w:rPr>
          <w:rStyle w:val="Refdenotaderodap"/>
          <w:rFonts w:ascii="Arial Narrow" w:hAnsi="Arial Narrow"/>
        </w:rPr>
        <w:footnoteRef/>
      </w:r>
      <w:r w:rsidRPr="0056068C">
        <w:rPr>
          <w:rFonts w:ascii="Arial Narrow" w:hAnsi="Arial Narrow"/>
        </w:rPr>
        <w:t xml:space="preserve"> H. Ford (1932)</w:t>
      </w:r>
      <w:r>
        <w:rPr>
          <w:rFonts w:ascii="Arial Narrow" w:hAnsi="Arial Narrow"/>
        </w:rPr>
        <w:t xml:space="preserve"> </w:t>
      </w:r>
      <w:r w:rsidRPr="0056068C">
        <w:rPr>
          <w:rFonts w:ascii="Arial Narrow" w:hAnsi="Arial Narrow"/>
        </w:rPr>
        <w:t>396</w:t>
      </w:r>
      <w:r>
        <w:rPr>
          <w:rFonts w:ascii="Arial Narrow" w:hAnsi="Arial Narrow"/>
        </w:rPr>
        <w:t xml:space="preserve">. Ver também a pág. </w:t>
      </w:r>
      <w:r w:rsidRPr="00066F0F">
        <w:rPr>
          <w:rFonts w:ascii="Arial Narrow" w:hAnsi="Arial Narrow"/>
        </w:rPr>
        <w:t>236</w:t>
      </w:r>
      <w:r>
        <w:rPr>
          <w:rFonts w:ascii="Arial Narrow" w:hAnsi="Arial Narrow"/>
        </w:rPr>
        <w:t>.</w:t>
      </w:r>
    </w:p>
  </w:footnote>
  <w:footnote w:id="487">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Robert Knox mencionado por L. Poliakov (1971) 238.</w:t>
      </w:r>
    </w:p>
  </w:footnote>
  <w:footnote w:id="488">
    <w:p w:rsidR="00392E0D" w:rsidRPr="00321E01"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3E305A">
        <w:rPr>
          <w:rFonts w:ascii="Arial Narrow" w:hAnsi="Arial Narrow"/>
        </w:rPr>
        <w:t xml:space="preserve"> A. Hitler (1995) 273-275. Ver também as págs. 138 e 140. Este tema foi retomado no filme </w:t>
      </w:r>
      <w:r w:rsidRPr="003E305A">
        <w:rPr>
          <w:rFonts w:ascii="Arial Narrow" w:hAnsi="Arial Narrow"/>
          <w:i/>
        </w:rPr>
        <w:t>Der ewige Jude,</w:t>
      </w:r>
      <w:r w:rsidRPr="003E305A">
        <w:rPr>
          <w:rFonts w:ascii="Arial Narrow" w:hAnsi="Arial Narrow"/>
        </w:rPr>
        <w:t xml:space="preserve"> de Fritz Hippler, estreado em 1940.</w:t>
      </w:r>
      <w:r>
        <w:rPr>
          <w:rFonts w:ascii="Arial Narrow" w:hAnsi="Arial Narrow"/>
        </w:rPr>
        <w:t xml:space="preserve"> Também Henry Ford, em </w:t>
      </w:r>
      <w:r w:rsidRPr="00DC07DA">
        <w:rPr>
          <w:rFonts w:ascii="Arial Narrow" w:hAnsi="Arial Narrow"/>
          <w:i/>
        </w:rPr>
        <w:t>The International Jew</w:t>
      </w:r>
      <w:r>
        <w:rPr>
          <w:rFonts w:ascii="Arial Narrow" w:hAnsi="Arial Narrow"/>
          <w:i/>
        </w:rPr>
        <w:t>,</w:t>
      </w:r>
      <w:r>
        <w:rPr>
          <w:rFonts w:ascii="Arial Narrow" w:hAnsi="Arial Narrow"/>
        </w:rPr>
        <w:t xml:space="preserve"> considerara que os judeus só superam as suas permanentes divisões para se unir contra um adversário. </w:t>
      </w:r>
      <w:r w:rsidRPr="00321E01">
        <w:rPr>
          <w:rFonts w:ascii="Arial Narrow" w:hAnsi="Arial Narrow"/>
          <w:lang w:val="en-US"/>
        </w:rPr>
        <w:t>Ver H. Ford (1932) 201.</w:t>
      </w:r>
    </w:p>
  </w:footnote>
  <w:footnote w:id="489">
    <w:p w:rsidR="00392E0D" w:rsidRPr="003E305A" w:rsidRDefault="00392E0D" w:rsidP="00321E01">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H. S. Chamberlain (1913) 59, 191, 193-194 n.</w:t>
      </w:r>
    </w:p>
  </w:footnote>
  <w:footnote w:id="49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E. Conte et al. </w:t>
      </w:r>
      <w:r w:rsidRPr="003E305A">
        <w:rPr>
          <w:rFonts w:ascii="Arial Narrow" w:hAnsi="Arial Narrow"/>
        </w:rPr>
        <w:t>(1995) 210-211 relata</w:t>
      </w:r>
      <w:r>
        <w:rPr>
          <w:rFonts w:ascii="Arial Narrow" w:hAnsi="Arial Narrow"/>
        </w:rPr>
        <w:t>ra</w:t>
      </w:r>
      <w:r w:rsidRPr="003E305A">
        <w:rPr>
          <w:rFonts w:ascii="Arial Narrow" w:hAnsi="Arial Narrow"/>
        </w:rPr>
        <w:t>m as polémicas no interior do NSDAP acerca do carácter socialmente parasitário atribuído aos judeus.</w:t>
      </w:r>
    </w:p>
  </w:footnote>
  <w:footnote w:id="49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 Hitler (1995) 320. Ver também as págs. 59, 60, 406 e 598.</w:t>
      </w:r>
    </w:p>
  </w:footnote>
  <w:footnote w:id="49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Expressões usadas por Feder num texto publicado em 1928, antologiado em R. Griffin (org. 1995) 122.</w:t>
      </w:r>
    </w:p>
  </w:footnote>
  <w:footnote w:id="493">
    <w:p w:rsidR="00392E0D" w:rsidRPr="00B2463D"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B2463D">
        <w:rPr>
          <w:rFonts w:ascii="Arial Narrow" w:hAnsi="Arial Narrow"/>
          <w:lang w:val="en-GB"/>
        </w:rPr>
        <w:t xml:space="preserve"> H. S. Chamberlain (1913) 191-192.</w:t>
      </w:r>
    </w:p>
  </w:footnote>
  <w:footnote w:id="494">
    <w:p w:rsidR="00392E0D" w:rsidRPr="00B2463D"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328-332.</w:t>
      </w:r>
    </w:p>
  </w:footnote>
  <w:footnote w:id="495">
    <w:p w:rsidR="00392E0D" w:rsidRPr="0038197B" w:rsidRDefault="00392E0D">
      <w:pPr>
        <w:pStyle w:val="Textodenotaderodap"/>
        <w:rPr>
          <w:rFonts w:ascii="Arial Narrow" w:hAnsi="Arial Narrow"/>
          <w:lang w:val="en-US"/>
        </w:rPr>
      </w:pPr>
      <w:r w:rsidRPr="00006020">
        <w:rPr>
          <w:rStyle w:val="Refdenotaderodap"/>
          <w:rFonts w:ascii="Arial Narrow" w:hAnsi="Arial Narrow"/>
        </w:rPr>
        <w:footnoteRef/>
      </w:r>
      <w:r w:rsidRPr="0038197B">
        <w:rPr>
          <w:rFonts w:ascii="Arial Narrow" w:hAnsi="Arial Narrow"/>
          <w:lang w:val="en-US"/>
        </w:rPr>
        <w:t xml:space="preserve"> A. Rosenberg (1986) 439; id. [s. d.</w:t>
      </w:r>
      <w:r>
        <w:rPr>
          <w:rFonts w:ascii="Arial Narrow" w:hAnsi="Arial Narrow"/>
          <w:lang w:val="en-US"/>
        </w:rPr>
        <w:t xml:space="preserve"> 2</w:t>
      </w:r>
      <w:r w:rsidRPr="0038197B">
        <w:rPr>
          <w:rFonts w:ascii="Arial Narrow" w:hAnsi="Arial Narrow"/>
          <w:lang w:val="en-US"/>
        </w:rPr>
        <w:t>] 323.</w:t>
      </w:r>
    </w:p>
  </w:footnote>
  <w:footnote w:id="496">
    <w:p w:rsidR="00392E0D" w:rsidRPr="00137752" w:rsidRDefault="00392E0D">
      <w:pPr>
        <w:pStyle w:val="Textodenotaderodap"/>
        <w:rPr>
          <w:rFonts w:ascii="Arial Narrow" w:hAnsi="Arial Narrow"/>
        </w:rPr>
      </w:pPr>
      <w:r w:rsidRPr="00137752">
        <w:rPr>
          <w:rStyle w:val="Refdenotaderodap"/>
          <w:rFonts w:ascii="Arial Narrow" w:hAnsi="Arial Narrow"/>
        </w:rPr>
        <w:footnoteRef/>
      </w:r>
      <w:r w:rsidRPr="00137752">
        <w:rPr>
          <w:rFonts w:ascii="Arial Narrow" w:hAnsi="Arial Narrow"/>
        </w:rPr>
        <w:t xml:space="preserve"> </w:t>
      </w:r>
      <w:r>
        <w:rPr>
          <w:rFonts w:ascii="Arial Narrow" w:hAnsi="Arial Narrow"/>
        </w:rPr>
        <w:t xml:space="preserve">Em </w:t>
      </w:r>
      <w:r w:rsidRPr="00137752">
        <w:rPr>
          <w:rFonts w:ascii="Arial Narrow" w:hAnsi="Arial Narrow"/>
        </w:rPr>
        <w:t>25 de Outubro de 1941</w:t>
      </w:r>
      <w:r>
        <w:rPr>
          <w:rFonts w:ascii="Arial Narrow" w:hAnsi="Arial Narrow"/>
        </w:rPr>
        <w:t xml:space="preserve">, em </w:t>
      </w:r>
      <w:r w:rsidRPr="00137752">
        <w:rPr>
          <w:rFonts w:ascii="Arial Narrow" w:hAnsi="Arial Narrow"/>
          <w:bCs/>
          <w:i/>
          <w:iCs/>
        </w:rPr>
        <w:t>Hitler’s Table Talk</w:t>
      </w:r>
      <w:r w:rsidRPr="00137752">
        <w:rPr>
          <w:rFonts w:ascii="Arial Narrow" w:hAnsi="Arial Narrow"/>
          <w:iCs/>
        </w:rPr>
        <w:t>...,</w:t>
      </w:r>
      <w:r>
        <w:rPr>
          <w:rFonts w:ascii="Arial Narrow" w:hAnsi="Arial Narrow"/>
          <w:iCs/>
        </w:rPr>
        <w:t xml:space="preserve"> 87.</w:t>
      </w:r>
    </w:p>
  </w:footnote>
  <w:footnote w:id="497">
    <w:p w:rsidR="00392E0D" w:rsidRPr="006D520E" w:rsidRDefault="00392E0D">
      <w:pPr>
        <w:pStyle w:val="Textodenotaderodap"/>
        <w:rPr>
          <w:rFonts w:ascii="Arial Narrow" w:hAnsi="Arial Narrow"/>
        </w:rPr>
      </w:pPr>
      <w:r w:rsidRPr="006D520E">
        <w:rPr>
          <w:rStyle w:val="Refdenotaderodap"/>
          <w:rFonts w:ascii="Arial Narrow" w:hAnsi="Arial Narrow"/>
        </w:rPr>
        <w:footnoteRef/>
      </w:r>
      <w:r w:rsidRPr="00327ED5">
        <w:rPr>
          <w:rFonts w:ascii="Arial Narrow" w:hAnsi="Arial Narrow"/>
          <w:lang w:val="en-US"/>
        </w:rPr>
        <w:t xml:space="preserve"> A. Bramwell (1985) 54-56, 189-192; A. Quinchon-Caudal (2013)</w:t>
      </w:r>
      <w:r>
        <w:rPr>
          <w:rFonts w:ascii="Arial Narrow" w:hAnsi="Arial Narrow"/>
          <w:lang w:val="en-US"/>
        </w:rPr>
        <w:t xml:space="preserve"> 108-110</w:t>
      </w:r>
      <w:r w:rsidRPr="00327ED5">
        <w:rPr>
          <w:rFonts w:ascii="Arial Narrow" w:hAnsi="Arial Narrow"/>
          <w:lang w:val="en-US"/>
        </w:rPr>
        <w:t xml:space="preserve">. </w:t>
      </w:r>
      <w:r>
        <w:rPr>
          <w:rFonts w:ascii="Arial Narrow" w:hAnsi="Arial Narrow"/>
        </w:rPr>
        <w:t xml:space="preserve">Ver também </w:t>
      </w:r>
      <w:r w:rsidRPr="00727EB0">
        <w:rPr>
          <w:rFonts w:ascii="Arial Narrow" w:hAnsi="Arial Narrow"/>
        </w:rPr>
        <w:t xml:space="preserve">A. Tooze (2006) </w:t>
      </w:r>
      <w:r>
        <w:rPr>
          <w:rFonts w:ascii="Arial Narrow" w:hAnsi="Arial Narrow"/>
        </w:rPr>
        <w:t xml:space="preserve">171-172. Já Ratzel assimilara o nomadismo aos judeus e considerara-o a causa do capitalismo. Ver </w:t>
      </w:r>
      <w:r w:rsidRPr="00F14E7B">
        <w:rPr>
          <w:rFonts w:ascii="Arial Narrow" w:hAnsi="Arial Narrow"/>
          <w:lang w:val="fr-FR"/>
        </w:rPr>
        <w:t>W. W. Kay (2008)</w:t>
      </w:r>
      <w:r>
        <w:rPr>
          <w:rFonts w:ascii="Arial Narrow" w:hAnsi="Arial Narrow"/>
          <w:lang w:val="fr-FR"/>
        </w:rPr>
        <w:t>.</w:t>
      </w:r>
    </w:p>
  </w:footnote>
  <w:footnote w:id="498">
    <w:p w:rsidR="00392E0D" w:rsidRPr="00544263" w:rsidRDefault="00392E0D">
      <w:pPr>
        <w:pStyle w:val="Textodenotaderodap"/>
        <w:rPr>
          <w:rFonts w:ascii="Arial Narrow" w:hAnsi="Arial Narrow"/>
        </w:rPr>
      </w:pPr>
      <w:r w:rsidRPr="00544263">
        <w:rPr>
          <w:rStyle w:val="Refdenotaderodap"/>
          <w:rFonts w:ascii="Arial Narrow" w:hAnsi="Arial Narrow"/>
        </w:rPr>
        <w:footnoteRef/>
      </w:r>
      <w:r w:rsidRPr="00544263">
        <w:rPr>
          <w:rFonts w:ascii="Arial Narrow" w:hAnsi="Arial Narrow"/>
        </w:rPr>
        <w:t xml:space="preserve"> </w:t>
      </w:r>
      <w:r>
        <w:rPr>
          <w:rFonts w:ascii="Arial Narrow" w:hAnsi="Arial Narrow"/>
        </w:rPr>
        <w:t xml:space="preserve">Segundo </w:t>
      </w:r>
      <w:r w:rsidRPr="00651915">
        <w:rPr>
          <w:rFonts w:ascii="Arial Narrow" w:hAnsi="Arial Narrow"/>
        </w:rPr>
        <w:t>J. Herf (1986) 36, também o conservadorismo revolucionário durante a república de Weimar associara o judaísmo e a abstracção comercial</w:t>
      </w:r>
      <w:r>
        <w:rPr>
          <w:rFonts w:ascii="Arial Narrow" w:hAnsi="Arial Narrow"/>
        </w:rPr>
        <w:t>; ver igualmente a pág. 60</w:t>
      </w:r>
      <w:r w:rsidRPr="00651915">
        <w:rPr>
          <w:rFonts w:ascii="Arial Narrow" w:hAnsi="Arial Narrow"/>
        </w:rPr>
        <w:t xml:space="preserve">. Por seu lado, </w:t>
      </w:r>
      <w:r>
        <w:rPr>
          <w:rFonts w:ascii="Arial Narrow" w:hAnsi="Arial Narrow"/>
        </w:rPr>
        <w:t xml:space="preserve">Ezra Pound relacionou a usura com as abstracções, que ele abominava, como o juro e o crédito; e contra a abstracção enalteceu a imagem sensorial, que no plano económico corresponderia aos bens materiais como o trigo ou o ferro. A usura, geradora da abstracção, encontrava-se para Pound na origem da decadência civilizacional e da desagregação social e, acima de tudo, corrompia a linguagem e era, evidentemente, judaica. Ver </w:t>
      </w:r>
      <w:r w:rsidRPr="004C50AF">
        <w:rPr>
          <w:rFonts w:ascii="Arial Narrow" w:hAnsi="Arial Narrow"/>
        </w:rPr>
        <w:t>V. C. Ferkiss (1955) 177-178 e 195. Quanto à relação entre usura, linguagem e judaísmo em Pound consultar ainda P. Morrison (1996) 28-30, 51-54 e 58-59.</w:t>
      </w:r>
    </w:p>
  </w:footnote>
  <w:footnote w:id="499">
    <w:p w:rsidR="00392E0D" w:rsidRPr="00E574E7" w:rsidRDefault="00392E0D" w:rsidP="00133ED6">
      <w:pPr>
        <w:pStyle w:val="Textodenotaderodap"/>
        <w:rPr>
          <w:rFonts w:ascii="Arial Narrow" w:hAnsi="Arial Narrow"/>
        </w:rPr>
      </w:pPr>
      <w:r w:rsidRPr="00E574E7">
        <w:rPr>
          <w:rStyle w:val="Refdenotaderodap"/>
          <w:rFonts w:ascii="Arial Narrow" w:hAnsi="Arial Narrow"/>
        </w:rPr>
        <w:footnoteRef/>
      </w:r>
      <w:r w:rsidRPr="00E574E7">
        <w:rPr>
          <w:rFonts w:ascii="Arial Narrow" w:hAnsi="Arial Narrow"/>
        </w:rPr>
        <w:t xml:space="preserve"> </w:t>
      </w:r>
      <w:r w:rsidRPr="00651915">
        <w:rPr>
          <w:rFonts w:ascii="Arial Narrow" w:hAnsi="Arial Narrow"/>
        </w:rPr>
        <w:t>J. Herf (1986) 45</w:t>
      </w:r>
      <w:r>
        <w:rPr>
          <w:rFonts w:ascii="Arial Narrow" w:hAnsi="Arial Narrow"/>
        </w:rPr>
        <w:t>, 130-151</w:t>
      </w:r>
      <w:r w:rsidRPr="00651915">
        <w:rPr>
          <w:rFonts w:ascii="Arial Narrow" w:hAnsi="Arial Narrow"/>
        </w:rPr>
        <w:t xml:space="preserve">; </w:t>
      </w:r>
      <w:r w:rsidRPr="00133ED6">
        <w:rPr>
          <w:rFonts w:ascii="Arial Narrow" w:hAnsi="Arial Narrow"/>
        </w:rPr>
        <w:t>D. Pels (1998) 6.</w:t>
      </w:r>
    </w:p>
  </w:footnote>
  <w:footnote w:id="500">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Bullock (1972) 407. Este historiador refer</w:t>
      </w:r>
      <w:r>
        <w:rPr>
          <w:rFonts w:ascii="Arial Narrow" w:hAnsi="Arial Narrow"/>
        </w:rPr>
        <w:t>iu</w:t>
      </w:r>
      <w:r w:rsidRPr="003E305A">
        <w:rPr>
          <w:rFonts w:ascii="Arial Narrow" w:hAnsi="Arial Narrow"/>
        </w:rPr>
        <w:t xml:space="preserve"> «civilização», mas n</w:t>
      </w:r>
      <w:r>
        <w:rPr>
          <w:rFonts w:ascii="Arial Narrow" w:hAnsi="Arial Narrow"/>
        </w:rPr>
        <w:t xml:space="preserve">a terminologia da extrema-direita alemã </w:t>
      </w:r>
      <w:r w:rsidRPr="003E305A">
        <w:rPr>
          <w:rFonts w:ascii="Arial Narrow" w:hAnsi="Arial Narrow"/>
        </w:rPr>
        <w:t>parece-me que Hitler dev</w:t>
      </w:r>
      <w:r>
        <w:rPr>
          <w:rFonts w:ascii="Arial Narrow" w:hAnsi="Arial Narrow"/>
        </w:rPr>
        <w:t>er</w:t>
      </w:r>
      <w:r w:rsidRPr="003E305A">
        <w:rPr>
          <w:rFonts w:ascii="Arial Narrow" w:hAnsi="Arial Narrow"/>
        </w:rPr>
        <w:t>ia ter dito «cultura».</w:t>
      </w:r>
    </w:p>
  </w:footnote>
  <w:footnote w:id="501">
    <w:p w:rsidR="00392E0D" w:rsidRPr="00360763" w:rsidRDefault="00392E0D" w:rsidP="00683AFE">
      <w:pPr>
        <w:pStyle w:val="Textodenotaderodap"/>
        <w:rPr>
          <w:rFonts w:ascii="Arial Narrow" w:hAnsi="Arial Narrow"/>
        </w:rPr>
      </w:pPr>
      <w:r w:rsidRPr="00360763">
        <w:rPr>
          <w:rStyle w:val="Refdenotaderodap"/>
          <w:rFonts w:ascii="Arial Narrow" w:hAnsi="Arial Narrow"/>
        </w:rPr>
        <w:footnoteRef/>
      </w:r>
      <w:r w:rsidRPr="00360763">
        <w:rPr>
          <w:rFonts w:ascii="Arial Narrow" w:hAnsi="Arial Narrow"/>
        </w:rPr>
        <w:t xml:space="preserve"> </w:t>
      </w:r>
      <w:r>
        <w:rPr>
          <w:rFonts w:ascii="Arial Narrow" w:hAnsi="Arial Narrow"/>
        </w:rPr>
        <w:t>Citado em M. Gilbert (2011 b) I 287.</w:t>
      </w:r>
    </w:p>
  </w:footnote>
  <w:footnote w:id="502">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 L. Shirer (1995) II 302.</w:t>
      </w:r>
    </w:p>
  </w:footnote>
  <w:footnote w:id="503">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E. Nolte (1989) 413.</w:t>
      </w:r>
    </w:p>
  </w:footnote>
  <w:footnote w:id="50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H. Rauschning (1939) 269.</w:t>
      </w:r>
    </w:p>
  </w:footnote>
  <w:footnote w:id="505">
    <w:p w:rsidR="00392E0D" w:rsidRPr="00B2463D"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A. Hitler (1995) 60, 73-83, 255, 287, 406-407.</w:t>
      </w:r>
    </w:p>
  </w:footnote>
  <w:footnote w:id="506">
    <w:p w:rsidR="00392E0D" w:rsidRPr="00E6569B" w:rsidRDefault="00392E0D">
      <w:pPr>
        <w:pStyle w:val="Textodenotaderodap"/>
        <w:rPr>
          <w:rFonts w:ascii="Arial Narrow" w:hAnsi="Arial Narrow"/>
          <w:lang w:val="en-US"/>
        </w:rPr>
      </w:pPr>
      <w:r w:rsidRPr="00500C64">
        <w:rPr>
          <w:rStyle w:val="Refdenotaderodap"/>
          <w:rFonts w:ascii="Arial Narrow" w:hAnsi="Arial Narrow"/>
        </w:rPr>
        <w:footnoteRef/>
      </w:r>
      <w:r w:rsidRPr="00F662B0">
        <w:rPr>
          <w:rFonts w:ascii="Arial Narrow" w:hAnsi="Arial Narrow"/>
        </w:rPr>
        <w:t xml:space="preserve"> Em 17 de Fevereiro de 1942, em </w:t>
      </w:r>
      <w:r w:rsidRPr="00F662B0">
        <w:rPr>
          <w:rFonts w:ascii="Arial Narrow" w:hAnsi="Arial Narrow"/>
          <w:bCs/>
          <w:i/>
          <w:iCs/>
        </w:rPr>
        <w:t>Hitler’s Table Talk</w:t>
      </w:r>
      <w:r w:rsidRPr="00F662B0">
        <w:rPr>
          <w:rFonts w:ascii="Arial Narrow" w:hAnsi="Arial Narrow"/>
          <w:iCs/>
        </w:rPr>
        <w:t xml:space="preserve">..., 314. </w:t>
      </w:r>
      <w:r w:rsidRPr="00281ADE">
        <w:rPr>
          <w:rFonts w:ascii="Arial Narrow" w:hAnsi="Arial Narrow"/>
          <w:iCs/>
        </w:rPr>
        <w:t xml:space="preserve">«Provavelmente, muitos judeus não estão cônscios do poder destrutivo que representam», </w:t>
      </w:r>
      <w:r>
        <w:rPr>
          <w:rFonts w:ascii="Arial Narrow" w:hAnsi="Arial Narrow"/>
          <w:iCs/>
        </w:rPr>
        <w:t xml:space="preserve">admitira o Führer na noite de </w:t>
      </w:r>
      <w:r w:rsidRPr="00281ADE">
        <w:rPr>
          <w:rFonts w:ascii="Arial Narrow" w:hAnsi="Arial Narrow"/>
          <w:iCs/>
        </w:rPr>
        <w:t>1</w:t>
      </w:r>
      <w:r>
        <w:rPr>
          <w:rFonts w:ascii="Arial Narrow" w:hAnsi="Arial Narrow"/>
          <w:iCs/>
        </w:rPr>
        <w:t xml:space="preserve"> para </w:t>
      </w:r>
      <w:r w:rsidRPr="00281ADE">
        <w:rPr>
          <w:rFonts w:ascii="Arial Narrow" w:hAnsi="Arial Narrow"/>
          <w:iCs/>
        </w:rPr>
        <w:t>2 de Dezembro de 1941</w:t>
      </w:r>
      <w:r>
        <w:rPr>
          <w:rFonts w:ascii="Arial Narrow" w:hAnsi="Arial Narrow"/>
          <w:iCs/>
        </w:rPr>
        <w:t xml:space="preserve">. </w:t>
      </w:r>
      <w:r w:rsidRPr="00924515">
        <w:rPr>
          <w:rFonts w:ascii="Arial Narrow" w:hAnsi="Arial Narrow"/>
          <w:iCs/>
        </w:rPr>
        <w:t xml:space="preserve">Ver ibid., 141. Também Goebbels, na página do seu diário correspondente a </w:t>
      </w:r>
      <w:r>
        <w:rPr>
          <w:rFonts w:ascii="Arial Narrow" w:hAnsi="Arial Narrow"/>
          <w:iCs/>
        </w:rPr>
        <w:t xml:space="preserve">13 de Maio de 1943, registou que, na opinião de Hitler, os judeus não precisavam de seguir um plano de acção pré-estabelecido porque agiam de acordo com o seu instinto racial. </w:t>
      </w:r>
      <w:r w:rsidRPr="00E6569B">
        <w:rPr>
          <w:rFonts w:ascii="Arial Narrow" w:hAnsi="Arial Narrow"/>
          <w:iCs/>
          <w:lang w:val="en-US"/>
        </w:rPr>
        <w:t xml:space="preserve">Ver </w:t>
      </w:r>
      <w:r w:rsidRPr="00924515">
        <w:rPr>
          <w:rFonts w:ascii="Arial Narrow" w:hAnsi="Arial Narrow"/>
          <w:iCs/>
          <w:lang w:val="en-US"/>
        </w:rPr>
        <w:t>S. Friedländer (2008)</w:t>
      </w:r>
      <w:r>
        <w:rPr>
          <w:rFonts w:ascii="Arial Narrow" w:hAnsi="Arial Narrow"/>
          <w:iCs/>
          <w:lang w:val="en-US"/>
        </w:rPr>
        <w:t xml:space="preserve"> 705.</w:t>
      </w:r>
    </w:p>
  </w:footnote>
  <w:footnote w:id="507">
    <w:p w:rsidR="00392E0D" w:rsidRPr="001617AE" w:rsidRDefault="00392E0D">
      <w:pPr>
        <w:pStyle w:val="Textodenotaderodap"/>
        <w:rPr>
          <w:rFonts w:ascii="Arial Narrow" w:hAnsi="Arial Narrow"/>
          <w:lang w:val="en-US"/>
        </w:rPr>
      </w:pPr>
      <w:r w:rsidRPr="008F1B90">
        <w:rPr>
          <w:rStyle w:val="Refdenotaderodap"/>
          <w:rFonts w:ascii="Arial Narrow" w:hAnsi="Arial Narrow"/>
        </w:rPr>
        <w:footnoteRef/>
      </w:r>
      <w:r w:rsidRPr="00281ADE">
        <w:rPr>
          <w:rFonts w:ascii="Arial Narrow" w:hAnsi="Arial Narrow"/>
          <w:lang w:val="en-US"/>
        </w:rPr>
        <w:t xml:space="preserve"> A. Rosenberg (1986) 639; id. </w:t>
      </w:r>
      <w:r w:rsidRPr="001617AE">
        <w:rPr>
          <w:rFonts w:ascii="Arial Narrow" w:hAnsi="Arial Narrow"/>
          <w:lang w:val="en-US"/>
        </w:rPr>
        <w:t>[s. d.</w:t>
      </w:r>
      <w:r>
        <w:rPr>
          <w:rFonts w:ascii="Arial Narrow" w:hAnsi="Arial Narrow"/>
          <w:lang w:val="en-US"/>
        </w:rPr>
        <w:t xml:space="preserve"> 2</w:t>
      </w:r>
      <w:r w:rsidRPr="001617AE">
        <w:rPr>
          <w:rFonts w:ascii="Arial Narrow" w:hAnsi="Arial Narrow"/>
          <w:lang w:val="en-US"/>
        </w:rPr>
        <w:t>] 461.</w:t>
      </w:r>
    </w:p>
  </w:footnote>
  <w:footnote w:id="508">
    <w:p w:rsidR="00392E0D" w:rsidRPr="003612E2" w:rsidRDefault="00392E0D">
      <w:pPr>
        <w:pStyle w:val="Textodenotaderodap"/>
        <w:rPr>
          <w:rFonts w:ascii="Arial Narrow" w:hAnsi="Arial Narrow"/>
          <w:lang w:val="en-US"/>
        </w:rPr>
      </w:pPr>
      <w:r w:rsidRPr="00287FB7">
        <w:rPr>
          <w:rStyle w:val="Refdenotaderodap"/>
          <w:rFonts w:ascii="Arial Narrow" w:hAnsi="Arial Narrow"/>
        </w:rPr>
        <w:footnoteRef/>
      </w:r>
      <w:r w:rsidRPr="003612E2">
        <w:rPr>
          <w:rFonts w:ascii="Arial Narrow" w:hAnsi="Arial Narrow"/>
          <w:lang w:val="en-US"/>
        </w:rPr>
        <w:t xml:space="preserve"> Id. (1986) 437; id. [s. d.</w:t>
      </w:r>
      <w:r>
        <w:rPr>
          <w:rFonts w:ascii="Arial Narrow" w:hAnsi="Arial Narrow"/>
          <w:lang w:val="en-US"/>
        </w:rPr>
        <w:t xml:space="preserve"> 2</w:t>
      </w:r>
      <w:r w:rsidRPr="003612E2">
        <w:rPr>
          <w:rFonts w:ascii="Arial Narrow" w:hAnsi="Arial Narrow"/>
          <w:lang w:val="en-US"/>
        </w:rPr>
        <w:t>] 321.</w:t>
      </w:r>
    </w:p>
  </w:footnote>
  <w:footnote w:id="509">
    <w:p w:rsidR="00392E0D" w:rsidRPr="00281ADE" w:rsidRDefault="00392E0D">
      <w:pPr>
        <w:pStyle w:val="Textodenotaderodap"/>
        <w:rPr>
          <w:rFonts w:ascii="Arial Narrow" w:hAnsi="Arial Narrow"/>
          <w:lang w:val="en-US"/>
        </w:rPr>
      </w:pPr>
      <w:r w:rsidRPr="009A2827">
        <w:rPr>
          <w:rStyle w:val="Refdenotaderodap"/>
          <w:rFonts w:ascii="Arial Narrow" w:hAnsi="Arial Narrow"/>
        </w:rPr>
        <w:footnoteRef/>
      </w:r>
      <w:r w:rsidRPr="009B4FF1">
        <w:rPr>
          <w:rFonts w:ascii="Arial Narrow" w:hAnsi="Arial Narrow"/>
          <w:lang w:val="en-US"/>
        </w:rPr>
        <w:t xml:space="preserve"> Id. (1986) 338; id. </w:t>
      </w:r>
      <w:r w:rsidRPr="00281ADE">
        <w:rPr>
          <w:rFonts w:ascii="Arial Narrow" w:hAnsi="Arial Narrow"/>
          <w:lang w:val="en-US"/>
        </w:rPr>
        <w:t>[s. d. 2] 264.</w:t>
      </w:r>
    </w:p>
  </w:footnote>
  <w:footnote w:id="510">
    <w:p w:rsidR="00392E0D" w:rsidRPr="002B0858" w:rsidRDefault="00392E0D" w:rsidP="00321E01">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J. P. Faye (1980) 174-176. </w:t>
      </w:r>
      <w:r>
        <w:rPr>
          <w:rFonts w:ascii="Arial Narrow" w:hAnsi="Arial Narrow"/>
          <w:lang w:val="de-DE"/>
        </w:rPr>
        <w:t xml:space="preserve">Segundo </w:t>
      </w:r>
      <w:r w:rsidRPr="000D50FD">
        <w:rPr>
          <w:rFonts w:ascii="Arial Narrow" w:hAnsi="Arial Narrow"/>
        </w:rPr>
        <w:t xml:space="preserve">E. Klautke (2011) 76, para Fritsch era o espírito e não a aparência física que determinava a raça. </w:t>
      </w:r>
      <w:r w:rsidRPr="00F662B0">
        <w:rPr>
          <w:rFonts w:ascii="Arial Narrow" w:hAnsi="Arial Narrow"/>
        </w:rPr>
        <w:t xml:space="preserve">H. </w:t>
      </w:r>
      <w:r w:rsidRPr="003E305A">
        <w:rPr>
          <w:rFonts w:ascii="Arial Narrow" w:hAnsi="Arial Narrow"/>
        </w:rPr>
        <w:t>Arendt (1972) 259 n. 41 cont. design</w:t>
      </w:r>
      <w:r>
        <w:rPr>
          <w:rFonts w:ascii="Arial Narrow" w:hAnsi="Arial Narrow"/>
        </w:rPr>
        <w:t>ou</w:t>
      </w:r>
      <w:r w:rsidRPr="003E305A">
        <w:rPr>
          <w:rFonts w:ascii="Arial Narrow" w:hAnsi="Arial Narrow"/>
        </w:rPr>
        <w:t xml:space="preserve"> Fritsch como «o “patriarca” do anti-semitismo alemão» após a primeira guerra mundial</w:t>
      </w:r>
      <w:r>
        <w:rPr>
          <w:rFonts w:ascii="Arial Narrow" w:hAnsi="Arial Narrow"/>
        </w:rPr>
        <w:t xml:space="preserve">, mas </w:t>
      </w:r>
      <w:r w:rsidRPr="000D50FD">
        <w:rPr>
          <w:rFonts w:ascii="Arial Narrow" w:hAnsi="Arial Narrow"/>
          <w:bCs/>
        </w:rPr>
        <w:t>Egbert</w:t>
      </w:r>
      <w:r w:rsidRPr="000D50FD">
        <w:rPr>
          <w:rFonts w:ascii="Arial Narrow" w:hAnsi="Arial Narrow"/>
          <w:b/>
          <w:bCs/>
        </w:rPr>
        <w:t xml:space="preserve"> </w:t>
      </w:r>
      <w:r w:rsidRPr="000D50FD">
        <w:rPr>
          <w:rFonts w:ascii="Arial Narrow" w:hAnsi="Arial Narrow"/>
        </w:rPr>
        <w:t>Klautke, op. cit., 84 indicou que esse era o título que os próprios nacionais-socialistas lhe atribuíram nos últimos anos da sua vida, quando passou a reconhecer a hegemonia do NSDAP no movimento anti-semita</w:t>
      </w:r>
      <w:r w:rsidRPr="003E305A">
        <w:rPr>
          <w:rFonts w:ascii="Arial Narrow" w:hAnsi="Arial Narrow"/>
        </w:rPr>
        <w:t>.</w:t>
      </w:r>
      <w:r>
        <w:rPr>
          <w:rFonts w:ascii="Arial Narrow" w:hAnsi="Arial Narrow"/>
        </w:rPr>
        <w:t xml:space="preserve"> Em geral, sobre Fritsch ver </w:t>
      </w:r>
      <w:r w:rsidRPr="000D50FD">
        <w:rPr>
          <w:rFonts w:ascii="Arial Narrow" w:hAnsi="Arial Narrow"/>
          <w:bCs/>
        </w:rPr>
        <w:t>Egbert</w:t>
      </w:r>
      <w:r w:rsidRPr="000D50FD">
        <w:rPr>
          <w:rFonts w:ascii="Arial Narrow" w:hAnsi="Arial Narrow"/>
          <w:b/>
          <w:bCs/>
        </w:rPr>
        <w:t xml:space="preserve"> </w:t>
      </w:r>
      <w:r w:rsidRPr="000D50FD">
        <w:rPr>
          <w:rFonts w:ascii="Arial Narrow" w:hAnsi="Arial Narrow"/>
        </w:rPr>
        <w:t xml:space="preserve">Klautke, op. cit., </w:t>
      </w:r>
      <w:r w:rsidRPr="000D50FD">
        <w:rPr>
          <w:rFonts w:ascii="Arial Narrow" w:hAnsi="Arial Narrow"/>
          <w:i/>
        </w:rPr>
        <w:t>passim</w:t>
      </w:r>
      <w:r w:rsidRPr="000D50FD">
        <w:rPr>
          <w:rFonts w:ascii="Arial Narrow" w:hAnsi="Arial Narrow"/>
        </w:rPr>
        <w:t xml:space="preserve">. </w:t>
      </w:r>
      <w:r>
        <w:rPr>
          <w:rFonts w:ascii="Arial Narrow" w:hAnsi="Arial Narrow"/>
        </w:rPr>
        <w:t xml:space="preserve">No seu livro de 1905, </w:t>
      </w:r>
      <w:r w:rsidRPr="002B0858">
        <w:rPr>
          <w:rFonts w:ascii="Arial Narrow" w:hAnsi="Arial Narrow"/>
        </w:rPr>
        <w:t>Lanz von Liebenfels lev</w:t>
      </w:r>
      <w:r>
        <w:rPr>
          <w:rFonts w:ascii="Arial Narrow" w:hAnsi="Arial Narrow"/>
        </w:rPr>
        <w:t xml:space="preserve">ou aquela </w:t>
      </w:r>
      <w:r w:rsidRPr="002B0858">
        <w:rPr>
          <w:rFonts w:ascii="Arial Narrow" w:hAnsi="Arial Narrow"/>
        </w:rPr>
        <w:t xml:space="preserve">tese a um ponto extremo, considerando todos os não germanos como oriundos da bastardia, </w:t>
      </w:r>
      <w:r>
        <w:rPr>
          <w:rFonts w:ascii="Arial Narrow" w:hAnsi="Arial Narrow"/>
        </w:rPr>
        <w:t xml:space="preserve">que </w:t>
      </w:r>
      <w:r w:rsidRPr="002B0858">
        <w:rPr>
          <w:rFonts w:ascii="Arial Narrow" w:hAnsi="Arial Narrow"/>
        </w:rPr>
        <w:t>assimila</w:t>
      </w:r>
      <w:r>
        <w:rPr>
          <w:rFonts w:ascii="Arial Narrow" w:hAnsi="Arial Narrow"/>
        </w:rPr>
        <w:t>va à bestialidade</w:t>
      </w:r>
      <w:r w:rsidRPr="002B0858">
        <w:rPr>
          <w:rFonts w:ascii="Arial Narrow" w:hAnsi="Arial Narrow"/>
        </w:rPr>
        <w:t xml:space="preserve">. </w:t>
      </w:r>
      <w:r>
        <w:rPr>
          <w:rFonts w:ascii="Arial Narrow" w:hAnsi="Arial Narrow"/>
        </w:rPr>
        <w:t xml:space="preserve">Ver </w:t>
      </w:r>
      <w:r w:rsidRPr="002B0858">
        <w:rPr>
          <w:rFonts w:ascii="Arial Narrow" w:hAnsi="Arial Narrow"/>
        </w:rPr>
        <w:t>J</w:t>
      </w:r>
      <w:r>
        <w:rPr>
          <w:rFonts w:ascii="Arial Narrow" w:hAnsi="Arial Narrow"/>
        </w:rPr>
        <w:t xml:space="preserve">. </w:t>
      </w:r>
      <w:r w:rsidRPr="002B0858">
        <w:rPr>
          <w:rFonts w:ascii="Arial Narrow" w:hAnsi="Arial Narrow"/>
        </w:rPr>
        <w:t>Lanz von Liebenfels [s. d.]</w:t>
      </w:r>
      <w:r>
        <w:rPr>
          <w:rFonts w:ascii="Arial Narrow" w:hAnsi="Arial Narrow"/>
        </w:rPr>
        <w:t xml:space="preserve"> </w:t>
      </w:r>
      <w:r w:rsidRPr="002B0858">
        <w:rPr>
          <w:rFonts w:ascii="Arial Narrow" w:hAnsi="Arial Narrow"/>
          <w:i/>
        </w:rPr>
        <w:t>passim</w:t>
      </w:r>
      <w:r>
        <w:rPr>
          <w:rFonts w:ascii="Arial Narrow" w:hAnsi="Arial Narrow"/>
        </w:rPr>
        <w:t>.</w:t>
      </w:r>
    </w:p>
  </w:footnote>
  <w:footnote w:id="511">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L. Poliakov (1971) 239.</w:t>
      </w:r>
    </w:p>
  </w:footnote>
  <w:footnote w:id="512">
    <w:p w:rsidR="00392E0D" w:rsidRPr="00446A73"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446A73">
        <w:rPr>
          <w:rFonts w:ascii="Arial Narrow" w:hAnsi="Arial Narrow"/>
          <w:lang w:val="en-US"/>
        </w:rPr>
        <w:t xml:space="preserve"> H. S. Chamberlain (1913) 467.</w:t>
      </w:r>
    </w:p>
  </w:footnote>
  <w:footnote w:id="513">
    <w:p w:rsidR="00392E0D" w:rsidRPr="00D017DF"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D017DF">
        <w:rPr>
          <w:rFonts w:ascii="Arial Narrow" w:hAnsi="Arial Narrow"/>
          <w:lang w:val="en-US"/>
        </w:rPr>
        <w:t xml:space="preserve"> Id., ibid., 345-347, 370-373, 439-444, 469, 564.</w:t>
      </w:r>
    </w:p>
  </w:footnote>
  <w:footnote w:id="514">
    <w:p w:rsidR="00392E0D" w:rsidRPr="00D043A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D043AA">
        <w:rPr>
          <w:rFonts w:ascii="Arial Narrow" w:hAnsi="Arial Narrow"/>
        </w:rPr>
        <w:t xml:space="preserve"> Id., ibid., 502. </w:t>
      </w:r>
      <w:r>
        <w:rPr>
          <w:rFonts w:ascii="Arial Narrow" w:hAnsi="Arial Narrow"/>
        </w:rPr>
        <w:t>Céline considerou que, sob o ponto de vista racial, os judeus eram «monstros, híbridos falhados». Ver L.-F. Céline (1942) 100.</w:t>
      </w:r>
    </w:p>
  </w:footnote>
  <w:footnote w:id="515">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446A73">
        <w:rPr>
          <w:rFonts w:ascii="Arial Narrow" w:hAnsi="Arial Narrow"/>
        </w:rPr>
        <w:t xml:space="preserve"> </w:t>
      </w:r>
      <w:r w:rsidRPr="00146410">
        <w:rPr>
          <w:rFonts w:ascii="Arial Narrow" w:hAnsi="Arial Narrow"/>
        </w:rPr>
        <w:t xml:space="preserve">H. S. Chamberlain (1913) </w:t>
      </w:r>
      <w:r w:rsidRPr="00446A73">
        <w:rPr>
          <w:rFonts w:ascii="Arial Narrow" w:hAnsi="Arial Narrow"/>
        </w:rPr>
        <w:t xml:space="preserve">502-505. </w:t>
      </w:r>
      <w:r w:rsidRPr="003E305A">
        <w:rPr>
          <w:rFonts w:ascii="Arial Narrow" w:hAnsi="Arial Narrow"/>
        </w:rPr>
        <w:t>A citação encontra-se na pág. 503.</w:t>
      </w:r>
    </w:p>
  </w:footnote>
  <w:footnote w:id="516">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Como escreveu um dos fundadores da antropologia científica, «parece ser desprovida de base científica a comparação estabelecida por Freud entre a cultura primitiva e a interpretação psicanalítica do comportamento europeu». Ver F. Boas (1938) 176.</w:t>
      </w:r>
      <w:r>
        <w:rPr>
          <w:rFonts w:ascii="Arial Narrow" w:hAnsi="Arial Narrow"/>
        </w:rPr>
        <w:t xml:space="preserve"> Para uma crítica à antropologia mítica de Freud numa perspectiva convergente com a que adopto aqui ver M. Onfray (2012) 219-229.</w:t>
      </w:r>
    </w:p>
  </w:footnote>
  <w:footnote w:id="517">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Declarações de Heinrich Himmler em 1937, antologiadas em R. Griffin (org. 1995) 147-148.</w:t>
      </w:r>
    </w:p>
  </w:footnote>
  <w:footnote w:id="518">
    <w:p w:rsidR="00392E0D" w:rsidRPr="00F6329A" w:rsidRDefault="00392E0D" w:rsidP="00321E01">
      <w:pPr>
        <w:pStyle w:val="Textodenotaderodap"/>
        <w:rPr>
          <w:rFonts w:ascii="Arial Narrow" w:hAnsi="Arial Narrow"/>
        </w:rPr>
      </w:pPr>
      <w:r w:rsidRPr="00F6329A">
        <w:rPr>
          <w:rStyle w:val="Refdenotaderodap"/>
          <w:rFonts w:ascii="Arial Narrow" w:hAnsi="Arial Narrow"/>
        </w:rPr>
        <w:footnoteRef/>
      </w:r>
      <w:r w:rsidRPr="00F6329A">
        <w:rPr>
          <w:rFonts w:ascii="Arial Narrow" w:hAnsi="Arial Narrow"/>
        </w:rPr>
        <w:t xml:space="preserve"> </w:t>
      </w:r>
      <w:r>
        <w:rPr>
          <w:rFonts w:ascii="Arial Narrow" w:hAnsi="Arial Narrow"/>
        </w:rPr>
        <w:t xml:space="preserve">Citado em </w:t>
      </w:r>
      <w:r w:rsidRPr="00F6329A">
        <w:rPr>
          <w:rFonts w:ascii="Arial Narrow" w:hAnsi="Arial Narrow"/>
        </w:rPr>
        <w:t>N</w:t>
      </w:r>
      <w:r>
        <w:rPr>
          <w:rFonts w:ascii="Arial Narrow" w:hAnsi="Arial Narrow"/>
        </w:rPr>
        <w:t xml:space="preserve">. </w:t>
      </w:r>
      <w:r w:rsidRPr="00F6329A">
        <w:rPr>
          <w:rFonts w:ascii="Arial Narrow" w:hAnsi="Arial Narrow"/>
        </w:rPr>
        <w:t>Cohn (1992)</w:t>
      </w:r>
      <w:r>
        <w:rPr>
          <w:rFonts w:ascii="Arial Narrow" w:hAnsi="Arial Narrow"/>
        </w:rPr>
        <w:t xml:space="preserve"> </w:t>
      </w:r>
      <w:r w:rsidRPr="00F6329A">
        <w:rPr>
          <w:rFonts w:ascii="Arial Narrow" w:hAnsi="Arial Narrow"/>
        </w:rPr>
        <w:t>205</w:t>
      </w:r>
      <w:r>
        <w:rPr>
          <w:rFonts w:ascii="Arial Narrow" w:hAnsi="Arial Narrow"/>
        </w:rPr>
        <w:t>.</w:t>
      </w:r>
    </w:p>
  </w:footnote>
  <w:footnote w:id="519">
    <w:p w:rsidR="00392E0D" w:rsidRPr="003E305A" w:rsidRDefault="00392E0D" w:rsidP="00321E01">
      <w:pPr>
        <w:pStyle w:val="Textodenotaderodap"/>
        <w:ind w:firstLine="708"/>
        <w:rPr>
          <w:rFonts w:ascii="Arial Narrow" w:hAnsi="Arial Narrow"/>
          <w:lang w:val="es-ES"/>
        </w:rPr>
      </w:pPr>
      <w:r w:rsidRPr="003E305A">
        <w:rPr>
          <w:rStyle w:val="Refdenotaderodap"/>
          <w:rFonts w:ascii="Arial Narrow" w:hAnsi="Arial Narrow"/>
        </w:rPr>
        <w:footnoteRef/>
      </w:r>
      <w:r w:rsidRPr="003E305A">
        <w:rPr>
          <w:rFonts w:ascii="Arial Narrow" w:hAnsi="Arial Narrow"/>
          <w:lang w:val="es-ES"/>
        </w:rPr>
        <w:t xml:space="preserve"> Citado por R. Hilberg (1961) 656.</w:t>
      </w:r>
    </w:p>
  </w:footnote>
  <w:footnote w:id="520">
    <w:p w:rsidR="00392E0D" w:rsidRPr="002546A1" w:rsidRDefault="00392E0D">
      <w:pPr>
        <w:pStyle w:val="Textodenotaderodap"/>
        <w:rPr>
          <w:rFonts w:ascii="Arial Narrow" w:hAnsi="Arial Narrow"/>
        </w:rPr>
      </w:pPr>
      <w:r w:rsidRPr="009B3ED0">
        <w:rPr>
          <w:rStyle w:val="Refdenotaderodap"/>
          <w:rFonts w:ascii="Arial Narrow" w:hAnsi="Arial Narrow"/>
        </w:rPr>
        <w:footnoteRef/>
      </w:r>
      <w:r w:rsidRPr="009B3ED0">
        <w:rPr>
          <w:rFonts w:ascii="Arial Narrow" w:hAnsi="Arial Narrow"/>
        </w:rPr>
        <w:t xml:space="preserve"> </w:t>
      </w:r>
      <w:r>
        <w:rPr>
          <w:rFonts w:ascii="Arial Narrow" w:hAnsi="Arial Narrow"/>
        </w:rPr>
        <w:t xml:space="preserve">Acerca da Física Ariana consultar sobretudo </w:t>
      </w:r>
      <w:r w:rsidRPr="009B3ED0">
        <w:rPr>
          <w:rFonts w:ascii="Arial Narrow" w:hAnsi="Arial Narrow"/>
        </w:rPr>
        <w:t xml:space="preserve">Ph. </w:t>
      </w:r>
      <w:r w:rsidRPr="002546A1">
        <w:rPr>
          <w:rFonts w:ascii="Arial Narrow" w:hAnsi="Arial Narrow"/>
        </w:rPr>
        <w:t xml:space="preserve">Ball (2014) 119 e segs. e A. D. Beyerchen (1977) </w:t>
      </w:r>
      <w:r>
        <w:rPr>
          <w:rFonts w:ascii="Arial Narrow" w:hAnsi="Arial Narrow"/>
        </w:rPr>
        <w:t>79 e segs</w:t>
      </w:r>
      <w:r w:rsidRPr="002546A1">
        <w:rPr>
          <w:rFonts w:ascii="Arial Narrow" w:hAnsi="Arial Narrow"/>
        </w:rPr>
        <w:t>.</w:t>
      </w:r>
    </w:p>
  </w:footnote>
  <w:footnote w:id="521">
    <w:p w:rsidR="00392E0D" w:rsidRPr="00B2463D" w:rsidRDefault="00392E0D" w:rsidP="00321E01">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G. Lukács (1980) 193.</w:t>
      </w:r>
    </w:p>
  </w:footnote>
  <w:footnote w:id="522">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Esta passagem da conferência proferida por Adam Müller </w:t>
      </w:r>
      <w:r>
        <w:rPr>
          <w:rFonts w:ascii="Arial Narrow" w:hAnsi="Arial Narrow"/>
        </w:rPr>
        <w:t>em</w:t>
      </w:r>
      <w:r w:rsidRPr="003E305A">
        <w:rPr>
          <w:rFonts w:ascii="Arial Narrow" w:hAnsi="Arial Narrow"/>
        </w:rPr>
        <w:t xml:space="preserve"> 22 de Novembro de 1808 encontra-se em H. S. Reiss (org. 1955) 155-156. Ver igualmente J. Droz (1966) 234.</w:t>
      </w:r>
    </w:p>
  </w:footnote>
  <w:footnote w:id="523">
    <w:p w:rsidR="00392E0D" w:rsidRPr="007230B3"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7230B3">
        <w:rPr>
          <w:rFonts w:ascii="Arial Narrow" w:hAnsi="Arial Narrow"/>
        </w:rPr>
        <w:t xml:space="preserve"> H. S. Chamberlain (1913) 1066 e segs. </w:t>
      </w:r>
      <w:r>
        <w:rPr>
          <w:rFonts w:ascii="Arial Narrow" w:hAnsi="Arial Narrow"/>
        </w:rPr>
        <w:t xml:space="preserve">A passagem citada encontra-se na pág. </w:t>
      </w:r>
      <w:r w:rsidRPr="007230B3">
        <w:rPr>
          <w:rFonts w:ascii="Arial Narrow" w:hAnsi="Arial Narrow"/>
        </w:rPr>
        <w:t>1062.</w:t>
      </w:r>
    </w:p>
  </w:footnote>
  <w:footnote w:id="524">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1074.</w:t>
      </w:r>
    </w:p>
  </w:footnote>
  <w:footnote w:id="525">
    <w:p w:rsidR="00392E0D" w:rsidRPr="002546A1"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3E305A">
        <w:rPr>
          <w:rFonts w:ascii="Arial Narrow" w:hAnsi="Arial Narrow"/>
        </w:rPr>
        <w:t xml:space="preserve"> Citado em H. Rauschning (1939) 252.</w:t>
      </w:r>
      <w:r>
        <w:rPr>
          <w:rFonts w:ascii="Arial Narrow" w:hAnsi="Arial Narrow"/>
        </w:rPr>
        <w:t xml:space="preserve"> Ver declarações no mesmo sentido em </w:t>
      </w:r>
      <w:r w:rsidRPr="00120657">
        <w:rPr>
          <w:rFonts w:ascii="Arial Narrow" w:hAnsi="Arial Narrow"/>
        </w:rPr>
        <w:t xml:space="preserve">Ph. </w:t>
      </w:r>
      <w:r w:rsidRPr="00120657">
        <w:rPr>
          <w:rFonts w:ascii="Arial Narrow" w:hAnsi="Arial Narrow"/>
          <w:lang w:val="en-US"/>
        </w:rPr>
        <w:t>Ball (2014)</w:t>
      </w:r>
      <w:r>
        <w:rPr>
          <w:rFonts w:ascii="Arial Narrow" w:hAnsi="Arial Narrow"/>
          <w:lang w:val="en-US"/>
        </w:rPr>
        <w:t xml:space="preserve"> 135.</w:t>
      </w:r>
    </w:p>
  </w:footnote>
  <w:footnote w:id="526">
    <w:p w:rsidR="00392E0D" w:rsidRPr="00423E0A" w:rsidRDefault="00392E0D">
      <w:pPr>
        <w:pStyle w:val="Textodenotaderodap"/>
        <w:rPr>
          <w:rFonts w:ascii="Arial Narrow" w:hAnsi="Arial Narrow"/>
          <w:lang w:val="en-US"/>
        </w:rPr>
      </w:pPr>
      <w:r w:rsidRPr="00392B08">
        <w:rPr>
          <w:rStyle w:val="Refdenotaderodap"/>
          <w:rFonts w:ascii="Arial Narrow" w:hAnsi="Arial Narrow"/>
        </w:rPr>
        <w:footnoteRef/>
      </w:r>
      <w:r w:rsidRPr="00423E0A">
        <w:rPr>
          <w:rFonts w:ascii="Arial Narrow" w:hAnsi="Arial Narrow"/>
          <w:lang w:val="en-US"/>
        </w:rPr>
        <w:t xml:space="preserve"> A. Rosenberg (1986) 110; id. [s. d.</w:t>
      </w:r>
      <w:r>
        <w:rPr>
          <w:rFonts w:ascii="Arial Narrow" w:hAnsi="Arial Narrow"/>
          <w:lang w:val="en-US"/>
        </w:rPr>
        <w:t xml:space="preserve"> 2</w:t>
      </w:r>
      <w:r w:rsidRPr="00423E0A">
        <w:rPr>
          <w:rFonts w:ascii="Arial Narrow" w:hAnsi="Arial Narrow"/>
          <w:lang w:val="en-US"/>
        </w:rPr>
        <w:t>] 116.</w:t>
      </w:r>
    </w:p>
  </w:footnote>
  <w:footnote w:id="527">
    <w:p w:rsidR="00392E0D" w:rsidRPr="002546A1" w:rsidRDefault="00392E0D">
      <w:pPr>
        <w:pStyle w:val="Textodenotaderodap"/>
        <w:rPr>
          <w:rFonts w:ascii="Arial Narrow" w:hAnsi="Arial Narrow"/>
          <w:lang w:val="en-US"/>
        </w:rPr>
      </w:pPr>
      <w:r w:rsidRPr="00B02560">
        <w:rPr>
          <w:rStyle w:val="Refdenotaderodap"/>
          <w:rFonts w:ascii="Arial Narrow" w:hAnsi="Arial Narrow"/>
        </w:rPr>
        <w:footnoteRef/>
      </w:r>
      <w:r w:rsidRPr="002546A1">
        <w:rPr>
          <w:rFonts w:ascii="Arial Narrow" w:hAnsi="Arial Narrow"/>
          <w:lang w:val="en-US"/>
        </w:rPr>
        <w:t xml:space="preserve"> Ph. Ball (2014) 39.</w:t>
      </w:r>
    </w:p>
  </w:footnote>
  <w:footnote w:id="528">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2546A1">
        <w:rPr>
          <w:rFonts w:ascii="Arial Narrow" w:hAnsi="Arial Narrow"/>
          <w:lang w:val="en-US"/>
        </w:rPr>
        <w:t xml:space="preserve"> </w:t>
      </w:r>
      <w:r>
        <w:rPr>
          <w:rFonts w:ascii="Arial Narrow" w:hAnsi="Arial Narrow"/>
          <w:lang w:val="en-US"/>
        </w:rPr>
        <w:t xml:space="preserve">Id., ibid., </w:t>
      </w:r>
      <w:r w:rsidRPr="002546A1">
        <w:rPr>
          <w:rFonts w:ascii="Arial Narrow" w:hAnsi="Arial Narrow"/>
          <w:lang w:val="en-US"/>
        </w:rPr>
        <w:t xml:space="preserve">124. </w:t>
      </w:r>
      <w:r w:rsidRPr="003E305A">
        <w:rPr>
          <w:rFonts w:ascii="Arial Narrow" w:hAnsi="Arial Narrow"/>
        </w:rPr>
        <w:t xml:space="preserve">Já H. S. Chamberlain (1913) 313 afirmara que a cultura judaica se caracterizava pelo «materialismo abstracto» </w:t>
      </w:r>
      <w:r>
        <w:rPr>
          <w:rFonts w:ascii="Arial Narrow" w:hAnsi="Arial Narrow"/>
        </w:rPr>
        <w:t xml:space="preserve">e </w:t>
      </w:r>
      <w:r w:rsidRPr="00E12D2A">
        <w:rPr>
          <w:rFonts w:ascii="Arial Narrow" w:hAnsi="Arial Narrow"/>
        </w:rPr>
        <w:t xml:space="preserve">L. Stoddard (1922) 151 escrevera que «a mente judaica, instintivamente analítica e aguçada pelas subtilezas dialécticas do Talmude, tem uma natural propensão para a crítica dissecadora». </w:t>
      </w:r>
      <w:r w:rsidRPr="003E305A">
        <w:rPr>
          <w:rFonts w:ascii="Arial Narrow" w:hAnsi="Arial Narrow"/>
        </w:rPr>
        <w:t>Na origem deste tipo de concepções está o velho mito do usurário judeu, assimilando-se a esfera pecuniária à cultura judaica e, assim, atribuindo-</w:t>
      </w:r>
      <w:r>
        <w:rPr>
          <w:rFonts w:ascii="Arial Narrow" w:hAnsi="Arial Narrow"/>
        </w:rPr>
        <w:t>lh</w:t>
      </w:r>
      <w:r w:rsidRPr="003E305A">
        <w:rPr>
          <w:rFonts w:ascii="Arial Narrow" w:hAnsi="Arial Narrow"/>
        </w:rPr>
        <w:t>e as características lógicas decorren</w:t>
      </w:r>
      <w:r>
        <w:rPr>
          <w:rFonts w:ascii="Arial Narrow" w:hAnsi="Arial Narrow"/>
        </w:rPr>
        <w:t>tes da quantificação monetária.</w:t>
      </w:r>
    </w:p>
  </w:footnote>
  <w:footnote w:id="529">
    <w:p w:rsidR="00392E0D" w:rsidRPr="00D966A5" w:rsidRDefault="00392E0D">
      <w:pPr>
        <w:pStyle w:val="Textodenotaderodap"/>
        <w:rPr>
          <w:rFonts w:ascii="Arial Narrow" w:hAnsi="Arial Narrow"/>
        </w:rPr>
      </w:pPr>
      <w:r w:rsidRPr="005424FC">
        <w:rPr>
          <w:rStyle w:val="Refdenotaderodap"/>
          <w:rFonts w:ascii="Arial Narrow" w:hAnsi="Arial Narrow"/>
        </w:rPr>
        <w:footnoteRef/>
      </w:r>
      <w:r w:rsidRPr="00D966A5">
        <w:rPr>
          <w:rFonts w:ascii="Arial Narrow" w:hAnsi="Arial Narrow"/>
        </w:rPr>
        <w:t xml:space="preserve"> A. D. Beyerchen (1977) 127-128. Note-se que, a crer em A</w:t>
      </w:r>
      <w:r>
        <w:rPr>
          <w:rFonts w:ascii="Arial Narrow" w:hAnsi="Arial Narrow"/>
        </w:rPr>
        <w:t xml:space="preserve">lan </w:t>
      </w:r>
      <w:r w:rsidRPr="00D966A5">
        <w:rPr>
          <w:rFonts w:ascii="Arial Narrow" w:hAnsi="Arial Narrow"/>
        </w:rPr>
        <w:t>Beyerchen</w:t>
      </w:r>
      <w:r>
        <w:rPr>
          <w:rFonts w:ascii="Arial Narrow" w:hAnsi="Arial Narrow"/>
        </w:rPr>
        <w:t>, op. cit., 178, «Tomaschek era o único físico ariano capaz de discutir física de maneira coerente». Aliás, posteriormente ele distanciou-se deste movimento (págs. 179, 181).</w:t>
      </w:r>
    </w:p>
  </w:footnote>
  <w:footnote w:id="530">
    <w:p w:rsidR="00392E0D" w:rsidRPr="008D33C7" w:rsidRDefault="00392E0D">
      <w:pPr>
        <w:pStyle w:val="Textodenotaderodap"/>
        <w:rPr>
          <w:rFonts w:ascii="Arial Narrow" w:hAnsi="Arial Narrow"/>
        </w:rPr>
      </w:pPr>
      <w:r w:rsidRPr="008D33C7">
        <w:rPr>
          <w:rStyle w:val="Refdenotaderodap"/>
          <w:rFonts w:ascii="Arial Narrow" w:hAnsi="Arial Narrow"/>
        </w:rPr>
        <w:footnoteRef/>
      </w:r>
      <w:r w:rsidRPr="008D33C7">
        <w:rPr>
          <w:rFonts w:ascii="Arial Narrow" w:hAnsi="Arial Narrow"/>
        </w:rPr>
        <w:t xml:space="preserve"> </w:t>
      </w:r>
      <w:r w:rsidRPr="00E8453F">
        <w:rPr>
          <w:rFonts w:ascii="Arial Narrow" w:hAnsi="Arial Narrow"/>
        </w:rPr>
        <w:t>J. Herf (1986)</w:t>
      </w:r>
      <w:r>
        <w:rPr>
          <w:rFonts w:ascii="Arial Narrow" w:hAnsi="Arial Narrow"/>
        </w:rPr>
        <w:t xml:space="preserve"> 175-178, 188.</w:t>
      </w:r>
    </w:p>
  </w:footnote>
  <w:footnote w:id="531">
    <w:p w:rsidR="00392E0D" w:rsidRPr="00D91F7F" w:rsidRDefault="00392E0D">
      <w:pPr>
        <w:pStyle w:val="Textodenotaderodap"/>
        <w:rPr>
          <w:rFonts w:ascii="Arial Narrow" w:hAnsi="Arial Narrow"/>
          <w:lang w:val="en-US"/>
        </w:rPr>
      </w:pPr>
      <w:r w:rsidRPr="00805948">
        <w:rPr>
          <w:rStyle w:val="Refdenotaderodap"/>
          <w:rFonts w:ascii="Arial Narrow" w:hAnsi="Arial Narrow"/>
        </w:rPr>
        <w:footnoteRef/>
      </w:r>
      <w:r w:rsidRPr="00D91F7F">
        <w:rPr>
          <w:rFonts w:ascii="Arial Narrow" w:hAnsi="Arial Narrow"/>
          <w:lang w:val="en-US"/>
        </w:rPr>
        <w:t xml:space="preserve"> Id., ibid., 175-176.</w:t>
      </w:r>
    </w:p>
  </w:footnote>
  <w:footnote w:id="532">
    <w:p w:rsidR="00392E0D" w:rsidRPr="00D91F7F" w:rsidRDefault="00392E0D">
      <w:pPr>
        <w:pStyle w:val="Textodenotaderodap"/>
        <w:rPr>
          <w:rFonts w:ascii="Arial Narrow" w:hAnsi="Arial Narrow"/>
          <w:lang w:val="en-US"/>
        </w:rPr>
      </w:pPr>
      <w:r w:rsidRPr="002546A1">
        <w:rPr>
          <w:rStyle w:val="Refdenotaderodap"/>
          <w:rFonts w:ascii="Arial Narrow" w:hAnsi="Arial Narrow"/>
        </w:rPr>
        <w:footnoteRef/>
      </w:r>
      <w:r w:rsidRPr="00D91F7F">
        <w:rPr>
          <w:rFonts w:ascii="Arial Narrow" w:hAnsi="Arial Narrow"/>
          <w:lang w:val="en-US"/>
        </w:rPr>
        <w:t xml:space="preserve"> Ph. Ball (2014) 162.</w:t>
      </w:r>
    </w:p>
  </w:footnote>
  <w:footnote w:id="533">
    <w:p w:rsidR="00392E0D" w:rsidRPr="00D91F7F"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D91F7F">
        <w:rPr>
          <w:rFonts w:ascii="Arial Narrow" w:hAnsi="Arial Narrow"/>
          <w:lang w:val="en-US"/>
        </w:rPr>
        <w:t xml:space="preserve"> E. Cassirer (1993) I 316.</w:t>
      </w:r>
    </w:p>
  </w:footnote>
  <w:footnote w:id="534">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M. Unamuno (1996) 189 (com uma pequena modificação no texto da tradução).</w:t>
      </w:r>
    </w:p>
  </w:footnote>
  <w:footnote w:id="535">
    <w:p w:rsidR="00392E0D" w:rsidRPr="009A574C" w:rsidRDefault="00392E0D">
      <w:pPr>
        <w:pStyle w:val="Textodenotaderodap"/>
        <w:rPr>
          <w:rFonts w:ascii="Arial Narrow" w:hAnsi="Arial Narrow"/>
        </w:rPr>
      </w:pPr>
      <w:r w:rsidRPr="009A574C">
        <w:rPr>
          <w:rStyle w:val="Refdenotaderodap"/>
          <w:rFonts w:ascii="Arial Narrow" w:hAnsi="Arial Narrow"/>
        </w:rPr>
        <w:footnoteRef/>
      </w:r>
      <w:r w:rsidRPr="009A574C">
        <w:rPr>
          <w:rFonts w:ascii="Arial Narrow" w:hAnsi="Arial Narrow"/>
        </w:rPr>
        <w:t xml:space="preserve"> </w:t>
      </w:r>
      <w:r>
        <w:rPr>
          <w:rFonts w:ascii="Arial Narrow" w:hAnsi="Arial Narrow"/>
        </w:rPr>
        <w:t xml:space="preserve">Citado em </w:t>
      </w:r>
      <w:r w:rsidRPr="002546A1">
        <w:rPr>
          <w:rFonts w:ascii="Arial Narrow" w:hAnsi="Arial Narrow"/>
        </w:rPr>
        <w:t>Ph. Ball (2014) 132.</w:t>
      </w:r>
    </w:p>
  </w:footnote>
  <w:footnote w:id="536">
    <w:p w:rsidR="00392E0D" w:rsidRPr="00B2463D" w:rsidRDefault="00392E0D" w:rsidP="00321E01">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K. Heiden (1934) 256-257.</w:t>
      </w:r>
    </w:p>
  </w:footnote>
  <w:footnote w:id="537">
    <w:p w:rsidR="00392E0D" w:rsidRPr="004F5A4A" w:rsidRDefault="00392E0D">
      <w:pPr>
        <w:pStyle w:val="Textodenotaderodap"/>
        <w:rPr>
          <w:rFonts w:ascii="Arial Narrow" w:hAnsi="Arial Narrow"/>
        </w:rPr>
      </w:pPr>
      <w:r w:rsidRPr="004F5A4A">
        <w:rPr>
          <w:rStyle w:val="Refdenotaderodap"/>
          <w:rFonts w:ascii="Arial Narrow" w:hAnsi="Arial Narrow"/>
        </w:rPr>
        <w:footnoteRef/>
      </w:r>
      <w:r w:rsidRPr="004F5A4A">
        <w:rPr>
          <w:rFonts w:ascii="Arial Narrow" w:hAnsi="Arial Narrow"/>
        </w:rPr>
        <w:t xml:space="preserve"> Ph. Ball (2014) 49-5</w:t>
      </w:r>
      <w:r>
        <w:rPr>
          <w:rFonts w:ascii="Arial Narrow" w:hAnsi="Arial Narrow"/>
        </w:rPr>
        <w:t>3</w:t>
      </w:r>
      <w:r w:rsidRPr="004F5A4A">
        <w:rPr>
          <w:rFonts w:ascii="Arial Narrow" w:hAnsi="Arial Narrow"/>
        </w:rPr>
        <w:t>. A passagem citada encontra-se na p</w:t>
      </w:r>
      <w:r>
        <w:rPr>
          <w:rFonts w:ascii="Arial Narrow" w:hAnsi="Arial Narrow"/>
        </w:rPr>
        <w:t xml:space="preserve">ág. 50. Ver também a pág. 369 e consultar </w:t>
      </w:r>
      <w:r w:rsidRPr="002546A1">
        <w:rPr>
          <w:rFonts w:ascii="Arial Narrow" w:hAnsi="Arial Narrow"/>
        </w:rPr>
        <w:t>A. D. Beyerchen (1977)</w:t>
      </w:r>
      <w:r>
        <w:rPr>
          <w:rFonts w:ascii="Arial Narrow" w:hAnsi="Arial Narrow"/>
        </w:rPr>
        <w:t xml:space="preserve"> 6, 128-129.</w:t>
      </w:r>
    </w:p>
  </w:footnote>
  <w:footnote w:id="538">
    <w:p w:rsidR="00392E0D" w:rsidRPr="00A8336E" w:rsidRDefault="00392E0D">
      <w:pPr>
        <w:pStyle w:val="Textodenotaderodap"/>
        <w:rPr>
          <w:rFonts w:ascii="Arial Narrow" w:hAnsi="Arial Narrow"/>
        </w:rPr>
      </w:pPr>
      <w:r w:rsidRPr="00A8336E">
        <w:rPr>
          <w:rStyle w:val="Refdenotaderodap"/>
          <w:rFonts w:ascii="Arial Narrow" w:hAnsi="Arial Narrow"/>
        </w:rPr>
        <w:footnoteRef/>
      </w:r>
      <w:r w:rsidRPr="00A8336E">
        <w:rPr>
          <w:rFonts w:ascii="Arial Narrow" w:hAnsi="Arial Narrow"/>
        </w:rPr>
        <w:t xml:space="preserve"> </w:t>
      </w:r>
      <w:r w:rsidRPr="004F5A4A">
        <w:rPr>
          <w:rFonts w:ascii="Arial Narrow" w:hAnsi="Arial Narrow"/>
        </w:rPr>
        <w:t xml:space="preserve">Ph. Ball (2014) </w:t>
      </w:r>
      <w:r w:rsidRPr="00A8336E">
        <w:rPr>
          <w:rFonts w:ascii="Arial Narrow" w:hAnsi="Arial Narrow"/>
        </w:rPr>
        <w:t>142-14</w:t>
      </w:r>
      <w:r>
        <w:rPr>
          <w:rFonts w:ascii="Arial Narrow" w:hAnsi="Arial Narrow"/>
        </w:rPr>
        <w:t>7</w:t>
      </w:r>
      <w:r w:rsidRPr="00A8336E">
        <w:rPr>
          <w:rFonts w:ascii="Arial Narrow" w:hAnsi="Arial Narrow"/>
        </w:rPr>
        <w:t>. As citações encontram-se respectivamente nas p</w:t>
      </w:r>
      <w:r>
        <w:rPr>
          <w:rFonts w:ascii="Arial Narrow" w:hAnsi="Arial Narrow"/>
        </w:rPr>
        <w:t>ágs. 143 e 144. Por seu lado, para defender a física quântica Heisenberg aceitou atacar publicamente Einstein (págs. 146-148, 151).</w:t>
      </w:r>
    </w:p>
  </w:footnote>
  <w:footnote w:id="539">
    <w:p w:rsidR="00392E0D" w:rsidRPr="00B2463D" w:rsidRDefault="00392E0D" w:rsidP="00321E01">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w:t>
      </w:r>
      <w:r>
        <w:rPr>
          <w:rFonts w:ascii="Arial Narrow" w:hAnsi="Arial Narrow"/>
          <w:lang w:val="de-DE"/>
        </w:rPr>
        <w:t xml:space="preserve">A. Rosenberg (1986) 232; id. [s. d. 2] 206. Ver no mesmo sentido Lenard em </w:t>
      </w:r>
      <w:r w:rsidRPr="000579D7">
        <w:rPr>
          <w:rFonts w:ascii="Arial Narrow" w:hAnsi="Arial Narrow"/>
        </w:rPr>
        <w:t xml:space="preserve">Ph. </w:t>
      </w:r>
      <w:r w:rsidRPr="002546A1">
        <w:rPr>
          <w:rFonts w:ascii="Arial Narrow" w:hAnsi="Arial Narrow"/>
        </w:rPr>
        <w:t xml:space="preserve">Ball (2014) 125. </w:t>
      </w:r>
      <w:r>
        <w:rPr>
          <w:rFonts w:ascii="Arial Narrow" w:hAnsi="Arial Narrow"/>
          <w:lang w:val="de-DE"/>
        </w:rPr>
        <w:t xml:space="preserve">Ver ainda </w:t>
      </w:r>
      <w:r w:rsidRPr="00B2463D">
        <w:rPr>
          <w:rFonts w:ascii="Arial Narrow" w:hAnsi="Arial Narrow"/>
          <w:lang w:val="de-DE"/>
        </w:rPr>
        <w:t>J. Billig (2000) 40, 46.</w:t>
      </w:r>
    </w:p>
  </w:footnote>
  <w:footnote w:id="540">
    <w:p w:rsidR="00392E0D" w:rsidRPr="002546A1" w:rsidRDefault="00392E0D">
      <w:pPr>
        <w:pStyle w:val="Textodenotaderodap"/>
        <w:rPr>
          <w:rFonts w:ascii="Arial Narrow" w:hAnsi="Arial Narrow"/>
        </w:rPr>
      </w:pPr>
      <w:r w:rsidRPr="007A6348">
        <w:rPr>
          <w:rStyle w:val="Refdenotaderodap"/>
          <w:rFonts w:ascii="Arial Narrow" w:hAnsi="Arial Narrow"/>
        </w:rPr>
        <w:footnoteRef/>
      </w:r>
      <w:r w:rsidRPr="002546A1">
        <w:rPr>
          <w:rFonts w:ascii="Arial Narrow" w:hAnsi="Arial Narrow"/>
        </w:rPr>
        <w:t xml:space="preserve"> A. Rosenberg (1986) 559; id. [s. d. 2] 405.</w:t>
      </w:r>
    </w:p>
  </w:footnote>
  <w:footnote w:id="54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H. Rauschning (1939) 71.</w:t>
      </w:r>
    </w:p>
  </w:footnote>
  <w:footnote w:id="542">
    <w:p w:rsidR="00392E0D" w:rsidRPr="00B2463D" w:rsidRDefault="00392E0D" w:rsidP="000579D7">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A. D. Beyerchen (1977) 126-127.</w:t>
      </w:r>
    </w:p>
  </w:footnote>
  <w:footnote w:id="543">
    <w:p w:rsidR="00392E0D" w:rsidRPr="002546A1" w:rsidRDefault="00392E0D">
      <w:pPr>
        <w:pStyle w:val="Textodenotaderodap"/>
        <w:rPr>
          <w:rFonts w:ascii="Arial Narrow" w:hAnsi="Arial Narrow"/>
          <w:lang w:val="en-US"/>
        </w:rPr>
      </w:pPr>
      <w:r w:rsidRPr="00BF261A">
        <w:rPr>
          <w:rStyle w:val="Refdenotaderodap"/>
          <w:rFonts w:ascii="Arial Narrow" w:hAnsi="Arial Narrow"/>
        </w:rPr>
        <w:footnoteRef/>
      </w:r>
      <w:r w:rsidRPr="002546A1">
        <w:rPr>
          <w:rFonts w:ascii="Arial Narrow" w:hAnsi="Arial Narrow"/>
          <w:lang w:val="en-US"/>
        </w:rPr>
        <w:t xml:space="preserve"> </w:t>
      </w:r>
      <w:r w:rsidRPr="00BF261A">
        <w:rPr>
          <w:rFonts w:ascii="Arial Narrow" w:hAnsi="Arial Narrow"/>
          <w:lang w:val="en-US"/>
        </w:rPr>
        <w:t>Ph. Ball (2014)</w:t>
      </w:r>
      <w:r>
        <w:rPr>
          <w:rFonts w:ascii="Arial Narrow" w:hAnsi="Arial Narrow"/>
          <w:lang w:val="en-US"/>
        </w:rPr>
        <w:t xml:space="preserve"> 124-125.</w:t>
      </w:r>
    </w:p>
  </w:footnote>
  <w:footnote w:id="544">
    <w:p w:rsidR="00392E0D" w:rsidRPr="00B67913" w:rsidRDefault="00392E0D">
      <w:pPr>
        <w:pStyle w:val="Textodenotaderodap"/>
        <w:rPr>
          <w:rFonts w:ascii="Arial Narrow" w:hAnsi="Arial Narrow"/>
        </w:rPr>
      </w:pPr>
      <w:r w:rsidRPr="00B67913">
        <w:rPr>
          <w:rStyle w:val="Refdenotaderodap"/>
          <w:rFonts w:ascii="Arial Narrow" w:hAnsi="Arial Narrow"/>
        </w:rPr>
        <w:footnoteRef/>
      </w:r>
      <w:r w:rsidRPr="00B67913">
        <w:rPr>
          <w:rFonts w:ascii="Arial Narrow" w:hAnsi="Arial Narrow"/>
        </w:rPr>
        <w:t xml:space="preserve"> </w:t>
      </w:r>
      <w:r>
        <w:rPr>
          <w:rFonts w:ascii="Arial Narrow" w:hAnsi="Arial Narrow"/>
        </w:rPr>
        <w:t xml:space="preserve">Segundo </w:t>
      </w:r>
      <w:r w:rsidRPr="00B2463D">
        <w:rPr>
          <w:rFonts w:ascii="Arial Narrow" w:hAnsi="Arial Narrow"/>
          <w:lang w:val="de-DE"/>
        </w:rPr>
        <w:t xml:space="preserve">A. D. Beyerchen (1977) </w:t>
      </w:r>
      <w:r>
        <w:rPr>
          <w:rFonts w:ascii="Arial Narrow" w:hAnsi="Arial Narrow"/>
          <w:lang w:val="de-DE"/>
        </w:rPr>
        <w:t xml:space="preserve">105, </w:t>
      </w:r>
      <w:r>
        <w:rPr>
          <w:rFonts w:ascii="Arial Narrow" w:hAnsi="Arial Narrow"/>
        </w:rPr>
        <w:t>já no discurso de aceitação do prémio Nobel que lhe fora atribuído em 1919 Stark dissera que o átomo devia ser considerado como um todo e não como uma estrutura com partes discretas.</w:t>
      </w:r>
    </w:p>
  </w:footnote>
  <w:footnote w:id="54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 L. Shirer (1995) I 273.</w:t>
      </w:r>
    </w:p>
  </w:footnote>
  <w:footnote w:id="546">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F. Neumann (1943) 512. </w:t>
      </w:r>
      <w:r>
        <w:rPr>
          <w:rFonts w:ascii="Arial Narrow" w:hAnsi="Arial Narrow"/>
        </w:rPr>
        <w:t xml:space="preserve">Segundo </w:t>
      </w:r>
      <w:r w:rsidRPr="003E305A">
        <w:rPr>
          <w:rFonts w:ascii="Arial Narrow" w:hAnsi="Arial Narrow"/>
        </w:rPr>
        <w:t>J. Droz [s. d.] 82</w:t>
      </w:r>
      <w:r>
        <w:rPr>
          <w:rFonts w:ascii="Arial Narrow" w:hAnsi="Arial Narrow"/>
        </w:rPr>
        <w:t xml:space="preserve">, </w:t>
      </w:r>
      <w:r w:rsidRPr="00BC3A1B">
        <w:rPr>
          <w:rFonts w:ascii="Arial Narrow" w:hAnsi="Arial Narrow"/>
        </w:rPr>
        <w:t>em 1933 Krieck havia presidido a um auto-de-fé de livros de autores marxistas ou judeus</w:t>
      </w:r>
      <w:r>
        <w:rPr>
          <w:rFonts w:ascii="Arial Narrow" w:hAnsi="Arial Narrow"/>
        </w:rPr>
        <w:t>.</w:t>
      </w:r>
      <w:r w:rsidRPr="00BC3A1B">
        <w:rPr>
          <w:rFonts w:ascii="Arial Narrow" w:hAnsi="Arial Narrow"/>
        </w:rPr>
        <w:t xml:space="preserve"> </w:t>
      </w:r>
      <w:r w:rsidRPr="003E305A">
        <w:rPr>
          <w:rFonts w:ascii="Arial Narrow" w:hAnsi="Arial Narrow"/>
        </w:rPr>
        <w:t xml:space="preserve">O tradutor da obra de Franz Neumann escreveu </w:t>
      </w:r>
      <w:r w:rsidRPr="003E305A">
        <w:rPr>
          <w:rFonts w:ascii="Arial Narrow" w:hAnsi="Arial Narrow"/>
          <w:i/>
        </w:rPr>
        <w:t>«el pueblo contra la masa»,</w:t>
      </w:r>
      <w:r w:rsidRPr="003E305A">
        <w:rPr>
          <w:rFonts w:ascii="Arial Narrow" w:hAnsi="Arial Narrow"/>
        </w:rPr>
        <w:t xml:space="preserve"> mas a versão correcta seria possivelmente </w:t>
      </w:r>
      <w:r w:rsidRPr="003E305A">
        <w:rPr>
          <w:rFonts w:ascii="Arial Narrow" w:hAnsi="Arial Narrow"/>
          <w:i/>
        </w:rPr>
        <w:t>a raça contra a massa.</w:t>
      </w:r>
      <w:r w:rsidRPr="003E305A">
        <w:rPr>
          <w:rFonts w:ascii="Arial Narrow" w:hAnsi="Arial Narrow"/>
        </w:rPr>
        <w:t xml:space="preserve"> Recordo a tal respeito a n. </w:t>
      </w:r>
      <w:r>
        <w:rPr>
          <w:rFonts w:ascii="Arial Narrow" w:hAnsi="Arial Narrow"/>
        </w:rPr>
        <w:t>458</w:t>
      </w:r>
      <w:r w:rsidRPr="003E305A">
        <w:rPr>
          <w:rFonts w:ascii="Arial Narrow" w:hAnsi="Arial Narrow"/>
        </w:rPr>
        <w:t xml:space="preserve"> deste capítulo. Aliás, segundo H. Rauschning (1939) 156, Hitler opunha «a raça e a massa». Acerca da oposição estabelecida por Krieck entre a raça e a racionalidade enquanto oposição entre mito e </w:t>
      </w:r>
      <w:r w:rsidRPr="003E305A">
        <w:rPr>
          <w:rFonts w:ascii="Arial Narrow" w:hAnsi="Arial Narrow"/>
          <w:i/>
        </w:rPr>
        <w:t>logos,</w:t>
      </w:r>
      <w:r w:rsidRPr="003E305A">
        <w:rPr>
          <w:rFonts w:ascii="Arial Narrow" w:hAnsi="Arial Narrow"/>
        </w:rPr>
        <w:t xml:space="preserve"> ver J. P. Faye (1972) 24-26.</w:t>
      </w:r>
      <w:r>
        <w:rPr>
          <w:rFonts w:ascii="Arial Narrow" w:hAnsi="Arial Narrow"/>
        </w:rPr>
        <w:t xml:space="preserve"> Note-se que, segundo P. Watson (2011) 652, «Ernst Krieck considerava-se a si mesmo como um filósofo nacional-socialista mais importante até do que Heidegger».</w:t>
      </w:r>
    </w:p>
  </w:footnote>
  <w:footnote w:id="547">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3E305A">
        <w:rPr>
          <w:rFonts w:ascii="Arial Narrow" w:hAnsi="Arial Narrow"/>
          <w:i/>
        </w:rPr>
        <w:t>Das Schwarze Korps,</w:t>
      </w:r>
      <w:r w:rsidRPr="003E305A">
        <w:rPr>
          <w:rFonts w:ascii="Arial Narrow" w:hAnsi="Arial Narrow"/>
        </w:rPr>
        <w:t xml:space="preserve"> 25 de Janeiro de 1945, antologiado em R. Griffin (org. 1995) 163.</w:t>
      </w:r>
      <w:r>
        <w:rPr>
          <w:rFonts w:ascii="Arial Narrow" w:hAnsi="Arial Narrow"/>
        </w:rPr>
        <w:t xml:space="preserve"> Note-se que, a crer em </w:t>
      </w:r>
      <w:r w:rsidRPr="003C7C7C">
        <w:rPr>
          <w:rFonts w:ascii="Arial Narrow" w:hAnsi="Arial Narrow"/>
        </w:rPr>
        <w:t xml:space="preserve">A. Quinchon-Caudal (2013) 222, a tiragem de </w:t>
      </w:r>
      <w:r w:rsidRPr="003C7C7C">
        <w:rPr>
          <w:rFonts w:ascii="Arial Narrow" w:hAnsi="Arial Narrow"/>
          <w:i/>
        </w:rPr>
        <w:t>Das Schwarze Korps</w:t>
      </w:r>
      <w:r w:rsidRPr="003C7C7C">
        <w:rPr>
          <w:rFonts w:ascii="Arial Narrow" w:hAnsi="Arial Narrow"/>
        </w:rPr>
        <w:t xml:space="preserve"> tornara-se em 1939 a segunda maior entre os semanários do Reich.</w:t>
      </w:r>
    </w:p>
  </w:footnote>
  <w:footnote w:id="548">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F. L. Carsten (1967) 123.</w:t>
      </w:r>
    </w:p>
  </w:footnote>
  <w:footnote w:id="549">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s-ES"/>
        </w:rPr>
        <w:t xml:space="preserve"> A. Río Cisneros et al. </w:t>
      </w:r>
      <w:r w:rsidRPr="003E305A">
        <w:rPr>
          <w:rFonts w:ascii="Arial Narrow" w:hAnsi="Arial Narrow"/>
          <w:lang w:val="en-GB"/>
        </w:rPr>
        <w:t>(orgs. 1945) 67.</w:t>
      </w:r>
    </w:p>
  </w:footnote>
  <w:footnote w:id="550">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E. Black (1999) 56.</w:t>
      </w:r>
    </w:p>
  </w:footnote>
  <w:footnote w:id="551">
    <w:p w:rsidR="00392E0D" w:rsidRPr="00861768" w:rsidRDefault="00392E0D">
      <w:pPr>
        <w:pStyle w:val="Textodenotaderodap"/>
        <w:rPr>
          <w:rFonts w:ascii="Arial Narrow" w:hAnsi="Arial Narrow"/>
          <w:lang w:val="en-US"/>
        </w:rPr>
      </w:pPr>
      <w:r w:rsidRPr="00FD4005">
        <w:rPr>
          <w:rStyle w:val="Refdenotaderodap"/>
          <w:rFonts w:ascii="Arial Narrow" w:hAnsi="Arial Narrow"/>
        </w:rPr>
        <w:footnoteRef/>
      </w:r>
      <w:r w:rsidRPr="00FD4005">
        <w:rPr>
          <w:rFonts w:ascii="Arial Narrow" w:hAnsi="Arial Narrow"/>
          <w:lang w:val="en-GB"/>
        </w:rPr>
        <w:t xml:space="preserve"> A. Rosenberg (1986) </w:t>
      </w:r>
      <w:r>
        <w:rPr>
          <w:rFonts w:ascii="Arial Narrow" w:hAnsi="Arial Narrow"/>
          <w:lang w:val="en-GB"/>
        </w:rPr>
        <w:t>15-16</w:t>
      </w:r>
      <w:r w:rsidRPr="00FD4005">
        <w:rPr>
          <w:rFonts w:ascii="Arial Narrow" w:hAnsi="Arial Narrow"/>
          <w:lang w:val="en-GB"/>
        </w:rPr>
        <w:t xml:space="preserve">; id. </w:t>
      </w:r>
      <w:r w:rsidRPr="00861768">
        <w:rPr>
          <w:rFonts w:ascii="Arial Narrow" w:hAnsi="Arial Narrow"/>
          <w:lang w:val="en-US"/>
        </w:rPr>
        <w:t>[s. d. 2] 12.</w:t>
      </w:r>
    </w:p>
  </w:footnote>
  <w:footnote w:id="552">
    <w:p w:rsidR="00392E0D" w:rsidRPr="00861768" w:rsidRDefault="00392E0D" w:rsidP="00196A14">
      <w:pPr>
        <w:pStyle w:val="Textodenotaderodap"/>
        <w:rPr>
          <w:rFonts w:ascii="Arial Narrow" w:hAnsi="Arial Narrow"/>
          <w:lang w:val="en-US"/>
        </w:rPr>
      </w:pPr>
      <w:r w:rsidRPr="00D26737">
        <w:rPr>
          <w:rStyle w:val="Refdenotaderodap"/>
          <w:rFonts w:ascii="Arial Narrow" w:hAnsi="Arial Narrow"/>
        </w:rPr>
        <w:footnoteRef/>
      </w:r>
      <w:r w:rsidRPr="00861768">
        <w:rPr>
          <w:rFonts w:ascii="Arial Narrow" w:hAnsi="Arial Narrow"/>
          <w:lang w:val="en-US"/>
        </w:rPr>
        <w:t xml:space="preserve"> K. A. Schleunes (1990) 85.</w:t>
      </w:r>
    </w:p>
  </w:footnote>
  <w:footnote w:id="553">
    <w:p w:rsidR="00392E0D" w:rsidRPr="003E305A" w:rsidRDefault="00392E0D" w:rsidP="00196A14">
      <w:pPr>
        <w:pStyle w:val="Textodenotaderodap"/>
        <w:rPr>
          <w:rFonts w:ascii="Arial Narrow" w:hAnsi="Arial Narrow"/>
        </w:rPr>
      </w:pPr>
      <w:r w:rsidRPr="003E305A">
        <w:rPr>
          <w:rStyle w:val="Refdenotaderodap"/>
          <w:rFonts w:ascii="Arial Narrow" w:hAnsi="Arial Narrow"/>
        </w:rPr>
        <w:footnoteRef/>
      </w:r>
      <w:r w:rsidRPr="00321E01">
        <w:rPr>
          <w:rFonts w:ascii="Arial Narrow" w:hAnsi="Arial Narrow"/>
        </w:rPr>
        <w:t xml:space="preserve"> Esta passagem d</w:t>
      </w:r>
      <w:r w:rsidRPr="003E305A">
        <w:rPr>
          <w:rFonts w:ascii="Arial Narrow" w:hAnsi="Arial Narrow"/>
        </w:rPr>
        <w:t>a entrada de 25 de Agosto de 1944 encontra-se em M. Chalmers (org. 2006 b) 404.</w:t>
      </w:r>
    </w:p>
  </w:footnote>
  <w:footnote w:id="554">
    <w:p w:rsidR="00392E0D" w:rsidRPr="00DF11EE" w:rsidRDefault="00392E0D" w:rsidP="00612B5C">
      <w:pPr>
        <w:pStyle w:val="Textodenotaderodap"/>
        <w:rPr>
          <w:rFonts w:ascii="Arial Narrow" w:hAnsi="Arial Narrow"/>
          <w:lang w:val="en-US"/>
        </w:rPr>
      </w:pPr>
      <w:r w:rsidRPr="00AD054A">
        <w:rPr>
          <w:rStyle w:val="Refdenotaderodap"/>
          <w:rFonts w:ascii="Arial Narrow" w:hAnsi="Arial Narrow"/>
        </w:rPr>
        <w:footnoteRef/>
      </w:r>
      <w:r w:rsidRPr="00DF11EE">
        <w:rPr>
          <w:rFonts w:ascii="Arial Narrow" w:hAnsi="Arial Narrow"/>
          <w:lang w:val="en-US"/>
        </w:rPr>
        <w:t xml:space="preserve"> J. Noakes </w:t>
      </w:r>
      <w:r>
        <w:rPr>
          <w:rFonts w:ascii="Arial Narrow" w:hAnsi="Arial Narrow"/>
          <w:lang w:val="en-US"/>
        </w:rPr>
        <w:t xml:space="preserve">em H. Mommsen (2009) 6; </w:t>
      </w:r>
      <w:r w:rsidRPr="00DF11EE">
        <w:rPr>
          <w:rFonts w:ascii="Arial Narrow" w:hAnsi="Arial Narrow"/>
          <w:lang w:val="en-US"/>
        </w:rPr>
        <w:t>J. Noakes et al. (orgs. 200</w:t>
      </w:r>
      <w:r>
        <w:rPr>
          <w:rFonts w:ascii="Arial Narrow" w:hAnsi="Arial Narrow"/>
          <w:lang w:val="en-US"/>
        </w:rPr>
        <w:t>8-2010</w:t>
      </w:r>
      <w:r w:rsidRPr="00DF11EE">
        <w:rPr>
          <w:rFonts w:ascii="Arial Narrow" w:hAnsi="Arial Narrow"/>
          <w:lang w:val="en-US"/>
        </w:rPr>
        <w:t xml:space="preserve">) </w:t>
      </w:r>
      <w:r>
        <w:rPr>
          <w:rFonts w:ascii="Arial Narrow" w:hAnsi="Arial Narrow"/>
          <w:lang w:val="en-US"/>
        </w:rPr>
        <w:t xml:space="preserve">III </w:t>
      </w:r>
      <w:r w:rsidRPr="00DF11EE">
        <w:rPr>
          <w:rFonts w:ascii="Arial Narrow" w:hAnsi="Arial Narrow"/>
          <w:lang w:val="en-US"/>
        </w:rPr>
        <w:t>487.</w:t>
      </w:r>
    </w:p>
  </w:footnote>
  <w:footnote w:id="555">
    <w:p w:rsidR="00392E0D" w:rsidRPr="00785C4F" w:rsidRDefault="00392E0D" w:rsidP="00612B5C">
      <w:pPr>
        <w:pStyle w:val="Textodenotaderodap"/>
        <w:rPr>
          <w:rFonts w:ascii="Arial Narrow" w:hAnsi="Arial Narrow"/>
        </w:rPr>
      </w:pPr>
      <w:r w:rsidRPr="00AC4C8C">
        <w:rPr>
          <w:rStyle w:val="Refdenotaderodap"/>
          <w:rFonts w:ascii="Arial Narrow" w:hAnsi="Arial Narrow"/>
        </w:rPr>
        <w:footnoteRef/>
      </w:r>
      <w:r w:rsidRPr="00AC4C8C">
        <w:rPr>
          <w:rFonts w:ascii="Arial Narrow" w:hAnsi="Arial Narrow"/>
          <w:lang w:val="en-US"/>
        </w:rPr>
        <w:t xml:space="preserve"> S. D. Shenfield (2001)</w:t>
      </w:r>
      <w:r>
        <w:rPr>
          <w:rFonts w:ascii="Arial Narrow" w:hAnsi="Arial Narrow"/>
          <w:lang w:val="en-US"/>
        </w:rPr>
        <w:t xml:space="preserve"> 34. </w:t>
      </w:r>
      <w:r w:rsidRPr="00785C4F">
        <w:rPr>
          <w:rFonts w:ascii="Arial Narrow" w:hAnsi="Arial Narrow"/>
        </w:rPr>
        <w:t xml:space="preserve">No entanto, Stephen Shenfield sublinhou que </w:t>
      </w:r>
      <w:r>
        <w:rPr>
          <w:rFonts w:ascii="Arial Narrow" w:hAnsi="Arial Narrow"/>
        </w:rPr>
        <w:t>se tratava de um anti-semitismo religioso e não biológico.</w:t>
      </w:r>
    </w:p>
  </w:footnote>
  <w:footnote w:id="556">
    <w:p w:rsidR="00392E0D" w:rsidRPr="000A2A99" w:rsidRDefault="00392E0D" w:rsidP="00612B5C">
      <w:pPr>
        <w:pStyle w:val="Textodenotaderodap"/>
        <w:rPr>
          <w:rFonts w:ascii="Arial Narrow" w:hAnsi="Arial Narrow"/>
        </w:rPr>
      </w:pPr>
      <w:r w:rsidRPr="00593277">
        <w:rPr>
          <w:rStyle w:val="Refdenotaderodap"/>
          <w:rFonts w:ascii="Arial Narrow" w:hAnsi="Arial Narrow"/>
        </w:rPr>
        <w:footnoteRef/>
      </w:r>
      <w:r w:rsidRPr="000A2A99">
        <w:rPr>
          <w:rFonts w:ascii="Arial Narrow" w:hAnsi="Arial Narrow"/>
        </w:rPr>
        <w:t xml:space="preserve"> H. Ford (1932) 207 (sub. orig.).</w:t>
      </w:r>
    </w:p>
  </w:footnote>
  <w:footnote w:id="557">
    <w:p w:rsidR="00392E0D" w:rsidRPr="003E305A" w:rsidRDefault="00392E0D" w:rsidP="00612B5C">
      <w:pPr>
        <w:pStyle w:val="Textodenotaderodap"/>
        <w:ind w:firstLine="708"/>
        <w:rPr>
          <w:rFonts w:ascii="Arial Narrow" w:hAnsi="Arial Narrow"/>
        </w:rPr>
      </w:pPr>
      <w:r w:rsidRPr="003E305A">
        <w:rPr>
          <w:rStyle w:val="Refdenotaderodap"/>
          <w:rFonts w:ascii="Arial Narrow" w:hAnsi="Arial Narrow"/>
        </w:rPr>
        <w:footnoteRef/>
      </w:r>
      <w:r w:rsidRPr="00E83088">
        <w:rPr>
          <w:rFonts w:ascii="Arial Narrow" w:hAnsi="Arial Narrow"/>
        </w:rPr>
        <w:t xml:space="preserve"> Quanto ao apreço de Hitler </w:t>
      </w:r>
      <w:r>
        <w:rPr>
          <w:rFonts w:ascii="Arial Narrow" w:hAnsi="Arial Narrow"/>
        </w:rPr>
        <w:t xml:space="preserve">por Madison Grant </w:t>
      </w:r>
      <w:r w:rsidRPr="00E83088">
        <w:rPr>
          <w:rFonts w:ascii="Arial Narrow" w:hAnsi="Arial Narrow"/>
        </w:rPr>
        <w:t>ver E. Black (2003) 259</w:t>
      </w:r>
      <w:r>
        <w:rPr>
          <w:rFonts w:ascii="Arial Narrow" w:hAnsi="Arial Narrow"/>
        </w:rPr>
        <w:t>,</w:t>
      </w:r>
      <w:r w:rsidRPr="00E83088">
        <w:rPr>
          <w:rFonts w:ascii="Arial Narrow" w:hAnsi="Arial Narrow"/>
        </w:rPr>
        <w:t xml:space="preserve"> S. Kühl (1994) 85</w:t>
      </w:r>
      <w:r>
        <w:rPr>
          <w:rFonts w:ascii="Arial Narrow" w:hAnsi="Arial Narrow"/>
        </w:rPr>
        <w:t xml:space="preserve"> e</w:t>
      </w:r>
      <w:r w:rsidRPr="00E83088">
        <w:rPr>
          <w:rFonts w:ascii="Arial Narrow" w:hAnsi="Arial Narrow"/>
        </w:rPr>
        <w:t xml:space="preserve"> Sh. F. Weiss (2010) 280. </w:t>
      </w:r>
      <w:r>
        <w:rPr>
          <w:rFonts w:ascii="Arial Narrow" w:hAnsi="Arial Narrow"/>
        </w:rPr>
        <w:t xml:space="preserve">Quanto ao apreço de Rosenberg ver A. Rosenberg (1986) 626 ou id. [s. d. 2] 452. Quanto ao apreço de Darré ver A. Bramwell (1985) 68-69 e </w:t>
      </w:r>
      <w:r w:rsidRPr="00473B26">
        <w:rPr>
          <w:rFonts w:ascii="Arial Narrow" w:hAnsi="Arial Narrow"/>
        </w:rPr>
        <w:t>184</w:t>
      </w:r>
      <w:r>
        <w:rPr>
          <w:rFonts w:ascii="Arial Narrow" w:hAnsi="Arial Narrow"/>
        </w:rPr>
        <w:t>.</w:t>
      </w:r>
    </w:p>
  </w:footnote>
  <w:footnote w:id="558">
    <w:p w:rsidR="00392E0D" w:rsidRPr="0099128F" w:rsidRDefault="00392E0D" w:rsidP="00612B5C">
      <w:pPr>
        <w:pStyle w:val="Textodenotaderodap"/>
        <w:rPr>
          <w:rFonts w:ascii="Arial Narrow" w:hAnsi="Arial Narrow"/>
          <w:lang w:val="en-US"/>
        </w:rPr>
      </w:pPr>
      <w:r w:rsidRPr="00E83088">
        <w:rPr>
          <w:rStyle w:val="Refdenotaderodap"/>
          <w:rFonts w:ascii="Arial Narrow" w:hAnsi="Arial Narrow"/>
        </w:rPr>
        <w:footnoteRef/>
      </w:r>
      <w:r w:rsidRPr="0099128F">
        <w:rPr>
          <w:rFonts w:ascii="Arial Narrow" w:hAnsi="Arial Narrow"/>
          <w:lang w:val="en-US"/>
        </w:rPr>
        <w:t xml:space="preserve"> M. Grant (1921) xxxi.</w:t>
      </w:r>
    </w:p>
  </w:footnote>
  <w:footnote w:id="559">
    <w:p w:rsidR="00392E0D" w:rsidRPr="0099128F" w:rsidRDefault="00392E0D" w:rsidP="00612B5C">
      <w:pPr>
        <w:pStyle w:val="Textodenotaderodap"/>
        <w:rPr>
          <w:rFonts w:ascii="Arial Narrow" w:hAnsi="Arial Narrow"/>
          <w:lang w:val="en-US"/>
        </w:rPr>
      </w:pPr>
      <w:r w:rsidRPr="00093286">
        <w:rPr>
          <w:rStyle w:val="Refdenotaderodap"/>
          <w:rFonts w:ascii="Arial Narrow" w:hAnsi="Arial Narrow"/>
        </w:rPr>
        <w:footnoteRef/>
      </w:r>
      <w:r w:rsidRPr="0099128F">
        <w:rPr>
          <w:rFonts w:ascii="Arial Narrow" w:hAnsi="Arial Narrow"/>
          <w:lang w:val="en-US"/>
        </w:rPr>
        <w:t xml:space="preserve"> L.-F. Céline (1937) 51.</w:t>
      </w:r>
    </w:p>
  </w:footnote>
  <w:footnote w:id="560">
    <w:p w:rsidR="00392E0D" w:rsidRPr="007C27DB" w:rsidRDefault="00392E0D" w:rsidP="00612B5C">
      <w:pPr>
        <w:pStyle w:val="Textodenotaderodap"/>
        <w:rPr>
          <w:rFonts w:ascii="Arial Narrow" w:hAnsi="Arial Narrow"/>
        </w:rPr>
      </w:pPr>
      <w:r w:rsidRPr="007C27DB">
        <w:rPr>
          <w:rStyle w:val="Refdenotaderodap"/>
          <w:rFonts w:ascii="Arial Narrow" w:hAnsi="Arial Narrow"/>
        </w:rPr>
        <w:footnoteRef/>
      </w:r>
      <w:r w:rsidRPr="0099128F">
        <w:rPr>
          <w:rFonts w:ascii="Arial Narrow" w:hAnsi="Arial Narrow"/>
          <w:lang w:val="en-US"/>
        </w:rPr>
        <w:t xml:space="preserve"> </w:t>
      </w:r>
      <w:r w:rsidRPr="00581CD6">
        <w:rPr>
          <w:rFonts w:ascii="Arial Narrow" w:hAnsi="Arial Narrow"/>
          <w:lang w:val="en-US"/>
        </w:rPr>
        <w:t>L. Waddington (2007)</w:t>
      </w:r>
      <w:r>
        <w:rPr>
          <w:rFonts w:ascii="Arial Narrow" w:hAnsi="Arial Narrow"/>
          <w:lang w:val="en-US"/>
        </w:rPr>
        <w:t xml:space="preserve"> </w:t>
      </w:r>
      <w:r w:rsidRPr="00581CD6">
        <w:rPr>
          <w:rFonts w:ascii="Arial Narrow" w:hAnsi="Arial Narrow"/>
          <w:i/>
          <w:lang w:val="en-US"/>
        </w:rPr>
        <w:t>passim</w:t>
      </w:r>
      <w:r w:rsidRPr="009624E1">
        <w:rPr>
          <w:rFonts w:ascii="Arial Narrow" w:hAnsi="Arial Narrow"/>
          <w:lang w:val="en-US"/>
        </w:rPr>
        <w:t xml:space="preserve">. </w:t>
      </w:r>
      <w:r>
        <w:rPr>
          <w:rFonts w:ascii="Arial Narrow" w:hAnsi="Arial Narrow"/>
        </w:rPr>
        <w:t xml:space="preserve">Ver também </w:t>
      </w:r>
      <w:r w:rsidRPr="009624E1">
        <w:rPr>
          <w:rFonts w:ascii="Arial Narrow" w:hAnsi="Arial Narrow"/>
        </w:rPr>
        <w:t xml:space="preserve">J. Noakes et al. </w:t>
      </w:r>
      <w:r w:rsidRPr="00FE1228">
        <w:rPr>
          <w:rFonts w:ascii="Arial Narrow" w:hAnsi="Arial Narrow"/>
        </w:rPr>
        <w:t xml:space="preserve">(orgs. </w:t>
      </w:r>
      <w:r>
        <w:rPr>
          <w:rFonts w:ascii="Arial Narrow" w:hAnsi="Arial Narrow"/>
        </w:rPr>
        <w:t xml:space="preserve">2008-2010) III 487. </w:t>
      </w:r>
      <w:r w:rsidRPr="00416B78">
        <w:rPr>
          <w:rFonts w:ascii="Arial Narrow" w:hAnsi="Arial Narrow"/>
        </w:rPr>
        <w:t xml:space="preserve">Lorna Waddington, op. cit., 44 sublinhou </w:t>
      </w:r>
      <w:r>
        <w:rPr>
          <w:rFonts w:ascii="Arial Narrow" w:hAnsi="Arial Narrow"/>
        </w:rPr>
        <w:t xml:space="preserve">«a íntima conexão na mente de Hitler entre os bolchevistas e os judeus. [...] o seu ódio aos judeus, determinado por motivos raciais, e a sua rejeição política de Marx estavam inextricavelmente ligados». É impossível seguir </w:t>
      </w:r>
      <w:r w:rsidRPr="00F3270D">
        <w:rPr>
          <w:rFonts w:ascii="Arial Narrow" w:hAnsi="Arial Narrow"/>
        </w:rPr>
        <w:t>A. Tooze (2006)</w:t>
      </w:r>
      <w:r>
        <w:rPr>
          <w:rFonts w:ascii="Arial Narrow" w:hAnsi="Arial Narrow"/>
        </w:rPr>
        <w:t xml:space="preserve"> xxv-xxvi, 282-284, 324-325, 407-408, 424, 462, 502, 658 e 664-665 quando pretendeu que Hitler considerava como seu principal inimigo os Estados Unidos, onde veria o centro do judaísmo mundial. Aliás, os Estados Unidos travaram a segunda guerra mundial mais contra o Japão do que contra o Terceiro Reich.</w:t>
      </w:r>
    </w:p>
  </w:footnote>
  <w:footnote w:id="561">
    <w:p w:rsidR="00392E0D" w:rsidRPr="00684273" w:rsidRDefault="00392E0D">
      <w:pPr>
        <w:pStyle w:val="Textodenotaderodap"/>
        <w:rPr>
          <w:rFonts w:ascii="Arial Narrow" w:hAnsi="Arial Narrow"/>
        </w:rPr>
      </w:pPr>
      <w:r w:rsidRPr="00684273">
        <w:rPr>
          <w:rStyle w:val="Refdenotaderodap"/>
          <w:rFonts w:ascii="Arial Narrow" w:hAnsi="Arial Narrow"/>
        </w:rPr>
        <w:footnoteRef/>
      </w:r>
      <w:r w:rsidRPr="00684273">
        <w:rPr>
          <w:rFonts w:ascii="Arial Narrow" w:hAnsi="Arial Narrow"/>
        </w:rPr>
        <w:t xml:space="preserve"> </w:t>
      </w:r>
      <w:r w:rsidRPr="00901F92">
        <w:rPr>
          <w:rFonts w:ascii="Arial Narrow" w:hAnsi="Arial Narrow"/>
        </w:rPr>
        <w:t>Ph. Ball (2014) 92</w:t>
      </w:r>
      <w:r>
        <w:rPr>
          <w:rFonts w:ascii="Arial Narrow" w:hAnsi="Arial Narrow"/>
        </w:rPr>
        <w:t>, 94.</w:t>
      </w:r>
    </w:p>
  </w:footnote>
  <w:footnote w:id="562">
    <w:p w:rsidR="00392E0D" w:rsidRPr="002058CF" w:rsidRDefault="00392E0D" w:rsidP="00612B5C">
      <w:pPr>
        <w:pStyle w:val="Textodenotaderodap"/>
        <w:rPr>
          <w:rFonts w:ascii="Arial Narrow" w:hAnsi="Arial Narrow"/>
        </w:rPr>
      </w:pPr>
      <w:r w:rsidRPr="002058CF">
        <w:rPr>
          <w:rStyle w:val="Refdenotaderodap"/>
          <w:rFonts w:ascii="Arial Narrow" w:hAnsi="Arial Narrow"/>
        </w:rPr>
        <w:footnoteRef/>
      </w:r>
      <w:r w:rsidRPr="002058CF">
        <w:rPr>
          <w:rFonts w:ascii="Arial Narrow" w:hAnsi="Arial Narrow"/>
        </w:rPr>
        <w:t xml:space="preserve"> </w:t>
      </w:r>
      <w:r>
        <w:rPr>
          <w:rFonts w:ascii="Arial Narrow" w:hAnsi="Arial Narrow"/>
        </w:rPr>
        <w:t xml:space="preserve">Citado em </w:t>
      </w:r>
      <w:r w:rsidRPr="00684273">
        <w:rPr>
          <w:rFonts w:ascii="Arial Narrow" w:hAnsi="Arial Narrow"/>
        </w:rPr>
        <w:t xml:space="preserve">J. Noakes et al. </w:t>
      </w:r>
      <w:r w:rsidRPr="00FE1228">
        <w:rPr>
          <w:rFonts w:ascii="Arial Narrow" w:hAnsi="Arial Narrow"/>
        </w:rPr>
        <w:t xml:space="preserve">(orgs. </w:t>
      </w:r>
      <w:r>
        <w:rPr>
          <w:rFonts w:ascii="Arial Narrow" w:hAnsi="Arial Narrow"/>
        </w:rPr>
        <w:t>2008-2010) II 87.</w:t>
      </w:r>
    </w:p>
  </w:footnote>
  <w:footnote w:id="563">
    <w:p w:rsidR="00392E0D" w:rsidRPr="00412FA1" w:rsidRDefault="00392E0D" w:rsidP="00612B5C">
      <w:pPr>
        <w:pStyle w:val="Textodenotaderodap"/>
        <w:rPr>
          <w:rFonts w:ascii="Arial Narrow" w:hAnsi="Arial Narrow"/>
        </w:rPr>
      </w:pPr>
      <w:r w:rsidRPr="00412FA1">
        <w:rPr>
          <w:rStyle w:val="Refdenotaderodap"/>
          <w:rFonts w:ascii="Arial Narrow" w:hAnsi="Arial Narrow"/>
        </w:rPr>
        <w:footnoteRef/>
      </w:r>
      <w:r w:rsidRPr="00412FA1">
        <w:rPr>
          <w:rFonts w:ascii="Arial Narrow" w:hAnsi="Arial Narrow"/>
        </w:rPr>
        <w:t xml:space="preserve"> </w:t>
      </w:r>
      <w:r>
        <w:rPr>
          <w:rFonts w:ascii="Arial Narrow" w:hAnsi="Arial Narrow"/>
        </w:rPr>
        <w:t>Citado em id., ibid., II 302 e 321.</w:t>
      </w:r>
    </w:p>
  </w:footnote>
  <w:footnote w:id="564">
    <w:p w:rsidR="00392E0D" w:rsidRPr="00684273" w:rsidRDefault="00392E0D">
      <w:pPr>
        <w:pStyle w:val="Textodenotaderodap"/>
        <w:rPr>
          <w:rFonts w:ascii="Arial Narrow" w:hAnsi="Arial Narrow"/>
        </w:rPr>
      </w:pPr>
      <w:r w:rsidRPr="00684273">
        <w:rPr>
          <w:rStyle w:val="Refdenotaderodap"/>
          <w:rFonts w:ascii="Arial Narrow" w:hAnsi="Arial Narrow"/>
        </w:rPr>
        <w:footnoteRef/>
      </w:r>
      <w:r w:rsidRPr="00684273">
        <w:rPr>
          <w:rFonts w:ascii="Arial Narrow" w:hAnsi="Arial Narrow"/>
        </w:rPr>
        <w:t xml:space="preserve"> </w:t>
      </w:r>
      <w:r>
        <w:rPr>
          <w:rFonts w:ascii="Arial Narrow" w:hAnsi="Arial Narrow"/>
        </w:rPr>
        <w:t xml:space="preserve">Citada em </w:t>
      </w:r>
      <w:r w:rsidRPr="00684273">
        <w:rPr>
          <w:rFonts w:ascii="Arial Narrow" w:hAnsi="Arial Narrow"/>
        </w:rPr>
        <w:t>K. A. Schleunes (1990)</w:t>
      </w:r>
      <w:r>
        <w:rPr>
          <w:rFonts w:ascii="Arial Narrow" w:hAnsi="Arial Narrow"/>
        </w:rPr>
        <w:t xml:space="preserve"> 108.</w:t>
      </w:r>
    </w:p>
  </w:footnote>
  <w:footnote w:id="565">
    <w:p w:rsidR="00392E0D" w:rsidRPr="00D4214B" w:rsidRDefault="00392E0D" w:rsidP="00612B5C">
      <w:pPr>
        <w:pStyle w:val="Textodenotaderodap"/>
        <w:rPr>
          <w:rFonts w:ascii="Arial Narrow" w:hAnsi="Arial Narrow"/>
        </w:rPr>
      </w:pPr>
      <w:r w:rsidRPr="00D4214B">
        <w:rPr>
          <w:rStyle w:val="Refdenotaderodap"/>
          <w:rFonts w:ascii="Arial Narrow" w:hAnsi="Arial Narrow"/>
        </w:rPr>
        <w:footnoteRef/>
      </w:r>
      <w:r w:rsidRPr="00861768">
        <w:rPr>
          <w:rFonts w:ascii="Arial Narrow" w:hAnsi="Arial Narrow"/>
          <w:lang w:val="en-US"/>
        </w:rPr>
        <w:t xml:space="preserve"> J. Noakes et al. (orgs. </w:t>
      </w:r>
      <w:r>
        <w:rPr>
          <w:rFonts w:ascii="Arial Narrow" w:hAnsi="Arial Narrow"/>
        </w:rPr>
        <w:t>2008-2010) IV 470.</w:t>
      </w:r>
    </w:p>
  </w:footnote>
  <w:footnote w:id="566">
    <w:p w:rsidR="00392E0D" w:rsidRPr="00FA1A19" w:rsidRDefault="00392E0D" w:rsidP="00612B5C">
      <w:pPr>
        <w:pStyle w:val="Textodenotaderodap"/>
        <w:rPr>
          <w:rFonts w:ascii="Arial Narrow" w:hAnsi="Arial Narrow"/>
        </w:rPr>
      </w:pPr>
      <w:r w:rsidRPr="00FA1A19">
        <w:rPr>
          <w:rStyle w:val="Refdenotaderodap"/>
          <w:rFonts w:ascii="Arial Narrow" w:hAnsi="Arial Narrow"/>
        </w:rPr>
        <w:footnoteRef/>
      </w:r>
      <w:r w:rsidRPr="00FA1A19">
        <w:rPr>
          <w:rFonts w:ascii="Arial Narrow" w:hAnsi="Arial Narrow"/>
        </w:rPr>
        <w:t xml:space="preserve"> </w:t>
      </w:r>
      <w:r>
        <w:rPr>
          <w:rFonts w:ascii="Arial Narrow" w:hAnsi="Arial Narrow"/>
        </w:rPr>
        <w:t>Citado em id., ibid., IV 62.</w:t>
      </w:r>
    </w:p>
  </w:footnote>
  <w:footnote w:id="567">
    <w:p w:rsidR="00392E0D" w:rsidRPr="00E7598A" w:rsidRDefault="00392E0D" w:rsidP="00612B5C">
      <w:pPr>
        <w:pStyle w:val="Textodenotaderodap"/>
        <w:rPr>
          <w:rFonts w:ascii="Arial Narrow" w:hAnsi="Arial Narrow"/>
        </w:rPr>
      </w:pPr>
      <w:r w:rsidRPr="00E7598A">
        <w:rPr>
          <w:rStyle w:val="Refdenotaderodap"/>
          <w:rFonts w:ascii="Arial Narrow" w:hAnsi="Arial Narrow"/>
        </w:rPr>
        <w:footnoteRef/>
      </w:r>
      <w:r w:rsidRPr="00E7598A">
        <w:rPr>
          <w:rFonts w:ascii="Arial Narrow" w:hAnsi="Arial Narrow"/>
        </w:rPr>
        <w:t xml:space="preserve"> </w:t>
      </w:r>
      <w:r>
        <w:rPr>
          <w:rFonts w:ascii="Arial Narrow" w:hAnsi="Arial Narrow"/>
        </w:rPr>
        <w:t xml:space="preserve">Citado em </w:t>
      </w:r>
      <w:r w:rsidRPr="009C6EDE">
        <w:rPr>
          <w:rFonts w:ascii="Arial Narrow" w:hAnsi="Arial Narrow"/>
        </w:rPr>
        <w:t>S. Friedländer (2008) 52.</w:t>
      </w:r>
      <w:r>
        <w:rPr>
          <w:rFonts w:ascii="Arial Narrow" w:hAnsi="Arial Narrow"/>
        </w:rPr>
        <w:t xml:space="preserve"> Ver ainda </w:t>
      </w:r>
      <w:r w:rsidRPr="00416B78">
        <w:rPr>
          <w:rFonts w:ascii="Arial Narrow" w:hAnsi="Arial Narrow"/>
        </w:rPr>
        <w:t>L. Waddington (2007) 178.</w:t>
      </w:r>
    </w:p>
  </w:footnote>
  <w:footnote w:id="568">
    <w:p w:rsidR="00392E0D" w:rsidRPr="003E305A" w:rsidRDefault="00392E0D" w:rsidP="00612B5C">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Ver a entrada de 13 de Julho de 1941 em M. Chalmers (org. 2006 a) 486.</w:t>
      </w:r>
      <w:r>
        <w:rPr>
          <w:rFonts w:ascii="Arial Narrow" w:hAnsi="Arial Narrow"/>
        </w:rPr>
        <w:t xml:space="preserve"> Esta opinião é confirmada por </w:t>
      </w:r>
      <w:r w:rsidRPr="009C6EDE">
        <w:rPr>
          <w:rFonts w:ascii="Arial Narrow" w:hAnsi="Arial Narrow"/>
        </w:rPr>
        <w:t>S. Friedländer (2008)</w:t>
      </w:r>
      <w:r>
        <w:rPr>
          <w:rFonts w:ascii="Arial Narrow" w:hAnsi="Arial Narrow"/>
        </w:rPr>
        <w:t xml:space="preserve"> 318 e segs. e </w:t>
      </w:r>
      <w:r w:rsidRPr="00416B78">
        <w:rPr>
          <w:rFonts w:ascii="Arial Narrow" w:hAnsi="Arial Narrow"/>
        </w:rPr>
        <w:t>L. Waddington (2007) 192.</w:t>
      </w:r>
    </w:p>
  </w:footnote>
  <w:footnote w:id="569">
    <w:p w:rsidR="00392E0D" w:rsidRPr="00D157B6" w:rsidRDefault="00392E0D" w:rsidP="00612B5C">
      <w:pPr>
        <w:pStyle w:val="Textodenotaderodap"/>
        <w:rPr>
          <w:rFonts w:ascii="Arial Narrow" w:hAnsi="Arial Narrow"/>
        </w:rPr>
      </w:pPr>
      <w:r w:rsidRPr="000E64B7">
        <w:rPr>
          <w:rStyle w:val="Refdenotaderodap"/>
          <w:rFonts w:ascii="Arial Narrow" w:hAnsi="Arial Narrow"/>
        </w:rPr>
        <w:footnoteRef/>
      </w:r>
      <w:r w:rsidRPr="00D157B6">
        <w:rPr>
          <w:rFonts w:ascii="Arial Narrow" w:hAnsi="Arial Narrow"/>
        </w:rPr>
        <w:t xml:space="preserve"> Citado em R. Bessel (2010) 146.</w:t>
      </w:r>
    </w:p>
  </w:footnote>
  <w:footnote w:id="570">
    <w:p w:rsidR="00392E0D" w:rsidRPr="009635D3" w:rsidRDefault="00392E0D" w:rsidP="002D1CBE">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Citado em E. Conte et al. </w:t>
      </w:r>
      <w:r w:rsidRPr="003E305A">
        <w:rPr>
          <w:rFonts w:ascii="Arial Narrow" w:hAnsi="Arial Narrow"/>
        </w:rPr>
        <w:t>(1995) 106.</w:t>
      </w:r>
      <w:r>
        <w:rPr>
          <w:rFonts w:ascii="Arial Narrow" w:hAnsi="Arial Narrow"/>
        </w:rPr>
        <w:t xml:space="preserve"> Ver a este respeito </w:t>
      </w:r>
      <w:r w:rsidRPr="009635D3">
        <w:rPr>
          <w:rFonts w:ascii="Arial Narrow" w:hAnsi="Arial Narrow"/>
        </w:rPr>
        <w:t>A. Quinchon-Caudal (2013)</w:t>
      </w:r>
      <w:r>
        <w:rPr>
          <w:rFonts w:ascii="Arial Narrow" w:hAnsi="Arial Narrow"/>
        </w:rPr>
        <w:t xml:space="preserve"> 152.</w:t>
      </w:r>
    </w:p>
  </w:footnote>
  <w:footnote w:id="571">
    <w:p w:rsidR="00392E0D" w:rsidRPr="00C02244" w:rsidRDefault="00392E0D" w:rsidP="002D1CBE">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 xml:space="preserve">A. Rosenberg [s. d. 2] 4. Prefiro aqui a tradução inglesa à tradução francesa de id. (1986) 2 e traduzo por «espírito» aquilo que o tradutor francês verteu como </w:t>
      </w:r>
      <w:r w:rsidRPr="005C6759">
        <w:rPr>
          <w:rFonts w:ascii="Arial Narrow" w:hAnsi="Arial Narrow"/>
          <w:i/>
        </w:rPr>
        <w:t>alma</w:t>
      </w:r>
      <w:r>
        <w:rPr>
          <w:rFonts w:ascii="Arial Narrow" w:hAnsi="Arial Narrow"/>
        </w:rPr>
        <w:t xml:space="preserve">. </w:t>
      </w:r>
      <w:r w:rsidRPr="003E305A">
        <w:rPr>
          <w:rFonts w:ascii="Arial Narrow" w:hAnsi="Arial Narrow"/>
        </w:rPr>
        <w:t>A fórmula de Rosenberg constitu</w:t>
      </w:r>
      <w:r>
        <w:rPr>
          <w:rFonts w:ascii="Arial Narrow" w:hAnsi="Arial Narrow"/>
        </w:rPr>
        <w:t>iu</w:t>
      </w:r>
      <w:r w:rsidRPr="003E305A">
        <w:rPr>
          <w:rFonts w:ascii="Arial Narrow" w:hAnsi="Arial Narrow"/>
        </w:rPr>
        <w:t xml:space="preserve"> uma evidente transposição para a doutrina racista do postulado que o jovem Schelling havia enunciado a respeito da sua filosofia da natureza: «É necessário que a Natureza seja o Espírito visível, e o Espírito, a Natureza invisível». </w:t>
      </w:r>
      <w:r w:rsidRPr="00337E30">
        <w:rPr>
          <w:rFonts w:ascii="Arial Narrow" w:hAnsi="Arial Narrow"/>
        </w:rPr>
        <w:t xml:space="preserve">Citado por X. Tilliette (2004) 973. </w:t>
      </w:r>
      <w:r w:rsidRPr="00663819">
        <w:rPr>
          <w:rFonts w:ascii="Arial Narrow" w:hAnsi="Arial Narrow"/>
        </w:rPr>
        <w:t xml:space="preserve">Rosenberg escreveu também que </w:t>
      </w:r>
      <w:r>
        <w:rPr>
          <w:rFonts w:ascii="Arial Narrow" w:hAnsi="Arial Narrow"/>
        </w:rPr>
        <w:t xml:space="preserve">«a raça é a imagem do espírito» e </w:t>
      </w:r>
      <w:r w:rsidRPr="00337E30">
        <w:rPr>
          <w:rFonts w:ascii="Arial Narrow" w:hAnsi="Arial Narrow"/>
        </w:rPr>
        <w:t>«a raça é a imagem exterior de um esp</w:t>
      </w:r>
      <w:r>
        <w:rPr>
          <w:rFonts w:ascii="Arial Narrow" w:hAnsi="Arial Narrow"/>
        </w:rPr>
        <w:t xml:space="preserve">írito definido» e ainda que «cada raça tem o seu espírito e cada espírito, a sua raça». </w:t>
      </w:r>
      <w:r w:rsidRPr="005B296A">
        <w:rPr>
          <w:rFonts w:ascii="Arial Narrow" w:hAnsi="Arial Narrow"/>
        </w:rPr>
        <w:t xml:space="preserve">Ver A. Rosenberg (1986) 25, 498, 107 e id. </w:t>
      </w:r>
      <w:r w:rsidRPr="00C02244">
        <w:rPr>
          <w:rFonts w:ascii="Arial Narrow" w:hAnsi="Arial Narrow"/>
        </w:rPr>
        <w:t xml:space="preserve">[s. d. 2] 56, 363, 114. Vulgarizando esta perspectiva, o curto artigo «Espírito e Corpo», </w:t>
      </w:r>
      <w:r w:rsidRPr="00203197">
        <w:rPr>
          <w:rFonts w:ascii="Arial Narrow" w:hAnsi="Arial Narrow"/>
          <w:i/>
        </w:rPr>
        <w:t>SS Leitheft</w:t>
      </w:r>
      <w:r>
        <w:rPr>
          <w:rFonts w:ascii="Arial Narrow" w:hAnsi="Arial Narrow"/>
          <w:i/>
        </w:rPr>
        <w:t>,</w:t>
      </w:r>
      <w:r>
        <w:rPr>
          <w:rFonts w:ascii="Arial Narrow" w:hAnsi="Arial Narrow"/>
        </w:rPr>
        <w:t xml:space="preserve"> Junho de 1944, antologiado em </w:t>
      </w:r>
      <w:r w:rsidRPr="00C02244">
        <w:rPr>
          <w:rFonts w:ascii="Arial Narrow" w:hAnsi="Arial Narrow"/>
        </w:rPr>
        <w:t xml:space="preserve">K. Hammer (org. 1988-1994) </w:t>
      </w:r>
      <w:r>
        <w:rPr>
          <w:rFonts w:ascii="Arial Narrow" w:hAnsi="Arial Narrow"/>
        </w:rPr>
        <w:t>II 25, criticou a noção cristã da oposição entre espírito e corpo e proclamou a sua indissociabilidade e reciprocidade.</w:t>
      </w:r>
    </w:p>
  </w:footnote>
  <w:footnote w:id="572">
    <w:p w:rsidR="00392E0D" w:rsidRPr="00D0393E" w:rsidRDefault="00392E0D" w:rsidP="002D1CBE">
      <w:pPr>
        <w:pStyle w:val="Textodenotaderodap"/>
        <w:rPr>
          <w:rFonts w:ascii="Arial Narrow" w:hAnsi="Arial Narrow"/>
          <w:lang w:val="en-US"/>
        </w:rPr>
      </w:pPr>
      <w:r w:rsidRPr="00D0393E">
        <w:rPr>
          <w:rStyle w:val="Refdenotaderodap"/>
          <w:rFonts w:ascii="Arial Narrow" w:hAnsi="Arial Narrow"/>
        </w:rPr>
        <w:footnoteRef/>
      </w:r>
      <w:r w:rsidRPr="00D0393E">
        <w:rPr>
          <w:rFonts w:ascii="Arial Narrow" w:hAnsi="Arial Narrow"/>
          <w:lang w:val="en-US"/>
        </w:rPr>
        <w:t xml:space="preserve"> A. Rosenberg (1986) </w:t>
      </w:r>
      <w:r>
        <w:rPr>
          <w:rFonts w:ascii="Arial Narrow" w:hAnsi="Arial Narrow"/>
          <w:lang w:val="en-US"/>
        </w:rPr>
        <w:t>557</w:t>
      </w:r>
      <w:r w:rsidRPr="00D0393E">
        <w:rPr>
          <w:rFonts w:ascii="Arial Narrow" w:hAnsi="Arial Narrow"/>
          <w:lang w:val="en-US"/>
        </w:rPr>
        <w:t xml:space="preserve">; id. [s. </w:t>
      </w:r>
      <w:r>
        <w:rPr>
          <w:rFonts w:ascii="Arial Narrow" w:hAnsi="Arial Narrow"/>
          <w:lang w:val="en-US"/>
        </w:rPr>
        <w:t>d. 2] 404.</w:t>
      </w:r>
    </w:p>
  </w:footnote>
  <w:footnote w:id="573">
    <w:p w:rsidR="00392E0D" w:rsidRPr="00E43E32" w:rsidRDefault="00392E0D" w:rsidP="002D1CBE">
      <w:pPr>
        <w:pStyle w:val="Textodenotaderodap"/>
        <w:rPr>
          <w:rFonts w:ascii="Arial Narrow" w:hAnsi="Arial Narrow"/>
          <w:lang w:val="en-US"/>
        </w:rPr>
      </w:pPr>
      <w:r w:rsidRPr="009B0F2A">
        <w:rPr>
          <w:rStyle w:val="Refdenotaderodap"/>
          <w:rFonts w:ascii="Arial Narrow" w:hAnsi="Arial Narrow"/>
        </w:rPr>
        <w:footnoteRef/>
      </w:r>
      <w:r w:rsidRPr="00E43E32">
        <w:rPr>
          <w:rFonts w:ascii="Arial Narrow" w:hAnsi="Arial Narrow"/>
          <w:lang w:val="en-US"/>
        </w:rPr>
        <w:t xml:space="preserve"> Sh. F. Weiss (2010) 243.</w:t>
      </w:r>
    </w:p>
  </w:footnote>
  <w:footnote w:id="574">
    <w:p w:rsidR="00392E0D" w:rsidRPr="00861768" w:rsidRDefault="00392E0D" w:rsidP="002D1CBE">
      <w:pPr>
        <w:pStyle w:val="Textodenotaderodap"/>
        <w:ind w:firstLine="708"/>
        <w:rPr>
          <w:rFonts w:ascii="Arial Narrow" w:hAnsi="Arial Narrow"/>
        </w:rPr>
      </w:pPr>
      <w:r w:rsidRPr="003E305A">
        <w:rPr>
          <w:rStyle w:val="Refdenotaderodap"/>
          <w:rFonts w:ascii="Arial Narrow" w:hAnsi="Arial Narrow"/>
        </w:rPr>
        <w:footnoteRef/>
      </w:r>
      <w:r w:rsidRPr="00861768">
        <w:rPr>
          <w:rFonts w:ascii="Arial Narrow" w:hAnsi="Arial Narrow"/>
          <w:lang w:val="en-US"/>
        </w:rPr>
        <w:t xml:space="preserve"> H. S. Chamberlain (1913) 296. </w:t>
      </w:r>
      <w:r w:rsidRPr="003612E2">
        <w:rPr>
          <w:rFonts w:ascii="Arial Narrow" w:hAnsi="Arial Narrow"/>
        </w:rPr>
        <w:t xml:space="preserve">Ver igualmente as págs. </w:t>
      </w:r>
      <w:r w:rsidRPr="00861768">
        <w:rPr>
          <w:rFonts w:ascii="Arial Narrow" w:hAnsi="Arial Narrow"/>
        </w:rPr>
        <w:t>656-660.</w:t>
      </w:r>
    </w:p>
  </w:footnote>
  <w:footnote w:id="575">
    <w:p w:rsidR="00392E0D" w:rsidRPr="00861768" w:rsidRDefault="00392E0D" w:rsidP="002D1CBE">
      <w:pPr>
        <w:pStyle w:val="Textodenotaderodap"/>
        <w:ind w:firstLine="708"/>
        <w:rPr>
          <w:rFonts w:ascii="Arial Narrow" w:hAnsi="Arial Narrow"/>
        </w:rPr>
      </w:pPr>
      <w:r w:rsidRPr="003E305A">
        <w:rPr>
          <w:rStyle w:val="Refdenotaderodap"/>
          <w:rFonts w:ascii="Arial Narrow" w:hAnsi="Arial Narrow"/>
        </w:rPr>
        <w:footnoteRef/>
      </w:r>
      <w:r w:rsidRPr="00861768">
        <w:rPr>
          <w:rFonts w:ascii="Arial Narrow" w:hAnsi="Arial Narrow"/>
        </w:rPr>
        <w:t xml:space="preserve"> Id., ibid., 297 (sub. orig.).</w:t>
      </w:r>
    </w:p>
  </w:footnote>
  <w:footnote w:id="576">
    <w:p w:rsidR="00392E0D" w:rsidRPr="00B2463D" w:rsidRDefault="00392E0D" w:rsidP="002D1CBE">
      <w:pPr>
        <w:pStyle w:val="Textodenotaderodap"/>
        <w:ind w:firstLine="708"/>
        <w:rPr>
          <w:rFonts w:ascii="Arial Narrow" w:hAnsi="Arial Narrow"/>
          <w:lang w:val="en-GB"/>
        </w:rPr>
      </w:pPr>
      <w:r w:rsidRPr="003E305A">
        <w:rPr>
          <w:rStyle w:val="Refdenotaderodap"/>
          <w:rFonts w:ascii="Arial Narrow" w:hAnsi="Arial Narrow"/>
        </w:rPr>
        <w:footnoteRef/>
      </w:r>
      <w:r w:rsidRPr="00B2463D">
        <w:rPr>
          <w:rFonts w:ascii="Arial Narrow" w:hAnsi="Arial Narrow"/>
          <w:lang w:val="en-GB"/>
        </w:rPr>
        <w:t xml:space="preserve"> </w:t>
      </w:r>
      <w:smartTag w:uri="urn:schemas-microsoft-com:office:smarttags" w:element="State">
        <w:smartTag w:uri="urn:schemas-microsoft-com:office:smarttags" w:element="place">
          <w:r w:rsidRPr="00B2463D">
            <w:rPr>
              <w:rFonts w:ascii="Arial Narrow" w:hAnsi="Arial Narrow"/>
              <w:lang w:val="en-GB"/>
            </w:rPr>
            <w:t>Id.</w:t>
          </w:r>
        </w:smartTag>
      </w:smartTag>
      <w:r w:rsidRPr="00B2463D">
        <w:rPr>
          <w:rFonts w:ascii="Arial Narrow" w:hAnsi="Arial Narrow"/>
          <w:lang w:val="en-GB"/>
        </w:rPr>
        <w:t>, ibid., 621 (subs. orig.).</w:t>
      </w:r>
    </w:p>
  </w:footnote>
  <w:footnote w:id="577">
    <w:p w:rsidR="00392E0D" w:rsidRPr="007972FD" w:rsidRDefault="00392E0D" w:rsidP="002D1CBE">
      <w:pPr>
        <w:pStyle w:val="Textodenotaderodap"/>
        <w:ind w:firstLine="708"/>
        <w:rPr>
          <w:rFonts w:ascii="Arial Narrow" w:hAnsi="Arial Narrow"/>
          <w:lang w:val="en-US"/>
        </w:rPr>
      </w:pPr>
      <w:r w:rsidRPr="003E305A">
        <w:rPr>
          <w:rStyle w:val="Refdenotaderodap"/>
          <w:rFonts w:ascii="Arial Narrow" w:hAnsi="Arial Narrow"/>
        </w:rPr>
        <w:footnoteRef/>
      </w:r>
      <w:r w:rsidRPr="007972FD">
        <w:rPr>
          <w:rFonts w:ascii="Arial Narrow" w:hAnsi="Arial Narrow"/>
          <w:lang w:val="en-US"/>
        </w:rPr>
        <w:t xml:space="preserve"> Id., ibid., 1154.</w:t>
      </w:r>
    </w:p>
  </w:footnote>
  <w:footnote w:id="578">
    <w:p w:rsidR="00392E0D" w:rsidRPr="005D2F68" w:rsidRDefault="00392E0D" w:rsidP="002D1CBE">
      <w:pPr>
        <w:pStyle w:val="Textodenotaderodap"/>
        <w:rPr>
          <w:rFonts w:ascii="Arial Narrow" w:hAnsi="Arial Narrow"/>
        </w:rPr>
      </w:pPr>
      <w:r w:rsidRPr="005D2F68">
        <w:rPr>
          <w:rStyle w:val="Refdenotaderodap"/>
          <w:rFonts w:ascii="Arial Narrow" w:hAnsi="Arial Narrow"/>
        </w:rPr>
        <w:footnoteRef/>
      </w:r>
      <w:r w:rsidRPr="00861768">
        <w:rPr>
          <w:rFonts w:ascii="Arial Narrow" w:hAnsi="Arial Narrow"/>
        </w:rPr>
        <w:t xml:space="preserve"> J. Golomb et al. </w:t>
      </w:r>
      <w:r w:rsidRPr="00624E34">
        <w:rPr>
          <w:rFonts w:ascii="Arial Narrow" w:hAnsi="Arial Narrow"/>
        </w:rPr>
        <w:t>(2002) 25-26 consideraram que «sem o racismo biológico e o anti-semitismo a visão nazi do mundo não tinha uma verdadeira coesão, e Nietzsche fora um crítico feroz destas aberrações […]». Ver igualmente J. Golomb (2002) 29, 32, 46 e segs.</w:t>
      </w:r>
    </w:p>
  </w:footnote>
  <w:footnote w:id="579">
    <w:p w:rsidR="00392E0D" w:rsidRPr="00624E34" w:rsidRDefault="00392E0D" w:rsidP="002D1CBE">
      <w:pPr>
        <w:pStyle w:val="Textodenotaderodap"/>
        <w:rPr>
          <w:rFonts w:ascii="Arial Narrow" w:hAnsi="Arial Narrow"/>
        </w:rPr>
      </w:pPr>
      <w:r w:rsidRPr="00B37E4E">
        <w:rPr>
          <w:rStyle w:val="Refdenotaderodap"/>
          <w:rFonts w:ascii="Arial Narrow" w:hAnsi="Arial Narrow"/>
        </w:rPr>
        <w:footnoteRef/>
      </w:r>
      <w:r w:rsidRPr="00624E34">
        <w:rPr>
          <w:rFonts w:ascii="Arial Narrow" w:hAnsi="Arial Narrow"/>
        </w:rPr>
        <w:t xml:space="preserve"> S. E. Aschheim (1994) 14, 155.</w:t>
      </w:r>
      <w:r>
        <w:rPr>
          <w:rFonts w:ascii="Arial Narrow" w:hAnsi="Arial Narrow"/>
        </w:rPr>
        <w:t xml:space="preserve"> Segundo </w:t>
      </w:r>
      <w:r w:rsidRPr="00A360E3">
        <w:rPr>
          <w:rFonts w:ascii="Arial Narrow" w:hAnsi="Arial Narrow"/>
        </w:rPr>
        <w:t>A. Quinchon-Caudal (2013) 22, Nietzsche acreditaria nas virtudes da eugenia.</w:t>
      </w:r>
    </w:p>
  </w:footnote>
  <w:footnote w:id="580">
    <w:p w:rsidR="00392E0D" w:rsidRPr="003E305A" w:rsidRDefault="00392E0D" w:rsidP="000C6109">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3612E2">
        <w:rPr>
          <w:rFonts w:ascii="Arial Narrow" w:hAnsi="Arial Narrow"/>
        </w:rPr>
        <w:t xml:space="preserve">H. S. Chamberlain (1913) </w:t>
      </w:r>
      <w:r w:rsidRPr="003E305A">
        <w:rPr>
          <w:rFonts w:ascii="Arial Narrow" w:hAnsi="Arial Narrow"/>
        </w:rPr>
        <w:t>679. J. Medina (1998) 161-162 n. 13 relat</w:t>
      </w:r>
      <w:r>
        <w:rPr>
          <w:rFonts w:ascii="Arial Narrow" w:hAnsi="Arial Narrow"/>
        </w:rPr>
        <w:t>ou</w:t>
      </w:r>
      <w:r w:rsidRPr="003E305A">
        <w:rPr>
          <w:rFonts w:ascii="Arial Narrow" w:hAnsi="Arial Narrow"/>
        </w:rPr>
        <w:t xml:space="preserve"> que «um célebre dito antinazi afirmava que o Ariano ideal devia ser alto como Goebbels, esbelto como G[ö]ring, loiro como Hitler e casto como Röhm». É claro que estes humoristas desconheciam a teoria da «dolicocefalia espiritual».</w:t>
      </w:r>
    </w:p>
  </w:footnote>
  <w:footnote w:id="581">
    <w:p w:rsidR="00392E0D" w:rsidRPr="003E305A" w:rsidRDefault="00392E0D" w:rsidP="000C6109">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H. S. Chamberlain (1913) 163-164 n.</w:t>
      </w:r>
    </w:p>
  </w:footnote>
  <w:footnote w:id="582">
    <w:p w:rsidR="00392E0D" w:rsidRPr="003E305A" w:rsidRDefault="00392E0D" w:rsidP="000C6109">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637, 640-641.</w:t>
      </w:r>
    </w:p>
  </w:footnote>
  <w:footnote w:id="583">
    <w:p w:rsidR="00392E0D" w:rsidRPr="003E305A" w:rsidRDefault="00392E0D" w:rsidP="000C6109">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643</w:t>
      </w:r>
      <w:r>
        <w:rPr>
          <w:rFonts w:ascii="Arial Narrow" w:hAnsi="Arial Narrow"/>
          <w:lang w:val="en-GB"/>
        </w:rPr>
        <w:t xml:space="preserve">, </w:t>
      </w:r>
      <w:r w:rsidRPr="003E305A">
        <w:rPr>
          <w:rFonts w:ascii="Arial Narrow" w:hAnsi="Arial Narrow"/>
          <w:lang w:val="en-GB"/>
        </w:rPr>
        <w:t>645-646.</w:t>
      </w:r>
    </w:p>
  </w:footnote>
  <w:footnote w:id="584">
    <w:p w:rsidR="00392E0D" w:rsidRPr="003E305A" w:rsidRDefault="00392E0D" w:rsidP="000C6109">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1340 n. 1.</w:t>
      </w:r>
    </w:p>
  </w:footnote>
  <w:footnote w:id="585">
    <w:p w:rsidR="00392E0D" w:rsidRPr="003E305A" w:rsidRDefault="00392E0D" w:rsidP="000C6109">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414.</w:t>
      </w:r>
    </w:p>
  </w:footnote>
  <w:footnote w:id="586">
    <w:p w:rsidR="00392E0D" w:rsidRPr="003E305A" w:rsidRDefault="00392E0D" w:rsidP="000C6109">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1215 n. 3.</w:t>
      </w:r>
    </w:p>
  </w:footnote>
  <w:footnote w:id="587">
    <w:p w:rsidR="00392E0D" w:rsidRPr="003E305A" w:rsidRDefault="00392E0D" w:rsidP="000C6109">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792.</w:t>
      </w:r>
    </w:p>
  </w:footnote>
  <w:footnote w:id="588">
    <w:p w:rsidR="00392E0D" w:rsidRPr="003E305A" w:rsidRDefault="00392E0D" w:rsidP="000C6109">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621-622.</w:t>
      </w:r>
    </w:p>
  </w:footnote>
  <w:footnote w:id="589">
    <w:p w:rsidR="00392E0D" w:rsidRPr="003E305A" w:rsidRDefault="00392E0D" w:rsidP="000C6109">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xml:space="preserve">, ibid., 622. </w:t>
      </w:r>
      <w:r w:rsidRPr="003E305A">
        <w:rPr>
          <w:rFonts w:ascii="Arial Narrow" w:hAnsi="Arial Narrow"/>
        </w:rPr>
        <w:t>Na mesma perspectiva ver a pág. 1280 n. 1, onde o patriarca do racismo observou que o problema básico da questão judaica consistia no facto de o perigo não decorrer apenas da presença de um certo número de judeus, mas da emanação espiritual que deles advinha. «Não é [...] só o Judeu mas tudo o que emana do espírito judaico que corrói e decompõe, dentro de nós, aquilo que existe de melhor em nós próprios». Aqui, involuntariamente, Chamberlain tocou o âmago da dimensão psicológica do racismo, o sacrifício do outro como bode expiatório das culpas do carrasco.</w:t>
      </w:r>
      <w:r>
        <w:rPr>
          <w:rFonts w:ascii="Arial Narrow" w:hAnsi="Arial Narrow"/>
        </w:rPr>
        <w:t xml:space="preserve"> </w:t>
      </w:r>
      <w:r w:rsidRPr="00170C91">
        <w:rPr>
          <w:rFonts w:ascii="Arial Narrow" w:hAnsi="Arial Narrow"/>
        </w:rPr>
        <w:t xml:space="preserve">Também Rudolf Steiner, a crer em </w:t>
      </w:r>
      <w:r w:rsidRPr="004D4C4A">
        <w:rPr>
          <w:rFonts w:ascii="Arial Narrow" w:hAnsi="Arial Narrow"/>
          <w:lang w:val="fr-FR"/>
        </w:rPr>
        <w:t>P. Staudenmaier (2011)</w:t>
      </w:r>
      <w:r>
        <w:rPr>
          <w:rFonts w:ascii="Arial Narrow" w:hAnsi="Arial Narrow"/>
          <w:lang w:val="fr-FR"/>
        </w:rPr>
        <w:t>,</w:t>
      </w:r>
      <w:r w:rsidRPr="004D4C4A">
        <w:rPr>
          <w:rFonts w:ascii="Arial Narrow" w:hAnsi="Arial Narrow"/>
          <w:lang w:val="fr-FR"/>
        </w:rPr>
        <w:t xml:space="preserve"> </w:t>
      </w:r>
      <w:r w:rsidRPr="00170C91">
        <w:rPr>
          <w:rFonts w:ascii="Arial Narrow" w:hAnsi="Arial Narrow"/>
        </w:rPr>
        <w:t>afirmou que se uma mulher branca lesse durante a gravidez romances escritos por autores negros, a criança sairia mestiça.</w:t>
      </w:r>
    </w:p>
  </w:footnote>
  <w:footnote w:id="590">
    <w:p w:rsidR="00392E0D" w:rsidRPr="00321E01" w:rsidRDefault="00392E0D" w:rsidP="000C6109">
      <w:pPr>
        <w:pStyle w:val="Textodenotaderodap"/>
        <w:ind w:firstLine="708"/>
        <w:rPr>
          <w:rFonts w:ascii="Arial Narrow" w:hAnsi="Arial Narrow"/>
          <w:lang w:val="en-US"/>
        </w:rPr>
      </w:pPr>
      <w:r w:rsidRPr="003E305A">
        <w:rPr>
          <w:rStyle w:val="Refdenotaderodap"/>
          <w:rFonts w:ascii="Arial Narrow" w:hAnsi="Arial Narrow"/>
        </w:rPr>
        <w:footnoteRef/>
      </w:r>
      <w:r w:rsidRPr="00321E01">
        <w:rPr>
          <w:rFonts w:ascii="Arial Narrow" w:hAnsi="Arial Narrow"/>
          <w:lang w:val="en-US"/>
        </w:rPr>
        <w:t xml:space="preserve"> </w:t>
      </w:r>
      <w:r w:rsidRPr="003E305A">
        <w:rPr>
          <w:rFonts w:ascii="Arial Narrow" w:hAnsi="Arial Narrow"/>
          <w:lang w:val="en-GB"/>
        </w:rPr>
        <w:t xml:space="preserve">H. S. Chamberlain (1913) </w:t>
      </w:r>
      <w:r w:rsidRPr="00321E01">
        <w:rPr>
          <w:rFonts w:ascii="Arial Narrow" w:hAnsi="Arial Narrow"/>
          <w:lang w:val="en-US"/>
        </w:rPr>
        <w:t>769-770.</w:t>
      </w:r>
    </w:p>
  </w:footnote>
  <w:footnote w:id="591">
    <w:p w:rsidR="00392E0D" w:rsidRPr="00266A67" w:rsidRDefault="00392E0D" w:rsidP="00F24FD7">
      <w:pPr>
        <w:pStyle w:val="Textodenotaderodap"/>
        <w:rPr>
          <w:rFonts w:ascii="Arial Narrow" w:hAnsi="Arial Narrow"/>
          <w:lang w:val="en-US"/>
        </w:rPr>
      </w:pPr>
      <w:r w:rsidRPr="001B5772">
        <w:rPr>
          <w:rStyle w:val="Refdenotaderodap"/>
          <w:rFonts w:ascii="Arial Narrow" w:hAnsi="Arial Narrow"/>
        </w:rPr>
        <w:footnoteRef/>
      </w:r>
      <w:r w:rsidRPr="00266A67">
        <w:rPr>
          <w:rFonts w:ascii="Arial Narrow" w:hAnsi="Arial Narrow"/>
          <w:lang w:val="en-US"/>
        </w:rPr>
        <w:t xml:space="preserve"> </w:t>
      </w:r>
      <w:r w:rsidRPr="00266A67">
        <w:rPr>
          <w:rFonts w:ascii="Arial Narrow" w:hAnsi="Arial Narrow"/>
          <w:bCs/>
          <w:lang w:val="en-US"/>
        </w:rPr>
        <w:t xml:space="preserve">G. W. Remmling </w:t>
      </w:r>
      <w:r w:rsidRPr="00266A67">
        <w:rPr>
          <w:rFonts w:ascii="Arial Narrow" w:hAnsi="Arial Narrow"/>
          <w:lang w:val="en-US"/>
        </w:rPr>
        <w:t>(1989) 223; K. A. Schleunes (1990)</w:t>
      </w:r>
      <w:r>
        <w:rPr>
          <w:rFonts w:ascii="Arial Narrow" w:hAnsi="Arial Narrow"/>
          <w:lang w:val="en-US"/>
        </w:rPr>
        <w:t xml:space="preserve"> 102-109</w:t>
      </w:r>
      <w:r w:rsidRPr="00266A67">
        <w:rPr>
          <w:rFonts w:ascii="Arial Narrow" w:hAnsi="Arial Narrow"/>
          <w:lang w:val="en-US"/>
        </w:rPr>
        <w:t>.</w:t>
      </w:r>
    </w:p>
  </w:footnote>
  <w:footnote w:id="592">
    <w:p w:rsidR="00392E0D" w:rsidRPr="003C7C7C" w:rsidRDefault="00392E0D" w:rsidP="00F24FD7">
      <w:pPr>
        <w:pStyle w:val="Textodenotaderodap"/>
        <w:ind w:firstLine="708"/>
        <w:rPr>
          <w:rFonts w:ascii="Arial Narrow" w:hAnsi="Arial Narrow"/>
          <w:lang w:val="en-US"/>
        </w:rPr>
      </w:pPr>
      <w:r w:rsidRPr="003E305A">
        <w:rPr>
          <w:rStyle w:val="Refdenotaderodap"/>
          <w:rFonts w:ascii="Arial Narrow" w:hAnsi="Arial Narrow"/>
        </w:rPr>
        <w:footnoteRef/>
      </w:r>
      <w:r w:rsidRPr="003E305A">
        <w:rPr>
          <w:rFonts w:ascii="Arial Narrow" w:hAnsi="Arial Narrow"/>
        </w:rPr>
        <w:t xml:space="preserve"> Acerca desta evolução do sistema jurídico ver R. Hilberg (1961) 300-302</w:t>
      </w:r>
      <w:r>
        <w:rPr>
          <w:rFonts w:ascii="Arial Narrow" w:hAnsi="Arial Narrow"/>
        </w:rPr>
        <w:t>,</w:t>
      </w:r>
      <w:r w:rsidRPr="003E305A">
        <w:rPr>
          <w:rFonts w:ascii="Arial Narrow" w:hAnsi="Arial Narrow"/>
        </w:rPr>
        <w:t xml:space="preserve"> </w:t>
      </w:r>
      <w:r>
        <w:rPr>
          <w:rFonts w:ascii="Arial Narrow" w:hAnsi="Arial Narrow"/>
        </w:rPr>
        <w:t xml:space="preserve">que no entanto </w:t>
      </w:r>
      <w:r w:rsidRPr="003E305A">
        <w:rPr>
          <w:rFonts w:ascii="Arial Narrow" w:hAnsi="Arial Narrow"/>
        </w:rPr>
        <w:t>não explic</w:t>
      </w:r>
      <w:r>
        <w:rPr>
          <w:rFonts w:ascii="Arial Narrow" w:hAnsi="Arial Narrow"/>
        </w:rPr>
        <w:t>ou</w:t>
      </w:r>
      <w:r w:rsidRPr="003E305A">
        <w:rPr>
          <w:rFonts w:ascii="Arial Narrow" w:hAnsi="Arial Narrow"/>
        </w:rPr>
        <w:t xml:space="preserve"> o problema através da identificação do marxismo com o judaísmo.</w:t>
      </w:r>
      <w:r>
        <w:rPr>
          <w:rFonts w:ascii="Arial Narrow" w:hAnsi="Arial Narrow"/>
        </w:rPr>
        <w:t xml:space="preserve"> Quanto ao decreto de 1941, ver J. Noakes et al. (orgs. </w:t>
      </w:r>
      <w:r w:rsidRPr="003C7C7C">
        <w:rPr>
          <w:rFonts w:ascii="Arial Narrow" w:hAnsi="Arial Narrow"/>
          <w:lang w:val="en-US"/>
        </w:rPr>
        <w:t>2008-2010) III 525.</w:t>
      </w:r>
    </w:p>
  </w:footnote>
  <w:footnote w:id="593">
    <w:p w:rsidR="00392E0D" w:rsidRPr="003C7C7C" w:rsidRDefault="00392E0D" w:rsidP="00F24FD7">
      <w:pPr>
        <w:pStyle w:val="Textodenotaderodap"/>
        <w:ind w:firstLine="708"/>
        <w:rPr>
          <w:rFonts w:ascii="Arial Narrow" w:hAnsi="Arial Narrow"/>
          <w:lang w:val="en-US"/>
        </w:rPr>
      </w:pPr>
      <w:r w:rsidRPr="003E305A">
        <w:rPr>
          <w:rStyle w:val="Refdenotaderodap"/>
          <w:rFonts w:ascii="Arial Narrow" w:hAnsi="Arial Narrow"/>
        </w:rPr>
        <w:footnoteRef/>
      </w:r>
      <w:r w:rsidRPr="003C7C7C">
        <w:rPr>
          <w:rFonts w:ascii="Arial Narrow" w:hAnsi="Arial Narrow"/>
          <w:lang w:val="en-US"/>
        </w:rPr>
        <w:t xml:space="preserve"> R. Hilberg (1961) 52.</w:t>
      </w:r>
    </w:p>
  </w:footnote>
  <w:footnote w:id="594">
    <w:p w:rsidR="00392E0D" w:rsidRPr="003E305A" w:rsidRDefault="00392E0D" w:rsidP="00F24FD7">
      <w:pPr>
        <w:pStyle w:val="Textodenotaderodap"/>
        <w:ind w:firstLine="708"/>
        <w:rPr>
          <w:rFonts w:ascii="Arial Narrow" w:hAnsi="Arial Narrow"/>
        </w:rPr>
      </w:pPr>
      <w:r w:rsidRPr="003E305A">
        <w:rPr>
          <w:rStyle w:val="Refdenotaderodap"/>
          <w:rFonts w:ascii="Arial Narrow" w:hAnsi="Arial Narrow"/>
        </w:rPr>
        <w:footnoteRef/>
      </w:r>
      <w:r w:rsidRPr="003C7C7C">
        <w:rPr>
          <w:rFonts w:ascii="Arial Narrow" w:hAnsi="Arial Narrow"/>
          <w:lang w:val="en-US"/>
        </w:rPr>
        <w:t xml:space="preserve"> S. Friedländer (2008) 873-875; R. Hilberg (1961) 608; </w:t>
      </w:r>
      <w:r w:rsidRPr="00A14BE6">
        <w:rPr>
          <w:rFonts w:ascii="Arial Narrow" w:hAnsi="Arial Narrow"/>
          <w:lang w:val="en-US"/>
        </w:rPr>
        <w:t>A. Quinchon-Caudal (2013)</w:t>
      </w:r>
      <w:r>
        <w:rPr>
          <w:rFonts w:ascii="Arial Narrow" w:hAnsi="Arial Narrow"/>
          <w:lang w:val="en-US"/>
        </w:rPr>
        <w:t xml:space="preserve"> 170</w:t>
      </w:r>
      <w:r w:rsidRPr="003C7C7C">
        <w:rPr>
          <w:rFonts w:ascii="Arial Narrow" w:hAnsi="Arial Narrow"/>
          <w:lang w:val="en-US"/>
        </w:rPr>
        <w:t xml:space="preserve">. </w:t>
      </w:r>
      <w:r>
        <w:rPr>
          <w:rFonts w:ascii="Arial Narrow" w:hAnsi="Arial Narrow"/>
        </w:rPr>
        <w:t>Ver igualmente M. Gilbert (2011 b) I 346, II 511.</w:t>
      </w:r>
    </w:p>
  </w:footnote>
  <w:footnote w:id="595">
    <w:p w:rsidR="00392E0D" w:rsidRPr="003C7C7C" w:rsidRDefault="00392E0D" w:rsidP="00F24FD7">
      <w:pPr>
        <w:pStyle w:val="Textodenotaderodap"/>
        <w:ind w:firstLine="708"/>
        <w:rPr>
          <w:rFonts w:ascii="Arial Narrow" w:hAnsi="Arial Narrow"/>
        </w:rPr>
      </w:pPr>
      <w:r w:rsidRPr="003E305A">
        <w:rPr>
          <w:rStyle w:val="Refdenotaderodap"/>
          <w:rFonts w:ascii="Arial Narrow" w:hAnsi="Arial Narrow"/>
        </w:rPr>
        <w:footnoteRef/>
      </w:r>
      <w:r w:rsidRPr="003C7C7C">
        <w:rPr>
          <w:rFonts w:ascii="Arial Narrow" w:hAnsi="Arial Narrow"/>
        </w:rPr>
        <w:t xml:space="preserve"> J. Billig (2000) 7.</w:t>
      </w:r>
    </w:p>
  </w:footnote>
  <w:footnote w:id="596">
    <w:p w:rsidR="00392E0D" w:rsidRPr="00617684" w:rsidRDefault="00392E0D" w:rsidP="00755959">
      <w:pPr>
        <w:pStyle w:val="Textodenotaderodap"/>
        <w:rPr>
          <w:rFonts w:ascii="Arial Narrow" w:hAnsi="Arial Narrow"/>
          <w:lang w:val="en-US"/>
        </w:rPr>
      </w:pPr>
      <w:r w:rsidRPr="00E025EF">
        <w:rPr>
          <w:rStyle w:val="Refdenotaderodap"/>
          <w:rFonts w:ascii="Arial Narrow" w:hAnsi="Arial Narrow"/>
        </w:rPr>
        <w:footnoteRef/>
      </w:r>
      <w:r w:rsidRPr="003C7C7C">
        <w:rPr>
          <w:rFonts w:ascii="Arial Narrow" w:hAnsi="Arial Narrow"/>
        </w:rPr>
        <w:t xml:space="preserve"> J. Noakes et al. </w:t>
      </w:r>
      <w:r w:rsidRPr="00755959">
        <w:rPr>
          <w:rFonts w:ascii="Arial Narrow" w:hAnsi="Arial Narrow"/>
          <w:lang w:val="en-US"/>
        </w:rPr>
        <w:t xml:space="preserve">(orgs. </w:t>
      </w:r>
      <w:r w:rsidRPr="00617684">
        <w:rPr>
          <w:rFonts w:ascii="Arial Narrow" w:hAnsi="Arial Narrow"/>
          <w:lang w:val="en-US"/>
        </w:rPr>
        <w:t>2008-2010) II 343-344; K. A. Schleunes (1990) 103, 123-125, 128.</w:t>
      </w:r>
    </w:p>
  </w:footnote>
  <w:footnote w:id="597">
    <w:p w:rsidR="00392E0D" w:rsidRPr="00861768" w:rsidRDefault="00392E0D">
      <w:pPr>
        <w:pStyle w:val="Textodenotaderodap"/>
        <w:rPr>
          <w:rFonts w:ascii="Arial Narrow" w:hAnsi="Arial Narrow"/>
        </w:rPr>
      </w:pPr>
      <w:r w:rsidRPr="00D709CE">
        <w:rPr>
          <w:rStyle w:val="Refdenotaderodap"/>
          <w:rFonts w:ascii="Arial Narrow" w:hAnsi="Arial Narrow"/>
        </w:rPr>
        <w:footnoteRef/>
      </w:r>
      <w:r w:rsidRPr="00861768">
        <w:rPr>
          <w:rFonts w:ascii="Arial Narrow" w:hAnsi="Arial Narrow"/>
        </w:rPr>
        <w:t xml:space="preserve"> K. A. Schleunes (1990) 119, 129.</w:t>
      </w:r>
    </w:p>
  </w:footnote>
  <w:footnote w:id="598">
    <w:p w:rsidR="00392E0D" w:rsidRPr="00190A03" w:rsidRDefault="00392E0D">
      <w:pPr>
        <w:pStyle w:val="Textodenotaderodap"/>
        <w:rPr>
          <w:rFonts w:ascii="Arial Narrow" w:hAnsi="Arial Narrow"/>
        </w:rPr>
      </w:pPr>
      <w:r w:rsidRPr="00190A03">
        <w:rPr>
          <w:rStyle w:val="Refdenotaderodap"/>
          <w:rFonts w:ascii="Arial Narrow" w:hAnsi="Arial Narrow"/>
        </w:rPr>
        <w:footnoteRef/>
      </w:r>
      <w:r w:rsidRPr="00190A03">
        <w:rPr>
          <w:rFonts w:ascii="Arial Narrow" w:hAnsi="Arial Narrow"/>
        </w:rPr>
        <w:t xml:space="preserve"> </w:t>
      </w:r>
      <w:r>
        <w:rPr>
          <w:rFonts w:ascii="Arial Narrow" w:hAnsi="Arial Narrow"/>
        </w:rPr>
        <w:t xml:space="preserve">Citado em </w:t>
      </w:r>
      <w:r w:rsidRPr="00EA1722">
        <w:rPr>
          <w:rFonts w:ascii="Arial Narrow" w:hAnsi="Arial Narrow"/>
        </w:rPr>
        <w:t>A. Quinchon-Caudal (2013)</w:t>
      </w:r>
      <w:r>
        <w:rPr>
          <w:rFonts w:ascii="Arial Narrow" w:hAnsi="Arial Narrow"/>
        </w:rPr>
        <w:t xml:space="preserve"> 157.</w:t>
      </w:r>
    </w:p>
  </w:footnote>
  <w:footnote w:id="599">
    <w:p w:rsidR="00392E0D" w:rsidRPr="003E305A" w:rsidRDefault="00392E0D" w:rsidP="00755959">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H. Arendt (1972) 262 n. 62</w:t>
      </w:r>
      <w:r>
        <w:rPr>
          <w:rFonts w:ascii="Arial Narrow" w:hAnsi="Arial Narrow"/>
        </w:rPr>
        <w:t>, J. Noakes et al. (orgs. 2008-2010) III 570 e M. Roseman (2012) 104</w:t>
      </w:r>
      <w:r w:rsidRPr="003E305A">
        <w:rPr>
          <w:rFonts w:ascii="Arial Narrow" w:hAnsi="Arial Narrow"/>
        </w:rPr>
        <w:t xml:space="preserve">. </w:t>
      </w:r>
      <w:r>
        <w:rPr>
          <w:rFonts w:ascii="Arial Narrow" w:hAnsi="Arial Narrow"/>
        </w:rPr>
        <w:t xml:space="preserve">Ver também </w:t>
      </w:r>
      <w:r w:rsidRPr="0035667D">
        <w:rPr>
          <w:rFonts w:ascii="Arial Narrow" w:hAnsi="Arial Narrow"/>
        </w:rPr>
        <w:t xml:space="preserve">S. Friedländer (2008) </w:t>
      </w:r>
      <w:r>
        <w:rPr>
          <w:rFonts w:ascii="Arial Narrow" w:hAnsi="Arial Narrow"/>
        </w:rPr>
        <w:t xml:space="preserve">801-802. Note-se que </w:t>
      </w:r>
      <w:r w:rsidRPr="003C7C7C">
        <w:rPr>
          <w:rFonts w:ascii="Arial Narrow" w:hAnsi="Arial Narrow"/>
        </w:rPr>
        <w:t xml:space="preserve">A. Quinchon-Caudal (2013) 228 atribuiu esta declaração ao SS-Obergruppenführer Gottlob Berger, que na realidade fora o destinatário das instruções de Himmler. </w:t>
      </w:r>
      <w:r>
        <w:rPr>
          <w:rFonts w:ascii="Arial Narrow" w:hAnsi="Arial Narrow"/>
        </w:rPr>
        <w:t xml:space="preserve">Por seu lado, </w:t>
      </w:r>
      <w:r w:rsidRPr="00171039">
        <w:rPr>
          <w:rFonts w:ascii="Arial Narrow" w:hAnsi="Arial Narrow"/>
        </w:rPr>
        <w:t>Hannah</w:t>
      </w:r>
      <w:r>
        <w:rPr>
          <w:rFonts w:ascii="Arial Narrow" w:hAnsi="Arial Narrow"/>
        </w:rPr>
        <w:t xml:space="preserve"> </w:t>
      </w:r>
      <w:r w:rsidRPr="003E305A">
        <w:rPr>
          <w:rFonts w:ascii="Arial Narrow" w:hAnsi="Arial Narrow"/>
        </w:rPr>
        <w:t>Arendt mencion</w:t>
      </w:r>
      <w:r>
        <w:rPr>
          <w:rFonts w:ascii="Arial Narrow" w:hAnsi="Arial Narrow"/>
        </w:rPr>
        <w:t>ou</w:t>
      </w:r>
      <w:r w:rsidRPr="003E305A">
        <w:rPr>
          <w:rFonts w:ascii="Arial Narrow" w:hAnsi="Arial Narrow"/>
        </w:rPr>
        <w:t xml:space="preserve"> </w:t>
      </w:r>
      <w:r>
        <w:rPr>
          <w:rFonts w:ascii="Arial Narrow" w:hAnsi="Arial Narrow"/>
        </w:rPr>
        <w:t xml:space="preserve">aquela </w:t>
      </w:r>
      <w:r w:rsidRPr="003E305A">
        <w:rPr>
          <w:rFonts w:ascii="Arial Narrow" w:hAnsi="Arial Narrow"/>
        </w:rPr>
        <w:t xml:space="preserve">declaração de Himmler num contexto alheio à questão do racismo e </w:t>
      </w:r>
      <w:r>
        <w:rPr>
          <w:rFonts w:ascii="Arial Narrow" w:hAnsi="Arial Narrow"/>
        </w:rPr>
        <w:t xml:space="preserve">tanto ela como Saul </w:t>
      </w:r>
      <w:r w:rsidRPr="0035667D">
        <w:rPr>
          <w:rFonts w:ascii="Arial Narrow" w:hAnsi="Arial Narrow"/>
        </w:rPr>
        <w:t>Friedländer</w:t>
      </w:r>
      <w:r>
        <w:rPr>
          <w:rFonts w:ascii="Arial Narrow" w:hAnsi="Arial Narrow"/>
        </w:rPr>
        <w:t>,</w:t>
      </w:r>
      <w:r w:rsidRPr="0035667D">
        <w:rPr>
          <w:rFonts w:ascii="Arial Narrow" w:hAnsi="Arial Narrow"/>
        </w:rPr>
        <w:t xml:space="preserve"> </w:t>
      </w:r>
      <w:r>
        <w:rPr>
          <w:rFonts w:ascii="Arial Narrow" w:hAnsi="Arial Narrow"/>
        </w:rPr>
        <w:t xml:space="preserve">Jeremy Noakes et al. e Mark Roseman </w:t>
      </w:r>
      <w:r w:rsidRPr="003E305A">
        <w:rPr>
          <w:rFonts w:ascii="Arial Narrow" w:hAnsi="Arial Narrow"/>
        </w:rPr>
        <w:t xml:space="preserve">não </w:t>
      </w:r>
      <w:r>
        <w:rPr>
          <w:rFonts w:ascii="Arial Narrow" w:hAnsi="Arial Narrow"/>
        </w:rPr>
        <w:t xml:space="preserve">se </w:t>
      </w:r>
      <w:r w:rsidRPr="003E305A">
        <w:rPr>
          <w:rFonts w:ascii="Arial Narrow" w:hAnsi="Arial Narrow"/>
        </w:rPr>
        <w:t>aperceber</w:t>
      </w:r>
      <w:r>
        <w:rPr>
          <w:rFonts w:ascii="Arial Narrow" w:hAnsi="Arial Narrow"/>
        </w:rPr>
        <w:t>am</w:t>
      </w:r>
      <w:r w:rsidRPr="003E305A">
        <w:rPr>
          <w:rFonts w:ascii="Arial Narrow" w:hAnsi="Arial Narrow"/>
        </w:rPr>
        <w:t xml:space="preserve"> das implicações mais profundas daquela atitude.</w:t>
      </w:r>
      <w:r>
        <w:rPr>
          <w:rFonts w:ascii="Arial Narrow" w:hAnsi="Arial Narrow"/>
        </w:rPr>
        <w:t xml:space="preserve"> Do mesmo modo, segundo M. Gilbert (2011 b) II 553, pelo decreto de 15 de Novembro de 1943 Himmler estabeleceu que, em caso de dúvida, caberia aos comandantes de polícia locais definir quem era ou não cigano.</w:t>
      </w:r>
    </w:p>
  </w:footnote>
  <w:footnote w:id="600">
    <w:p w:rsidR="00392E0D" w:rsidRPr="008F48A5" w:rsidRDefault="00392E0D" w:rsidP="00755959">
      <w:pPr>
        <w:pStyle w:val="Textodenotaderodap"/>
        <w:rPr>
          <w:rFonts w:ascii="Arial Narrow" w:hAnsi="Arial Narrow"/>
        </w:rPr>
      </w:pPr>
      <w:r w:rsidRPr="0029739C">
        <w:rPr>
          <w:rStyle w:val="Refdenotaderodap"/>
          <w:rFonts w:ascii="Arial Narrow" w:hAnsi="Arial Narrow"/>
        </w:rPr>
        <w:footnoteRef/>
      </w:r>
      <w:r w:rsidRPr="0029739C">
        <w:rPr>
          <w:rFonts w:ascii="Arial Narrow" w:hAnsi="Arial Narrow"/>
        </w:rPr>
        <w:t xml:space="preserve"> </w:t>
      </w:r>
      <w:r>
        <w:rPr>
          <w:rFonts w:ascii="Arial Narrow" w:hAnsi="Arial Narrow"/>
        </w:rPr>
        <w:t xml:space="preserve">Citado em J. Noakes et al. </w:t>
      </w:r>
      <w:r w:rsidRPr="008F48A5">
        <w:rPr>
          <w:rFonts w:ascii="Arial Narrow" w:hAnsi="Arial Narrow"/>
        </w:rPr>
        <w:t>(orgs. 2008-2010) III 508.</w:t>
      </w:r>
    </w:p>
  </w:footnote>
  <w:footnote w:id="601">
    <w:p w:rsidR="00392E0D" w:rsidRPr="00617684" w:rsidRDefault="00392E0D" w:rsidP="00755959">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G. Lukács (1980) 745.</w:t>
      </w:r>
      <w:r>
        <w:rPr>
          <w:rFonts w:ascii="Arial Narrow" w:hAnsi="Arial Narrow"/>
          <w:lang w:val="fr-FR"/>
        </w:rPr>
        <w:t xml:space="preserve"> Ver ainda </w:t>
      </w:r>
      <w:r w:rsidRPr="00617684">
        <w:rPr>
          <w:rFonts w:ascii="Arial Narrow" w:hAnsi="Arial Narrow"/>
        </w:rPr>
        <w:t>K. A. Schleunes (1990)</w:t>
      </w:r>
      <w:r>
        <w:rPr>
          <w:rFonts w:ascii="Arial Narrow" w:hAnsi="Arial Narrow"/>
        </w:rPr>
        <w:t xml:space="preserve"> 128-129.</w:t>
      </w:r>
    </w:p>
  </w:footnote>
  <w:footnote w:id="602">
    <w:p w:rsidR="00392E0D" w:rsidRPr="003E305A" w:rsidRDefault="00392E0D" w:rsidP="00755959">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J. Billig (2000) 300. Ver a este respeito A. Pichot (2000) 403-404</w:t>
      </w:r>
      <w:r>
        <w:rPr>
          <w:rFonts w:ascii="Arial Narrow" w:hAnsi="Arial Narrow"/>
        </w:rPr>
        <w:t xml:space="preserve"> e </w:t>
      </w:r>
      <w:r w:rsidRPr="00EA1722">
        <w:rPr>
          <w:rFonts w:ascii="Arial Narrow" w:hAnsi="Arial Narrow"/>
        </w:rPr>
        <w:t>A. Quinchon-Caudal (2013)</w:t>
      </w:r>
      <w:r>
        <w:rPr>
          <w:rFonts w:ascii="Arial Narrow" w:hAnsi="Arial Narrow"/>
        </w:rPr>
        <w:t xml:space="preserve"> 57</w:t>
      </w:r>
      <w:r w:rsidRPr="003E305A">
        <w:rPr>
          <w:rFonts w:ascii="Arial Narrow" w:hAnsi="Arial Narrow"/>
        </w:rPr>
        <w:t>.</w:t>
      </w:r>
      <w:r>
        <w:rPr>
          <w:rFonts w:ascii="Arial Narrow" w:hAnsi="Arial Narrow"/>
        </w:rPr>
        <w:t xml:space="preserve"> Bastaria isto para verificarmos que </w:t>
      </w:r>
      <w:r w:rsidRPr="00EA1722">
        <w:rPr>
          <w:rFonts w:ascii="Arial Narrow" w:hAnsi="Arial Narrow"/>
        </w:rPr>
        <w:t>Anne Quinchon-Caudal</w:t>
      </w:r>
      <w:r>
        <w:rPr>
          <w:rFonts w:ascii="Arial Narrow" w:hAnsi="Arial Narrow"/>
        </w:rPr>
        <w:t>,</w:t>
      </w:r>
      <w:r w:rsidRPr="00EA1722">
        <w:rPr>
          <w:rFonts w:ascii="Arial Narrow" w:hAnsi="Arial Narrow"/>
        </w:rPr>
        <w:t xml:space="preserve"> </w:t>
      </w:r>
      <w:r>
        <w:rPr>
          <w:rFonts w:ascii="Arial Narrow" w:hAnsi="Arial Narrow"/>
        </w:rPr>
        <w:t xml:space="preserve">op. cit., 60 não teve razão ao atribuir a Hitler um racismo </w:t>
      </w:r>
      <w:r w:rsidRPr="00A360E3">
        <w:rPr>
          <w:rFonts w:ascii="Arial Narrow" w:hAnsi="Arial Narrow"/>
        </w:rPr>
        <w:t>«grosseiramente materialista»</w:t>
      </w:r>
      <w:r>
        <w:rPr>
          <w:rFonts w:ascii="Arial Narrow" w:hAnsi="Arial Narrow"/>
        </w:rPr>
        <w:t>; e, no entanto, ela própria citou (pág. 157) estas declarações.</w:t>
      </w:r>
    </w:p>
  </w:footnote>
  <w:footnote w:id="603">
    <w:p w:rsidR="00392E0D" w:rsidRPr="003E305A" w:rsidRDefault="00392E0D" w:rsidP="002D7A86">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L. Poliakov (1971) 312.</w:t>
      </w:r>
    </w:p>
  </w:footnote>
  <w:footnote w:id="604">
    <w:p w:rsidR="00392E0D" w:rsidRPr="003E305A" w:rsidRDefault="00392E0D" w:rsidP="002D7A86">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Esta passagem da entrada de 15 de Dezembro de 1938 encontra-se em M. Chalmers (org. 2006 a) 331. A expressão está em francês no original.</w:t>
      </w:r>
    </w:p>
  </w:footnote>
  <w:footnote w:id="605">
    <w:p w:rsidR="00392E0D" w:rsidRPr="003E305A" w:rsidRDefault="00392E0D" w:rsidP="002D7A86">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No dia 17 de Dezembro de 1941 em id., ibid., 521 (sub. orig.). No dia 28 de Janeiro de 1943 Klemperer escreveu: «Os judeus, sem a pressão do anti-semitismo ou </w:t>
      </w:r>
      <w:r>
        <w:rPr>
          <w:rFonts w:ascii="Arial Narrow" w:hAnsi="Arial Narrow"/>
        </w:rPr>
        <w:t>—</w:t>
      </w:r>
      <w:r w:rsidRPr="003E305A">
        <w:rPr>
          <w:rFonts w:ascii="Arial Narrow" w:hAnsi="Arial Narrow"/>
        </w:rPr>
        <w:t xml:space="preserve"> e acima de tudo </w:t>
      </w:r>
      <w:r>
        <w:rPr>
          <w:rFonts w:ascii="Arial Narrow" w:hAnsi="Arial Narrow"/>
        </w:rPr>
        <w:t>—</w:t>
      </w:r>
      <w:r w:rsidRPr="003E305A">
        <w:rPr>
          <w:rFonts w:ascii="Arial Narrow" w:hAnsi="Arial Narrow"/>
        </w:rPr>
        <w:t xml:space="preserve"> sem o medo desta pressão, […] teriam deixado de ser judeus, ter-se-iam integrado completamente nas nações onde vivem». Ver id. (org. 2006 b) 228.</w:t>
      </w:r>
    </w:p>
  </w:footnote>
  <w:footnote w:id="606">
    <w:p w:rsidR="00392E0D" w:rsidRPr="003E305A" w:rsidRDefault="00392E0D" w:rsidP="002D7A86">
      <w:pPr>
        <w:pStyle w:val="Textodenotaderodap"/>
        <w:ind w:firstLine="709"/>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Esta proclamação encontra-se reproduzida em A. Kaes et al. (orgs. 1995) 272-275. A passagem citada vem na pág. 273.</w:t>
      </w:r>
    </w:p>
  </w:footnote>
  <w:footnote w:id="607">
    <w:p w:rsidR="00392E0D" w:rsidRPr="003612E2" w:rsidRDefault="00392E0D" w:rsidP="00321E01">
      <w:pPr>
        <w:pStyle w:val="Textodenotaderodap"/>
        <w:rPr>
          <w:rFonts w:ascii="Arial Narrow" w:hAnsi="Arial Narrow"/>
        </w:rPr>
      </w:pPr>
      <w:r w:rsidRPr="003E305A">
        <w:rPr>
          <w:rStyle w:val="Refdenotaderodap"/>
          <w:rFonts w:ascii="Arial Narrow" w:hAnsi="Arial Narrow"/>
        </w:rPr>
        <w:footnoteRef/>
      </w:r>
      <w:r w:rsidRPr="00E66CD5">
        <w:rPr>
          <w:rFonts w:ascii="Arial Narrow" w:hAnsi="Arial Narrow"/>
        </w:rPr>
        <w:t xml:space="preserve"> J. Droz [s. d.] 103, 105. </w:t>
      </w:r>
      <w:r w:rsidRPr="003612E2">
        <w:rPr>
          <w:rFonts w:ascii="Arial Narrow" w:hAnsi="Arial Narrow"/>
        </w:rPr>
        <w:t>Ver igualmente J. Billig (2000) 19</w:t>
      </w:r>
      <w:r>
        <w:rPr>
          <w:rFonts w:ascii="Arial Narrow" w:hAnsi="Arial Narrow"/>
        </w:rPr>
        <w:t xml:space="preserve"> e </w:t>
      </w:r>
      <w:r w:rsidRPr="00E66CD5">
        <w:rPr>
          <w:rFonts w:ascii="Arial Narrow" w:hAnsi="Arial Narrow"/>
        </w:rPr>
        <w:t>K. A. Schleunes (1990)</w:t>
      </w:r>
      <w:r>
        <w:rPr>
          <w:rFonts w:ascii="Arial Narrow" w:hAnsi="Arial Narrow"/>
        </w:rPr>
        <w:t xml:space="preserve"> 103</w:t>
      </w:r>
      <w:r w:rsidRPr="003612E2">
        <w:rPr>
          <w:rFonts w:ascii="Arial Narrow" w:hAnsi="Arial Narrow"/>
        </w:rPr>
        <w:t>.</w:t>
      </w:r>
    </w:p>
  </w:footnote>
  <w:footnote w:id="608">
    <w:p w:rsidR="00392E0D" w:rsidRPr="00861768" w:rsidRDefault="00392E0D">
      <w:pPr>
        <w:pStyle w:val="Textodenotaderodap"/>
        <w:rPr>
          <w:rFonts w:ascii="Arial Narrow" w:hAnsi="Arial Narrow"/>
          <w:lang w:val="en-US"/>
        </w:rPr>
      </w:pPr>
      <w:r w:rsidRPr="00861768">
        <w:rPr>
          <w:rStyle w:val="Refdenotaderodap"/>
          <w:rFonts w:ascii="Arial Narrow" w:hAnsi="Arial Narrow"/>
        </w:rPr>
        <w:footnoteRef/>
      </w:r>
      <w:r w:rsidRPr="00861768">
        <w:rPr>
          <w:rFonts w:ascii="Arial Narrow" w:hAnsi="Arial Narrow"/>
          <w:lang w:val="en-US"/>
        </w:rPr>
        <w:t xml:space="preserve"> K. A. Schleunes (1990)</w:t>
      </w:r>
      <w:r>
        <w:rPr>
          <w:rFonts w:ascii="Arial Narrow" w:hAnsi="Arial Narrow"/>
          <w:lang w:val="en-US"/>
        </w:rPr>
        <w:t xml:space="preserve"> 228.</w:t>
      </w:r>
    </w:p>
  </w:footnote>
  <w:footnote w:id="609">
    <w:p w:rsidR="00392E0D" w:rsidRPr="003E305A" w:rsidRDefault="00392E0D" w:rsidP="00DB0BC8">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E. Kogon (2002) 225.</w:t>
      </w:r>
    </w:p>
  </w:footnote>
  <w:footnote w:id="610">
    <w:p w:rsidR="00392E0D" w:rsidRPr="003E305A" w:rsidRDefault="00392E0D" w:rsidP="00321E01">
      <w:pPr>
        <w:pStyle w:val="Textodenotaderodap"/>
        <w:rPr>
          <w:rFonts w:ascii="Arial Narrow" w:hAnsi="Arial Narrow"/>
          <w:lang w:val="fr-FR"/>
        </w:rPr>
      </w:pPr>
      <w:r w:rsidRPr="003E305A">
        <w:rPr>
          <w:rStyle w:val="Refdenotaderodap"/>
          <w:rFonts w:ascii="Arial Narrow" w:hAnsi="Arial Narrow"/>
        </w:rPr>
        <w:footnoteRef/>
      </w:r>
      <w:r w:rsidRPr="00FD4005">
        <w:rPr>
          <w:rFonts w:ascii="Arial Narrow" w:hAnsi="Arial Narrow"/>
          <w:lang w:val="en-GB"/>
        </w:rPr>
        <w:t xml:space="preserve"> M. Gilbert, «Final Solution», em I. C. B. Dear et al</w:t>
      </w:r>
      <w:r w:rsidRPr="003612E2">
        <w:rPr>
          <w:rFonts w:ascii="Arial Narrow" w:hAnsi="Arial Narrow"/>
          <w:lang w:val="en-US"/>
        </w:rPr>
        <w:t xml:space="preserve">. </w:t>
      </w:r>
      <w:r w:rsidRPr="00B2463D">
        <w:rPr>
          <w:rFonts w:ascii="Arial Narrow" w:hAnsi="Arial Narrow"/>
          <w:lang w:val="en-GB"/>
        </w:rPr>
        <w:t xml:space="preserve">(orgs. </w:t>
      </w:r>
      <w:r w:rsidRPr="003E305A">
        <w:rPr>
          <w:rFonts w:ascii="Arial Narrow" w:hAnsi="Arial Narrow"/>
          <w:lang w:val="fr-FR"/>
        </w:rPr>
        <w:t>1995) 364.</w:t>
      </w:r>
    </w:p>
  </w:footnote>
  <w:footnote w:id="611">
    <w:p w:rsidR="00392E0D" w:rsidRPr="003E305A" w:rsidRDefault="00392E0D" w:rsidP="00321E01">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L. Brenner (1983) 140.</w:t>
      </w:r>
    </w:p>
  </w:footnote>
  <w:footnote w:id="612">
    <w:p w:rsidR="00392E0D" w:rsidRPr="00EF249D" w:rsidRDefault="00392E0D">
      <w:pPr>
        <w:pStyle w:val="Textodenotaderodap"/>
        <w:rPr>
          <w:rFonts w:ascii="Arial Narrow" w:hAnsi="Arial Narrow"/>
          <w:lang w:val="en-US"/>
        </w:rPr>
      </w:pPr>
      <w:r w:rsidRPr="00EF249D">
        <w:rPr>
          <w:rStyle w:val="Refdenotaderodap"/>
          <w:rFonts w:ascii="Arial Narrow" w:hAnsi="Arial Narrow"/>
        </w:rPr>
        <w:footnoteRef/>
      </w:r>
      <w:r w:rsidRPr="00EF249D">
        <w:rPr>
          <w:rFonts w:ascii="Arial Narrow" w:hAnsi="Arial Narrow"/>
          <w:lang w:val="en-US"/>
        </w:rPr>
        <w:t xml:space="preserve"> J. Noakes et al. (orgs. </w:t>
      </w:r>
      <w:r>
        <w:rPr>
          <w:rFonts w:ascii="Arial Narrow" w:hAnsi="Arial Narrow"/>
          <w:lang w:val="en-US"/>
        </w:rPr>
        <w:t>2008-2020) II 211.</w:t>
      </w:r>
    </w:p>
  </w:footnote>
  <w:footnote w:id="613">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r w:rsidRPr="003E305A">
        <w:rPr>
          <w:rFonts w:ascii="Arial Narrow" w:hAnsi="Arial Narrow"/>
          <w:lang w:val="fr-FR"/>
        </w:rPr>
        <w:t xml:space="preserve">P. Cadars et al. </w:t>
      </w:r>
      <w:r w:rsidRPr="003E305A">
        <w:rPr>
          <w:rFonts w:ascii="Arial Narrow" w:hAnsi="Arial Narrow"/>
          <w:lang w:val="en-GB"/>
        </w:rPr>
        <w:t>(1972) 189; J.-M. Palmier (1976 a) I 438</w:t>
      </w:r>
      <w:r>
        <w:rPr>
          <w:rFonts w:ascii="Arial Narrow" w:hAnsi="Arial Narrow"/>
          <w:lang w:val="en-GB"/>
        </w:rPr>
        <w:t>; id. (</w:t>
      </w:r>
      <w:r w:rsidRPr="003E305A">
        <w:rPr>
          <w:rFonts w:ascii="Arial Narrow" w:hAnsi="Arial Narrow"/>
          <w:lang w:val="en-GB"/>
        </w:rPr>
        <w:t>1976 b) II 293.</w:t>
      </w:r>
    </w:p>
  </w:footnote>
  <w:footnote w:id="614">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Benoist-Méchin (1964-1966) III 96.</w:t>
      </w:r>
    </w:p>
  </w:footnote>
  <w:footnote w:id="615">
    <w:p w:rsidR="00392E0D" w:rsidRPr="007972FD" w:rsidRDefault="00392E0D" w:rsidP="00B03ABC">
      <w:pPr>
        <w:pStyle w:val="Textodenotaderodap"/>
        <w:ind w:firstLine="708"/>
        <w:rPr>
          <w:rFonts w:ascii="Arial Narrow" w:hAnsi="Arial Narrow"/>
          <w:lang w:val="en-US"/>
        </w:rPr>
      </w:pPr>
      <w:r w:rsidRPr="003E305A">
        <w:rPr>
          <w:rStyle w:val="Refdenotaderodap"/>
          <w:rFonts w:ascii="Arial Narrow" w:hAnsi="Arial Narrow"/>
        </w:rPr>
        <w:footnoteRef/>
      </w:r>
      <w:r w:rsidRPr="007972FD">
        <w:rPr>
          <w:rFonts w:ascii="Arial Narrow" w:hAnsi="Arial Narrow"/>
          <w:lang w:val="en-US"/>
        </w:rPr>
        <w:t xml:space="preserve"> J. Billig (2000) 201, 210-211.</w:t>
      </w:r>
    </w:p>
  </w:footnote>
  <w:footnote w:id="616">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place">
        <w:r w:rsidRPr="003E305A">
          <w:rPr>
            <w:rFonts w:ascii="Arial Narrow" w:hAnsi="Arial Narrow"/>
            <w:lang w:val="en-GB"/>
          </w:rPr>
          <w:t>E. Kogon</w:t>
        </w:r>
      </w:smartTag>
      <w:r w:rsidRPr="003E305A">
        <w:rPr>
          <w:rFonts w:ascii="Arial Narrow" w:hAnsi="Arial Narrow"/>
          <w:lang w:val="en-GB"/>
        </w:rPr>
        <w:t xml:space="preserve"> (2002) 37, 42.</w:t>
      </w:r>
    </w:p>
  </w:footnote>
  <w:footnote w:id="617">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43.</w:t>
      </w:r>
    </w:p>
  </w:footnote>
  <w:footnote w:id="618">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J. Billig (2000) 22-23.</w:t>
      </w:r>
    </w:p>
  </w:footnote>
  <w:footnote w:id="619">
    <w:p w:rsidR="00392E0D" w:rsidRPr="00945BEF" w:rsidRDefault="00392E0D">
      <w:pPr>
        <w:pStyle w:val="Textodenotaderodap"/>
        <w:rPr>
          <w:rFonts w:ascii="Arial Narrow" w:hAnsi="Arial Narrow"/>
        </w:rPr>
      </w:pPr>
      <w:r w:rsidRPr="00945BEF">
        <w:rPr>
          <w:rStyle w:val="Refdenotaderodap"/>
          <w:rFonts w:ascii="Arial Narrow" w:hAnsi="Arial Narrow"/>
        </w:rPr>
        <w:footnoteRef/>
      </w:r>
      <w:r w:rsidRPr="003B2C6A">
        <w:rPr>
          <w:rFonts w:ascii="Arial Narrow" w:hAnsi="Arial Narrow"/>
          <w:lang w:val="en-US"/>
        </w:rPr>
        <w:t xml:space="preserve"> J. Noakes et al. </w:t>
      </w:r>
      <w:r w:rsidRPr="007972FD">
        <w:rPr>
          <w:rFonts w:ascii="Arial Narrow" w:hAnsi="Arial Narrow"/>
        </w:rPr>
        <w:t xml:space="preserve">(orgs. </w:t>
      </w:r>
      <w:r>
        <w:rPr>
          <w:rFonts w:ascii="Arial Narrow" w:hAnsi="Arial Narrow"/>
        </w:rPr>
        <w:t>2008-2010) I 115.</w:t>
      </w:r>
    </w:p>
  </w:footnote>
  <w:footnote w:id="620">
    <w:p w:rsidR="00392E0D" w:rsidRPr="003E305A" w:rsidRDefault="00392E0D" w:rsidP="00321E01">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D. Rousset (1946) 108.</w:t>
      </w:r>
    </w:p>
  </w:footnote>
  <w:footnote w:id="621">
    <w:p w:rsidR="00392E0D" w:rsidRPr="00BA40D7" w:rsidRDefault="00392E0D" w:rsidP="001D63E4">
      <w:pPr>
        <w:pStyle w:val="Textodenotaderodap"/>
        <w:rPr>
          <w:rFonts w:ascii="Arial Narrow" w:hAnsi="Arial Narrow"/>
        </w:rPr>
      </w:pPr>
      <w:r w:rsidRPr="00BA40D7">
        <w:rPr>
          <w:rStyle w:val="Refdenotaderodap"/>
          <w:rFonts w:ascii="Arial Narrow" w:hAnsi="Arial Narrow"/>
        </w:rPr>
        <w:footnoteRef/>
      </w:r>
      <w:r w:rsidRPr="00BA40D7">
        <w:rPr>
          <w:rFonts w:ascii="Arial Narrow" w:hAnsi="Arial Narrow"/>
        </w:rPr>
        <w:t xml:space="preserve"> </w:t>
      </w:r>
      <w:r w:rsidRPr="004033B7">
        <w:rPr>
          <w:rFonts w:ascii="Arial Narrow" w:hAnsi="Arial Narrow"/>
        </w:rPr>
        <w:t>Segundo R. Hilberg (1961) 630</w:t>
      </w:r>
      <w:r>
        <w:rPr>
          <w:rFonts w:ascii="Arial Narrow" w:hAnsi="Arial Narrow"/>
        </w:rPr>
        <w:t xml:space="preserve"> e J. Noakes et al. (orgs. 2008-2010) III 628</w:t>
      </w:r>
      <w:r w:rsidRPr="004033B7">
        <w:rPr>
          <w:rFonts w:ascii="Arial Narrow" w:hAnsi="Arial Narrow"/>
        </w:rPr>
        <w:t xml:space="preserve">, </w:t>
      </w:r>
      <w:r>
        <w:rPr>
          <w:rFonts w:ascii="Arial Narrow" w:hAnsi="Arial Narrow"/>
        </w:rPr>
        <w:t xml:space="preserve">Adolf </w:t>
      </w:r>
      <w:r w:rsidRPr="004033B7">
        <w:rPr>
          <w:rFonts w:ascii="Arial Narrow" w:hAnsi="Arial Narrow"/>
        </w:rPr>
        <w:t>Eichmann, num relatório dirigido a Himmler em Agosto de 1944, calculou que havia sido liquidado um total de seis milhões de judeus, mas o Reichsführer</w:t>
      </w:r>
      <w:r>
        <w:rPr>
          <w:rFonts w:ascii="Arial Narrow" w:hAnsi="Arial Narrow"/>
        </w:rPr>
        <w:t>-SS</w:t>
      </w:r>
      <w:r w:rsidRPr="004033B7">
        <w:rPr>
          <w:rFonts w:ascii="Arial Narrow" w:hAnsi="Arial Narrow"/>
        </w:rPr>
        <w:t xml:space="preserve"> mostrou-se insatisfeito com a estimativa, pretendendo que o montante total era mais elevado. Pelo contrário, Raul Hilberg</w:t>
      </w:r>
      <w:r>
        <w:rPr>
          <w:rFonts w:ascii="Arial Narrow" w:hAnsi="Arial Narrow"/>
        </w:rPr>
        <w:t>,</w:t>
      </w:r>
      <w:r w:rsidRPr="004033B7">
        <w:rPr>
          <w:rFonts w:ascii="Arial Narrow" w:hAnsi="Arial Narrow"/>
        </w:rPr>
        <w:t xml:space="preserve"> </w:t>
      </w:r>
      <w:r w:rsidRPr="00EB6084">
        <w:rPr>
          <w:rFonts w:ascii="Arial Narrow" w:hAnsi="Arial Narrow"/>
        </w:rPr>
        <w:t>op. cit.</w:t>
      </w:r>
      <w:r>
        <w:rPr>
          <w:rFonts w:ascii="Arial Narrow" w:hAnsi="Arial Narrow"/>
        </w:rPr>
        <w:t xml:space="preserve">, </w:t>
      </w:r>
      <w:r w:rsidRPr="004033B7">
        <w:rPr>
          <w:rFonts w:ascii="Arial Narrow" w:hAnsi="Arial Narrow"/>
        </w:rPr>
        <w:t>3, 639</w:t>
      </w:r>
      <w:r>
        <w:rPr>
          <w:rFonts w:ascii="Arial Narrow" w:hAnsi="Arial Narrow"/>
        </w:rPr>
        <w:t xml:space="preserve"> e</w:t>
      </w:r>
      <w:r w:rsidRPr="004033B7">
        <w:rPr>
          <w:rFonts w:ascii="Arial Narrow" w:hAnsi="Arial Narrow"/>
        </w:rPr>
        <w:t xml:space="preserve"> 728</w:t>
      </w:r>
      <w:r>
        <w:rPr>
          <w:rFonts w:ascii="Arial Narrow" w:hAnsi="Arial Narrow"/>
        </w:rPr>
        <w:t xml:space="preserve"> </w:t>
      </w:r>
      <w:r w:rsidRPr="004033B7">
        <w:rPr>
          <w:rFonts w:ascii="Arial Narrow" w:hAnsi="Arial Narrow"/>
        </w:rPr>
        <w:t>consider</w:t>
      </w:r>
      <w:r>
        <w:rPr>
          <w:rFonts w:ascii="Arial Narrow" w:hAnsi="Arial Narrow"/>
        </w:rPr>
        <w:t>ou</w:t>
      </w:r>
      <w:r w:rsidRPr="004033B7">
        <w:rPr>
          <w:rFonts w:ascii="Arial Narrow" w:hAnsi="Arial Narrow"/>
        </w:rPr>
        <w:t xml:space="preserve"> que Eichmann exager</w:t>
      </w:r>
      <w:r>
        <w:rPr>
          <w:rFonts w:ascii="Arial Narrow" w:hAnsi="Arial Narrow"/>
        </w:rPr>
        <w:t>ara</w:t>
      </w:r>
      <w:r w:rsidRPr="004033B7">
        <w:rPr>
          <w:rFonts w:ascii="Arial Narrow" w:hAnsi="Arial Narrow"/>
        </w:rPr>
        <w:t xml:space="preserve"> e que a «solução final» teria deixado cinco milhões de judeus mortos. </w:t>
      </w:r>
      <w:r>
        <w:rPr>
          <w:rFonts w:ascii="Arial Narrow" w:hAnsi="Arial Narrow"/>
        </w:rPr>
        <w:t xml:space="preserve">Mais de cinco milhões foi o total aceite por </w:t>
      </w:r>
      <w:r w:rsidRPr="00D13EF7">
        <w:rPr>
          <w:rFonts w:ascii="Arial Narrow" w:hAnsi="Arial Narrow"/>
        </w:rPr>
        <w:t xml:space="preserve">J. C. Fest (1974) 1173. </w:t>
      </w:r>
      <w:r w:rsidRPr="00677AC8">
        <w:rPr>
          <w:rFonts w:ascii="Arial Narrow" w:hAnsi="Arial Narrow"/>
        </w:rPr>
        <w:t xml:space="preserve">Entre quatro milhões e meio e seis milhões </w:t>
      </w:r>
      <w:r>
        <w:rPr>
          <w:rFonts w:ascii="Arial Narrow" w:hAnsi="Arial Narrow"/>
        </w:rPr>
        <w:t xml:space="preserve">foi a cifra adoptada por </w:t>
      </w:r>
      <w:r w:rsidRPr="004033B7">
        <w:rPr>
          <w:rFonts w:ascii="Arial Narrow" w:hAnsi="Arial Narrow"/>
        </w:rPr>
        <w:t>H. Arendt (1994) 125</w:t>
      </w:r>
      <w:r>
        <w:rPr>
          <w:rFonts w:ascii="Arial Narrow" w:hAnsi="Arial Narrow"/>
        </w:rPr>
        <w:t xml:space="preserve"> e, segundo S. Haffner (2011) 135 e 145, o número de judeus mortos estaria entre um mínimo superior a quatro milhões e um máximo de cerca de seis milhões. </w:t>
      </w:r>
      <w:r w:rsidRPr="00077A9A">
        <w:rPr>
          <w:rFonts w:ascii="Arial Narrow" w:hAnsi="Arial Narrow"/>
        </w:rPr>
        <w:t>N</w:t>
      </w:r>
      <w:r>
        <w:rPr>
          <w:rFonts w:ascii="Arial Narrow" w:hAnsi="Arial Narrow"/>
        </w:rPr>
        <w:t xml:space="preserve">. </w:t>
      </w:r>
      <w:r w:rsidRPr="00077A9A">
        <w:rPr>
          <w:rFonts w:ascii="Arial Narrow" w:hAnsi="Arial Narrow"/>
        </w:rPr>
        <w:t>Cohn (1992) 17 n.1</w:t>
      </w:r>
      <w:r>
        <w:rPr>
          <w:rFonts w:ascii="Arial Narrow" w:hAnsi="Arial Narrow"/>
        </w:rPr>
        <w:t xml:space="preserve">, </w:t>
      </w:r>
      <w:r w:rsidRPr="00077A9A">
        <w:rPr>
          <w:rFonts w:ascii="Arial Narrow" w:hAnsi="Arial Narrow"/>
        </w:rPr>
        <w:t>186</w:t>
      </w:r>
      <w:r>
        <w:rPr>
          <w:rFonts w:ascii="Arial Narrow" w:hAnsi="Arial Narrow"/>
        </w:rPr>
        <w:t xml:space="preserve">, </w:t>
      </w:r>
      <w:r w:rsidRPr="00077A9A">
        <w:rPr>
          <w:rFonts w:ascii="Arial Narrow" w:hAnsi="Arial Narrow"/>
        </w:rPr>
        <w:t>207</w:t>
      </w:r>
      <w:r>
        <w:rPr>
          <w:rFonts w:ascii="Arial Narrow" w:hAnsi="Arial Narrow"/>
        </w:rPr>
        <w:t xml:space="preserve"> e </w:t>
      </w:r>
      <w:r w:rsidRPr="005B1B2A">
        <w:rPr>
          <w:rFonts w:ascii="Arial Narrow" w:hAnsi="Arial Narrow"/>
        </w:rPr>
        <w:t>K</w:t>
      </w:r>
      <w:r>
        <w:rPr>
          <w:rFonts w:ascii="Arial Narrow" w:hAnsi="Arial Narrow"/>
        </w:rPr>
        <w:t>.</w:t>
      </w:r>
      <w:r w:rsidRPr="005B1B2A">
        <w:rPr>
          <w:rFonts w:ascii="Arial Narrow" w:hAnsi="Arial Narrow"/>
        </w:rPr>
        <w:t xml:space="preserve"> A. Schleunes (1990) 4 </w:t>
      </w:r>
      <w:r>
        <w:rPr>
          <w:rFonts w:ascii="Arial Narrow" w:hAnsi="Arial Narrow"/>
        </w:rPr>
        <w:t xml:space="preserve">oscilaram entre os cinco e os seis milhões e </w:t>
      </w:r>
      <w:r w:rsidRPr="004033B7">
        <w:rPr>
          <w:rFonts w:ascii="Arial Narrow" w:hAnsi="Arial Narrow"/>
        </w:rPr>
        <w:t>M. Gilbert</w:t>
      </w:r>
      <w:r>
        <w:rPr>
          <w:rFonts w:ascii="Arial Narrow" w:hAnsi="Arial Narrow"/>
        </w:rPr>
        <w:t xml:space="preserve"> (2011 b) II 859, 863 e id.</w:t>
      </w:r>
      <w:r w:rsidRPr="004033B7">
        <w:rPr>
          <w:rFonts w:ascii="Arial Narrow" w:hAnsi="Arial Narrow"/>
        </w:rPr>
        <w:t>, «Final Solution», em I. C. B. Dear et al. (orgs. 1995) 364 e 371 opt</w:t>
      </w:r>
      <w:r>
        <w:rPr>
          <w:rFonts w:ascii="Arial Narrow" w:hAnsi="Arial Narrow"/>
        </w:rPr>
        <w:t>ou</w:t>
      </w:r>
      <w:r w:rsidRPr="004033B7">
        <w:rPr>
          <w:rFonts w:ascii="Arial Narrow" w:hAnsi="Arial Narrow"/>
        </w:rPr>
        <w:t xml:space="preserve"> por seis milhões.</w:t>
      </w:r>
      <w:r>
        <w:rPr>
          <w:rFonts w:ascii="Arial Narrow" w:hAnsi="Arial Narrow"/>
        </w:rPr>
        <w:t xml:space="preserve"> Por seu lado, </w:t>
      </w:r>
      <w:r w:rsidRPr="001D63E4">
        <w:rPr>
          <w:rFonts w:ascii="Arial Narrow" w:hAnsi="Arial Narrow"/>
          <w:bCs/>
        </w:rPr>
        <w:t xml:space="preserve">S. G. Payne </w:t>
      </w:r>
      <w:r w:rsidRPr="001D63E4">
        <w:rPr>
          <w:rFonts w:ascii="Arial Narrow" w:hAnsi="Arial Narrow"/>
        </w:rPr>
        <w:t xml:space="preserve">(2003 b) 381 indicou entre cinco milhões e meio e seis milhões de mortos. </w:t>
      </w:r>
      <w:r>
        <w:rPr>
          <w:rFonts w:ascii="Arial Narrow" w:hAnsi="Arial Narrow"/>
        </w:rPr>
        <w:t xml:space="preserve">Quanto a Jeremy Noakes et al., </w:t>
      </w:r>
      <w:r w:rsidRPr="00EB6084">
        <w:rPr>
          <w:rFonts w:ascii="Arial Narrow" w:hAnsi="Arial Narrow"/>
        </w:rPr>
        <w:t>op. cit.,</w:t>
      </w:r>
      <w:r>
        <w:rPr>
          <w:rFonts w:ascii="Arial Narrow" w:hAnsi="Arial Narrow"/>
        </w:rPr>
        <w:t xml:space="preserve"> III 627 e 629, embora considerassem que «o número total de judeus mortos no programa de extermínio nazi nunca poderá ser conhecido com exactidão», apontaram como mais confiável um total que se aproxima de seis milhões e trezentos mil. É interessante considerar que no último trimestre de 1944 </w:t>
      </w:r>
      <w:r w:rsidRPr="003E305A">
        <w:rPr>
          <w:rFonts w:ascii="Arial Narrow" w:hAnsi="Arial Narrow"/>
        </w:rPr>
        <w:t>um judeu de Dresden calcul</w:t>
      </w:r>
      <w:r>
        <w:rPr>
          <w:rFonts w:ascii="Arial Narrow" w:hAnsi="Arial Narrow"/>
        </w:rPr>
        <w:t>ou</w:t>
      </w:r>
      <w:r w:rsidRPr="003E305A">
        <w:rPr>
          <w:rFonts w:ascii="Arial Narrow" w:hAnsi="Arial Narrow"/>
        </w:rPr>
        <w:t xml:space="preserve"> que seis ou sete milhões dos seus correligionários </w:t>
      </w:r>
      <w:r>
        <w:rPr>
          <w:rFonts w:ascii="Arial Narrow" w:hAnsi="Arial Narrow"/>
        </w:rPr>
        <w:t>tivessem</w:t>
      </w:r>
      <w:r w:rsidRPr="003E305A">
        <w:rPr>
          <w:rFonts w:ascii="Arial Narrow" w:hAnsi="Arial Narrow"/>
        </w:rPr>
        <w:t xml:space="preserve"> sido mortos. Ver a entrada de 24 de Outubro de 1944 do diário de Victor Klemperer em M. Chalmers (org. 2006 b) 430.</w:t>
      </w:r>
    </w:p>
  </w:footnote>
  <w:footnote w:id="622">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I. C. B. Dear et al. </w:t>
      </w:r>
      <w:r w:rsidRPr="003E305A">
        <w:rPr>
          <w:rFonts w:ascii="Arial Narrow" w:hAnsi="Arial Narrow"/>
        </w:rPr>
        <w:t>(orgs. 1995) 324 explica</w:t>
      </w:r>
      <w:r>
        <w:rPr>
          <w:rFonts w:ascii="Arial Narrow" w:hAnsi="Arial Narrow"/>
        </w:rPr>
        <w:t>ra</w:t>
      </w:r>
      <w:r w:rsidRPr="003E305A">
        <w:rPr>
          <w:rFonts w:ascii="Arial Narrow" w:hAnsi="Arial Narrow"/>
        </w:rPr>
        <w:t>m que os Einsatzgruppen actuantes nos territórios soviéticos ocupados haviam recebido ordem «para matar sistematicamente todos os judeus e comissários políticos soviéticos» e indica</w:t>
      </w:r>
      <w:r>
        <w:rPr>
          <w:rFonts w:ascii="Arial Narrow" w:hAnsi="Arial Narrow"/>
        </w:rPr>
        <w:t>ra</w:t>
      </w:r>
      <w:r w:rsidRPr="003E305A">
        <w:rPr>
          <w:rFonts w:ascii="Arial Narrow" w:hAnsi="Arial Narrow"/>
        </w:rPr>
        <w:t xml:space="preserve">m </w:t>
      </w:r>
      <w:r>
        <w:rPr>
          <w:rFonts w:ascii="Arial Narrow" w:hAnsi="Arial Narrow"/>
        </w:rPr>
        <w:t xml:space="preserve">(pág. 110) </w:t>
      </w:r>
      <w:r w:rsidRPr="003E305A">
        <w:rPr>
          <w:rFonts w:ascii="Arial Narrow" w:hAnsi="Arial Narrow"/>
        </w:rPr>
        <w:t>que tanto liquidavam judeus como eslavos. Mais explicitamente ainda, os documentos da época citados por R. Bessel, «RSHA», em id., ibid., 970 estabelecem que os Einsatzgruppen tinham por função «combater todos os elementos hostis ao Reich e aos alemães na retaguarda das forças militares activas» e se destinavam, entre outras coisas, a deter «pessoas politicamente suspeitas». Ver no mesmo sentido</w:t>
      </w:r>
      <w:r>
        <w:rPr>
          <w:rFonts w:ascii="Arial Narrow" w:hAnsi="Arial Narrow"/>
        </w:rPr>
        <w:t>:</w:t>
      </w:r>
      <w:r w:rsidRPr="003E305A">
        <w:rPr>
          <w:rFonts w:ascii="Arial Narrow" w:hAnsi="Arial Narrow"/>
        </w:rPr>
        <w:t xml:space="preserve"> </w:t>
      </w:r>
      <w:r>
        <w:rPr>
          <w:rFonts w:ascii="Arial Narrow" w:hAnsi="Arial Narrow"/>
        </w:rPr>
        <w:t xml:space="preserve">A. Beevor (2010) 50, 159; H. G. Dahms (1968) II 199; </w:t>
      </w:r>
      <w:r w:rsidRPr="003E305A">
        <w:rPr>
          <w:rFonts w:ascii="Arial Narrow" w:hAnsi="Arial Narrow"/>
        </w:rPr>
        <w:t>H. L. Feingold (1995) 65</w:t>
      </w:r>
      <w:r>
        <w:rPr>
          <w:rFonts w:ascii="Arial Narrow" w:hAnsi="Arial Narrow"/>
        </w:rPr>
        <w:t>;</w:t>
      </w:r>
      <w:r w:rsidRPr="003E305A">
        <w:rPr>
          <w:rFonts w:ascii="Arial Narrow" w:hAnsi="Arial Narrow"/>
        </w:rPr>
        <w:t xml:space="preserve"> </w:t>
      </w:r>
      <w:r w:rsidRPr="00571354">
        <w:rPr>
          <w:rFonts w:ascii="Arial Narrow" w:hAnsi="Arial Narrow"/>
        </w:rPr>
        <w:t>J. C. Fest (1974) 1112</w:t>
      </w:r>
      <w:r>
        <w:rPr>
          <w:rFonts w:ascii="Arial Narrow" w:hAnsi="Arial Narrow"/>
        </w:rPr>
        <w:t>, 1116</w:t>
      </w:r>
      <w:r w:rsidRPr="00571354">
        <w:rPr>
          <w:rFonts w:ascii="Arial Narrow" w:hAnsi="Arial Narrow"/>
        </w:rPr>
        <w:t xml:space="preserve">; </w:t>
      </w:r>
      <w:r>
        <w:rPr>
          <w:rFonts w:ascii="Arial Narrow" w:hAnsi="Arial Narrow"/>
        </w:rPr>
        <w:t xml:space="preserve">M. Gilbert (2011 b) I 246, 250, 287; </w:t>
      </w:r>
      <w:r w:rsidRPr="003E305A">
        <w:rPr>
          <w:rFonts w:ascii="Arial Narrow" w:hAnsi="Arial Narrow"/>
        </w:rPr>
        <w:t>S. Littman (2003) 36</w:t>
      </w:r>
      <w:r>
        <w:rPr>
          <w:rFonts w:ascii="Arial Narrow" w:hAnsi="Arial Narrow"/>
        </w:rPr>
        <w:t>; J. Noakes et al. (orgs. 2008-2010) III 486, 488</w:t>
      </w:r>
      <w:r w:rsidRPr="003E305A">
        <w:rPr>
          <w:rFonts w:ascii="Arial Narrow" w:hAnsi="Arial Narrow"/>
        </w:rPr>
        <w:t xml:space="preserve">. </w:t>
      </w:r>
      <w:r>
        <w:rPr>
          <w:rFonts w:ascii="Arial Narrow" w:hAnsi="Arial Narrow"/>
        </w:rPr>
        <w:t xml:space="preserve">Por seu lado, </w:t>
      </w:r>
      <w:r w:rsidRPr="00506DB5">
        <w:rPr>
          <w:rFonts w:ascii="Arial Narrow" w:hAnsi="Arial Narrow"/>
        </w:rPr>
        <w:t xml:space="preserve">S. Friedländer (2008) 365 limitou-se a indicar que centenas de milhares de civis russos foram executados pela Wehrmacht e pelos </w:t>
      </w:r>
      <w:r w:rsidRPr="003E305A">
        <w:rPr>
          <w:rFonts w:ascii="Arial Narrow" w:hAnsi="Arial Narrow"/>
        </w:rPr>
        <w:t>Einsatzgruppen</w:t>
      </w:r>
      <w:r>
        <w:rPr>
          <w:rFonts w:ascii="Arial Narrow" w:hAnsi="Arial Narrow"/>
        </w:rPr>
        <w:t>, mas foi mais pormenorizado na pág. 545.</w:t>
      </w:r>
      <w:r w:rsidRPr="003E305A">
        <w:rPr>
          <w:rFonts w:ascii="Arial Narrow" w:hAnsi="Arial Narrow"/>
        </w:rPr>
        <w:t xml:space="preserve"> O texto de uma conferência proferida por dois membros da Gestapo, citado por E. Kogon (2002) 261, menciona os judeus no interior de uma longa lista de comunistas e funcionários da administração soviética e explica que todos eles deveriam ser alvo dos Einsatzgruppen. A. Bullock (1972) 702 confirm</w:t>
      </w:r>
      <w:r>
        <w:rPr>
          <w:rFonts w:ascii="Arial Narrow" w:hAnsi="Arial Narrow"/>
        </w:rPr>
        <w:t>ou</w:t>
      </w:r>
      <w:r w:rsidRPr="003E305A">
        <w:rPr>
          <w:rFonts w:ascii="Arial Narrow" w:hAnsi="Arial Narrow"/>
        </w:rPr>
        <w:t xml:space="preserve"> que a função dos Einsatzgruppen consistia no «extermínio da população judaica e ainda dos funcionários comunistas». </w:t>
      </w:r>
      <w:r>
        <w:rPr>
          <w:rFonts w:ascii="Arial Narrow" w:hAnsi="Arial Narrow"/>
        </w:rPr>
        <w:t xml:space="preserve">Também </w:t>
      </w:r>
      <w:r w:rsidRPr="003E305A">
        <w:rPr>
          <w:rFonts w:ascii="Arial Narrow" w:hAnsi="Arial Narrow"/>
        </w:rPr>
        <w:t>J. Billig (2000) 281 mencion</w:t>
      </w:r>
      <w:r>
        <w:rPr>
          <w:rFonts w:ascii="Arial Narrow" w:hAnsi="Arial Narrow"/>
        </w:rPr>
        <w:t>ou</w:t>
      </w:r>
      <w:r w:rsidRPr="003E305A">
        <w:rPr>
          <w:rFonts w:ascii="Arial Narrow" w:hAnsi="Arial Narrow"/>
        </w:rPr>
        <w:t xml:space="preserve"> «os extermínios dos judeus e das populações de Leste cometidos sob a égide da Reichssicherheitshauptamt [os Einsatzgruppen dependiam da RSHA]» e S. Wiesenthal (1989) 286 especific</w:t>
      </w:r>
      <w:r>
        <w:rPr>
          <w:rFonts w:ascii="Arial Narrow" w:hAnsi="Arial Narrow"/>
        </w:rPr>
        <w:t>ou</w:t>
      </w:r>
      <w:r w:rsidRPr="003E305A">
        <w:rPr>
          <w:rFonts w:ascii="Arial Narrow" w:hAnsi="Arial Narrow"/>
        </w:rPr>
        <w:t xml:space="preserve">, referindo-se aos Einsatzgruppen, que «a única função destes destacamentos especiais foi matar judeus, comunistas e ciganos atrás da frente de combate». </w:t>
      </w:r>
      <w:r>
        <w:rPr>
          <w:rFonts w:ascii="Arial Narrow" w:hAnsi="Arial Narrow"/>
        </w:rPr>
        <w:t xml:space="preserve">F. MacLean (1998) 89 relatou um fuzilamento em massa de judeus e guerrilheiros realizado por um Einsatzkommando em Agosto de 1941, perto de Minsk, e mostrou (págs. 89-90, 247-248) que o alvo dos Einsatzgruppen eram tanto os judeus como a resistência soviética. Este historiador resumiu bem o objectivo dos Einsatzgruppen ao chamar a atenção (pág. 247) para «a maneira como a acção antiguerrilha se fundiu com a Solução Final». Ver igualmente id., ibid., 262. </w:t>
      </w:r>
      <w:r w:rsidRPr="003E305A">
        <w:rPr>
          <w:rFonts w:ascii="Arial Narrow" w:hAnsi="Arial Narrow"/>
        </w:rPr>
        <w:t>Também H. Arendt (1994) 79 afirm</w:t>
      </w:r>
      <w:r>
        <w:rPr>
          <w:rFonts w:ascii="Arial Narrow" w:hAnsi="Arial Narrow"/>
        </w:rPr>
        <w:t>ou</w:t>
      </w:r>
      <w:r w:rsidRPr="003E305A">
        <w:rPr>
          <w:rFonts w:ascii="Arial Narrow" w:hAnsi="Arial Narrow"/>
        </w:rPr>
        <w:t xml:space="preserve"> que a função dos Einsatzgruppen consistia em «massacrar a população civil nativa e especialmente os judeus». Mas os objectivos destes Comandos de </w:t>
      </w:r>
      <w:r>
        <w:rPr>
          <w:rFonts w:ascii="Arial Narrow" w:hAnsi="Arial Narrow"/>
        </w:rPr>
        <w:t>Acção</w:t>
      </w:r>
      <w:r w:rsidRPr="003E305A">
        <w:rPr>
          <w:rFonts w:ascii="Arial Narrow" w:hAnsi="Arial Narrow"/>
        </w:rPr>
        <w:t xml:space="preserve"> </w:t>
      </w:r>
      <w:r>
        <w:rPr>
          <w:rFonts w:ascii="Arial Narrow" w:hAnsi="Arial Narrow"/>
        </w:rPr>
        <w:t xml:space="preserve">Especiais </w:t>
      </w:r>
      <w:r w:rsidRPr="003E305A">
        <w:rPr>
          <w:rFonts w:ascii="Arial Narrow" w:hAnsi="Arial Narrow"/>
        </w:rPr>
        <w:t>eram ainda mais amplos, como esta autora observ</w:t>
      </w:r>
      <w:r>
        <w:rPr>
          <w:rFonts w:ascii="Arial Narrow" w:hAnsi="Arial Narrow"/>
        </w:rPr>
        <w:t>ou</w:t>
      </w:r>
      <w:r w:rsidRPr="003E305A">
        <w:rPr>
          <w:rFonts w:ascii="Arial Narrow" w:hAnsi="Arial Narrow"/>
        </w:rPr>
        <w:t xml:space="preserve"> </w:t>
      </w:r>
      <w:r>
        <w:rPr>
          <w:rFonts w:ascii="Arial Narrow" w:hAnsi="Arial Narrow"/>
        </w:rPr>
        <w:t xml:space="preserve">(pág. </w:t>
      </w:r>
      <w:r w:rsidRPr="003E305A">
        <w:rPr>
          <w:rFonts w:ascii="Arial Narrow" w:hAnsi="Arial Narrow"/>
        </w:rPr>
        <w:t>106</w:t>
      </w:r>
      <w:r>
        <w:rPr>
          <w:rFonts w:ascii="Arial Narrow" w:hAnsi="Arial Narrow"/>
        </w:rPr>
        <w:t>)</w:t>
      </w:r>
      <w:r w:rsidRPr="003E305A">
        <w:rPr>
          <w:rFonts w:ascii="Arial Narrow" w:hAnsi="Arial Narrow"/>
        </w:rPr>
        <w:t xml:space="preserve">, pois «de modo </w:t>
      </w:r>
      <w:r>
        <w:rPr>
          <w:rFonts w:ascii="Arial Narrow" w:hAnsi="Arial Narrow"/>
        </w:rPr>
        <w:t>nenhum</w:t>
      </w:r>
      <w:r w:rsidRPr="003E305A">
        <w:rPr>
          <w:rFonts w:ascii="Arial Narrow" w:hAnsi="Arial Narrow"/>
        </w:rPr>
        <w:t xml:space="preserve"> faziam vítimas só entre os judeus. Além dos participantes efectivos na guerrilha, ocupavam-se dos funcionários russos, dos ciganos, dos marginais, dos loucos e dos judeus». Ver no mesmo sentido R. Hilberg (1961) 643. Aliás, Hannah Arendt, </w:t>
      </w:r>
      <w:r w:rsidRPr="00336611">
        <w:rPr>
          <w:rFonts w:ascii="Arial Narrow" w:hAnsi="Arial Narrow"/>
        </w:rPr>
        <w:t>op. cit.,</w:t>
      </w:r>
      <w:r w:rsidRPr="003E305A">
        <w:rPr>
          <w:rFonts w:ascii="Arial Narrow" w:hAnsi="Arial Narrow"/>
        </w:rPr>
        <w:t xml:space="preserve"> 95 record</w:t>
      </w:r>
      <w:r>
        <w:rPr>
          <w:rFonts w:ascii="Arial Narrow" w:hAnsi="Arial Narrow"/>
        </w:rPr>
        <w:t>ou</w:t>
      </w:r>
      <w:r w:rsidRPr="003E305A">
        <w:rPr>
          <w:rFonts w:ascii="Arial Narrow" w:hAnsi="Arial Narrow"/>
        </w:rPr>
        <w:t xml:space="preserve"> que tanto os judeus da Europa oriental como os comunistas soviéticos e os intelectuais polacos estavam destinados ao extermínio e escreve</w:t>
      </w:r>
      <w:r>
        <w:rPr>
          <w:rFonts w:ascii="Arial Narrow" w:hAnsi="Arial Narrow"/>
        </w:rPr>
        <w:t>u</w:t>
      </w:r>
      <w:r w:rsidRPr="003E305A">
        <w:rPr>
          <w:rFonts w:ascii="Arial Narrow" w:hAnsi="Arial Narrow"/>
        </w:rPr>
        <w:t xml:space="preserve"> </w:t>
      </w:r>
      <w:r>
        <w:rPr>
          <w:rFonts w:ascii="Arial Narrow" w:hAnsi="Arial Narrow"/>
        </w:rPr>
        <w:t>(</w:t>
      </w:r>
      <w:r w:rsidRPr="003E305A">
        <w:rPr>
          <w:rFonts w:ascii="Arial Narrow" w:hAnsi="Arial Narrow"/>
        </w:rPr>
        <w:t>pág. 101</w:t>
      </w:r>
      <w:r>
        <w:rPr>
          <w:rFonts w:ascii="Arial Narrow" w:hAnsi="Arial Narrow"/>
        </w:rPr>
        <w:t xml:space="preserve">) </w:t>
      </w:r>
      <w:r w:rsidRPr="003E305A">
        <w:rPr>
          <w:rFonts w:ascii="Arial Narrow" w:hAnsi="Arial Narrow"/>
        </w:rPr>
        <w:t xml:space="preserve">que «todos os funcionários soviéticos e, é claro, todos os judeus deviam pura </w:t>
      </w:r>
      <w:r>
        <w:rPr>
          <w:rFonts w:ascii="Arial Narrow" w:hAnsi="Arial Narrow"/>
        </w:rPr>
        <w:t>e simplesmente ser chacinados».</w:t>
      </w:r>
    </w:p>
  </w:footnote>
  <w:footnote w:id="623">
    <w:p w:rsidR="00392E0D" w:rsidRPr="00B2463D" w:rsidRDefault="00392E0D" w:rsidP="00852CB3">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R. L. Koehl (1983) 163.</w:t>
      </w:r>
    </w:p>
  </w:footnote>
  <w:footnote w:id="624">
    <w:p w:rsidR="00392E0D" w:rsidRPr="00ED05A9" w:rsidRDefault="00392E0D" w:rsidP="00852CB3">
      <w:pPr>
        <w:pStyle w:val="Textodenotaderodap"/>
        <w:rPr>
          <w:rFonts w:ascii="Arial Narrow" w:hAnsi="Arial Narrow"/>
          <w:lang w:val="de-DE"/>
        </w:rPr>
      </w:pPr>
      <w:r w:rsidRPr="00ED05A9">
        <w:rPr>
          <w:rStyle w:val="Refdenotaderodap"/>
          <w:rFonts w:ascii="Arial Narrow" w:hAnsi="Arial Narrow"/>
        </w:rPr>
        <w:footnoteRef/>
      </w:r>
      <w:r w:rsidRPr="00ED05A9">
        <w:rPr>
          <w:rFonts w:ascii="Arial Narrow" w:hAnsi="Arial Narrow"/>
          <w:lang w:val="de-DE"/>
        </w:rPr>
        <w:t xml:space="preserve"> J. Noakes et al. (orgs. </w:t>
      </w:r>
      <w:r>
        <w:rPr>
          <w:rFonts w:ascii="Arial Narrow" w:hAnsi="Arial Narrow"/>
          <w:lang w:val="de-DE"/>
        </w:rPr>
        <w:t>2008-2010) III 347.</w:t>
      </w:r>
    </w:p>
  </w:footnote>
  <w:footnote w:id="625">
    <w:p w:rsidR="00392E0D" w:rsidRPr="008B3F37" w:rsidRDefault="00392E0D">
      <w:pPr>
        <w:pStyle w:val="Textodenotaderodap"/>
        <w:rPr>
          <w:rFonts w:ascii="Arial Narrow" w:hAnsi="Arial Narrow"/>
        </w:rPr>
      </w:pPr>
      <w:r w:rsidRPr="00346863">
        <w:rPr>
          <w:rStyle w:val="Refdenotaderodap"/>
          <w:rFonts w:ascii="Arial Narrow" w:hAnsi="Arial Narrow"/>
        </w:rPr>
        <w:footnoteRef/>
      </w:r>
      <w:r w:rsidRPr="00346863">
        <w:rPr>
          <w:rFonts w:ascii="Arial Narrow" w:hAnsi="Arial Narrow"/>
        </w:rPr>
        <w:t xml:space="preserve"> </w:t>
      </w:r>
      <w:r>
        <w:rPr>
          <w:rFonts w:ascii="Arial Narrow" w:hAnsi="Arial Narrow"/>
        </w:rPr>
        <w:t xml:space="preserve">Citado em id., ibid., </w:t>
      </w:r>
      <w:r w:rsidRPr="008B3F37">
        <w:rPr>
          <w:rFonts w:ascii="Arial Narrow" w:hAnsi="Arial Narrow"/>
        </w:rPr>
        <w:t>III 486.</w:t>
      </w:r>
    </w:p>
  </w:footnote>
  <w:footnote w:id="626">
    <w:p w:rsidR="00392E0D" w:rsidRPr="00571354" w:rsidRDefault="00392E0D">
      <w:pPr>
        <w:pStyle w:val="Textodenotaderodap"/>
        <w:rPr>
          <w:rFonts w:ascii="Arial Narrow" w:hAnsi="Arial Narrow"/>
          <w:lang w:val="en-US"/>
        </w:rPr>
      </w:pPr>
      <w:r w:rsidRPr="00571354">
        <w:rPr>
          <w:rStyle w:val="Refdenotaderodap"/>
          <w:rFonts w:ascii="Arial Narrow" w:hAnsi="Arial Narrow"/>
        </w:rPr>
        <w:footnoteRef/>
      </w:r>
      <w:r w:rsidRPr="00571354">
        <w:rPr>
          <w:rFonts w:ascii="Arial Narrow" w:hAnsi="Arial Narrow"/>
          <w:lang w:val="en-US"/>
        </w:rPr>
        <w:t xml:space="preserve"> J. C. Fest (1974)</w:t>
      </w:r>
      <w:r>
        <w:rPr>
          <w:rFonts w:ascii="Arial Narrow" w:hAnsi="Arial Narrow"/>
          <w:lang w:val="en-US"/>
        </w:rPr>
        <w:t xml:space="preserve"> 1114.</w:t>
      </w:r>
    </w:p>
  </w:footnote>
  <w:footnote w:id="627">
    <w:p w:rsidR="00392E0D" w:rsidRPr="00ED05A9" w:rsidRDefault="00392E0D" w:rsidP="00321E01">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J. Förster, «Germany», em I. C. B. Dear et al. </w:t>
      </w:r>
      <w:r w:rsidRPr="00ED05A9">
        <w:rPr>
          <w:rFonts w:ascii="Arial Narrow" w:hAnsi="Arial Narrow"/>
          <w:lang w:val="de-DE"/>
        </w:rPr>
        <w:t>(orgs. 1995) 465.</w:t>
      </w:r>
    </w:p>
  </w:footnote>
  <w:footnote w:id="628">
    <w:p w:rsidR="00392E0D" w:rsidRPr="003A50E5" w:rsidRDefault="00392E0D">
      <w:pPr>
        <w:pStyle w:val="Textodenotaderodap"/>
        <w:rPr>
          <w:rFonts w:ascii="Arial Narrow" w:hAnsi="Arial Narrow"/>
        </w:rPr>
      </w:pPr>
      <w:r w:rsidRPr="003A50E5">
        <w:rPr>
          <w:rStyle w:val="Refdenotaderodap"/>
          <w:rFonts w:ascii="Arial Narrow" w:hAnsi="Arial Narrow"/>
        </w:rPr>
        <w:footnoteRef/>
      </w:r>
      <w:r w:rsidRPr="00ED05A9">
        <w:rPr>
          <w:rFonts w:ascii="Arial Narrow" w:hAnsi="Arial Narrow"/>
          <w:lang w:val="de-DE"/>
        </w:rPr>
        <w:t xml:space="preserve"> Citado em M. Gilbert (2011 b) I 22</w:t>
      </w:r>
      <w:r>
        <w:rPr>
          <w:rFonts w:ascii="Arial Narrow" w:hAnsi="Arial Narrow"/>
        </w:rPr>
        <w:t>2.</w:t>
      </w:r>
    </w:p>
  </w:footnote>
  <w:footnote w:id="629">
    <w:p w:rsidR="00392E0D" w:rsidRPr="000061E2" w:rsidRDefault="00392E0D">
      <w:pPr>
        <w:pStyle w:val="Textodenotaderodap"/>
        <w:rPr>
          <w:rFonts w:ascii="Arial Narrow" w:hAnsi="Arial Narrow"/>
        </w:rPr>
      </w:pPr>
      <w:r w:rsidRPr="005C482B">
        <w:rPr>
          <w:rStyle w:val="Refdenotaderodap"/>
          <w:rFonts w:ascii="Arial Narrow" w:hAnsi="Arial Narrow"/>
        </w:rPr>
        <w:footnoteRef/>
      </w:r>
      <w:r w:rsidRPr="005C482B">
        <w:rPr>
          <w:rFonts w:ascii="Arial Narrow" w:hAnsi="Arial Narrow"/>
        </w:rPr>
        <w:t xml:space="preserve"> </w:t>
      </w:r>
      <w:r>
        <w:rPr>
          <w:rFonts w:ascii="Arial Narrow" w:hAnsi="Arial Narrow"/>
        </w:rPr>
        <w:t xml:space="preserve">Citado em J. Noakes et al. </w:t>
      </w:r>
      <w:r w:rsidRPr="000061E2">
        <w:rPr>
          <w:rFonts w:ascii="Arial Narrow" w:hAnsi="Arial Narrow"/>
        </w:rPr>
        <w:t>(orgs. 2008-2010) III 489. Ver ainda S. Friedländer (2008) 323.</w:t>
      </w:r>
    </w:p>
  </w:footnote>
  <w:footnote w:id="630">
    <w:p w:rsidR="00392E0D" w:rsidRPr="00321E01"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321E01">
        <w:rPr>
          <w:rFonts w:ascii="Arial Narrow" w:hAnsi="Arial Narrow"/>
          <w:lang w:val="en-US"/>
        </w:rPr>
        <w:t xml:space="preserve"> H. Arendt (1994) 95.</w:t>
      </w:r>
    </w:p>
  </w:footnote>
  <w:footnote w:id="631">
    <w:p w:rsidR="00392E0D" w:rsidRPr="000E64B7" w:rsidRDefault="00392E0D">
      <w:pPr>
        <w:pStyle w:val="Textodenotaderodap"/>
        <w:rPr>
          <w:rFonts w:ascii="Arial Narrow" w:hAnsi="Arial Narrow"/>
          <w:lang w:val="en-US"/>
        </w:rPr>
      </w:pPr>
      <w:r w:rsidRPr="00AC7DC8">
        <w:rPr>
          <w:rStyle w:val="Refdenotaderodap"/>
          <w:rFonts w:ascii="Arial Narrow" w:hAnsi="Arial Narrow"/>
        </w:rPr>
        <w:footnoteRef/>
      </w:r>
      <w:r w:rsidRPr="000E64B7">
        <w:rPr>
          <w:rFonts w:ascii="Arial Narrow" w:hAnsi="Arial Narrow"/>
          <w:lang w:val="en-US"/>
        </w:rPr>
        <w:t xml:space="preserve"> S. Friedländer (2008) 545; M. Gilbert (2011 b) I 252, 259, 262, 274, 287, 293, 298, 311, 335, 343, 345, 349, 354, 356; F. MacLean (1998) 93.</w:t>
      </w:r>
    </w:p>
  </w:footnote>
  <w:footnote w:id="632">
    <w:p w:rsidR="00392E0D" w:rsidRPr="008C538F" w:rsidRDefault="00392E0D">
      <w:pPr>
        <w:pStyle w:val="Textodenotaderodap"/>
        <w:rPr>
          <w:rFonts w:ascii="Arial Narrow" w:hAnsi="Arial Narrow"/>
        </w:rPr>
      </w:pPr>
      <w:r w:rsidRPr="008C538F">
        <w:rPr>
          <w:rStyle w:val="Refdenotaderodap"/>
          <w:rFonts w:ascii="Arial Narrow" w:hAnsi="Arial Narrow"/>
        </w:rPr>
        <w:footnoteRef/>
      </w:r>
      <w:r w:rsidRPr="008C538F">
        <w:rPr>
          <w:rFonts w:ascii="Arial Narrow" w:hAnsi="Arial Narrow"/>
        </w:rPr>
        <w:t xml:space="preserve"> </w:t>
      </w:r>
      <w:r>
        <w:rPr>
          <w:rFonts w:ascii="Arial Narrow" w:hAnsi="Arial Narrow"/>
        </w:rPr>
        <w:t>M. Gilbert (2011 b) I 256.</w:t>
      </w:r>
    </w:p>
  </w:footnote>
  <w:footnote w:id="633">
    <w:p w:rsidR="00392E0D" w:rsidRPr="00816141" w:rsidRDefault="00392E0D" w:rsidP="00321E01">
      <w:pPr>
        <w:pStyle w:val="Textodenotaderodap"/>
        <w:rPr>
          <w:rFonts w:ascii="Arial Narrow" w:hAnsi="Arial Narrow"/>
          <w:b/>
        </w:rPr>
      </w:pPr>
      <w:r w:rsidRPr="003E305A">
        <w:rPr>
          <w:rStyle w:val="Refdenotaderodap"/>
          <w:rFonts w:ascii="Arial Narrow" w:hAnsi="Arial Narrow"/>
        </w:rPr>
        <w:footnoteRef/>
      </w:r>
      <w:r w:rsidRPr="00816141">
        <w:rPr>
          <w:rFonts w:ascii="Arial Narrow" w:hAnsi="Arial Narrow"/>
        </w:rPr>
        <w:t xml:space="preserve"> </w:t>
      </w:r>
      <w:r>
        <w:rPr>
          <w:rFonts w:ascii="Arial Narrow" w:hAnsi="Arial Narrow"/>
        </w:rPr>
        <w:t xml:space="preserve">S. Haffner (2011) 135; </w:t>
      </w:r>
      <w:r w:rsidRPr="00816141">
        <w:rPr>
          <w:rFonts w:ascii="Arial Narrow" w:hAnsi="Arial Narrow"/>
        </w:rPr>
        <w:t>W. L. Shirer (1995) II 371 n.</w:t>
      </w:r>
      <w:r>
        <w:rPr>
          <w:rFonts w:ascii="Arial Narrow" w:hAnsi="Arial Narrow"/>
        </w:rPr>
        <w:t xml:space="preserve"> Ver ainda M. Gilbert (2011 b) I 279. Sucedeu também que fossem mencionados em conjunto sérvios e judeus, como se vê em Martin Gilbert, </w:t>
      </w:r>
      <w:r w:rsidRPr="00C5359B">
        <w:rPr>
          <w:rFonts w:ascii="Arial Narrow" w:hAnsi="Arial Narrow"/>
        </w:rPr>
        <w:t>op. cit.,</w:t>
      </w:r>
      <w:r>
        <w:rPr>
          <w:rFonts w:ascii="Arial Narrow" w:hAnsi="Arial Narrow"/>
        </w:rPr>
        <w:t xml:space="preserve"> I 284. </w:t>
      </w:r>
      <w:r w:rsidRPr="003E305A">
        <w:rPr>
          <w:rFonts w:ascii="Arial Narrow" w:hAnsi="Arial Narrow"/>
        </w:rPr>
        <w:t>Não compreend</w:t>
      </w:r>
      <w:r>
        <w:rPr>
          <w:rFonts w:ascii="Arial Narrow" w:hAnsi="Arial Narrow"/>
        </w:rPr>
        <w:t>o</w:t>
      </w:r>
      <w:r w:rsidRPr="003E305A">
        <w:rPr>
          <w:rFonts w:ascii="Arial Narrow" w:hAnsi="Arial Narrow"/>
        </w:rPr>
        <w:t xml:space="preserve"> que H</w:t>
      </w:r>
      <w:r>
        <w:rPr>
          <w:rFonts w:ascii="Arial Narrow" w:hAnsi="Arial Narrow"/>
        </w:rPr>
        <w:t xml:space="preserve">. </w:t>
      </w:r>
      <w:r w:rsidRPr="003E305A">
        <w:rPr>
          <w:rFonts w:ascii="Arial Narrow" w:hAnsi="Arial Narrow"/>
        </w:rPr>
        <w:t>Arendt (1994) 15</w:t>
      </w:r>
      <w:r>
        <w:rPr>
          <w:rFonts w:ascii="Arial Narrow" w:hAnsi="Arial Narrow"/>
        </w:rPr>
        <w:t xml:space="preserve"> pudesse</w:t>
      </w:r>
      <w:r w:rsidRPr="003E305A">
        <w:rPr>
          <w:rFonts w:ascii="Arial Narrow" w:hAnsi="Arial Narrow"/>
        </w:rPr>
        <w:t xml:space="preserve"> relatar que um membro dos Einsatzgruppen foi tardiamente condenado na República Federal Alemã a uma pena de prisão, aliás bastante reduzida, pela responsabilidade na morte de quinze mil judeus, sem explicar como se conseguiu distinguir com exactidão entre as liquidações étnicas e as ideológicas</w:t>
      </w:r>
      <w:r>
        <w:rPr>
          <w:rFonts w:ascii="Arial Narrow" w:hAnsi="Arial Narrow"/>
        </w:rPr>
        <w:t>;</w:t>
      </w:r>
      <w:r w:rsidRPr="003E305A">
        <w:rPr>
          <w:rFonts w:ascii="Arial Narrow" w:hAnsi="Arial Narrow"/>
        </w:rPr>
        <w:t xml:space="preserve"> o mesmo problema se coloca quando esta autora refer</w:t>
      </w:r>
      <w:r>
        <w:rPr>
          <w:rFonts w:ascii="Arial Narrow" w:hAnsi="Arial Narrow"/>
        </w:rPr>
        <w:t>iu</w:t>
      </w:r>
      <w:r w:rsidRPr="003E305A">
        <w:rPr>
          <w:rFonts w:ascii="Arial Narrow" w:hAnsi="Arial Narrow"/>
        </w:rPr>
        <w:t xml:space="preserve"> (pág. 74) que o comandante de um dos Comandos de </w:t>
      </w:r>
      <w:r>
        <w:rPr>
          <w:rFonts w:ascii="Arial Narrow" w:hAnsi="Arial Narrow"/>
        </w:rPr>
        <w:t>Acção</w:t>
      </w:r>
      <w:r w:rsidRPr="003E305A">
        <w:rPr>
          <w:rFonts w:ascii="Arial Narrow" w:hAnsi="Arial Narrow"/>
        </w:rPr>
        <w:t xml:space="preserve"> </w:t>
      </w:r>
      <w:r>
        <w:rPr>
          <w:rFonts w:ascii="Arial Narrow" w:hAnsi="Arial Narrow"/>
        </w:rPr>
        <w:t xml:space="preserve">Especiais </w:t>
      </w:r>
      <w:r w:rsidRPr="003E305A">
        <w:rPr>
          <w:rFonts w:ascii="Arial Narrow" w:hAnsi="Arial Narrow"/>
        </w:rPr>
        <w:t>organiz</w:t>
      </w:r>
      <w:r>
        <w:rPr>
          <w:rFonts w:ascii="Arial Narrow" w:hAnsi="Arial Narrow"/>
        </w:rPr>
        <w:t>ara</w:t>
      </w:r>
      <w:r w:rsidRPr="003E305A">
        <w:rPr>
          <w:rFonts w:ascii="Arial Narrow" w:hAnsi="Arial Narrow"/>
        </w:rPr>
        <w:t xml:space="preserve"> a morte de duzentos e cinquenta mil judeus.</w:t>
      </w:r>
    </w:p>
  </w:footnote>
  <w:footnote w:id="634">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R. Hilberg (1961) 224.</w:t>
      </w:r>
    </w:p>
  </w:footnote>
  <w:footnote w:id="635">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404.</w:t>
      </w:r>
    </w:p>
  </w:footnote>
  <w:footnote w:id="636">
    <w:p w:rsidR="00392E0D" w:rsidRPr="003E305A" w:rsidRDefault="00392E0D" w:rsidP="00321E01">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J. Galtier-Boissière (1994) 802 (sub. orig.).</w:t>
      </w:r>
    </w:p>
  </w:footnote>
  <w:footnote w:id="637">
    <w:p w:rsidR="00392E0D" w:rsidRPr="00227BA1" w:rsidRDefault="00392E0D">
      <w:pPr>
        <w:pStyle w:val="Textodenotaderodap"/>
        <w:rPr>
          <w:rFonts w:ascii="Arial Narrow" w:hAnsi="Arial Narrow"/>
          <w:lang w:val="en-US"/>
        </w:rPr>
      </w:pPr>
      <w:r w:rsidRPr="006940F9">
        <w:rPr>
          <w:rStyle w:val="Refdenotaderodap"/>
          <w:rFonts w:ascii="Arial Narrow" w:hAnsi="Arial Narrow"/>
        </w:rPr>
        <w:footnoteRef/>
      </w:r>
      <w:r w:rsidRPr="006940F9">
        <w:rPr>
          <w:rFonts w:ascii="Arial Narrow" w:hAnsi="Arial Narrow"/>
        </w:rPr>
        <w:t xml:space="preserve"> </w:t>
      </w:r>
      <w:r>
        <w:rPr>
          <w:rFonts w:ascii="Arial Narrow" w:hAnsi="Arial Narrow"/>
        </w:rPr>
        <w:t xml:space="preserve">Citado em J. Noakes et al. </w:t>
      </w:r>
      <w:r w:rsidRPr="00227BA1">
        <w:rPr>
          <w:rFonts w:ascii="Arial Narrow" w:hAnsi="Arial Narrow"/>
          <w:lang w:val="en-US"/>
        </w:rPr>
        <w:t>(orgs. 200</w:t>
      </w:r>
      <w:r>
        <w:rPr>
          <w:rFonts w:ascii="Arial Narrow" w:hAnsi="Arial Narrow"/>
          <w:lang w:val="en-US"/>
        </w:rPr>
        <w:t>8-2010</w:t>
      </w:r>
      <w:r w:rsidRPr="00227BA1">
        <w:rPr>
          <w:rFonts w:ascii="Arial Narrow" w:hAnsi="Arial Narrow"/>
          <w:lang w:val="en-US"/>
        </w:rPr>
        <w:t xml:space="preserve">) </w:t>
      </w:r>
      <w:r>
        <w:rPr>
          <w:rFonts w:ascii="Arial Narrow" w:hAnsi="Arial Narrow"/>
          <w:lang w:val="en-US"/>
        </w:rPr>
        <w:t xml:space="preserve">III </w:t>
      </w:r>
      <w:r w:rsidRPr="00227BA1">
        <w:rPr>
          <w:rFonts w:ascii="Arial Narrow" w:hAnsi="Arial Narrow"/>
          <w:lang w:val="en-US"/>
        </w:rPr>
        <w:t>606.</w:t>
      </w:r>
    </w:p>
  </w:footnote>
  <w:footnote w:id="638">
    <w:p w:rsidR="00392E0D" w:rsidRPr="00B2463D" w:rsidRDefault="00392E0D" w:rsidP="00321E01">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R. Hilberg (1961) 438.</w:t>
      </w:r>
    </w:p>
  </w:footnote>
  <w:footnote w:id="639">
    <w:p w:rsidR="00392E0D" w:rsidRPr="00227BA1"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227BA1">
        <w:rPr>
          <w:rFonts w:ascii="Arial Narrow" w:hAnsi="Arial Narrow"/>
          <w:lang w:val="en-US"/>
        </w:rPr>
        <w:t xml:space="preserve"> E. Santarelli (1981) II 547.</w:t>
      </w:r>
    </w:p>
  </w:footnote>
  <w:footnote w:id="640">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«Ardeatine Caves Massacre», em I. C. B. Dear et al. (orgs. 1995) 50</w:t>
      </w:r>
      <w:r>
        <w:rPr>
          <w:rFonts w:ascii="Arial Narrow" w:hAnsi="Arial Narrow"/>
        </w:rPr>
        <w:t>. Segundo M. Gilbert (2011 b) II 594, duzentos e cinquenta e três eram católicos e setenta eram judeus.</w:t>
      </w:r>
    </w:p>
  </w:footnote>
  <w:footnote w:id="641">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rPr>
        <w:t xml:space="preserve"> R. Hilberg (1961) 177. Ver igualmente as págs. </w:t>
      </w:r>
      <w:r w:rsidRPr="003E305A">
        <w:rPr>
          <w:rFonts w:ascii="Arial Narrow" w:hAnsi="Arial Narrow"/>
          <w:lang w:val="en-GB"/>
        </w:rPr>
        <w:t>182 e segs.</w:t>
      </w:r>
    </w:p>
  </w:footnote>
  <w:footnote w:id="642">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643.</w:t>
      </w:r>
    </w:p>
  </w:footnote>
  <w:footnote w:id="643">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191, 197, 198, 202, 203, 214, 220, 241, 243.</w:t>
      </w:r>
    </w:p>
  </w:footnote>
  <w:footnote w:id="644">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3E305A">
            <w:rPr>
              <w:rFonts w:ascii="Arial Narrow" w:hAnsi="Arial Narrow"/>
              <w:lang w:val="en-GB"/>
            </w:rPr>
            <w:t>Id.</w:t>
          </w:r>
        </w:smartTag>
      </w:smartTag>
      <w:r w:rsidRPr="003E305A">
        <w:rPr>
          <w:rFonts w:ascii="Arial Narrow" w:hAnsi="Arial Narrow"/>
          <w:lang w:val="en-GB"/>
        </w:rPr>
        <w:t>, ibid., 220.</w:t>
      </w:r>
    </w:p>
  </w:footnote>
  <w:footnote w:id="645">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220-221, 224.</w:t>
      </w:r>
    </w:p>
  </w:footnote>
  <w:footnote w:id="646">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id., ibid., 225.</w:t>
      </w:r>
    </w:p>
  </w:footnote>
  <w:footnote w:id="647">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Id., ibid., 225.</w:t>
      </w:r>
    </w:p>
  </w:footnote>
  <w:footnote w:id="648">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respectivamente em E. Conte et al. (1995) 106 e em J. Billig (2000) 300.</w:t>
      </w:r>
    </w:p>
  </w:footnote>
  <w:footnote w:id="649">
    <w:p w:rsidR="00392E0D" w:rsidRPr="003E305A" w:rsidRDefault="00392E0D" w:rsidP="000C0211">
      <w:pPr>
        <w:pStyle w:val="Textodenotaderodap"/>
        <w:rPr>
          <w:rFonts w:ascii="Arial Narrow" w:hAnsi="Arial Narrow"/>
        </w:rPr>
      </w:pPr>
      <w:r w:rsidRPr="003E305A">
        <w:rPr>
          <w:rStyle w:val="Refdenotaderodap"/>
          <w:rFonts w:ascii="Arial Narrow" w:hAnsi="Arial Narrow"/>
        </w:rPr>
        <w:footnoteRef/>
      </w:r>
      <w:r w:rsidRPr="00861768">
        <w:rPr>
          <w:rFonts w:ascii="Arial Narrow" w:hAnsi="Arial Narrow"/>
        </w:rPr>
        <w:t xml:space="preserve"> J. Noakes et al. (orgs. </w:t>
      </w:r>
      <w:r>
        <w:rPr>
          <w:rFonts w:ascii="Arial Narrow" w:hAnsi="Arial Narrow"/>
        </w:rPr>
        <w:t>2008-2010) III 388 n. 4</w:t>
      </w:r>
      <w:r w:rsidR="008B46BE">
        <w:rPr>
          <w:rFonts w:ascii="Arial Narrow" w:hAnsi="Arial Narrow"/>
        </w:rPr>
        <w:t>4</w:t>
      </w:r>
      <w:r>
        <w:rPr>
          <w:rFonts w:ascii="Arial Narrow" w:hAnsi="Arial Narrow"/>
        </w:rPr>
        <w:t xml:space="preserve">; </w:t>
      </w:r>
      <w:r w:rsidRPr="003E305A">
        <w:rPr>
          <w:rFonts w:ascii="Arial Narrow" w:hAnsi="Arial Narrow"/>
        </w:rPr>
        <w:t xml:space="preserve">S. Wiesenthal (1989) 219-220. </w:t>
      </w:r>
      <w:r>
        <w:rPr>
          <w:rFonts w:ascii="Arial Narrow" w:hAnsi="Arial Narrow"/>
        </w:rPr>
        <w:t xml:space="preserve">Ver igualmente M. Gilbert (2011 b) II 553. </w:t>
      </w:r>
      <w:r w:rsidRPr="003E305A">
        <w:rPr>
          <w:rFonts w:ascii="Arial Narrow" w:hAnsi="Arial Narrow"/>
        </w:rPr>
        <w:t>«Exceptuando um pequeno grupo, morreram todos»</w:t>
      </w:r>
      <w:r>
        <w:rPr>
          <w:rFonts w:ascii="Arial Narrow" w:hAnsi="Arial Narrow"/>
        </w:rPr>
        <w:t>,</w:t>
      </w:r>
      <w:r w:rsidRPr="003E305A">
        <w:rPr>
          <w:rFonts w:ascii="Arial Narrow" w:hAnsi="Arial Narrow"/>
        </w:rPr>
        <w:t xml:space="preserve"> escreve</w:t>
      </w:r>
      <w:r>
        <w:rPr>
          <w:rFonts w:ascii="Arial Narrow" w:hAnsi="Arial Narrow"/>
        </w:rPr>
        <w:t>u</w:t>
      </w:r>
      <w:r w:rsidRPr="003E305A">
        <w:rPr>
          <w:rFonts w:ascii="Arial Narrow" w:hAnsi="Arial Narrow"/>
        </w:rPr>
        <w:t xml:space="preserve"> E. Kogon (2002) 37. Por seu lado, </w:t>
      </w:r>
      <w:r w:rsidRPr="003C7C7C">
        <w:rPr>
          <w:rFonts w:ascii="Arial Narrow" w:hAnsi="Arial Narrow"/>
        </w:rPr>
        <w:t xml:space="preserve">A. Quinchon-Caudal (2013) 212 </w:t>
      </w:r>
      <w:r w:rsidR="008B46BE">
        <w:rPr>
          <w:rFonts w:ascii="Arial Narrow" w:hAnsi="Arial Narrow"/>
        </w:rPr>
        <w:t>considerou</w:t>
      </w:r>
      <w:r w:rsidRPr="003C7C7C">
        <w:rPr>
          <w:rFonts w:ascii="Arial Narrow" w:hAnsi="Arial Narrow"/>
        </w:rPr>
        <w:t xml:space="preserve"> que o número de vítimas ciganas «é totalmente desconhecido, mas situa-se provavelmente em redor de 200.000 pessoas» e </w:t>
      </w:r>
      <w:r w:rsidRPr="003E305A">
        <w:rPr>
          <w:rFonts w:ascii="Arial Narrow" w:hAnsi="Arial Narrow"/>
        </w:rPr>
        <w:t>G. Aly et al. (2006) 265 afirma</w:t>
      </w:r>
      <w:r>
        <w:rPr>
          <w:rFonts w:ascii="Arial Narrow" w:hAnsi="Arial Narrow"/>
        </w:rPr>
        <w:t>ra</w:t>
      </w:r>
      <w:r w:rsidRPr="003E305A">
        <w:rPr>
          <w:rFonts w:ascii="Arial Narrow" w:hAnsi="Arial Narrow"/>
        </w:rPr>
        <w:t xml:space="preserve">m que «durante o domínio alemão na Europa, pelo menos 105.000 ciganos foram assassinados só na Hungria, na Roménia, na Eslováquia, na Sérvia </w:t>
      </w:r>
      <w:r>
        <w:rPr>
          <w:rFonts w:ascii="Arial Narrow" w:hAnsi="Arial Narrow"/>
        </w:rPr>
        <w:t>e</w:t>
      </w:r>
      <w:r w:rsidRPr="003E305A">
        <w:rPr>
          <w:rFonts w:ascii="Arial Narrow" w:hAnsi="Arial Narrow"/>
        </w:rPr>
        <w:t xml:space="preserve"> na Croácia».</w:t>
      </w:r>
      <w:r>
        <w:rPr>
          <w:rFonts w:ascii="Arial Narrow" w:hAnsi="Arial Narrow"/>
        </w:rPr>
        <w:t xml:space="preserve"> </w:t>
      </w:r>
      <w:r w:rsidRPr="003E305A">
        <w:rPr>
          <w:rFonts w:ascii="Arial Narrow" w:hAnsi="Arial Narrow"/>
        </w:rPr>
        <w:t>Note-se que, depois de definir</w:t>
      </w:r>
      <w:r>
        <w:rPr>
          <w:rFonts w:ascii="Arial Narrow" w:hAnsi="Arial Narrow"/>
        </w:rPr>
        <w:t xml:space="preserve"> (</w:t>
      </w:r>
      <w:r w:rsidRPr="003E305A">
        <w:rPr>
          <w:rFonts w:ascii="Arial Narrow" w:hAnsi="Arial Narrow"/>
        </w:rPr>
        <w:t>pág. 1340</w:t>
      </w:r>
      <w:r>
        <w:rPr>
          <w:rFonts w:ascii="Arial Narrow" w:hAnsi="Arial Narrow"/>
        </w:rPr>
        <w:t>)</w:t>
      </w:r>
      <w:r w:rsidRPr="003E305A">
        <w:rPr>
          <w:rFonts w:ascii="Arial Narrow" w:hAnsi="Arial Narrow"/>
        </w:rPr>
        <w:t xml:space="preserve"> «o predomínio da capacidade musical como uma característica da raça germânica», H. S. Chamberlain (1913) 1340 n. 1 apoi</w:t>
      </w:r>
      <w:r w:rsidR="008B46BE">
        <w:rPr>
          <w:rFonts w:ascii="Arial Narrow" w:hAnsi="Arial Narrow"/>
        </w:rPr>
        <w:t>ara</w:t>
      </w:r>
      <w:r w:rsidRPr="003E305A">
        <w:rPr>
          <w:rFonts w:ascii="Arial Narrow" w:hAnsi="Arial Narrow"/>
        </w:rPr>
        <w:t xml:space="preserve"> a tese daqueles que sustentavam que os ciganos da Hungria eram um ramo dos hindus arianos, em virtude das extraordinárias aptidões daquele povo para a música. Mas os nacionais-socialistas regeram-se por uma partitura diferente.</w:t>
      </w:r>
      <w:r>
        <w:rPr>
          <w:rFonts w:ascii="Arial Narrow" w:hAnsi="Arial Narrow"/>
        </w:rPr>
        <w:t xml:space="preserve"> No entanto, segundo </w:t>
      </w:r>
      <w:r w:rsidRPr="003C7C7C">
        <w:rPr>
          <w:rFonts w:ascii="Arial Narrow" w:hAnsi="Arial Narrow"/>
        </w:rPr>
        <w:t>Anne Quinchon-Caudal, op. cit., 212, Himmler defendera inicialmente que os ciganos eram de pura ascendência ariana e só em 1942 se decidira a exterminá-los.</w:t>
      </w:r>
    </w:p>
  </w:footnote>
  <w:footnote w:id="650">
    <w:p w:rsidR="00392E0D" w:rsidRPr="00CF7A58" w:rsidRDefault="00392E0D" w:rsidP="000C0211">
      <w:pPr>
        <w:pStyle w:val="Textodenotaderodap"/>
        <w:rPr>
          <w:rFonts w:ascii="Arial Narrow" w:hAnsi="Arial Narrow"/>
        </w:rPr>
      </w:pPr>
      <w:r w:rsidRPr="00CF7A58">
        <w:rPr>
          <w:rStyle w:val="Refdenotaderodap"/>
          <w:rFonts w:ascii="Arial Narrow" w:hAnsi="Arial Narrow"/>
        </w:rPr>
        <w:footnoteRef/>
      </w:r>
      <w:r w:rsidRPr="00CF7A58">
        <w:rPr>
          <w:rFonts w:ascii="Arial Narrow" w:hAnsi="Arial Narrow"/>
        </w:rPr>
        <w:t xml:space="preserve"> </w:t>
      </w:r>
      <w:r>
        <w:rPr>
          <w:rFonts w:ascii="Arial Narrow" w:hAnsi="Arial Narrow"/>
        </w:rPr>
        <w:t>S. Haffner (2011) 131.</w:t>
      </w:r>
    </w:p>
  </w:footnote>
  <w:footnote w:id="651">
    <w:p w:rsidR="00392E0D" w:rsidRPr="003E305A" w:rsidRDefault="00392E0D" w:rsidP="000C021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3E305A">
        <w:rPr>
          <w:rFonts w:ascii="Arial Narrow" w:hAnsi="Arial Narrow"/>
          <w:i/>
        </w:rPr>
        <w:t>The Economist,</w:t>
      </w:r>
      <w:r w:rsidRPr="003E305A">
        <w:rPr>
          <w:rFonts w:ascii="Arial Narrow" w:hAnsi="Arial Narrow"/>
        </w:rPr>
        <w:t xml:space="preserve"> 12 de Maio de 2001, pág. 30.</w:t>
      </w:r>
      <w:r>
        <w:rPr>
          <w:rFonts w:ascii="Arial Narrow" w:hAnsi="Arial Narrow"/>
        </w:rPr>
        <w:t xml:space="preserve"> O relatório confidencial </w:t>
      </w:r>
      <w:r w:rsidRPr="00081157">
        <w:rPr>
          <w:rFonts w:ascii="Arial Narrow" w:hAnsi="Arial Narrow"/>
        </w:rPr>
        <w:t>apresentad</w:t>
      </w:r>
      <w:r>
        <w:rPr>
          <w:rFonts w:ascii="Arial Narrow" w:hAnsi="Arial Narrow"/>
        </w:rPr>
        <w:t>o</w:t>
      </w:r>
      <w:r w:rsidRPr="00081157">
        <w:rPr>
          <w:rFonts w:ascii="Arial Narrow" w:hAnsi="Arial Narrow"/>
        </w:rPr>
        <w:t xml:space="preserve"> </w:t>
      </w:r>
      <w:r>
        <w:rPr>
          <w:rFonts w:ascii="Arial Narrow" w:hAnsi="Arial Narrow"/>
        </w:rPr>
        <w:t xml:space="preserve">por </w:t>
      </w:r>
      <w:r w:rsidRPr="00081157">
        <w:rPr>
          <w:rFonts w:ascii="Arial Narrow" w:hAnsi="Arial Narrow"/>
        </w:rPr>
        <w:t>Otto Kirchheimer</w:t>
      </w:r>
      <w:r>
        <w:rPr>
          <w:rFonts w:ascii="Arial Narrow" w:hAnsi="Arial Narrow"/>
        </w:rPr>
        <w:t>,</w:t>
      </w:r>
      <w:r w:rsidRPr="00081157">
        <w:rPr>
          <w:rFonts w:ascii="Arial Narrow" w:hAnsi="Arial Narrow"/>
        </w:rPr>
        <w:t xml:space="preserve"> presumivelmente </w:t>
      </w:r>
      <w:r>
        <w:rPr>
          <w:rFonts w:ascii="Arial Narrow" w:hAnsi="Arial Narrow"/>
        </w:rPr>
        <w:t xml:space="preserve">no </w:t>
      </w:r>
      <w:r w:rsidRPr="00081157">
        <w:rPr>
          <w:rFonts w:ascii="Arial Narrow" w:hAnsi="Arial Narrow"/>
        </w:rPr>
        <w:t>final de Março de 1944, na Research and Analysis Branch do OSS</w:t>
      </w:r>
      <w:r>
        <w:rPr>
          <w:rFonts w:ascii="Arial Narrow" w:hAnsi="Arial Narrow"/>
        </w:rPr>
        <w:t xml:space="preserve"> havia equiparado explicitamente os ciganos aos judeus como as duas vítimas raciais da legislação de Nuremberga. No entanto, o relatório secreto apresentado por Franz Neumann em 25 de Setembro desse ano, ao enunciar os vários tipos de crime de guerra que deveriam ser julgados pelo tribunal internacional formado pelas potências vencedoras, não teve nenhuma palavra acerca dos ciganos. Ver </w:t>
      </w:r>
      <w:r w:rsidRPr="00081157">
        <w:rPr>
          <w:rFonts w:ascii="Arial Narrow" w:hAnsi="Arial Narrow"/>
        </w:rPr>
        <w:t>R. Laudani (org. 2013)</w:t>
      </w:r>
      <w:r>
        <w:rPr>
          <w:rFonts w:ascii="Arial Narrow" w:hAnsi="Arial Narrow"/>
        </w:rPr>
        <w:t xml:space="preserve"> 403 e 752-753.</w:t>
      </w:r>
    </w:p>
  </w:footnote>
  <w:footnote w:id="652">
    <w:p w:rsidR="00392E0D" w:rsidRPr="002F6263" w:rsidRDefault="00392E0D" w:rsidP="000C0211">
      <w:pPr>
        <w:pStyle w:val="Textodenotaderodap"/>
        <w:ind w:firstLine="708"/>
        <w:rPr>
          <w:rFonts w:ascii="Arial Narrow" w:hAnsi="Arial Narrow"/>
        </w:rPr>
      </w:pPr>
      <w:r w:rsidRPr="003E305A">
        <w:rPr>
          <w:rStyle w:val="Refdenotaderodap"/>
          <w:rFonts w:ascii="Arial Narrow" w:hAnsi="Arial Narrow"/>
        </w:rPr>
        <w:footnoteRef/>
      </w:r>
      <w:r w:rsidRPr="002F6263">
        <w:rPr>
          <w:rFonts w:ascii="Arial Narrow" w:hAnsi="Arial Narrow"/>
        </w:rPr>
        <w:t xml:space="preserve"> A. Pichot (2000) 419.</w:t>
      </w:r>
    </w:p>
  </w:footnote>
  <w:footnote w:id="653">
    <w:p w:rsidR="00392E0D" w:rsidRPr="002F6263" w:rsidRDefault="00392E0D" w:rsidP="000C0211">
      <w:pPr>
        <w:pStyle w:val="Textodenotaderodap"/>
        <w:rPr>
          <w:rFonts w:ascii="Arial Narrow" w:hAnsi="Arial Narrow"/>
        </w:rPr>
      </w:pPr>
      <w:r w:rsidRPr="00A62823">
        <w:rPr>
          <w:rStyle w:val="Refdenotaderodap"/>
          <w:rFonts w:ascii="Arial Narrow" w:hAnsi="Arial Narrow"/>
        </w:rPr>
        <w:footnoteRef/>
      </w:r>
      <w:r w:rsidRPr="002F6263">
        <w:rPr>
          <w:rFonts w:ascii="Arial Narrow" w:hAnsi="Arial Narrow"/>
        </w:rPr>
        <w:t xml:space="preserve"> M. Gilbert (2011 b) II 849.</w:t>
      </w:r>
    </w:p>
  </w:footnote>
  <w:footnote w:id="654">
    <w:p w:rsidR="00392E0D" w:rsidRPr="005617E8" w:rsidRDefault="00392E0D" w:rsidP="000C0211">
      <w:pPr>
        <w:pStyle w:val="Textodenotaderodap"/>
        <w:rPr>
          <w:rFonts w:ascii="Arial Narrow" w:hAnsi="Arial Narrow"/>
        </w:rPr>
      </w:pPr>
      <w:r w:rsidRPr="005617E8">
        <w:rPr>
          <w:rStyle w:val="Refdenotaderodap"/>
          <w:rFonts w:ascii="Arial Narrow" w:hAnsi="Arial Narrow"/>
        </w:rPr>
        <w:footnoteRef/>
      </w:r>
      <w:r w:rsidRPr="005617E8">
        <w:rPr>
          <w:rFonts w:ascii="Arial Narrow" w:hAnsi="Arial Narrow"/>
        </w:rPr>
        <w:t xml:space="preserve"> </w:t>
      </w:r>
      <w:r>
        <w:rPr>
          <w:rFonts w:ascii="Arial Narrow" w:hAnsi="Arial Narrow"/>
        </w:rPr>
        <w:t>Citado em id., ibid., II 849.</w:t>
      </w:r>
    </w:p>
  </w:footnote>
  <w:footnote w:id="655">
    <w:p w:rsidR="00392E0D" w:rsidRPr="00D93DE5" w:rsidRDefault="00392E0D" w:rsidP="000C0211">
      <w:pPr>
        <w:pStyle w:val="Textodenotaderodap"/>
        <w:ind w:firstLine="708"/>
        <w:rPr>
          <w:rFonts w:ascii="Arial Narrow" w:hAnsi="Arial Narrow"/>
          <w:lang w:val="en-US"/>
        </w:rPr>
      </w:pPr>
      <w:r w:rsidRPr="003E305A">
        <w:rPr>
          <w:rStyle w:val="Refdenotaderodap"/>
          <w:rFonts w:ascii="Arial Narrow" w:hAnsi="Arial Narrow"/>
        </w:rPr>
        <w:footnoteRef/>
      </w:r>
      <w:r w:rsidRPr="00D93DE5">
        <w:rPr>
          <w:rFonts w:ascii="Arial Narrow" w:hAnsi="Arial Narrow"/>
          <w:lang w:val="en-US"/>
        </w:rPr>
        <w:t xml:space="preserve"> H. Arendt (1994) 96-97, 245.</w:t>
      </w:r>
    </w:p>
  </w:footnote>
  <w:footnote w:id="656">
    <w:p w:rsidR="00392E0D" w:rsidRPr="003E305A" w:rsidRDefault="00392E0D" w:rsidP="000C0211">
      <w:pPr>
        <w:pStyle w:val="Textodenotaderodap"/>
        <w:rPr>
          <w:rFonts w:ascii="Arial Narrow" w:hAnsi="Arial Narrow"/>
        </w:rPr>
      </w:pPr>
      <w:r w:rsidRPr="003E305A">
        <w:rPr>
          <w:rStyle w:val="Refdenotaderodap"/>
          <w:rFonts w:ascii="Arial Narrow" w:hAnsi="Arial Narrow"/>
        </w:rPr>
        <w:footnoteRef/>
      </w:r>
      <w:r w:rsidRPr="00D93DE5">
        <w:rPr>
          <w:rFonts w:ascii="Arial Narrow" w:hAnsi="Arial Narrow"/>
          <w:lang w:val="en-US"/>
        </w:rPr>
        <w:t xml:space="preserve"> H. L. Feingold (1995) 4. </w:t>
      </w:r>
      <w:r w:rsidRPr="003E305A">
        <w:rPr>
          <w:rFonts w:ascii="Arial Narrow" w:hAnsi="Arial Narrow"/>
        </w:rPr>
        <w:t>Este argumento é desenvolvido nas págs. 25-40. Note-se que nas págs. 4, 19-20 e 37 o autor inclui</w:t>
      </w:r>
      <w:r>
        <w:rPr>
          <w:rFonts w:ascii="Arial Narrow" w:hAnsi="Arial Narrow"/>
        </w:rPr>
        <w:t>u</w:t>
      </w:r>
      <w:r w:rsidRPr="003E305A">
        <w:rPr>
          <w:rFonts w:ascii="Arial Narrow" w:hAnsi="Arial Narrow"/>
        </w:rPr>
        <w:t xml:space="preserve"> os arménios, junto com os ciganos, entre as vítimas que não têm direito à singularidade histórica.</w:t>
      </w:r>
    </w:p>
  </w:footnote>
  <w:footnote w:id="657">
    <w:p w:rsidR="00392E0D" w:rsidRPr="00B2463D" w:rsidRDefault="00392E0D" w:rsidP="000C021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S. Wiesenthal (1989) 222-223.</w:t>
      </w:r>
    </w:p>
  </w:footnote>
  <w:footnote w:id="658">
    <w:p w:rsidR="00392E0D" w:rsidRPr="00B2463D" w:rsidRDefault="00392E0D" w:rsidP="000C021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Id., ibid., 222.</w:t>
      </w:r>
    </w:p>
  </w:footnote>
  <w:footnote w:id="659">
    <w:p w:rsidR="00392E0D" w:rsidRPr="000A04C6" w:rsidRDefault="00392E0D" w:rsidP="000C0211">
      <w:pPr>
        <w:pStyle w:val="Textodenotaderodap"/>
        <w:rPr>
          <w:rFonts w:ascii="Arial Narrow" w:hAnsi="Arial Narrow"/>
        </w:rPr>
      </w:pPr>
      <w:r w:rsidRPr="000A04C6">
        <w:rPr>
          <w:rStyle w:val="Refdenotaderodap"/>
          <w:rFonts w:ascii="Arial Narrow" w:hAnsi="Arial Narrow"/>
        </w:rPr>
        <w:footnoteRef/>
      </w:r>
      <w:r w:rsidRPr="000A04C6">
        <w:rPr>
          <w:rFonts w:ascii="Arial Narrow" w:hAnsi="Arial Narrow"/>
        </w:rPr>
        <w:t xml:space="preserve"> </w:t>
      </w:r>
      <w:r>
        <w:rPr>
          <w:rFonts w:ascii="Arial Narrow" w:hAnsi="Arial Narrow"/>
        </w:rPr>
        <w:t>É sigificativo que J. Noakes et al. (orgs. 2008-2010) III 388 n. 44 tivessem escrito que «infelizmente a falta de espaço impede que documentemos o extermínio pelos nazis de cerca de 500.000 ciganos europeus». Ora, este volume, a muitos títulos excelente, alonga-se por 678 páginas; e também no seu minucioso índice de assuntos, em que o verbete dedicado aos judeus se desdobra numa pluralidade de entradas, não houve ocasião para consagrar um verbete aos ciganos.</w:t>
      </w:r>
    </w:p>
  </w:footnote>
  <w:footnote w:id="660">
    <w:p w:rsidR="00392E0D" w:rsidRPr="00784522" w:rsidRDefault="00392E0D" w:rsidP="00D36E2D">
      <w:pPr>
        <w:pStyle w:val="Textodenotaderodap"/>
        <w:rPr>
          <w:rFonts w:ascii="Arial Narrow" w:hAnsi="Arial Narrow"/>
        </w:rPr>
      </w:pPr>
      <w:r w:rsidRPr="00B162D2">
        <w:rPr>
          <w:rStyle w:val="Refdenotaderodap"/>
          <w:rFonts w:ascii="Arial Narrow" w:hAnsi="Arial Narrow"/>
        </w:rPr>
        <w:footnoteRef/>
      </w:r>
      <w:r w:rsidRPr="00784522">
        <w:rPr>
          <w:rFonts w:ascii="Arial Narrow" w:hAnsi="Arial Narrow"/>
        </w:rPr>
        <w:t xml:space="preserve"> Citado em </w:t>
      </w:r>
      <w:r>
        <w:rPr>
          <w:rFonts w:ascii="Arial Narrow" w:hAnsi="Arial Narrow"/>
        </w:rPr>
        <w:t xml:space="preserve">id., ibid., III </w:t>
      </w:r>
      <w:r w:rsidRPr="00784522">
        <w:rPr>
          <w:rFonts w:ascii="Arial Narrow" w:hAnsi="Arial Narrow"/>
        </w:rPr>
        <w:t>339.</w:t>
      </w:r>
      <w:r>
        <w:rPr>
          <w:rFonts w:ascii="Arial Narrow" w:hAnsi="Arial Narrow"/>
        </w:rPr>
        <w:t xml:space="preserve"> Acerca da concepção de que os chefes da resistência polaca eram dotados de sangue nórdico ver ainda id., ibid., III 370.</w:t>
      </w:r>
    </w:p>
  </w:footnote>
  <w:footnote w:id="661">
    <w:p w:rsidR="00392E0D" w:rsidRPr="00304A06" w:rsidRDefault="00392E0D" w:rsidP="00D36E2D">
      <w:pPr>
        <w:pStyle w:val="Textodenotaderodap"/>
        <w:rPr>
          <w:rFonts w:ascii="Arial Narrow" w:hAnsi="Arial Narrow"/>
        </w:rPr>
      </w:pPr>
      <w:r w:rsidRPr="00304A06">
        <w:rPr>
          <w:rStyle w:val="Refdenotaderodap"/>
          <w:rFonts w:ascii="Arial Narrow" w:hAnsi="Arial Narrow"/>
        </w:rPr>
        <w:footnoteRef/>
      </w:r>
      <w:r w:rsidRPr="00304A06">
        <w:rPr>
          <w:rFonts w:ascii="Arial Narrow" w:hAnsi="Arial Narrow"/>
        </w:rPr>
        <w:t xml:space="preserve"> </w:t>
      </w:r>
      <w:r>
        <w:rPr>
          <w:rFonts w:ascii="Arial Narrow" w:hAnsi="Arial Narrow"/>
        </w:rPr>
        <w:t xml:space="preserve">Em 5 de Julho de 1941, em </w:t>
      </w:r>
      <w:r w:rsidRPr="00C05EF7">
        <w:rPr>
          <w:rFonts w:ascii="Arial Narrow" w:hAnsi="Arial Narrow"/>
          <w:bCs/>
          <w:i/>
          <w:iCs/>
        </w:rPr>
        <w:t>Hitler’s Table Talk</w:t>
      </w:r>
      <w:r w:rsidRPr="00C05EF7">
        <w:rPr>
          <w:rFonts w:ascii="Arial Narrow" w:hAnsi="Arial Narrow"/>
          <w:iCs/>
        </w:rPr>
        <w:t>...,</w:t>
      </w:r>
      <w:r>
        <w:rPr>
          <w:rFonts w:ascii="Arial Narrow" w:hAnsi="Arial Narrow"/>
          <w:iCs/>
        </w:rPr>
        <w:t xml:space="preserve"> 3. Ver igualmente a pág. 405.</w:t>
      </w:r>
    </w:p>
  </w:footnote>
  <w:footnote w:id="662">
    <w:p w:rsidR="00392E0D" w:rsidRPr="003E305A" w:rsidRDefault="00392E0D" w:rsidP="00D36E2D">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E. Conte et al. (1995) 333.</w:t>
      </w:r>
    </w:p>
  </w:footnote>
  <w:footnote w:id="663">
    <w:p w:rsidR="00392E0D" w:rsidRPr="00567C5B" w:rsidRDefault="00392E0D" w:rsidP="006A102F">
      <w:pPr>
        <w:pStyle w:val="Textodenotaderodap"/>
        <w:rPr>
          <w:rFonts w:ascii="Arial Narrow" w:hAnsi="Arial Narrow"/>
        </w:rPr>
      </w:pPr>
      <w:r w:rsidRPr="00271C04">
        <w:rPr>
          <w:rStyle w:val="Refdenotaderodap"/>
          <w:rFonts w:ascii="Arial Narrow" w:hAnsi="Arial Narrow"/>
        </w:rPr>
        <w:footnoteRef/>
      </w:r>
      <w:r w:rsidRPr="00567C5B">
        <w:rPr>
          <w:rFonts w:ascii="Arial Narrow" w:hAnsi="Arial Narrow"/>
        </w:rPr>
        <w:t xml:space="preserve"> </w:t>
      </w:r>
      <w:r w:rsidRPr="00567C5B">
        <w:rPr>
          <w:rFonts w:ascii="Arial Narrow" w:hAnsi="Arial Narrow"/>
          <w:bCs/>
          <w:i/>
          <w:iCs/>
        </w:rPr>
        <w:t>Hitler’s Table Talk</w:t>
      </w:r>
      <w:r w:rsidRPr="00567C5B">
        <w:rPr>
          <w:rFonts w:ascii="Arial Narrow" w:hAnsi="Arial Narrow"/>
          <w:iCs/>
        </w:rPr>
        <w:t xml:space="preserve">..., 263. O Führer defendeu a mesma ideia relativamente </w:t>
      </w:r>
      <w:r>
        <w:rPr>
          <w:rFonts w:ascii="Arial Narrow" w:hAnsi="Arial Narrow"/>
          <w:iCs/>
        </w:rPr>
        <w:t xml:space="preserve">à população de algumas regiões da Ucrânia, como se vê em </w:t>
      </w:r>
      <w:r w:rsidRPr="00567C5B">
        <w:rPr>
          <w:rFonts w:ascii="Arial Narrow" w:hAnsi="Arial Narrow"/>
          <w:iCs/>
        </w:rPr>
        <w:t>I. Kamenetsky (1956)</w:t>
      </w:r>
      <w:r>
        <w:rPr>
          <w:rFonts w:ascii="Arial Narrow" w:hAnsi="Arial Narrow"/>
          <w:iCs/>
        </w:rPr>
        <w:t xml:space="preserve"> 47-48.</w:t>
      </w:r>
    </w:p>
  </w:footnote>
  <w:footnote w:id="664">
    <w:p w:rsidR="00392E0D" w:rsidRPr="003E305A" w:rsidRDefault="00392E0D" w:rsidP="00D36E2D">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lang w:val="fr-FR"/>
        </w:rPr>
        <w:t xml:space="preserve"> Citad</w:t>
      </w:r>
      <w:r>
        <w:rPr>
          <w:rFonts w:ascii="Arial Narrow" w:hAnsi="Arial Narrow"/>
          <w:lang w:val="fr-FR"/>
        </w:rPr>
        <w:t>as</w:t>
      </w:r>
      <w:r w:rsidRPr="003E305A">
        <w:rPr>
          <w:rFonts w:ascii="Arial Narrow" w:hAnsi="Arial Narrow"/>
          <w:lang w:val="fr-FR"/>
        </w:rPr>
        <w:t xml:space="preserve"> em G. Aly et al. </w:t>
      </w:r>
      <w:r w:rsidRPr="003E305A">
        <w:rPr>
          <w:rFonts w:ascii="Arial Narrow" w:hAnsi="Arial Narrow"/>
        </w:rPr>
        <w:t>(2006) 108-109.</w:t>
      </w:r>
    </w:p>
  </w:footnote>
  <w:footnote w:id="665">
    <w:p w:rsidR="00392E0D" w:rsidRPr="00844580" w:rsidRDefault="00392E0D">
      <w:pPr>
        <w:pStyle w:val="Textodenotaderodap"/>
        <w:rPr>
          <w:rFonts w:ascii="Arial Narrow" w:hAnsi="Arial Narrow"/>
        </w:rPr>
      </w:pPr>
      <w:r w:rsidRPr="00844580">
        <w:rPr>
          <w:rStyle w:val="Refdenotaderodap"/>
          <w:rFonts w:ascii="Arial Narrow" w:hAnsi="Arial Narrow"/>
        </w:rPr>
        <w:footnoteRef/>
      </w:r>
      <w:r w:rsidRPr="00844580">
        <w:rPr>
          <w:rFonts w:ascii="Arial Narrow" w:hAnsi="Arial Narrow"/>
        </w:rPr>
        <w:t xml:space="preserve"> </w:t>
      </w:r>
      <w:r>
        <w:rPr>
          <w:rFonts w:ascii="Arial Narrow" w:hAnsi="Arial Narrow"/>
        </w:rPr>
        <w:t xml:space="preserve">Citado em </w:t>
      </w:r>
      <w:r w:rsidRPr="00844580">
        <w:rPr>
          <w:rFonts w:ascii="Arial Narrow" w:hAnsi="Arial Narrow"/>
        </w:rPr>
        <w:t xml:space="preserve">D. L. Hoffmann et al. (2009) 109. </w:t>
      </w:r>
      <w:r w:rsidR="00B34A7D">
        <w:rPr>
          <w:rFonts w:ascii="Arial Narrow" w:hAnsi="Arial Narrow"/>
        </w:rPr>
        <w:t>Li</w:t>
      </w:r>
      <w:r w:rsidRPr="00844580">
        <w:rPr>
          <w:rFonts w:ascii="Arial Narrow" w:hAnsi="Arial Narrow"/>
        </w:rPr>
        <w:t xml:space="preserve"> </w:t>
      </w:r>
      <w:r w:rsidRPr="00844580">
        <w:rPr>
          <w:rFonts w:ascii="Arial Narrow" w:hAnsi="Arial Narrow"/>
          <w:i/>
        </w:rPr>
        <w:t>fighting</w:t>
      </w:r>
      <w:r w:rsidRPr="00844580">
        <w:rPr>
          <w:rFonts w:ascii="Arial Narrow" w:hAnsi="Arial Narrow"/>
        </w:rPr>
        <w:t xml:space="preserve"> onde se encontra «</w:t>
      </w:r>
      <w:r w:rsidRPr="00844580">
        <w:rPr>
          <w:rFonts w:ascii="Arial Narrow" w:hAnsi="Arial Narrow"/>
          <w:i/>
        </w:rPr>
        <w:t>finding</w:t>
      </w:r>
      <w:r w:rsidRPr="00844580">
        <w:rPr>
          <w:rFonts w:ascii="Arial Narrow" w:hAnsi="Arial Narrow"/>
        </w:rPr>
        <w:t>».</w:t>
      </w:r>
      <w:r w:rsidR="00B34A7D">
        <w:rPr>
          <w:rFonts w:ascii="Arial Narrow" w:hAnsi="Arial Narrow"/>
        </w:rPr>
        <w:t xml:space="preserve"> Segundo </w:t>
      </w:r>
      <w:r w:rsidR="00B34A7D" w:rsidRPr="0067748B">
        <w:rPr>
          <w:rFonts w:ascii="Arial Narrow" w:hAnsi="Arial Narrow"/>
        </w:rPr>
        <w:t xml:space="preserve">H. F. Ziegler (1989) 51, </w:t>
      </w:r>
      <w:r w:rsidR="00B34A7D">
        <w:rPr>
          <w:rFonts w:ascii="Arial Narrow" w:hAnsi="Arial Narrow"/>
        </w:rPr>
        <w:t>já num discurso de 8 de Novembro de 1938 Himmler defendera a necessidade de «roubar» o sangue germânico disperso pelo mundo.</w:t>
      </w:r>
    </w:p>
  </w:footnote>
  <w:footnote w:id="666">
    <w:p w:rsidR="00392E0D" w:rsidRPr="005604A5" w:rsidRDefault="00392E0D" w:rsidP="00EA0A77">
      <w:pPr>
        <w:pStyle w:val="Textodenotaderodap"/>
        <w:rPr>
          <w:rFonts w:ascii="Arial Narrow" w:hAnsi="Arial Narrow"/>
        </w:rPr>
      </w:pPr>
      <w:r w:rsidRPr="005604A5">
        <w:rPr>
          <w:rStyle w:val="Refdenotaderodap"/>
          <w:rFonts w:ascii="Arial Narrow" w:hAnsi="Arial Narrow"/>
        </w:rPr>
        <w:footnoteRef/>
      </w:r>
      <w:r w:rsidRPr="005604A5">
        <w:rPr>
          <w:rFonts w:ascii="Arial Narrow" w:hAnsi="Arial Narrow"/>
        </w:rPr>
        <w:t xml:space="preserve"> </w:t>
      </w:r>
      <w:r>
        <w:rPr>
          <w:rFonts w:ascii="Arial Narrow" w:hAnsi="Arial Narrow"/>
        </w:rPr>
        <w:t xml:space="preserve">Citado em J. Noakes et al. (orgs. 2008-2010) III 325. Himmler concebeu também a aplicação deste plano às crianças francesas. Ver </w:t>
      </w:r>
      <w:r w:rsidRPr="000A6203">
        <w:rPr>
          <w:rFonts w:ascii="Arial Narrow" w:hAnsi="Arial Narrow"/>
          <w:bCs/>
          <w:i/>
          <w:iCs/>
        </w:rPr>
        <w:t>Hitler’s Table Talk</w:t>
      </w:r>
      <w:r w:rsidRPr="000A6203">
        <w:rPr>
          <w:rFonts w:ascii="Arial Narrow" w:hAnsi="Arial Narrow"/>
          <w:iCs/>
        </w:rPr>
        <w:t>..., 401.</w:t>
      </w:r>
    </w:p>
  </w:footnote>
  <w:footnote w:id="667">
    <w:p w:rsidR="00392E0D" w:rsidRPr="003E305A" w:rsidRDefault="00392E0D" w:rsidP="00EA0A77">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E. Conte et al. (1995) 277.</w:t>
      </w:r>
      <w:r>
        <w:rPr>
          <w:rFonts w:ascii="Arial Narrow" w:hAnsi="Arial Narrow"/>
        </w:rPr>
        <w:t xml:space="preserve"> Ver também M. Gilbert (2011 b) I 94-95.</w:t>
      </w:r>
    </w:p>
  </w:footnote>
  <w:footnote w:id="668">
    <w:p w:rsidR="00392E0D" w:rsidRPr="00EC29E2" w:rsidRDefault="00392E0D">
      <w:pPr>
        <w:pStyle w:val="Textodenotaderodap"/>
        <w:rPr>
          <w:rFonts w:ascii="Arial Narrow" w:hAnsi="Arial Narrow"/>
        </w:rPr>
      </w:pPr>
      <w:r w:rsidRPr="00EC29E2">
        <w:rPr>
          <w:rStyle w:val="Refdenotaderodap"/>
          <w:rFonts w:ascii="Arial Narrow" w:hAnsi="Arial Narrow"/>
        </w:rPr>
        <w:footnoteRef/>
      </w:r>
      <w:r w:rsidRPr="00EC29E2">
        <w:rPr>
          <w:rFonts w:ascii="Arial Narrow" w:hAnsi="Arial Narrow"/>
        </w:rPr>
        <w:t xml:space="preserve"> </w:t>
      </w:r>
      <w:r>
        <w:rPr>
          <w:rFonts w:ascii="Arial Narrow" w:hAnsi="Arial Narrow"/>
        </w:rPr>
        <w:t xml:space="preserve">Citado em </w:t>
      </w:r>
      <w:r w:rsidRPr="00EC29E2">
        <w:rPr>
          <w:rFonts w:ascii="Arial Narrow" w:hAnsi="Arial Narrow"/>
        </w:rPr>
        <w:t>J. C. Fest (1974)</w:t>
      </w:r>
      <w:r>
        <w:rPr>
          <w:rFonts w:ascii="Arial Narrow" w:hAnsi="Arial Narrow"/>
        </w:rPr>
        <w:t xml:space="preserve"> 1178.</w:t>
      </w:r>
    </w:p>
  </w:footnote>
  <w:footnote w:id="669">
    <w:p w:rsidR="00392E0D" w:rsidRPr="003E305A" w:rsidRDefault="00392E0D" w:rsidP="00EA0A77">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Esta nota preparatória do discurso de Himmler em Hegewald a 16 de Setembro de 1942 encontra-se em G. Aly et al. (2006) 113.</w:t>
      </w:r>
    </w:p>
  </w:footnote>
  <w:footnote w:id="670">
    <w:p w:rsidR="00392E0D" w:rsidRPr="00580F62" w:rsidRDefault="00392E0D" w:rsidP="00EA0A77">
      <w:pPr>
        <w:pStyle w:val="Textodenotaderodap"/>
        <w:rPr>
          <w:rFonts w:ascii="Arial Narrow" w:hAnsi="Arial Narrow"/>
        </w:rPr>
      </w:pPr>
      <w:r w:rsidRPr="00580F62">
        <w:rPr>
          <w:rStyle w:val="Refdenotaderodap"/>
          <w:rFonts w:ascii="Arial Narrow" w:hAnsi="Arial Narrow"/>
        </w:rPr>
        <w:footnoteRef/>
      </w:r>
      <w:r w:rsidRPr="00580F62">
        <w:rPr>
          <w:rFonts w:ascii="Arial Narrow" w:hAnsi="Arial Narrow"/>
        </w:rPr>
        <w:t xml:space="preserve"> </w:t>
      </w:r>
      <w:r>
        <w:rPr>
          <w:rFonts w:ascii="Arial Narrow" w:hAnsi="Arial Narrow"/>
        </w:rPr>
        <w:t>Citado em J. Noakes et al. (orgs. 2008-2010) III 338.</w:t>
      </w:r>
    </w:p>
  </w:footnote>
  <w:footnote w:id="671">
    <w:p w:rsidR="00392E0D" w:rsidRPr="003E305A" w:rsidRDefault="00392E0D" w:rsidP="00EA0A77">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Discurso de Himmler em Bad Schachen, 14 de Outubro de 1943, citado em E. K. Bramstedt (1945) 244.</w:t>
      </w:r>
      <w:r>
        <w:rPr>
          <w:rFonts w:ascii="Arial Narrow" w:hAnsi="Arial Narrow"/>
        </w:rPr>
        <w:t xml:space="preserve"> Ver igualmente </w:t>
      </w:r>
      <w:r w:rsidRPr="00073073">
        <w:rPr>
          <w:rFonts w:ascii="Arial Narrow" w:hAnsi="Arial Narrow"/>
        </w:rPr>
        <w:t>J. C. Fest (1974) 1177-1178.</w:t>
      </w:r>
    </w:p>
  </w:footnote>
  <w:footnote w:id="672">
    <w:p w:rsidR="00392E0D" w:rsidRPr="00073073" w:rsidRDefault="00392E0D" w:rsidP="00EA0A77">
      <w:pPr>
        <w:pStyle w:val="Textodenotaderodap"/>
        <w:rPr>
          <w:rFonts w:ascii="Arial Narrow" w:hAnsi="Arial Narrow"/>
        </w:rPr>
      </w:pPr>
      <w:r w:rsidRPr="00F62DAA">
        <w:rPr>
          <w:rStyle w:val="Refdenotaderodap"/>
          <w:rFonts w:ascii="Arial Narrow" w:hAnsi="Arial Narrow"/>
        </w:rPr>
        <w:footnoteRef/>
      </w:r>
      <w:r w:rsidRPr="00073073">
        <w:rPr>
          <w:rFonts w:ascii="Arial Narrow" w:hAnsi="Arial Narrow"/>
        </w:rPr>
        <w:t xml:space="preserve"> Sh. F. Weiss (2010) 110, 165.</w:t>
      </w:r>
    </w:p>
  </w:footnote>
  <w:footnote w:id="673">
    <w:p w:rsidR="00392E0D" w:rsidRPr="003E305A" w:rsidRDefault="00392E0D" w:rsidP="00EA0A77">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G. Aly et al. (2006) 111-113.</w:t>
      </w:r>
    </w:p>
  </w:footnote>
  <w:footnote w:id="674">
    <w:p w:rsidR="00392E0D" w:rsidRPr="003E305A" w:rsidRDefault="00392E0D" w:rsidP="00EA0A77">
      <w:pPr>
        <w:pStyle w:val="Textodenotaderodap"/>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Id., ibid., 110-111; E. Black (2003) 332; E. Conte et al. </w:t>
      </w:r>
      <w:r w:rsidRPr="00B2463D">
        <w:rPr>
          <w:rFonts w:ascii="Arial Narrow" w:hAnsi="Arial Narrow"/>
          <w:lang w:val="de-DE"/>
        </w:rPr>
        <w:t xml:space="preserve">(1995) 297-298, 301-303, 330-331, 334-337, 357-360; </w:t>
      </w:r>
      <w:r>
        <w:rPr>
          <w:rFonts w:ascii="Arial Narrow" w:hAnsi="Arial Narrow"/>
          <w:lang w:val="de-DE"/>
        </w:rPr>
        <w:t xml:space="preserve">M. Gilbert (2011 b) I 365, II 456; </w:t>
      </w:r>
      <w:r w:rsidRPr="00B2463D">
        <w:rPr>
          <w:rFonts w:ascii="Arial Narrow" w:hAnsi="Arial Narrow"/>
          <w:lang w:val="de-DE"/>
        </w:rPr>
        <w:t xml:space="preserve">«Lebensborn», em I. C. B. Dear et al. </w:t>
      </w:r>
      <w:r w:rsidRPr="003E305A">
        <w:rPr>
          <w:rFonts w:ascii="Arial Narrow" w:hAnsi="Arial Narrow"/>
          <w:lang w:val="fr-FR"/>
        </w:rPr>
        <w:t>(orgs. 1995) 675</w:t>
      </w:r>
      <w:r>
        <w:rPr>
          <w:rFonts w:ascii="Arial Narrow" w:hAnsi="Arial Narrow"/>
          <w:lang w:val="fr-FR"/>
        </w:rPr>
        <w:t xml:space="preserve">; </w:t>
      </w:r>
      <w:r w:rsidRPr="00786934">
        <w:rPr>
          <w:rFonts w:ascii="Arial Narrow" w:hAnsi="Arial Narrow"/>
          <w:lang w:val="en-US"/>
        </w:rPr>
        <w:t>A. Quinchon-Caudal (2013)</w:t>
      </w:r>
      <w:r>
        <w:rPr>
          <w:rFonts w:ascii="Arial Narrow" w:hAnsi="Arial Narrow"/>
          <w:lang w:val="en-US"/>
        </w:rPr>
        <w:t xml:space="preserve"> 188-189</w:t>
      </w:r>
      <w:r w:rsidRPr="003E305A">
        <w:rPr>
          <w:rFonts w:ascii="Arial Narrow" w:hAnsi="Arial Narrow"/>
          <w:lang w:val="fr-FR"/>
        </w:rPr>
        <w:t>.</w:t>
      </w:r>
    </w:p>
  </w:footnote>
  <w:footnote w:id="675">
    <w:p w:rsidR="00392E0D" w:rsidRPr="00E650A9"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E650A9">
        <w:rPr>
          <w:rFonts w:ascii="Arial Narrow" w:hAnsi="Arial Narrow"/>
          <w:lang w:val="en-GB"/>
        </w:rPr>
        <w:t xml:space="preserve"> A. Dallin (1957) 9</w:t>
      </w:r>
      <w:r>
        <w:rPr>
          <w:rFonts w:ascii="Arial Narrow" w:hAnsi="Arial Narrow"/>
          <w:lang w:val="en-GB"/>
        </w:rPr>
        <w:t xml:space="preserve">; </w:t>
      </w:r>
      <w:r w:rsidRPr="001D1584">
        <w:rPr>
          <w:rFonts w:ascii="Arial Narrow" w:hAnsi="Arial Narrow"/>
          <w:lang w:val="en-US"/>
        </w:rPr>
        <w:t>S. Friedländer (2008)</w:t>
      </w:r>
      <w:r>
        <w:rPr>
          <w:rFonts w:ascii="Arial Narrow" w:hAnsi="Arial Narrow"/>
          <w:lang w:val="en-US"/>
        </w:rPr>
        <w:t xml:space="preserve"> 216-217</w:t>
      </w:r>
      <w:r w:rsidRPr="00E650A9">
        <w:rPr>
          <w:rFonts w:ascii="Arial Narrow" w:hAnsi="Arial Narrow"/>
          <w:lang w:val="en-GB"/>
        </w:rPr>
        <w:t>.</w:t>
      </w:r>
    </w:p>
  </w:footnote>
  <w:footnote w:id="676">
    <w:p w:rsidR="00392E0D" w:rsidRPr="00F662B0" w:rsidRDefault="00392E0D" w:rsidP="00321E01">
      <w:pPr>
        <w:pStyle w:val="Textodenotaderodap"/>
        <w:rPr>
          <w:rFonts w:ascii="Arial Narrow" w:hAnsi="Arial Narrow"/>
        </w:rPr>
      </w:pPr>
      <w:r w:rsidRPr="00012DA7">
        <w:rPr>
          <w:rStyle w:val="Refdenotaderodap"/>
          <w:rFonts w:ascii="Arial Narrow" w:hAnsi="Arial Narrow"/>
        </w:rPr>
        <w:footnoteRef/>
      </w:r>
      <w:r w:rsidRPr="00F662B0">
        <w:rPr>
          <w:rFonts w:ascii="Arial Narrow" w:hAnsi="Arial Narrow"/>
        </w:rPr>
        <w:t xml:space="preserve"> H. Ford (1932) 216, 368.</w:t>
      </w:r>
    </w:p>
  </w:footnote>
  <w:footnote w:id="677">
    <w:p w:rsidR="00392E0D" w:rsidRPr="00F662B0" w:rsidRDefault="00392E0D" w:rsidP="00321E01">
      <w:pPr>
        <w:pStyle w:val="Textodenotaderodap"/>
        <w:rPr>
          <w:rFonts w:ascii="Arial Narrow" w:hAnsi="Arial Narrow"/>
        </w:rPr>
      </w:pPr>
      <w:r w:rsidRPr="00685233">
        <w:rPr>
          <w:rStyle w:val="Refdenotaderodap"/>
          <w:rFonts w:ascii="Arial Narrow" w:hAnsi="Arial Narrow"/>
        </w:rPr>
        <w:footnoteRef/>
      </w:r>
      <w:r w:rsidRPr="00F662B0">
        <w:rPr>
          <w:rFonts w:ascii="Arial Narrow" w:hAnsi="Arial Narrow"/>
        </w:rPr>
        <w:t xml:space="preserve"> Citado em Y. Guchet (2001) 34.</w:t>
      </w:r>
    </w:p>
  </w:footnote>
  <w:footnote w:id="678">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r w:rsidRPr="004C50AF">
        <w:rPr>
          <w:rFonts w:ascii="Arial Narrow" w:hAnsi="Arial Narrow"/>
          <w:lang w:val="en-US"/>
        </w:rPr>
        <w:t>O. Strasser (1940) 108</w:t>
      </w:r>
      <w:r>
        <w:rPr>
          <w:rFonts w:ascii="Arial Narrow" w:hAnsi="Arial Narrow"/>
          <w:lang w:val="en-GB"/>
        </w:rPr>
        <w:t>.</w:t>
      </w:r>
    </w:p>
  </w:footnote>
  <w:footnote w:id="679">
    <w:p w:rsidR="00392E0D" w:rsidRPr="00F662B0" w:rsidRDefault="00392E0D" w:rsidP="00321E01">
      <w:pPr>
        <w:pStyle w:val="Textodenotaderodap"/>
        <w:rPr>
          <w:rFonts w:ascii="Arial Narrow" w:hAnsi="Arial Narrow"/>
          <w:lang w:val="en-US"/>
        </w:rPr>
      </w:pPr>
      <w:r w:rsidRPr="00E650A9">
        <w:rPr>
          <w:rStyle w:val="Refdenotaderodap"/>
          <w:rFonts w:ascii="Arial Narrow" w:hAnsi="Arial Narrow"/>
        </w:rPr>
        <w:footnoteRef/>
      </w:r>
      <w:r w:rsidRPr="00F662B0">
        <w:rPr>
          <w:rFonts w:ascii="Arial Narrow" w:hAnsi="Arial Narrow"/>
          <w:lang w:val="en-US"/>
        </w:rPr>
        <w:t xml:space="preserve"> N. Cohn (1992) 201.</w:t>
      </w:r>
    </w:p>
  </w:footnote>
  <w:footnote w:id="680">
    <w:p w:rsidR="00392E0D" w:rsidRPr="00F662B0"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F662B0">
        <w:rPr>
          <w:rFonts w:ascii="Arial Narrow" w:hAnsi="Arial Narrow"/>
          <w:lang w:val="en-US"/>
        </w:rPr>
        <w:t xml:space="preserve"> R. Hilberg (1961) 472.</w:t>
      </w:r>
    </w:p>
  </w:footnote>
  <w:footnote w:id="681">
    <w:p w:rsidR="00392E0D" w:rsidRPr="00883BC1" w:rsidRDefault="00392E0D">
      <w:pPr>
        <w:pStyle w:val="Textodenotaderodap"/>
        <w:rPr>
          <w:rFonts w:ascii="Arial Narrow" w:hAnsi="Arial Narrow"/>
        </w:rPr>
      </w:pPr>
      <w:r w:rsidRPr="00883BC1">
        <w:rPr>
          <w:rStyle w:val="Refdenotaderodap"/>
          <w:rFonts w:ascii="Arial Narrow" w:hAnsi="Arial Narrow"/>
        </w:rPr>
        <w:footnoteRef/>
      </w:r>
      <w:r w:rsidRPr="00883BC1">
        <w:rPr>
          <w:rFonts w:ascii="Arial Narrow" w:hAnsi="Arial Narrow"/>
        </w:rPr>
        <w:t xml:space="preserve"> </w:t>
      </w:r>
      <w:r>
        <w:rPr>
          <w:rFonts w:ascii="Arial Narrow" w:hAnsi="Arial Narrow"/>
        </w:rPr>
        <w:t xml:space="preserve">Citado em </w:t>
      </w:r>
      <w:r w:rsidRPr="00E6569B">
        <w:rPr>
          <w:rFonts w:ascii="Arial Narrow" w:hAnsi="Arial Narrow"/>
        </w:rPr>
        <w:t>S. Friedländer (2008) 700.</w:t>
      </w:r>
    </w:p>
  </w:footnote>
  <w:footnote w:id="682">
    <w:p w:rsidR="00392E0D" w:rsidRPr="00986895" w:rsidRDefault="00392E0D">
      <w:pPr>
        <w:pStyle w:val="Textodenotaderodap"/>
        <w:rPr>
          <w:rFonts w:ascii="Arial Narrow" w:hAnsi="Arial Narrow"/>
        </w:rPr>
      </w:pPr>
      <w:r w:rsidRPr="00986895">
        <w:rPr>
          <w:rStyle w:val="Refdenotaderodap"/>
          <w:rFonts w:ascii="Arial Narrow" w:hAnsi="Arial Narrow"/>
        </w:rPr>
        <w:footnoteRef/>
      </w:r>
      <w:r w:rsidRPr="00986895">
        <w:rPr>
          <w:rFonts w:ascii="Arial Narrow" w:hAnsi="Arial Narrow"/>
        </w:rPr>
        <w:t xml:space="preserve"> </w:t>
      </w:r>
      <w:r>
        <w:rPr>
          <w:rFonts w:ascii="Arial Narrow" w:hAnsi="Arial Narrow"/>
        </w:rPr>
        <w:t>Citado em J. Noakes et al. (orgs. 2008-2010) III 444. «Sem os judeus», considerou o chefe do fascismo valão, Léon Degrelle, «não teria havido resistência em 1940». Ver L. Degrelle (1949 b) 167.</w:t>
      </w:r>
    </w:p>
  </w:footnote>
  <w:footnote w:id="683">
    <w:p w:rsidR="00392E0D" w:rsidRPr="00D30225" w:rsidRDefault="00392E0D" w:rsidP="00321E01">
      <w:pPr>
        <w:pStyle w:val="Textodenotaderodap"/>
        <w:rPr>
          <w:rFonts w:ascii="Arial Narrow" w:hAnsi="Arial Narrow"/>
        </w:rPr>
      </w:pPr>
      <w:r w:rsidRPr="00D30225">
        <w:rPr>
          <w:rStyle w:val="Refdenotaderodap"/>
          <w:rFonts w:ascii="Arial Narrow" w:hAnsi="Arial Narrow"/>
        </w:rPr>
        <w:footnoteRef/>
      </w:r>
      <w:r w:rsidRPr="00D30225">
        <w:rPr>
          <w:rFonts w:ascii="Arial Narrow" w:hAnsi="Arial Narrow"/>
        </w:rPr>
        <w:t xml:space="preserve"> </w:t>
      </w:r>
      <w:r>
        <w:rPr>
          <w:rFonts w:ascii="Arial Narrow" w:hAnsi="Arial Narrow"/>
        </w:rPr>
        <w:t xml:space="preserve">Citado em </w:t>
      </w:r>
      <w:r w:rsidRPr="00621421">
        <w:rPr>
          <w:rFonts w:ascii="Arial Narrow" w:hAnsi="Arial Narrow"/>
        </w:rPr>
        <w:t xml:space="preserve">N. Cohn (1992) </w:t>
      </w:r>
      <w:r w:rsidRPr="00D30225">
        <w:rPr>
          <w:rFonts w:ascii="Arial Narrow" w:hAnsi="Arial Narrow"/>
        </w:rPr>
        <w:t>186</w:t>
      </w:r>
      <w:r>
        <w:rPr>
          <w:rFonts w:ascii="Arial Narrow" w:hAnsi="Arial Narrow"/>
        </w:rPr>
        <w:t>.</w:t>
      </w:r>
    </w:p>
  </w:footnote>
  <w:footnote w:id="684">
    <w:p w:rsidR="00392E0D" w:rsidRPr="00E9076F" w:rsidRDefault="00392E0D">
      <w:pPr>
        <w:pStyle w:val="Textodenotaderodap"/>
        <w:rPr>
          <w:rFonts w:ascii="Arial Narrow" w:hAnsi="Arial Narrow"/>
        </w:rPr>
      </w:pPr>
      <w:r w:rsidRPr="00E9076F">
        <w:rPr>
          <w:rStyle w:val="Refdenotaderodap"/>
          <w:rFonts w:ascii="Arial Narrow" w:hAnsi="Arial Narrow"/>
        </w:rPr>
        <w:footnoteRef/>
      </w:r>
      <w:r w:rsidRPr="00E9076F">
        <w:rPr>
          <w:rFonts w:ascii="Arial Narrow" w:hAnsi="Arial Narrow"/>
        </w:rPr>
        <w:t xml:space="preserve"> </w:t>
      </w:r>
      <w:r w:rsidRPr="00ED3430">
        <w:rPr>
          <w:rFonts w:ascii="Arial Narrow" w:hAnsi="Arial Narrow"/>
        </w:rPr>
        <w:t>S. Friedländer (2008) 214-215, 217-218, 221.</w:t>
      </w:r>
    </w:p>
  </w:footnote>
  <w:footnote w:id="685">
    <w:p w:rsidR="00392E0D" w:rsidRPr="00437001" w:rsidRDefault="00392E0D" w:rsidP="00ED3430">
      <w:pPr>
        <w:pStyle w:val="Textodenotaderodap"/>
        <w:rPr>
          <w:rFonts w:ascii="Arial Narrow" w:hAnsi="Arial Narrow"/>
        </w:rPr>
      </w:pPr>
      <w:r w:rsidRPr="00817328">
        <w:rPr>
          <w:rStyle w:val="Refdenotaderodap"/>
          <w:rFonts w:ascii="Arial Narrow" w:hAnsi="Arial Narrow"/>
        </w:rPr>
        <w:footnoteRef/>
      </w:r>
      <w:r w:rsidRPr="00437001">
        <w:rPr>
          <w:rFonts w:ascii="Arial Narrow" w:hAnsi="Arial Narrow"/>
        </w:rPr>
        <w:t xml:space="preserve"> Citado em </w:t>
      </w:r>
      <w:r>
        <w:rPr>
          <w:rFonts w:ascii="Arial Narrow" w:hAnsi="Arial Narrow"/>
        </w:rPr>
        <w:t xml:space="preserve">id., ibid., 215 e </w:t>
      </w:r>
      <w:r w:rsidRPr="00437001">
        <w:rPr>
          <w:rFonts w:ascii="Arial Narrow" w:hAnsi="Arial Narrow"/>
        </w:rPr>
        <w:t>J. Noakes et al. (orgs. 2008-2010) III 484.</w:t>
      </w:r>
    </w:p>
  </w:footnote>
  <w:footnote w:id="686">
    <w:p w:rsidR="00392E0D" w:rsidRPr="008505DC" w:rsidRDefault="00392E0D">
      <w:pPr>
        <w:pStyle w:val="Textodenotaderodap"/>
        <w:rPr>
          <w:rFonts w:ascii="Arial Narrow" w:hAnsi="Arial Narrow"/>
        </w:rPr>
      </w:pPr>
      <w:r w:rsidRPr="008505DC">
        <w:rPr>
          <w:rStyle w:val="Refdenotaderodap"/>
          <w:rFonts w:ascii="Arial Narrow" w:hAnsi="Arial Narrow"/>
        </w:rPr>
        <w:footnoteRef/>
      </w:r>
      <w:r w:rsidRPr="008505DC">
        <w:rPr>
          <w:rFonts w:ascii="Arial Narrow" w:hAnsi="Arial Narrow"/>
        </w:rPr>
        <w:t xml:space="preserve"> </w:t>
      </w:r>
      <w:r>
        <w:rPr>
          <w:rFonts w:ascii="Arial Narrow" w:hAnsi="Arial Narrow"/>
        </w:rPr>
        <w:t xml:space="preserve">Citado em </w:t>
      </w:r>
      <w:r w:rsidRPr="000F7047">
        <w:rPr>
          <w:rFonts w:ascii="Arial Narrow" w:hAnsi="Arial Narrow"/>
        </w:rPr>
        <w:t>S. Friedländer (2008) 325.</w:t>
      </w:r>
    </w:p>
  </w:footnote>
  <w:footnote w:id="687">
    <w:p w:rsidR="00392E0D" w:rsidRPr="003A3D08" w:rsidRDefault="00392E0D">
      <w:pPr>
        <w:pStyle w:val="Textodenotaderodap"/>
        <w:rPr>
          <w:rFonts w:ascii="Arial Narrow" w:hAnsi="Arial Narrow"/>
          <w:lang w:val="en-US"/>
        </w:rPr>
      </w:pPr>
      <w:r w:rsidRPr="00C407D0">
        <w:rPr>
          <w:rStyle w:val="Refdenotaderodap"/>
          <w:rFonts w:ascii="Arial Narrow" w:hAnsi="Arial Narrow"/>
        </w:rPr>
        <w:footnoteRef/>
      </w:r>
      <w:r w:rsidRPr="00C407D0">
        <w:rPr>
          <w:rFonts w:ascii="Arial Narrow" w:hAnsi="Arial Narrow"/>
        </w:rPr>
        <w:t xml:space="preserve"> </w:t>
      </w:r>
      <w:r>
        <w:rPr>
          <w:rFonts w:ascii="Arial Narrow" w:hAnsi="Arial Narrow"/>
        </w:rPr>
        <w:t xml:space="preserve">Citado em </w:t>
      </w:r>
      <w:r w:rsidRPr="00B4763C">
        <w:rPr>
          <w:rFonts w:ascii="Arial Narrow" w:hAnsi="Arial Narrow"/>
        </w:rPr>
        <w:t xml:space="preserve">M. Edele et al. </w:t>
      </w:r>
      <w:r w:rsidRPr="00B447E9">
        <w:rPr>
          <w:rFonts w:ascii="Arial Narrow" w:hAnsi="Arial Narrow"/>
          <w:lang w:val="en-US"/>
        </w:rPr>
        <w:t xml:space="preserve">(2009) </w:t>
      </w:r>
      <w:r>
        <w:rPr>
          <w:rFonts w:ascii="Arial Narrow" w:hAnsi="Arial Narrow"/>
          <w:lang w:val="en-US"/>
        </w:rPr>
        <w:t xml:space="preserve">379, </w:t>
      </w:r>
      <w:r w:rsidRPr="00B4763C">
        <w:rPr>
          <w:rFonts w:ascii="Arial Narrow" w:hAnsi="Arial Narrow"/>
          <w:lang w:val="en-US"/>
        </w:rPr>
        <w:t xml:space="preserve">S. Friedländer (2008) 426, J. Noakes et al. </w:t>
      </w:r>
      <w:r w:rsidRPr="00C146E3">
        <w:rPr>
          <w:rFonts w:ascii="Arial Narrow" w:hAnsi="Arial Narrow"/>
        </w:rPr>
        <w:t xml:space="preserve">(orgs. </w:t>
      </w:r>
      <w:r w:rsidRPr="002338C3">
        <w:rPr>
          <w:rFonts w:ascii="Arial Narrow" w:hAnsi="Arial Narrow"/>
        </w:rPr>
        <w:t xml:space="preserve">2008-2010) III 505 e M. Roseman (2012) 65. </w:t>
      </w:r>
      <w:r w:rsidRPr="00724953">
        <w:rPr>
          <w:rFonts w:ascii="Arial Narrow" w:hAnsi="Arial Narrow"/>
        </w:rPr>
        <w:t xml:space="preserve">Saul Friedländer observou </w:t>
      </w:r>
      <w:r>
        <w:rPr>
          <w:rFonts w:ascii="Arial Narrow" w:hAnsi="Arial Narrow"/>
        </w:rPr>
        <w:t xml:space="preserve">(págs. 426-427) </w:t>
      </w:r>
      <w:r w:rsidRPr="00724953">
        <w:rPr>
          <w:rFonts w:ascii="Arial Narrow" w:hAnsi="Arial Narrow"/>
        </w:rPr>
        <w:t>que esta directiva não podia referir-se aos judeus sovi</w:t>
      </w:r>
      <w:r>
        <w:rPr>
          <w:rFonts w:ascii="Arial Narrow" w:hAnsi="Arial Narrow"/>
        </w:rPr>
        <w:t xml:space="preserve">éticos, que já estavam a ser liquidados há vários meses, mas aos judeus do próprio Reich, que passariam a ser tratados como potenciais inimigos. Com efeito, Hitler disse a Goebbels em Maio de 1942 que «os alemães só participam em movimentos subversivos quando são instigados pelos judeus». </w:t>
      </w:r>
      <w:r w:rsidRPr="003A3D08">
        <w:rPr>
          <w:rFonts w:ascii="Arial Narrow" w:hAnsi="Arial Narrow"/>
          <w:lang w:val="en-US"/>
        </w:rPr>
        <w:t>Ver Saul Friedländer, op. cit., 525.</w:t>
      </w:r>
    </w:p>
  </w:footnote>
  <w:footnote w:id="688">
    <w:p w:rsidR="00392E0D" w:rsidRPr="00446ABA" w:rsidRDefault="00392E0D">
      <w:pPr>
        <w:pStyle w:val="Textodenotaderodap"/>
        <w:rPr>
          <w:rFonts w:ascii="Arial Narrow" w:hAnsi="Arial Narrow"/>
          <w:lang w:val="en-US"/>
        </w:rPr>
      </w:pPr>
      <w:r w:rsidRPr="00446ABA">
        <w:rPr>
          <w:rStyle w:val="Refdenotaderodap"/>
          <w:rFonts w:ascii="Arial Narrow" w:hAnsi="Arial Narrow"/>
        </w:rPr>
        <w:footnoteRef/>
      </w:r>
      <w:r w:rsidRPr="00446ABA">
        <w:rPr>
          <w:rFonts w:ascii="Arial Narrow" w:hAnsi="Arial Narrow"/>
          <w:lang w:val="en-US"/>
        </w:rPr>
        <w:t xml:space="preserve"> </w:t>
      </w:r>
      <w:r w:rsidRPr="00D72417">
        <w:rPr>
          <w:rFonts w:ascii="Arial Narrow" w:hAnsi="Arial Narrow"/>
          <w:lang w:val="en-US"/>
        </w:rPr>
        <w:t xml:space="preserve">R. Hilberg (1961) </w:t>
      </w:r>
      <w:r w:rsidRPr="00446ABA">
        <w:rPr>
          <w:rFonts w:ascii="Arial Narrow" w:hAnsi="Arial Narrow"/>
          <w:lang w:val="en-US"/>
        </w:rPr>
        <w:t>247</w:t>
      </w:r>
      <w:r>
        <w:rPr>
          <w:rFonts w:ascii="Arial Narrow" w:hAnsi="Arial Narrow"/>
          <w:lang w:val="en-US"/>
        </w:rPr>
        <w:t>;</w:t>
      </w:r>
      <w:r w:rsidRPr="00446ABA">
        <w:rPr>
          <w:rFonts w:ascii="Arial Narrow" w:hAnsi="Arial Narrow"/>
          <w:lang w:val="en-US"/>
        </w:rPr>
        <w:t xml:space="preserve"> I. Kamenetsky (1956) 39.</w:t>
      </w:r>
    </w:p>
  </w:footnote>
  <w:footnote w:id="689">
    <w:p w:rsidR="00392E0D" w:rsidRPr="00F12731"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D72417">
        <w:rPr>
          <w:rFonts w:ascii="Arial Narrow" w:hAnsi="Arial Narrow"/>
          <w:lang w:val="en-US"/>
        </w:rPr>
        <w:t xml:space="preserve"> A. Beevor (2010) 13-14, 49 e segs., 159; R. Hilberg (1961) 197, 211-212; H. Mommsen (2009) 247-248, 269-271; M. Roseman (2012) 45.</w:t>
      </w:r>
    </w:p>
  </w:footnote>
  <w:footnote w:id="690">
    <w:p w:rsidR="00392E0D" w:rsidRPr="00341D02" w:rsidRDefault="00392E0D">
      <w:pPr>
        <w:pStyle w:val="Textodenotaderodap"/>
        <w:rPr>
          <w:rFonts w:ascii="Arial Narrow" w:hAnsi="Arial Narrow"/>
        </w:rPr>
      </w:pPr>
      <w:r w:rsidRPr="00341D02">
        <w:rPr>
          <w:rStyle w:val="Refdenotaderodap"/>
          <w:rFonts w:ascii="Arial Narrow" w:hAnsi="Arial Narrow"/>
        </w:rPr>
        <w:footnoteRef/>
      </w:r>
      <w:r w:rsidRPr="00341D02">
        <w:rPr>
          <w:rFonts w:ascii="Arial Narrow" w:hAnsi="Arial Narrow"/>
        </w:rPr>
        <w:t xml:space="preserve"> </w:t>
      </w:r>
      <w:r>
        <w:rPr>
          <w:rFonts w:ascii="Arial Narrow" w:hAnsi="Arial Narrow"/>
        </w:rPr>
        <w:t>Citado em M. Gilbert (2011 b) I 272.</w:t>
      </w:r>
    </w:p>
  </w:footnote>
  <w:footnote w:id="691">
    <w:p w:rsidR="00392E0D" w:rsidRPr="002E787F"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F1041A">
        <w:rPr>
          <w:rFonts w:ascii="Arial Narrow" w:hAnsi="Arial Narrow"/>
          <w:lang w:val="en-US"/>
        </w:rPr>
        <w:t xml:space="preserve"> A. Beevor (2010) 15, 49; </w:t>
      </w:r>
      <w:r w:rsidRPr="00E5493C">
        <w:rPr>
          <w:rFonts w:ascii="Arial Narrow" w:hAnsi="Arial Narrow"/>
          <w:lang w:val="en-US"/>
        </w:rPr>
        <w:t xml:space="preserve">S. Friedländer (2008) </w:t>
      </w:r>
      <w:r>
        <w:rPr>
          <w:rFonts w:ascii="Arial Narrow" w:hAnsi="Arial Narrow"/>
          <w:lang w:val="en-US"/>
        </w:rPr>
        <w:t xml:space="preserve">326-327; </w:t>
      </w:r>
      <w:r w:rsidRPr="00F1041A">
        <w:rPr>
          <w:rFonts w:ascii="Arial Narrow" w:hAnsi="Arial Narrow"/>
          <w:lang w:val="en-US"/>
        </w:rPr>
        <w:t xml:space="preserve">M. </w:t>
      </w:r>
      <w:r>
        <w:rPr>
          <w:rFonts w:ascii="Arial Narrow" w:hAnsi="Arial Narrow"/>
          <w:lang w:val="en-US"/>
        </w:rPr>
        <w:t xml:space="preserve">Gilbert (2011 b) I 284; </w:t>
      </w:r>
      <w:r w:rsidRPr="00F1041A">
        <w:rPr>
          <w:rFonts w:ascii="Arial Narrow" w:hAnsi="Arial Narrow"/>
          <w:lang w:val="en-US"/>
        </w:rPr>
        <w:t xml:space="preserve">R. Hilberg (1961) 211. </w:t>
      </w:r>
      <w:r>
        <w:rPr>
          <w:rFonts w:ascii="Arial Narrow" w:hAnsi="Arial Narrow"/>
        </w:rPr>
        <w:t xml:space="preserve">As frases citadas de </w:t>
      </w:r>
      <w:r w:rsidRPr="005957F4">
        <w:rPr>
          <w:rFonts w:ascii="Arial Narrow" w:hAnsi="Arial Narrow"/>
        </w:rPr>
        <w:t xml:space="preserve">von Reichenau </w:t>
      </w:r>
      <w:r>
        <w:rPr>
          <w:rFonts w:ascii="Arial Narrow" w:hAnsi="Arial Narrow"/>
        </w:rPr>
        <w:t xml:space="preserve">encontram-se em J. Noakes et al. (orgs. 2008-2010) III 495. Ver também Antony Beever, </w:t>
      </w:r>
      <w:r w:rsidRPr="00F4787E">
        <w:rPr>
          <w:rFonts w:ascii="Arial Narrow" w:hAnsi="Arial Narrow"/>
        </w:rPr>
        <w:t>op. cit.,</w:t>
      </w:r>
      <w:r>
        <w:rPr>
          <w:rFonts w:ascii="Arial Narrow" w:hAnsi="Arial Narrow"/>
        </w:rPr>
        <w:t xml:space="preserve"> 52. Aliás, Beever mostrou (pág. 50) que já em Agosto de 1941 o comando do Sexto Exército mencionara as «execuções de elementos criminosos, bolchevistas e sobretudo judeus». Também o comandante do Décimo Sétimo Exército, segundo H. Mommsen (2009) 270, apelou à «intensificação da luta contra o bolchevismo e contra o judaísmo internacional».</w:t>
      </w:r>
    </w:p>
  </w:footnote>
  <w:footnote w:id="692">
    <w:p w:rsidR="00392E0D" w:rsidRPr="001A4CD7" w:rsidRDefault="00392E0D">
      <w:pPr>
        <w:pStyle w:val="Textodenotaderodap"/>
        <w:rPr>
          <w:rFonts w:ascii="Arial Narrow" w:hAnsi="Arial Narrow"/>
        </w:rPr>
      </w:pPr>
      <w:r w:rsidRPr="00CC4EE3">
        <w:rPr>
          <w:rStyle w:val="Refdenotaderodap"/>
          <w:rFonts w:ascii="Arial Narrow" w:hAnsi="Arial Narrow"/>
        </w:rPr>
        <w:footnoteRef/>
      </w:r>
      <w:r w:rsidRPr="001A4CD7">
        <w:rPr>
          <w:rFonts w:ascii="Arial Narrow" w:hAnsi="Arial Narrow"/>
        </w:rPr>
        <w:t xml:space="preserve"> A. Beevor (2010) 15</w:t>
      </w:r>
      <w:r>
        <w:rPr>
          <w:rFonts w:ascii="Arial Narrow" w:hAnsi="Arial Narrow"/>
        </w:rPr>
        <w:t xml:space="preserve">; </w:t>
      </w:r>
      <w:r w:rsidRPr="000F7047">
        <w:rPr>
          <w:rFonts w:ascii="Arial Narrow" w:hAnsi="Arial Narrow"/>
        </w:rPr>
        <w:t>S. Friedländer (2008) 327</w:t>
      </w:r>
      <w:r w:rsidRPr="001A4CD7">
        <w:rPr>
          <w:rFonts w:ascii="Arial Narrow" w:hAnsi="Arial Narrow"/>
        </w:rPr>
        <w:t xml:space="preserve">. Quanto a von Rundstedt, ver </w:t>
      </w:r>
      <w:r w:rsidRPr="000F7047">
        <w:rPr>
          <w:rFonts w:ascii="Arial Narrow" w:hAnsi="Arial Narrow"/>
        </w:rPr>
        <w:t>Antony</w:t>
      </w:r>
      <w:r w:rsidRPr="001A4CD7">
        <w:rPr>
          <w:rFonts w:ascii="Arial Narrow" w:hAnsi="Arial Narrow"/>
        </w:rPr>
        <w:t xml:space="preserve"> Beevor</w:t>
      </w:r>
      <w:r>
        <w:rPr>
          <w:rFonts w:ascii="Arial Narrow" w:hAnsi="Arial Narrow"/>
        </w:rPr>
        <w:t>,</w:t>
      </w:r>
      <w:r w:rsidRPr="001A4CD7">
        <w:rPr>
          <w:rFonts w:ascii="Arial Narrow" w:hAnsi="Arial Narrow"/>
        </w:rPr>
        <w:t xml:space="preserve"> </w:t>
      </w:r>
      <w:r>
        <w:rPr>
          <w:rFonts w:ascii="Arial Narrow" w:hAnsi="Arial Narrow"/>
        </w:rPr>
        <w:t xml:space="preserve">op. cit., </w:t>
      </w:r>
      <w:r w:rsidRPr="001A4CD7">
        <w:rPr>
          <w:rFonts w:ascii="Arial Narrow" w:hAnsi="Arial Narrow"/>
        </w:rPr>
        <w:t>52</w:t>
      </w:r>
      <w:r>
        <w:rPr>
          <w:rFonts w:ascii="Arial Narrow" w:hAnsi="Arial Narrow"/>
        </w:rPr>
        <w:t xml:space="preserve"> e J. Noakes et al. (orgs. 2008-2010) III 495</w:t>
      </w:r>
      <w:r w:rsidRPr="001A4CD7">
        <w:rPr>
          <w:rFonts w:ascii="Arial Narrow" w:hAnsi="Arial Narrow"/>
        </w:rPr>
        <w:t>.</w:t>
      </w:r>
    </w:p>
  </w:footnote>
  <w:footnote w:id="693">
    <w:p w:rsidR="00392E0D" w:rsidRPr="002720AA" w:rsidRDefault="00392E0D">
      <w:pPr>
        <w:pStyle w:val="Textodenotaderodap"/>
        <w:rPr>
          <w:rFonts w:ascii="Arial Narrow" w:hAnsi="Arial Narrow"/>
        </w:rPr>
      </w:pPr>
      <w:r w:rsidRPr="002720AA">
        <w:rPr>
          <w:rStyle w:val="Refdenotaderodap"/>
          <w:rFonts w:ascii="Arial Narrow" w:hAnsi="Arial Narrow"/>
        </w:rPr>
        <w:footnoteRef/>
      </w:r>
      <w:r w:rsidRPr="002720AA">
        <w:rPr>
          <w:rFonts w:ascii="Arial Narrow" w:hAnsi="Arial Narrow"/>
        </w:rPr>
        <w:t xml:space="preserve"> </w:t>
      </w:r>
      <w:r>
        <w:rPr>
          <w:rFonts w:ascii="Arial Narrow" w:hAnsi="Arial Narrow"/>
        </w:rPr>
        <w:t xml:space="preserve">Citado em M. Gilbert (2011 b) I 303. Segundo Martin Gilbert, </w:t>
      </w:r>
      <w:r w:rsidRPr="00AB5A77">
        <w:rPr>
          <w:rFonts w:ascii="Arial Narrow" w:hAnsi="Arial Narrow"/>
        </w:rPr>
        <w:t>op. cit.,</w:t>
      </w:r>
      <w:r>
        <w:rPr>
          <w:rFonts w:ascii="Arial Narrow" w:hAnsi="Arial Narrow"/>
        </w:rPr>
        <w:t xml:space="preserve"> I 425, em Setembro de 1942 esta ordem do dia foi novamente distribuída às tropas que combatiam no Cáucaso.</w:t>
      </w:r>
    </w:p>
  </w:footnote>
  <w:footnote w:id="694">
    <w:p w:rsidR="00392E0D" w:rsidRPr="00225167" w:rsidRDefault="00392E0D">
      <w:pPr>
        <w:pStyle w:val="Textodenotaderodap"/>
        <w:rPr>
          <w:rFonts w:ascii="Arial Narrow" w:hAnsi="Arial Narrow"/>
        </w:rPr>
      </w:pPr>
      <w:r w:rsidRPr="00A5445D">
        <w:rPr>
          <w:rStyle w:val="Refdenotaderodap"/>
          <w:rFonts w:ascii="Arial Narrow" w:hAnsi="Arial Narrow"/>
        </w:rPr>
        <w:footnoteRef/>
      </w:r>
      <w:r w:rsidRPr="00A5445D">
        <w:rPr>
          <w:rFonts w:ascii="Arial Narrow" w:hAnsi="Arial Narrow"/>
        </w:rPr>
        <w:t xml:space="preserve"> </w:t>
      </w:r>
      <w:r w:rsidRPr="00225167">
        <w:rPr>
          <w:rFonts w:ascii="Arial Narrow" w:hAnsi="Arial Narrow"/>
        </w:rPr>
        <w:t>H. J. Burgwyn (2012) 379. Ver igualmente as p</w:t>
      </w:r>
      <w:r>
        <w:rPr>
          <w:rFonts w:ascii="Arial Narrow" w:hAnsi="Arial Narrow"/>
        </w:rPr>
        <w:t>ágs. 380-381 e 383-385.</w:t>
      </w:r>
    </w:p>
  </w:footnote>
  <w:footnote w:id="695">
    <w:p w:rsidR="00392E0D" w:rsidRPr="00DC3D37" w:rsidRDefault="00392E0D">
      <w:pPr>
        <w:pStyle w:val="Textodenotaderodap"/>
        <w:rPr>
          <w:rFonts w:ascii="Arial Narrow" w:hAnsi="Arial Narrow"/>
        </w:rPr>
      </w:pPr>
      <w:r w:rsidRPr="00DC3D37">
        <w:rPr>
          <w:rStyle w:val="Refdenotaderodap"/>
          <w:rFonts w:ascii="Arial Narrow" w:hAnsi="Arial Narrow"/>
        </w:rPr>
        <w:footnoteRef/>
      </w:r>
      <w:r w:rsidRPr="00DC3D37">
        <w:rPr>
          <w:rFonts w:ascii="Arial Narrow" w:hAnsi="Arial Narrow"/>
        </w:rPr>
        <w:t xml:space="preserve"> </w:t>
      </w:r>
      <w:r>
        <w:rPr>
          <w:rFonts w:ascii="Arial Narrow" w:hAnsi="Arial Narrow"/>
        </w:rPr>
        <w:t xml:space="preserve">Em </w:t>
      </w:r>
      <w:r w:rsidRPr="00DC3D37">
        <w:rPr>
          <w:rFonts w:ascii="Arial Narrow" w:hAnsi="Arial Narrow"/>
        </w:rPr>
        <w:t>30 de Agosto de 1942</w:t>
      </w:r>
      <w:r>
        <w:rPr>
          <w:rFonts w:ascii="Arial Narrow" w:hAnsi="Arial Narrow"/>
        </w:rPr>
        <w:t xml:space="preserve">, em </w:t>
      </w:r>
      <w:r w:rsidRPr="00647C8C">
        <w:rPr>
          <w:rFonts w:ascii="Arial Narrow" w:hAnsi="Arial Narrow"/>
          <w:bCs/>
          <w:i/>
          <w:iCs/>
        </w:rPr>
        <w:t>Hitler’s Table Talk</w:t>
      </w:r>
      <w:r w:rsidRPr="00647C8C">
        <w:rPr>
          <w:rFonts w:ascii="Arial Narrow" w:hAnsi="Arial Narrow"/>
          <w:iCs/>
        </w:rPr>
        <w:t>...,</w:t>
      </w:r>
      <w:r>
        <w:rPr>
          <w:rFonts w:ascii="Arial Narrow" w:hAnsi="Arial Narrow"/>
          <w:iCs/>
        </w:rPr>
        <w:t xml:space="preserve"> 676.</w:t>
      </w:r>
    </w:p>
  </w:footnote>
  <w:footnote w:id="696">
    <w:p w:rsidR="00392E0D" w:rsidRPr="00F662B0" w:rsidRDefault="00392E0D" w:rsidP="00321E01">
      <w:pPr>
        <w:pStyle w:val="Textodenotaderodap"/>
        <w:ind w:firstLine="708"/>
        <w:rPr>
          <w:rFonts w:ascii="Arial Narrow" w:hAnsi="Arial Narrow"/>
          <w:lang w:val="en-US"/>
        </w:rPr>
      </w:pPr>
      <w:r w:rsidRPr="003E305A">
        <w:rPr>
          <w:rStyle w:val="Refdenotaderodap"/>
          <w:rFonts w:ascii="Arial Narrow" w:hAnsi="Arial Narrow"/>
        </w:rPr>
        <w:footnoteRef/>
      </w:r>
      <w:r w:rsidRPr="00F662B0">
        <w:rPr>
          <w:rFonts w:ascii="Arial Narrow" w:hAnsi="Arial Narrow"/>
          <w:lang w:val="en-US"/>
        </w:rPr>
        <w:t xml:space="preserve"> R. Hilberg (1961) 300, 651.</w:t>
      </w:r>
    </w:p>
  </w:footnote>
  <w:footnote w:id="697">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r>
        <w:rPr>
          <w:rFonts w:ascii="Arial Narrow" w:hAnsi="Arial Narrow"/>
          <w:lang w:val="en-GB"/>
        </w:rPr>
        <w:t xml:space="preserve">Id., ibid., </w:t>
      </w:r>
      <w:r w:rsidRPr="003E305A">
        <w:rPr>
          <w:rFonts w:ascii="Arial Narrow" w:hAnsi="Arial Narrow"/>
          <w:lang w:val="en-GB"/>
        </w:rPr>
        <w:t>655-656.</w:t>
      </w:r>
    </w:p>
  </w:footnote>
  <w:footnote w:id="698">
    <w:p w:rsidR="00392E0D" w:rsidRPr="00C32A15" w:rsidRDefault="00392E0D" w:rsidP="00321E01">
      <w:pPr>
        <w:pStyle w:val="Textodenotaderodap"/>
        <w:rPr>
          <w:rFonts w:ascii="Arial Narrow" w:hAnsi="Arial Narrow"/>
        </w:rPr>
      </w:pPr>
      <w:r w:rsidRPr="00621421">
        <w:rPr>
          <w:rStyle w:val="Refdenotaderodap"/>
          <w:rFonts w:ascii="Arial Narrow" w:hAnsi="Arial Narrow"/>
        </w:rPr>
        <w:footnoteRef/>
      </w:r>
      <w:r w:rsidRPr="00E6569B">
        <w:rPr>
          <w:rFonts w:ascii="Arial Narrow" w:hAnsi="Arial Narrow"/>
          <w:lang w:val="en-US"/>
        </w:rPr>
        <w:t xml:space="preserve"> N. Cohn (1992) 205. </w:t>
      </w:r>
      <w:r w:rsidRPr="00C32A15">
        <w:rPr>
          <w:rFonts w:ascii="Arial Narrow" w:hAnsi="Arial Narrow"/>
        </w:rPr>
        <w:t>Foram estes os n</w:t>
      </w:r>
      <w:r>
        <w:rPr>
          <w:rFonts w:ascii="Arial Narrow" w:hAnsi="Arial Narrow"/>
        </w:rPr>
        <w:t xml:space="preserve">úmeros que Goebbels registou no seu diário em 9 de Maio de 1943, como se lê em </w:t>
      </w:r>
      <w:r w:rsidRPr="00C32A15">
        <w:rPr>
          <w:rFonts w:ascii="Arial Narrow" w:hAnsi="Arial Narrow"/>
        </w:rPr>
        <w:t>S. Friedländer (2008)</w:t>
      </w:r>
      <w:r>
        <w:rPr>
          <w:rFonts w:ascii="Arial Narrow" w:hAnsi="Arial Narrow"/>
        </w:rPr>
        <w:t xml:space="preserve"> 705.</w:t>
      </w:r>
    </w:p>
  </w:footnote>
  <w:footnote w:id="699">
    <w:p w:rsidR="00392E0D" w:rsidRPr="00041E68" w:rsidRDefault="00392E0D">
      <w:pPr>
        <w:pStyle w:val="Textodenotaderodap"/>
        <w:rPr>
          <w:rFonts w:ascii="Arial Narrow" w:hAnsi="Arial Narrow"/>
          <w:lang w:val="en-US"/>
        </w:rPr>
      </w:pPr>
      <w:r w:rsidRPr="00041E68">
        <w:rPr>
          <w:rStyle w:val="Refdenotaderodap"/>
          <w:rFonts w:ascii="Arial Narrow" w:hAnsi="Arial Narrow"/>
        </w:rPr>
        <w:footnoteRef/>
      </w:r>
      <w:r w:rsidRPr="00041E68">
        <w:rPr>
          <w:rFonts w:ascii="Arial Narrow" w:hAnsi="Arial Narrow"/>
          <w:lang w:val="en-US"/>
        </w:rPr>
        <w:t xml:space="preserve"> M. Gilbert (2011 b) II 475.</w:t>
      </w:r>
    </w:p>
  </w:footnote>
  <w:footnote w:id="700">
    <w:p w:rsidR="00392E0D" w:rsidRPr="00041E68"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041E68">
        <w:rPr>
          <w:rFonts w:ascii="Arial Narrow" w:hAnsi="Arial Narrow"/>
          <w:lang w:val="en-US"/>
        </w:rPr>
        <w:t xml:space="preserve"> R. Hilberg (1961) 286. </w:t>
      </w:r>
      <w:r w:rsidRPr="00E6569B">
        <w:rPr>
          <w:rFonts w:ascii="Arial Narrow" w:hAnsi="Arial Narrow"/>
        </w:rPr>
        <w:t xml:space="preserve">Segundo um delegado da Cruz Vermelha, como se lê em </w:t>
      </w:r>
      <w:r w:rsidRPr="00506DB5">
        <w:rPr>
          <w:rFonts w:ascii="Arial Narrow" w:hAnsi="Arial Narrow"/>
        </w:rPr>
        <w:t xml:space="preserve">S. Friedländer (2008) </w:t>
      </w:r>
      <w:r>
        <w:rPr>
          <w:rFonts w:ascii="Arial Narrow" w:hAnsi="Arial Narrow"/>
        </w:rPr>
        <w:t xml:space="preserve">854, </w:t>
      </w:r>
      <w:r w:rsidRPr="00E6569B">
        <w:rPr>
          <w:rFonts w:ascii="Arial Narrow" w:hAnsi="Arial Narrow"/>
        </w:rPr>
        <w:t xml:space="preserve">em 15 de Abril de 1943 restavam em Berlim mil e quatrocentos judeus. </w:t>
      </w:r>
      <w:r w:rsidRPr="00041E68">
        <w:rPr>
          <w:rFonts w:ascii="Arial Narrow" w:hAnsi="Arial Narrow"/>
        </w:rPr>
        <w:t xml:space="preserve">Os temores de Goebbels eram </w:t>
      </w:r>
      <w:r>
        <w:rPr>
          <w:rFonts w:ascii="Arial Narrow" w:hAnsi="Arial Narrow"/>
        </w:rPr>
        <w:t xml:space="preserve">antigos, pois, segundo J. Noakes et al. (orgs. 2008-2010) III 519, já em Agosto de 1941 ele insistira junto a Hitler para que os judeus de Berlim fossem deportados, ao que o Führer se opôs, possivelmente devido à falta de transportes disponíveis nessa ocasião. Ver ainda </w:t>
      </w:r>
      <w:r w:rsidRPr="00506DB5">
        <w:rPr>
          <w:rFonts w:ascii="Arial Narrow" w:hAnsi="Arial Narrow"/>
        </w:rPr>
        <w:t>S</w:t>
      </w:r>
      <w:r>
        <w:rPr>
          <w:rFonts w:ascii="Arial Narrow" w:hAnsi="Arial Narrow"/>
        </w:rPr>
        <w:t>aul</w:t>
      </w:r>
      <w:r w:rsidRPr="00506DB5">
        <w:rPr>
          <w:rFonts w:ascii="Arial Narrow" w:hAnsi="Arial Narrow"/>
        </w:rPr>
        <w:t xml:space="preserve"> Friedländer</w:t>
      </w:r>
      <w:r>
        <w:rPr>
          <w:rFonts w:ascii="Arial Narrow" w:hAnsi="Arial Narrow"/>
        </w:rPr>
        <w:t xml:space="preserve">, op. cit., </w:t>
      </w:r>
      <w:r w:rsidRPr="00506DB5">
        <w:rPr>
          <w:rFonts w:ascii="Arial Narrow" w:hAnsi="Arial Narrow"/>
        </w:rPr>
        <w:t>367.</w:t>
      </w:r>
    </w:p>
  </w:footnote>
  <w:footnote w:id="701">
    <w:p w:rsidR="00392E0D" w:rsidRPr="00051899" w:rsidRDefault="00392E0D">
      <w:pPr>
        <w:pStyle w:val="Textodenotaderodap"/>
        <w:rPr>
          <w:rFonts w:ascii="Arial Narrow" w:hAnsi="Arial Narrow"/>
          <w:lang w:val="en-US"/>
        </w:rPr>
      </w:pPr>
      <w:r w:rsidRPr="009743BF">
        <w:rPr>
          <w:rStyle w:val="Refdenotaderodap"/>
          <w:rFonts w:ascii="Arial Narrow" w:hAnsi="Arial Narrow"/>
        </w:rPr>
        <w:footnoteRef/>
      </w:r>
      <w:r w:rsidRPr="009743BF">
        <w:rPr>
          <w:rFonts w:ascii="Arial Narrow" w:hAnsi="Arial Narrow"/>
        </w:rPr>
        <w:t xml:space="preserve"> </w:t>
      </w:r>
      <w:r>
        <w:rPr>
          <w:rFonts w:ascii="Arial Narrow" w:hAnsi="Arial Narrow"/>
        </w:rPr>
        <w:t xml:space="preserve">Citado em J. Noakes et al. </w:t>
      </w:r>
      <w:r w:rsidRPr="00051899">
        <w:rPr>
          <w:rFonts w:ascii="Arial Narrow" w:hAnsi="Arial Narrow"/>
          <w:lang w:val="en-US"/>
        </w:rPr>
        <w:t>(orgs. 200</w:t>
      </w:r>
      <w:r>
        <w:rPr>
          <w:rFonts w:ascii="Arial Narrow" w:hAnsi="Arial Narrow"/>
          <w:lang w:val="en-US"/>
        </w:rPr>
        <w:t>8-2010</w:t>
      </w:r>
      <w:r w:rsidRPr="00051899">
        <w:rPr>
          <w:rFonts w:ascii="Arial Narrow" w:hAnsi="Arial Narrow"/>
          <w:lang w:val="en-US"/>
        </w:rPr>
        <w:t xml:space="preserve">) </w:t>
      </w:r>
      <w:r>
        <w:rPr>
          <w:rFonts w:ascii="Arial Narrow" w:hAnsi="Arial Narrow"/>
          <w:lang w:val="en-US"/>
        </w:rPr>
        <w:t xml:space="preserve">III </w:t>
      </w:r>
      <w:r w:rsidRPr="00051899">
        <w:rPr>
          <w:rFonts w:ascii="Arial Narrow" w:hAnsi="Arial Narrow"/>
          <w:lang w:val="en-US"/>
        </w:rPr>
        <w:t>250.</w:t>
      </w:r>
    </w:p>
  </w:footnote>
  <w:footnote w:id="702">
    <w:p w:rsidR="00392E0D" w:rsidRPr="00EF05D9"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EF05D9">
        <w:rPr>
          <w:rFonts w:ascii="Arial Narrow" w:hAnsi="Arial Narrow"/>
          <w:lang w:val="en-GB"/>
        </w:rPr>
        <w:t xml:space="preserve"> R. Hilberg (1961) 524.</w:t>
      </w:r>
    </w:p>
  </w:footnote>
  <w:footnote w:id="703">
    <w:p w:rsidR="00392E0D" w:rsidRPr="003E305A" w:rsidRDefault="00392E0D" w:rsidP="00321E01">
      <w:pPr>
        <w:pStyle w:val="Textodenotaderodap"/>
        <w:ind w:firstLine="708"/>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w:t>
      </w:r>
      <w:smartTag w:uri="urn:schemas-microsoft-com:office:smarttags" w:element="State">
        <w:smartTag w:uri="urn:schemas-microsoft-com:office:smarttags" w:element="place">
          <w:r w:rsidRPr="0065734E">
            <w:rPr>
              <w:rFonts w:ascii="Arial Narrow" w:hAnsi="Arial Narrow"/>
              <w:lang w:val="en-GB"/>
            </w:rPr>
            <w:t>Id.</w:t>
          </w:r>
        </w:smartTag>
      </w:smartTag>
      <w:r w:rsidRPr="0065734E">
        <w:rPr>
          <w:rFonts w:ascii="Arial Narrow" w:hAnsi="Arial Narrow"/>
          <w:lang w:val="en-GB"/>
        </w:rPr>
        <w:t xml:space="preserve">, ibid., </w:t>
      </w:r>
      <w:r w:rsidRPr="003E305A">
        <w:rPr>
          <w:rFonts w:ascii="Arial Narrow" w:hAnsi="Arial Narrow"/>
          <w:lang w:val="en-GB"/>
        </w:rPr>
        <w:t>654.</w:t>
      </w:r>
    </w:p>
  </w:footnote>
  <w:footnote w:id="704">
    <w:p w:rsidR="00392E0D" w:rsidRPr="00ED3430"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ED3430">
        <w:rPr>
          <w:rFonts w:ascii="Arial Narrow" w:hAnsi="Arial Narrow"/>
        </w:rPr>
        <w:t xml:space="preserve"> Id., ibid., 419.</w:t>
      </w:r>
    </w:p>
  </w:footnote>
  <w:footnote w:id="705">
    <w:p w:rsidR="00392E0D" w:rsidRPr="00ED3430" w:rsidRDefault="00392E0D" w:rsidP="00321E01">
      <w:pPr>
        <w:pStyle w:val="Textodenotaderodap"/>
        <w:rPr>
          <w:rFonts w:ascii="Arial Narrow" w:hAnsi="Arial Narrow"/>
        </w:rPr>
      </w:pPr>
      <w:r w:rsidRPr="008A291A">
        <w:rPr>
          <w:rStyle w:val="Refdenotaderodap"/>
          <w:rFonts w:ascii="Arial Narrow" w:hAnsi="Arial Narrow"/>
        </w:rPr>
        <w:footnoteRef/>
      </w:r>
      <w:r w:rsidRPr="00ED3430">
        <w:rPr>
          <w:rFonts w:ascii="Arial Narrow" w:hAnsi="Arial Narrow"/>
        </w:rPr>
        <w:t xml:space="preserve"> Hermann Fegelein citado em F. MacLean (1998) 106.</w:t>
      </w:r>
    </w:p>
  </w:footnote>
  <w:footnote w:id="706">
    <w:p w:rsidR="00392E0D" w:rsidRPr="008363B5" w:rsidRDefault="00392E0D">
      <w:pPr>
        <w:pStyle w:val="Textodenotaderodap"/>
        <w:rPr>
          <w:rFonts w:ascii="Arial Narrow" w:hAnsi="Arial Narrow"/>
        </w:rPr>
      </w:pPr>
      <w:r w:rsidRPr="008363B5">
        <w:rPr>
          <w:rStyle w:val="Refdenotaderodap"/>
          <w:rFonts w:ascii="Arial Narrow" w:hAnsi="Arial Narrow"/>
        </w:rPr>
        <w:footnoteRef/>
      </w:r>
      <w:r w:rsidRPr="008363B5">
        <w:rPr>
          <w:rFonts w:ascii="Arial Narrow" w:hAnsi="Arial Narrow"/>
        </w:rPr>
        <w:t xml:space="preserve"> </w:t>
      </w:r>
      <w:r w:rsidRPr="00ED3430">
        <w:rPr>
          <w:rFonts w:ascii="Arial Narrow" w:hAnsi="Arial Narrow"/>
        </w:rPr>
        <w:t xml:space="preserve">S. Friedländer (2008) 297-298 considerou que entre Setembro de 1939 e Junho de 1941 as medidas tomadas contra os judeus na Polónia corresponderam a uma fase intermédia, em que os nacionais-socialistas já íam além da mera expulsão mas não haviam ainda encetado o genocídio sistemático. </w:t>
      </w:r>
      <w:r>
        <w:rPr>
          <w:rFonts w:ascii="Arial Narrow" w:hAnsi="Arial Narrow"/>
        </w:rPr>
        <w:t xml:space="preserve">Porém, quando leio (págs. </w:t>
      </w:r>
      <w:r w:rsidRPr="00490AEE">
        <w:rPr>
          <w:rFonts w:ascii="Arial Narrow" w:hAnsi="Arial Narrow"/>
        </w:rPr>
        <w:t>51, 53</w:t>
      </w:r>
      <w:r>
        <w:rPr>
          <w:rFonts w:ascii="Arial Narrow" w:hAnsi="Arial Narrow"/>
        </w:rPr>
        <w:t xml:space="preserve">) que </w:t>
      </w:r>
      <w:r w:rsidR="00007DB0">
        <w:rPr>
          <w:rFonts w:ascii="Arial Narrow" w:hAnsi="Arial Narrow"/>
        </w:rPr>
        <w:t xml:space="preserve">em </w:t>
      </w:r>
      <w:r w:rsidRPr="00490AEE">
        <w:rPr>
          <w:rFonts w:ascii="Arial Narrow" w:hAnsi="Arial Narrow"/>
        </w:rPr>
        <w:t xml:space="preserve">2 de Novembro de 1939 Goebbels </w:t>
      </w:r>
      <w:r w:rsidR="00007DB0" w:rsidRPr="00490AEE">
        <w:rPr>
          <w:rFonts w:ascii="Arial Narrow" w:hAnsi="Arial Narrow"/>
        </w:rPr>
        <w:t>escreve</w:t>
      </w:r>
      <w:r w:rsidR="00007DB0">
        <w:rPr>
          <w:rFonts w:ascii="Arial Narrow" w:hAnsi="Arial Narrow"/>
        </w:rPr>
        <w:t>u</w:t>
      </w:r>
      <w:r w:rsidR="00007DB0" w:rsidRPr="00490AEE">
        <w:rPr>
          <w:rFonts w:ascii="Arial Narrow" w:hAnsi="Arial Narrow"/>
        </w:rPr>
        <w:t xml:space="preserve"> </w:t>
      </w:r>
      <w:r w:rsidR="00007DB0">
        <w:rPr>
          <w:rFonts w:ascii="Arial Narrow" w:hAnsi="Arial Narrow"/>
        </w:rPr>
        <w:t>n</w:t>
      </w:r>
      <w:r w:rsidR="00007DB0" w:rsidRPr="00490AEE">
        <w:rPr>
          <w:rFonts w:ascii="Arial Narrow" w:hAnsi="Arial Narrow"/>
        </w:rPr>
        <w:t xml:space="preserve">o seu diário </w:t>
      </w:r>
      <w:r w:rsidRPr="00490AEE">
        <w:rPr>
          <w:rFonts w:ascii="Arial Narrow" w:hAnsi="Arial Narrow"/>
        </w:rPr>
        <w:t>que o judaísmo «é mais uma questão clínica do que social»</w:t>
      </w:r>
      <w:r>
        <w:rPr>
          <w:rFonts w:ascii="Arial Narrow" w:hAnsi="Arial Narrow"/>
        </w:rPr>
        <w:t>,</w:t>
      </w:r>
      <w:r w:rsidRPr="00490AEE">
        <w:rPr>
          <w:rFonts w:ascii="Arial Narrow" w:hAnsi="Arial Narrow"/>
        </w:rPr>
        <w:t xml:space="preserve"> </w:t>
      </w:r>
      <w:r>
        <w:rPr>
          <w:rFonts w:ascii="Arial Narrow" w:hAnsi="Arial Narrow"/>
        </w:rPr>
        <w:t xml:space="preserve">parece-me que já nessa altura não haveria dúvidas de como a questão iria ser resolvida. </w:t>
      </w:r>
      <w:r w:rsidRPr="00B07096">
        <w:rPr>
          <w:rFonts w:ascii="Arial Narrow" w:hAnsi="Arial Narrow"/>
        </w:rPr>
        <w:t>Saul Friedländer acrescentou (págs. 414 e segs.) que a partir de Outubro de 1941 os ataques aos judeus se tornaram muito mais frequentes nas alocuções de Hitler e com conotaç</w:t>
      </w:r>
      <w:r>
        <w:rPr>
          <w:rFonts w:ascii="Arial Narrow" w:hAnsi="Arial Narrow"/>
        </w:rPr>
        <w:t xml:space="preserve">ões cada vez mais violentas, e concluiu (pág. 435) que Hitler tomou a decisão da «solução final» no último trimestre daquele ano. Também </w:t>
      </w:r>
      <w:r w:rsidRPr="009E13C5">
        <w:rPr>
          <w:rFonts w:ascii="Arial Narrow" w:hAnsi="Arial Narrow"/>
        </w:rPr>
        <w:t>D. Welch (2002) 105 indicou que para muitos historiadores a «solução final» da questão judaica começou com a invasão da União Soviética.</w:t>
      </w:r>
    </w:p>
  </w:footnote>
  <w:footnote w:id="707">
    <w:p w:rsidR="00392E0D" w:rsidRPr="009321DC" w:rsidRDefault="00392E0D">
      <w:pPr>
        <w:pStyle w:val="Textodenotaderodap"/>
        <w:rPr>
          <w:rFonts w:ascii="Arial Narrow" w:hAnsi="Arial Narrow"/>
          <w:lang w:val="en-US"/>
        </w:rPr>
      </w:pPr>
      <w:r w:rsidRPr="009321DC">
        <w:rPr>
          <w:rStyle w:val="Refdenotaderodap"/>
          <w:rFonts w:ascii="Arial Narrow" w:hAnsi="Arial Narrow"/>
        </w:rPr>
        <w:footnoteRef/>
      </w:r>
      <w:r w:rsidRPr="009321DC">
        <w:rPr>
          <w:rFonts w:ascii="Arial Narrow" w:hAnsi="Arial Narrow"/>
          <w:lang w:val="en-US"/>
        </w:rPr>
        <w:t xml:space="preserve"> </w:t>
      </w:r>
      <w:r w:rsidRPr="009E13C5">
        <w:rPr>
          <w:rFonts w:ascii="Arial Narrow" w:hAnsi="Arial Narrow"/>
          <w:lang w:val="en-US"/>
        </w:rPr>
        <w:t xml:space="preserve">S. Friedländer (2008) </w:t>
      </w:r>
      <w:r>
        <w:rPr>
          <w:rFonts w:ascii="Arial Narrow" w:hAnsi="Arial Narrow"/>
          <w:lang w:val="en-US"/>
        </w:rPr>
        <w:t xml:space="preserve">360-361; </w:t>
      </w:r>
      <w:r w:rsidRPr="009321DC">
        <w:rPr>
          <w:rFonts w:ascii="Arial Narrow" w:hAnsi="Arial Narrow"/>
          <w:lang w:val="en-US"/>
        </w:rPr>
        <w:t xml:space="preserve">J. Noakes et al. (orgs. </w:t>
      </w:r>
      <w:r>
        <w:rPr>
          <w:rFonts w:ascii="Arial Narrow" w:hAnsi="Arial Narrow"/>
          <w:lang w:val="en-US"/>
        </w:rPr>
        <w:t>2008-2010) III 546.</w:t>
      </w:r>
    </w:p>
  </w:footnote>
  <w:footnote w:id="708">
    <w:p w:rsidR="00392E0D" w:rsidRPr="00310B14" w:rsidRDefault="00392E0D">
      <w:pPr>
        <w:pStyle w:val="Textodenotaderodap"/>
        <w:rPr>
          <w:rFonts w:ascii="Arial Narrow" w:hAnsi="Arial Narrow"/>
        </w:rPr>
      </w:pPr>
      <w:r w:rsidRPr="0061589F">
        <w:rPr>
          <w:rStyle w:val="Refdenotaderodap"/>
          <w:rFonts w:ascii="Arial Narrow" w:hAnsi="Arial Narrow"/>
        </w:rPr>
        <w:footnoteRef/>
      </w:r>
      <w:r w:rsidRPr="001A4CD7">
        <w:rPr>
          <w:rFonts w:ascii="Arial Narrow" w:hAnsi="Arial Narrow"/>
          <w:lang w:val="en-US"/>
        </w:rPr>
        <w:t xml:space="preserve"> A. Beevor (2010) 54</w:t>
      </w:r>
      <w:r>
        <w:rPr>
          <w:rFonts w:ascii="Arial Narrow" w:hAnsi="Arial Narrow"/>
          <w:lang w:val="en-US"/>
        </w:rPr>
        <w:t xml:space="preserve">; </w:t>
      </w:r>
      <w:r w:rsidRPr="00B828CA">
        <w:rPr>
          <w:rFonts w:ascii="Arial Narrow" w:hAnsi="Arial Narrow"/>
          <w:lang w:val="en-US"/>
        </w:rPr>
        <w:t xml:space="preserve">S. Friedländer (2008) </w:t>
      </w:r>
      <w:r>
        <w:rPr>
          <w:rFonts w:ascii="Arial Narrow" w:hAnsi="Arial Narrow"/>
          <w:lang w:val="en-US"/>
        </w:rPr>
        <w:t xml:space="preserve">364; </w:t>
      </w:r>
      <w:r w:rsidR="00D27C94">
        <w:rPr>
          <w:rFonts w:ascii="Arial Narrow" w:hAnsi="Arial Narrow"/>
          <w:lang w:val="en-US"/>
        </w:rPr>
        <w:t xml:space="preserve">M. Gilbert (2011 b) I 258, 269; </w:t>
      </w:r>
      <w:r w:rsidR="00E26EF2" w:rsidRPr="00E26EF2">
        <w:rPr>
          <w:rFonts w:ascii="Arial Narrow" w:hAnsi="Arial Narrow"/>
          <w:lang w:val="en-US"/>
        </w:rPr>
        <w:t>H. Langbein (1981) 194</w:t>
      </w:r>
      <w:r w:rsidR="00E26EF2">
        <w:rPr>
          <w:rFonts w:ascii="Arial Narrow" w:hAnsi="Arial Narrow"/>
          <w:lang w:val="en-US"/>
        </w:rPr>
        <w:t>;</w:t>
      </w:r>
      <w:r w:rsidR="00E26EF2" w:rsidRPr="00E26EF2">
        <w:rPr>
          <w:rFonts w:ascii="Arial Narrow" w:hAnsi="Arial Narrow"/>
          <w:lang w:val="en-US"/>
        </w:rPr>
        <w:t xml:space="preserve"> </w:t>
      </w:r>
      <w:r>
        <w:rPr>
          <w:rFonts w:ascii="Arial Narrow" w:hAnsi="Arial Narrow"/>
          <w:lang w:val="en-US"/>
        </w:rPr>
        <w:t xml:space="preserve">J. Noakes et al. </w:t>
      </w:r>
      <w:r w:rsidRPr="00310B14">
        <w:rPr>
          <w:rFonts w:ascii="Arial Narrow" w:hAnsi="Arial Narrow"/>
        </w:rPr>
        <w:t>(orgs. 2008-2010) III 586-587</w:t>
      </w:r>
      <w:r>
        <w:rPr>
          <w:rFonts w:ascii="Arial Narrow" w:hAnsi="Arial Narrow"/>
        </w:rPr>
        <w:t>; M. Roseman (2012) 44</w:t>
      </w:r>
      <w:r w:rsidR="00E26EF2">
        <w:rPr>
          <w:rFonts w:ascii="Arial Narrow" w:hAnsi="Arial Narrow"/>
        </w:rPr>
        <w:t xml:space="preserve">; </w:t>
      </w:r>
      <w:r w:rsidRPr="00771F22">
        <w:rPr>
          <w:rFonts w:ascii="Arial Narrow" w:hAnsi="Arial Narrow"/>
        </w:rPr>
        <w:t>W. Sofsky (199</w:t>
      </w:r>
      <w:r>
        <w:rPr>
          <w:rFonts w:ascii="Arial Narrow" w:hAnsi="Arial Narrow"/>
        </w:rPr>
        <w:t>7</w:t>
      </w:r>
      <w:r w:rsidRPr="00771F22">
        <w:rPr>
          <w:rFonts w:ascii="Arial Narrow" w:hAnsi="Arial Narrow"/>
        </w:rPr>
        <w:t>)</w:t>
      </w:r>
      <w:r>
        <w:rPr>
          <w:rFonts w:ascii="Arial Narrow" w:hAnsi="Arial Narrow"/>
        </w:rPr>
        <w:t xml:space="preserve"> </w:t>
      </w:r>
      <w:r w:rsidRPr="00771F22">
        <w:rPr>
          <w:rFonts w:ascii="Arial Narrow" w:hAnsi="Arial Narrow"/>
        </w:rPr>
        <w:t>80</w:t>
      </w:r>
      <w:r>
        <w:rPr>
          <w:rFonts w:ascii="Arial Narrow" w:hAnsi="Arial Narrow"/>
        </w:rPr>
        <w:t>.</w:t>
      </w:r>
    </w:p>
  </w:footnote>
  <w:footnote w:id="709">
    <w:p w:rsidR="00392E0D" w:rsidRPr="0075326C" w:rsidRDefault="00392E0D">
      <w:pPr>
        <w:pStyle w:val="Textodenotaderodap"/>
        <w:rPr>
          <w:rFonts w:ascii="Arial Narrow" w:hAnsi="Arial Narrow"/>
        </w:rPr>
      </w:pPr>
      <w:r w:rsidRPr="0075326C">
        <w:rPr>
          <w:rStyle w:val="Refdenotaderodap"/>
          <w:rFonts w:ascii="Arial Narrow" w:hAnsi="Arial Narrow"/>
        </w:rPr>
        <w:footnoteRef/>
      </w:r>
      <w:r w:rsidRPr="0075326C">
        <w:rPr>
          <w:rFonts w:ascii="Arial Narrow" w:hAnsi="Arial Narrow"/>
        </w:rPr>
        <w:t xml:space="preserve"> </w:t>
      </w:r>
      <w:r>
        <w:rPr>
          <w:rFonts w:ascii="Arial Narrow" w:hAnsi="Arial Narrow"/>
        </w:rPr>
        <w:t xml:space="preserve">Segundo </w:t>
      </w:r>
      <w:r w:rsidRPr="0075326C">
        <w:rPr>
          <w:rFonts w:ascii="Arial Narrow" w:hAnsi="Arial Narrow"/>
        </w:rPr>
        <w:t>Ph. Burrin (2000)</w:t>
      </w:r>
      <w:r>
        <w:rPr>
          <w:rFonts w:ascii="Arial Narrow" w:hAnsi="Arial Narrow"/>
        </w:rPr>
        <w:t xml:space="preserve"> 128-129, de 650 decretos e directivas emanados do Führer entre 1939 e 1945, 404, quase dois terços, não foram publicados no jornal oficial. Tim Mason observou «a intensa antipatia dos dirigentes nazis pela palavra escrita e, por conseguinte, a escassez das fontes, especialmente de relatórios integrais das discussões de Hitler sobre a situação estratégica [...]». Ver J. Caplan (org. 1995) </w:t>
      </w:r>
      <w:r w:rsidRPr="00190486">
        <w:rPr>
          <w:rFonts w:ascii="Arial Narrow" w:hAnsi="Arial Narrow"/>
        </w:rPr>
        <w:t>105-106.</w:t>
      </w:r>
    </w:p>
  </w:footnote>
  <w:footnote w:id="710">
    <w:p w:rsidR="00392E0D" w:rsidRPr="008D67A8" w:rsidRDefault="00392E0D">
      <w:pPr>
        <w:pStyle w:val="Textodenotaderodap"/>
        <w:rPr>
          <w:rFonts w:ascii="Arial Narrow" w:hAnsi="Arial Narrow"/>
        </w:rPr>
      </w:pPr>
      <w:r w:rsidRPr="008D67A8">
        <w:rPr>
          <w:rStyle w:val="Refdenotaderodap"/>
          <w:rFonts w:ascii="Arial Narrow" w:hAnsi="Arial Narrow"/>
        </w:rPr>
        <w:footnoteRef/>
      </w:r>
      <w:r w:rsidRPr="008D67A8">
        <w:rPr>
          <w:rFonts w:ascii="Arial Narrow" w:hAnsi="Arial Narrow"/>
        </w:rPr>
        <w:t xml:space="preserve"> </w:t>
      </w:r>
      <w:r w:rsidRPr="001F54CA">
        <w:rPr>
          <w:rFonts w:ascii="Arial Narrow" w:hAnsi="Arial Narrow"/>
        </w:rPr>
        <w:t>Quanto às ordens de Himmler para pôr termo ao genocídio dos judeus ver</w:t>
      </w:r>
      <w:r>
        <w:rPr>
          <w:rFonts w:ascii="Arial Narrow" w:hAnsi="Arial Narrow"/>
        </w:rPr>
        <w:t>:</w:t>
      </w:r>
      <w:r w:rsidRPr="001F54CA">
        <w:rPr>
          <w:rFonts w:ascii="Arial Narrow" w:hAnsi="Arial Narrow"/>
        </w:rPr>
        <w:t xml:space="preserve"> H. Arendt (1994) 116, 138, 144, 147, 291</w:t>
      </w:r>
      <w:r>
        <w:rPr>
          <w:rFonts w:ascii="Arial Narrow" w:hAnsi="Arial Narrow"/>
        </w:rPr>
        <w:t>;</w:t>
      </w:r>
      <w:r w:rsidRPr="001F54CA">
        <w:rPr>
          <w:rFonts w:ascii="Arial Narrow" w:hAnsi="Arial Narrow"/>
        </w:rPr>
        <w:t xml:space="preserve"> J. Billig (2000) 300</w:t>
      </w:r>
      <w:r>
        <w:rPr>
          <w:rFonts w:ascii="Arial Narrow" w:hAnsi="Arial Narrow"/>
        </w:rPr>
        <w:t xml:space="preserve">; </w:t>
      </w:r>
      <w:r w:rsidRPr="00836A13">
        <w:rPr>
          <w:rFonts w:ascii="Arial Narrow" w:hAnsi="Arial Narrow"/>
        </w:rPr>
        <w:t xml:space="preserve">S. Friedländer (2008) </w:t>
      </w:r>
      <w:r>
        <w:rPr>
          <w:rFonts w:ascii="Arial Narrow" w:hAnsi="Arial Narrow"/>
        </w:rPr>
        <w:t xml:space="preserve">953; J. Noakes et al. (orgs. 2008-2010) III 598; </w:t>
      </w:r>
      <w:r w:rsidRPr="00D64447">
        <w:rPr>
          <w:rFonts w:ascii="Arial Narrow" w:hAnsi="Arial Narrow"/>
          <w:bCs/>
        </w:rPr>
        <w:t xml:space="preserve">S. G. Payne </w:t>
      </w:r>
      <w:r w:rsidRPr="00D64447">
        <w:rPr>
          <w:rFonts w:ascii="Arial Narrow" w:hAnsi="Arial Narrow"/>
        </w:rPr>
        <w:t>(2003 b) 375</w:t>
      </w:r>
      <w:r w:rsidRPr="001F54CA">
        <w:rPr>
          <w:rFonts w:ascii="Arial Narrow" w:hAnsi="Arial Narrow"/>
        </w:rPr>
        <w:t xml:space="preserve">. </w:t>
      </w:r>
      <w:r>
        <w:rPr>
          <w:rFonts w:ascii="Arial Narrow" w:hAnsi="Arial Narrow"/>
        </w:rPr>
        <w:t>Mas Stanley Payne, op. cit., 375 acrescentou que «essas ordens não foram geralmente passadas á prática». Note-se que, segundo M. Gilbert (2011 b) II 509-510, 511, 524,</w:t>
      </w:r>
      <w:r w:rsidRPr="00166637">
        <w:rPr>
          <w:rFonts w:ascii="Arial Narrow" w:hAnsi="Arial Narrow"/>
        </w:rPr>
        <w:t xml:space="preserve"> </w:t>
      </w:r>
      <w:r>
        <w:rPr>
          <w:rFonts w:ascii="Arial Narrow" w:hAnsi="Arial Narrow"/>
        </w:rPr>
        <w:t>553-554,</w:t>
      </w:r>
      <w:r w:rsidRPr="00FE5402">
        <w:rPr>
          <w:rFonts w:ascii="Arial Narrow" w:hAnsi="Arial Narrow"/>
        </w:rPr>
        <w:t xml:space="preserve"> </w:t>
      </w:r>
      <w:r>
        <w:rPr>
          <w:rFonts w:ascii="Arial Narrow" w:hAnsi="Arial Narrow"/>
        </w:rPr>
        <w:t>705,</w:t>
      </w:r>
      <w:r w:rsidRPr="00E34853">
        <w:rPr>
          <w:rFonts w:ascii="Arial Narrow" w:hAnsi="Arial Narrow"/>
        </w:rPr>
        <w:t xml:space="preserve"> </w:t>
      </w:r>
      <w:r>
        <w:rPr>
          <w:rFonts w:ascii="Arial Narrow" w:hAnsi="Arial Narrow"/>
        </w:rPr>
        <w:t>707,</w:t>
      </w:r>
      <w:r w:rsidRPr="00846954">
        <w:rPr>
          <w:rFonts w:ascii="Arial Narrow" w:hAnsi="Arial Narrow"/>
        </w:rPr>
        <w:t xml:space="preserve"> </w:t>
      </w:r>
      <w:r>
        <w:rPr>
          <w:rFonts w:ascii="Arial Narrow" w:hAnsi="Arial Narrow"/>
        </w:rPr>
        <w:t>712,</w:t>
      </w:r>
      <w:r w:rsidRPr="00F412E5">
        <w:rPr>
          <w:rFonts w:ascii="Arial Narrow" w:hAnsi="Arial Narrow"/>
        </w:rPr>
        <w:t xml:space="preserve"> </w:t>
      </w:r>
      <w:r>
        <w:rPr>
          <w:rFonts w:ascii="Arial Narrow" w:hAnsi="Arial Narrow"/>
        </w:rPr>
        <w:t>730-731</w:t>
      </w:r>
      <w:r w:rsidRPr="00955E6F">
        <w:rPr>
          <w:rFonts w:ascii="Arial Narrow" w:hAnsi="Arial Narrow"/>
        </w:rPr>
        <w:t xml:space="preserve"> </w:t>
      </w:r>
      <w:r>
        <w:rPr>
          <w:rFonts w:ascii="Arial Narrow" w:hAnsi="Arial Narrow"/>
        </w:rPr>
        <w:t xml:space="preserve">e 732, desde o Verão de 1943 que Himmler procurara apagar os traços do genocídio, inclusivamente mandando desenterrar os assassinados em massa e incinerar os cadáveres e ordenando a demolição dos fornos crematórios. «Não só os documentos e os cadáveres mas também as instalações de destruição deveriam ser destruídas», explicou Martin Gilbert, </w:t>
      </w:r>
      <w:r w:rsidRPr="00AB43F3">
        <w:rPr>
          <w:rFonts w:ascii="Arial Narrow" w:hAnsi="Arial Narrow"/>
        </w:rPr>
        <w:t>op. cit.,</w:t>
      </w:r>
      <w:r>
        <w:rPr>
          <w:rFonts w:ascii="Arial Narrow" w:hAnsi="Arial Narrow"/>
        </w:rPr>
        <w:t xml:space="preserve"> II 705. Segundo Jeremy Noakes et al., </w:t>
      </w:r>
      <w:r w:rsidRPr="00A16C35">
        <w:rPr>
          <w:rFonts w:ascii="Arial Narrow" w:hAnsi="Arial Narrow"/>
        </w:rPr>
        <w:t>op. cit.,</w:t>
      </w:r>
      <w:r>
        <w:rPr>
          <w:rFonts w:ascii="Arial Narrow" w:hAnsi="Arial Narrow"/>
        </w:rPr>
        <w:t xml:space="preserve"> III 418, no final de 1944 foram também destruídos os fornos crematórios destinados às vítimas do programa de eutanásia. </w:t>
      </w:r>
      <w:r w:rsidRPr="001F54CA">
        <w:rPr>
          <w:rFonts w:ascii="Arial Narrow" w:hAnsi="Arial Narrow"/>
        </w:rPr>
        <w:t>Por seu lado, R. Hilberg (1961) 630-631 afirm</w:t>
      </w:r>
      <w:r>
        <w:rPr>
          <w:rFonts w:ascii="Arial Narrow" w:hAnsi="Arial Narrow"/>
        </w:rPr>
        <w:t>ou</w:t>
      </w:r>
      <w:r w:rsidRPr="001F54CA">
        <w:rPr>
          <w:rFonts w:ascii="Arial Narrow" w:hAnsi="Arial Narrow"/>
        </w:rPr>
        <w:t xml:space="preserve"> que as instalações de extermínio foram desmanteladas porque o Reichsführer</w:t>
      </w:r>
      <w:r>
        <w:rPr>
          <w:rFonts w:ascii="Arial Narrow" w:hAnsi="Arial Narrow"/>
        </w:rPr>
        <w:t>-SS</w:t>
      </w:r>
      <w:r w:rsidRPr="001F54CA">
        <w:rPr>
          <w:rFonts w:ascii="Arial Narrow" w:hAnsi="Arial Narrow"/>
        </w:rPr>
        <w:t xml:space="preserve"> considerava que o programa de liquidação tinha já sido praticamente levado a cabo e que os sobreviventes eram ainda necessários como força de trabalho, esperando-se, aliás, que morressem rapidamente de exaustão. </w:t>
      </w:r>
      <w:r>
        <w:rPr>
          <w:rFonts w:ascii="Arial Narrow" w:hAnsi="Arial Narrow"/>
        </w:rPr>
        <w:t xml:space="preserve">Ver ainda Jeremy Noakes et al., </w:t>
      </w:r>
      <w:r w:rsidRPr="00AB43F3">
        <w:rPr>
          <w:rFonts w:ascii="Arial Narrow" w:hAnsi="Arial Narrow"/>
        </w:rPr>
        <w:t>op. cit.,</w:t>
      </w:r>
      <w:r>
        <w:rPr>
          <w:rFonts w:ascii="Arial Narrow" w:hAnsi="Arial Narrow"/>
        </w:rPr>
        <w:t xml:space="preserve"> III 604 n. 32. </w:t>
      </w:r>
      <w:r w:rsidRPr="001F54CA">
        <w:rPr>
          <w:rFonts w:ascii="Arial Narrow" w:hAnsi="Arial Narrow"/>
        </w:rPr>
        <w:t>Também H. Langbein (1981) 227 escreve</w:t>
      </w:r>
      <w:r>
        <w:rPr>
          <w:rFonts w:ascii="Arial Narrow" w:hAnsi="Arial Narrow"/>
        </w:rPr>
        <w:t>u</w:t>
      </w:r>
      <w:r w:rsidRPr="001F54CA">
        <w:rPr>
          <w:rFonts w:ascii="Arial Narrow" w:hAnsi="Arial Narrow"/>
        </w:rPr>
        <w:t>: «A partir da Primavera de 1944 os judeus capazes de trabalhar foram transferidos de Auschwitz para campos no interior da Alemanha, onde foram empregues em fábricas de armamento. A sua presença nesses campos tornou-se ainda mais numerosa depois da evacuação de Auschwitz». No mesmo sentido, E. Kogon (2002) 233-234 pretende</w:t>
      </w:r>
      <w:r>
        <w:rPr>
          <w:rFonts w:ascii="Arial Narrow" w:hAnsi="Arial Narrow"/>
        </w:rPr>
        <w:t>u</w:t>
      </w:r>
      <w:r w:rsidRPr="001F54CA">
        <w:rPr>
          <w:rFonts w:ascii="Arial Narrow" w:hAnsi="Arial Narrow"/>
        </w:rPr>
        <w:t xml:space="preserve"> que «no momento em que o nacional-socialismo se viu reduzido aos seus últimos recursos em mão-de-obra [...] preferiu utilizar os últimos judeus como escravos em vez de os enviar para as câmaras de gás ou de os expor às balas das metralhadoras». Mas noutra passagem da sua obra (pág. 372) este autor, depois de indicar que no começo de Abril de 1945 Himmler havia ordenado que fossem liquidados no campo de concentração de Buchenwald os detidos de direito comum e os detidos políticos considerados mais perigosos, acrescent</w:t>
      </w:r>
      <w:r>
        <w:rPr>
          <w:rFonts w:ascii="Arial Narrow" w:hAnsi="Arial Narrow"/>
        </w:rPr>
        <w:t>ou</w:t>
      </w:r>
      <w:r w:rsidRPr="001F54CA">
        <w:rPr>
          <w:rFonts w:ascii="Arial Narrow" w:hAnsi="Arial Narrow"/>
        </w:rPr>
        <w:t xml:space="preserve">: «No entanto, Himmler havia proibido expressamente que se tocasse nos judeus </w:t>
      </w:r>
      <w:r>
        <w:rPr>
          <w:rFonts w:ascii="Arial Narrow" w:hAnsi="Arial Narrow"/>
        </w:rPr>
        <w:t>—</w:t>
      </w:r>
      <w:r w:rsidRPr="001F54CA">
        <w:rPr>
          <w:rFonts w:ascii="Arial Narrow" w:hAnsi="Arial Narrow"/>
        </w:rPr>
        <w:t xml:space="preserve"> um paradoxo só possível de explicar pelas esperanças bizarras que os chefes dos SS depositavam na situação internacional».</w:t>
      </w:r>
      <w:r>
        <w:rPr>
          <w:rFonts w:ascii="Arial Narrow" w:hAnsi="Arial Narrow"/>
        </w:rPr>
        <w:t xml:space="preserve"> Sobre a tentativa de Himmler de chegar a uma paz separada com as potências ocidentais ver Martin Gilbert, op. cit., II 777 e </w:t>
      </w:r>
      <w:r w:rsidRPr="001F54CA">
        <w:rPr>
          <w:rFonts w:ascii="Arial Narrow" w:hAnsi="Arial Narrow"/>
        </w:rPr>
        <w:t xml:space="preserve">W. L. Shirer (1995) </w:t>
      </w:r>
      <w:r>
        <w:rPr>
          <w:rFonts w:ascii="Arial Narrow" w:hAnsi="Arial Narrow"/>
        </w:rPr>
        <w:t xml:space="preserve">II 540. Por seu lado, </w:t>
      </w:r>
      <w:r w:rsidRPr="00F245AD">
        <w:rPr>
          <w:rFonts w:ascii="Arial Narrow" w:hAnsi="Arial Narrow"/>
        </w:rPr>
        <w:t>S</w:t>
      </w:r>
      <w:r>
        <w:rPr>
          <w:rFonts w:ascii="Arial Narrow" w:hAnsi="Arial Narrow"/>
        </w:rPr>
        <w:t>aul</w:t>
      </w:r>
      <w:r w:rsidRPr="00F245AD">
        <w:rPr>
          <w:rFonts w:ascii="Arial Narrow" w:hAnsi="Arial Narrow"/>
        </w:rPr>
        <w:t xml:space="preserve"> Friedländer</w:t>
      </w:r>
      <w:r>
        <w:rPr>
          <w:rFonts w:ascii="Arial Narrow" w:hAnsi="Arial Narrow"/>
        </w:rPr>
        <w:t>,</w:t>
      </w:r>
      <w:r w:rsidRPr="00F245AD">
        <w:rPr>
          <w:rFonts w:ascii="Arial Narrow" w:hAnsi="Arial Narrow"/>
        </w:rPr>
        <w:t xml:space="preserve"> </w:t>
      </w:r>
      <w:r>
        <w:rPr>
          <w:rFonts w:ascii="Arial Narrow" w:hAnsi="Arial Narrow"/>
        </w:rPr>
        <w:t>op. cit., 805-806 considerou que não existem provas verosímeis de que até aos primeiros meses de 1944 Himmler tivesse tentado obter uma paz separada com os Aliados ocidentais e acrescentou (págs. 952-954) que só a partir do final de 1944 ou início de 1945 ele se mostrou interessado nessa alternativa. Este autor indicou também (pág. 924) que o Exército Verm</w:t>
      </w:r>
      <w:r w:rsidR="001C4F29">
        <w:rPr>
          <w:rFonts w:ascii="Arial Narrow" w:hAnsi="Arial Narrow"/>
        </w:rPr>
        <w:t>e</w:t>
      </w:r>
      <w:r>
        <w:rPr>
          <w:rFonts w:ascii="Arial Narrow" w:hAnsi="Arial Narrow"/>
        </w:rPr>
        <w:t>lho libertou o campo de Majdanek com as câmaras de gás ainda intactas, mas depois disso elas foram desmanteladas antes de os soviéticos chegarem aos outros campos (pág. 928).</w:t>
      </w:r>
    </w:p>
  </w:footnote>
  <w:footnote w:id="711">
    <w:p w:rsidR="00392E0D" w:rsidRPr="009704EE" w:rsidRDefault="00392E0D" w:rsidP="00321E01">
      <w:pPr>
        <w:pStyle w:val="Textodenotaderodap"/>
        <w:ind w:firstLine="708"/>
        <w:rPr>
          <w:rFonts w:ascii="Arial Narrow" w:hAnsi="Arial Narrow"/>
          <w:lang w:val="de-DE"/>
        </w:rPr>
      </w:pPr>
      <w:r w:rsidRPr="003E305A">
        <w:rPr>
          <w:rStyle w:val="Refdenotaderodap"/>
          <w:rFonts w:ascii="Arial Narrow" w:hAnsi="Arial Narrow"/>
        </w:rPr>
        <w:footnoteRef/>
      </w:r>
      <w:r w:rsidRPr="009704EE">
        <w:rPr>
          <w:rFonts w:ascii="Arial Narrow" w:hAnsi="Arial Narrow"/>
          <w:lang w:val="de-DE"/>
        </w:rPr>
        <w:t xml:space="preserve"> A. Hitler (1995) 307.</w:t>
      </w:r>
    </w:p>
  </w:footnote>
  <w:footnote w:id="712">
    <w:p w:rsidR="00392E0D" w:rsidRPr="005F10F7" w:rsidRDefault="00392E0D">
      <w:pPr>
        <w:pStyle w:val="Textodenotaderodap"/>
        <w:rPr>
          <w:rFonts w:ascii="Arial Narrow" w:hAnsi="Arial Narrow"/>
        </w:rPr>
      </w:pPr>
      <w:r w:rsidRPr="00A877C9">
        <w:rPr>
          <w:rStyle w:val="Refdenotaderodap"/>
          <w:rFonts w:ascii="Arial Narrow" w:hAnsi="Arial Narrow"/>
        </w:rPr>
        <w:footnoteRef/>
      </w:r>
      <w:r w:rsidRPr="005F10F7">
        <w:rPr>
          <w:rFonts w:ascii="Arial Narrow" w:hAnsi="Arial Narrow"/>
        </w:rPr>
        <w:t xml:space="preserve"> Na noite de </w:t>
      </w:r>
      <w:r w:rsidRPr="005F10F7">
        <w:rPr>
          <w:rFonts w:ascii="Arial Narrow" w:hAnsi="Arial Narrow"/>
          <w:iCs/>
        </w:rPr>
        <w:t>1</w:t>
      </w:r>
      <w:r>
        <w:rPr>
          <w:rFonts w:ascii="Arial Narrow" w:hAnsi="Arial Narrow"/>
          <w:iCs/>
        </w:rPr>
        <w:t xml:space="preserve"> para </w:t>
      </w:r>
      <w:r w:rsidRPr="005F10F7">
        <w:rPr>
          <w:rFonts w:ascii="Arial Narrow" w:hAnsi="Arial Narrow"/>
          <w:iCs/>
        </w:rPr>
        <w:t>2 de Dezembro de 1941</w:t>
      </w:r>
      <w:r>
        <w:rPr>
          <w:rFonts w:ascii="Arial Narrow" w:hAnsi="Arial Narrow"/>
          <w:iCs/>
        </w:rPr>
        <w:t xml:space="preserve">, </w:t>
      </w:r>
      <w:r w:rsidRPr="005F10F7">
        <w:rPr>
          <w:rFonts w:ascii="Arial Narrow" w:hAnsi="Arial Narrow"/>
        </w:rPr>
        <w:t xml:space="preserve">em </w:t>
      </w:r>
      <w:r w:rsidRPr="005F10F7">
        <w:rPr>
          <w:rFonts w:ascii="Arial Narrow" w:hAnsi="Arial Narrow"/>
          <w:bCs/>
          <w:i/>
          <w:iCs/>
        </w:rPr>
        <w:t>Hitler’s Table Talk</w:t>
      </w:r>
      <w:r w:rsidRPr="005F10F7">
        <w:rPr>
          <w:rFonts w:ascii="Arial Narrow" w:hAnsi="Arial Narrow"/>
          <w:iCs/>
        </w:rPr>
        <w:t>...,</w:t>
      </w:r>
      <w:r>
        <w:rPr>
          <w:rFonts w:ascii="Arial Narrow" w:hAnsi="Arial Narrow"/>
          <w:iCs/>
        </w:rPr>
        <w:t xml:space="preserve"> 140-141.</w:t>
      </w:r>
    </w:p>
  </w:footnote>
  <w:footnote w:id="713">
    <w:p w:rsidR="00392E0D" w:rsidRPr="007B56A8" w:rsidRDefault="00392E0D">
      <w:pPr>
        <w:pStyle w:val="Textodenotaderodap"/>
        <w:rPr>
          <w:rFonts w:ascii="Arial Narrow" w:hAnsi="Arial Narrow"/>
        </w:rPr>
      </w:pPr>
      <w:r w:rsidRPr="007B56A8">
        <w:rPr>
          <w:rStyle w:val="Refdenotaderodap"/>
          <w:rFonts w:ascii="Arial Narrow" w:hAnsi="Arial Narrow"/>
        </w:rPr>
        <w:footnoteRef/>
      </w:r>
      <w:r w:rsidRPr="007B56A8">
        <w:rPr>
          <w:rFonts w:ascii="Arial Narrow" w:hAnsi="Arial Narrow"/>
        </w:rPr>
        <w:t xml:space="preserve"> </w:t>
      </w:r>
      <w:r>
        <w:rPr>
          <w:rFonts w:ascii="Arial Narrow" w:hAnsi="Arial Narrow"/>
        </w:rPr>
        <w:t xml:space="preserve">Em </w:t>
      </w:r>
      <w:r w:rsidRPr="007B56A8">
        <w:rPr>
          <w:rFonts w:ascii="Arial Narrow" w:hAnsi="Arial Narrow"/>
          <w:iCs/>
        </w:rPr>
        <w:t>31 de Agosto de 1942</w:t>
      </w:r>
      <w:r>
        <w:rPr>
          <w:rFonts w:ascii="Arial Narrow" w:hAnsi="Arial Narrow"/>
          <w:iCs/>
        </w:rPr>
        <w:t>, em ibid., 678.</w:t>
      </w:r>
    </w:p>
  </w:footnote>
  <w:footnote w:id="714">
    <w:p w:rsidR="00392E0D" w:rsidRPr="009704EE" w:rsidRDefault="00392E0D" w:rsidP="00321E01">
      <w:pPr>
        <w:pStyle w:val="Textodenotaderodap"/>
        <w:ind w:firstLine="708"/>
        <w:rPr>
          <w:rFonts w:ascii="Arial Narrow" w:hAnsi="Arial Narrow"/>
          <w:lang w:val="de-DE"/>
        </w:rPr>
      </w:pPr>
      <w:r w:rsidRPr="003E305A">
        <w:rPr>
          <w:rStyle w:val="Refdenotaderodap"/>
          <w:rFonts w:ascii="Arial Narrow" w:hAnsi="Arial Narrow"/>
        </w:rPr>
        <w:footnoteRef/>
      </w:r>
      <w:r w:rsidRPr="009704EE">
        <w:rPr>
          <w:rFonts w:ascii="Arial Narrow" w:hAnsi="Arial Narrow"/>
          <w:lang w:val="de-DE"/>
        </w:rPr>
        <w:t xml:space="preserve"> A. Hitler (1995) 620.</w:t>
      </w:r>
    </w:p>
  </w:footnote>
  <w:footnote w:id="715">
    <w:p w:rsidR="00392E0D" w:rsidRPr="005900A9" w:rsidRDefault="00392E0D">
      <w:pPr>
        <w:pStyle w:val="Textodenotaderodap"/>
        <w:rPr>
          <w:rFonts w:ascii="Arial Narrow" w:hAnsi="Arial Narrow"/>
          <w:lang w:val="en-US"/>
        </w:rPr>
      </w:pPr>
      <w:r w:rsidRPr="00B67FBC">
        <w:rPr>
          <w:rStyle w:val="Refdenotaderodap"/>
          <w:rFonts w:ascii="Arial Narrow" w:hAnsi="Arial Narrow"/>
        </w:rPr>
        <w:footnoteRef/>
      </w:r>
      <w:r w:rsidRPr="00232974">
        <w:rPr>
          <w:rFonts w:ascii="Arial Narrow" w:hAnsi="Arial Narrow"/>
          <w:lang w:val="en-US"/>
        </w:rPr>
        <w:t xml:space="preserve"> A. Rosenberg (1986) 54; id. </w:t>
      </w:r>
      <w:r w:rsidRPr="005900A9">
        <w:rPr>
          <w:rFonts w:ascii="Arial Narrow" w:hAnsi="Arial Narrow"/>
          <w:lang w:val="en-US"/>
        </w:rPr>
        <w:t>[s. d.</w:t>
      </w:r>
      <w:r>
        <w:rPr>
          <w:rFonts w:ascii="Arial Narrow" w:hAnsi="Arial Narrow"/>
          <w:lang w:val="en-US"/>
        </w:rPr>
        <w:t xml:space="preserve"> 2</w:t>
      </w:r>
      <w:r w:rsidRPr="005900A9">
        <w:rPr>
          <w:rFonts w:ascii="Arial Narrow" w:hAnsi="Arial Narrow"/>
          <w:lang w:val="en-US"/>
        </w:rPr>
        <w:t>] 76.</w:t>
      </w:r>
    </w:p>
  </w:footnote>
  <w:footnote w:id="716">
    <w:p w:rsidR="00392E0D" w:rsidRPr="003E305A" w:rsidRDefault="00392E0D" w:rsidP="005900A9">
      <w:pPr>
        <w:pStyle w:val="Textodenotaderodap"/>
        <w:ind w:firstLine="708"/>
        <w:rPr>
          <w:rFonts w:ascii="Arial Narrow" w:hAnsi="Arial Narrow"/>
          <w:lang w:val="fr-FR"/>
        </w:rPr>
      </w:pPr>
      <w:r w:rsidRPr="003E305A">
        <w:rPr>
          <w:rStyle w:val="Refdenotaderodap"/>
          <w:rFonts w:ascii="Arial Narrow" w:hAnsi="Arial Narrow"/>
        </w:rPr>
        <w:footnoteRef/>
      </w:r>
      <w:r w:rsidRPr="003E305A">
        <w:rPr>
          <w:rFonts w:ascii="Arial Narrow" w:hAnsi="Arial Narrow"/>
          <w:lang w:val="fr-FR"/>
        </w:rPr>
        <w:t xml:space="preserve"> H. S. Chamberlain (1913) 59, 191, 193-194 n.</w:t>
      </w:r>
    </w:p>
  </w:footnote>
  <w:footnote w:id="717">
    <w:p w:rsidR="00392E0D" w:rsidRPr="00232974" w:rsidRDefault="00392E0D">
      <w:pPr>
        <w:pStyle w:val="Textodenotaderodap"/>
        <w:rPr>
          <w:rFonts w:ascii="Arial Narrow" w:hAnsi="Arial Narrow"/>
        </w:rPr>
      </w:pPr>
      <w:r w:rsidRPr="00B11135">
        <w:rPr>
          <w:rStyle w:val="Refdenotaderodap"/>
          <w:rFonts w:ascii="Arial Narrow" w:hAnsi="Arial Narrow"/>
        </w:rPr>
        <w:footnoteRef/>
      </w:r>
      <w:r w:rsidRPr="008A38FC">
        <w:rPr>
          <w:rFonts w:ascii="Arial Narrow" w:hAnsi="Arial Narrow"/>
          <w:lang w:val="en-US"/>
        </w:rPr>
        <w:t xml:space="preserve"> A. Rosenberg (1986) 109; id. </w:t>
      </w:r>
      <w:r w:rsidRPr="00232974">
        <w:rPr>
          <w:rFonts w:ascii="Arial Narrow" w:hAnsi="Arial Narrow"/>
        </w:rPr>
        <w:t>[s. d.</w:t>
      </w:r>
      <w:r>
        <w:rPr>
          <w:rFonts w:ascii="Arial Narrow" w:hAnsi="Arial Narrow"/>
        </w:rPr>
        <w:t xml:space="preserve"> 2</w:t>
      </w:r>
      <w:r w:rsidRPr="00232974">
        <w:rPr>
          <w:rFonts w:ascii="Arial Narrow" w:hAnsi="Arial Narrow"/>
        </w:rPr>
        <w:t>] 115.</w:t>
      </w:r>
    </w:p>
  </w:footnote>
  <w:footnote w:id="718">
    <w:p w:rsidR="00392E0D" w:rsidRPr="009704EE" w:rsidRDefault="00392E0D" w:rsidP="00321E01">
      <w:pPr>
        <w:pStyle w:val="Textodenotaderodap"/>
        <w:ind w:firstLine="708"/>
        <w:rPr>
          <w:rFonts w:ascii="Arial Narrow" w:hAnsi="Arial Narrow"/>
          <w:lang w:val="de-DE"/>
        </w:rPr>
      </w:pPr>
      <w:r w:rsidRPr="003E305A">
        <w:rPr>
          <w:rStyle w:val="Refdenotaderodap"/>
          <w:rFonts w:ascii="Arial Narrow" w:hAnsi="Arial Narrow"/>
        </w:rPr>
        <w:footnoteRef/>
      </w:r>
      <w:r w:rsidRPr="009704EE">
        <w:rPr>
          <w:rFonts w:ascii="Arial Narrow" w:hAnsi="Arial Narrow"/>
          <w:lang w:val="de-DE"/>
        </w:rPr>
        <w:t xml:space="preserve"> J. Billig (2000) 20, 211 e segs.</w:t>
      </w:r>
    </w:p>
  </w:footnote>
  <w:footnote w:id="719">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0F2066">
        <w:rPr>
          <w:rFonts w:ascii="Arial Narrow" w:hAnsi="Arial Narrow"/>
        </w:rPr>
        <w:t xml:space="preserve"> </w:t>
      </w:r>
      <w:r w:rsidRPr="003E305A">
        <w:rPr>
          <w:rFonts w:ascii="Arial Narrow" w:hAnsi="Arial Narrow"/>
        </w:rPr>
        <w:t>Citado em id., ibid., 246.</w:t>
      </w:r>
    </w:p>
  </w:footnote>
  <w:footnote w:id="720">
    <w:p w:rsidR="00392E0D" w:rsidRPr="00232974"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232974">
        <w:rPr>
          <w:rFonts w:ascii="Arial Narrow" w:hAnsi="Arial Narrow"/>
          <w:lang w:val="en-US"/>
        </w:rPr>
        <w:t xml:space="preserve"> E. Kogon (2002) 359-360.</w:t>
      </w:r>
    </w:p>
  </w:footnote>
  <w:footnote w:id="721">
    <w:p w:rsidR="00392E0D" w:rsidRPr="00232974"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232974">
        <w:rPr>
          <w:rFonts w:ascii="Arial Narrow" w:hAnsi="Arial Narrow"/>
          <w:lang w:val="en-US"/>
        </w:rPr>
        <w:t xml:space="preserve"> Id., ibid., 289-290.</w:t>
      </w:r>
    </w:p>
  </w:footnote>
  <w:footnote w:id="722">
    <w:p w:rsidR="00392E0D" w:rsidRPr="008E11E3" w:rsidRDefault="00392E0D">
      <w:pPr>
        <w:pStyle w:val="Textodenotaderodap"/>
        <w:rPr>
          <w:rFonts w:ascii="Arial Narrow" w:hAnsi="Arial Narrow"/>
        </w:rPr>
      </w:pPr>
      <w:r w:rsidRPr="008D1EBD">
        <w:rPr>
          <w:rStyle w:val="Refdenotaderodap"/>
          <w:rFonts w:ascii="Arial Narrow" w:hAnsi="Arial Narrow"/>
        </w:rPr>
        <w:footnoteRef/>
      </w:r>
      <w:r w:rsidRPr="008D1EBD">
        <w:rPr>
          <w:rFonts w:ascii="Arial Narrow" w:hAnsi="Arial Narrow"/>
          <w:lang w:val="en-US"/>
        </w:rPr>
        <w:t xml:space="preserve"> J. Noakes et al. </w:t>
      </w:r>
      <w:r w:rsidRPr="00784882">
        <w:rPr>
          <w:rFonts w:ascii="Arial Narrow" w:hAnsi="Arial Narrow"/>
        </w:rPr>
        <w:t xml:space="preserve">(orgs. </w:t>
      </w:r>
      <w:r w:rsidRPr="008E11E3">
        <w:rPr>
          <w:rFonts w:ascii="Arial Narrow" w:hAnsi="Arial Narrow"/>
        </w:rPr>
        <w:t>200</w:t>
      </w:r>
      <w:r>
        <w:rPr>
          <w:rFonts w:ascii="Arial Narrow" w:hAnsi="Arial Narrow"/>
        </w:rPr>
        <w:t>8-2010</w:t>
      </w:r>
      <w:r w:rsidRPr="008E11E3">
        <w:rPr>
          <w:rFonts w:ascii="Arial Narrow" w:hAnsi="Arial Narrow"/>
        </w:rPr>
        <w:t xml:space="preserve">) </w:t>
      </w:r>
      <w:r>
        <w:rPr>
          <w:rFonts w:ascii="Arial Narrow" w:hAnsi="Arial Narrow"/>
        </w:rPr>
        <w:t xml:space="preserve">III </w:t>
      </w:r>
      <w:r w:rsidRPr="008E11E3">
        <w:rPr>
          <w:rFonts w:ascii="Arial Narrow" w:hAnsi="Arial Narrow"/>
        </w:rPr>
        <w:t>462.</w:t>
      </w:r>
      <w:r>
        <w:rPr>
          <w:rFonts w:ascii="Arial Narrow" w:hAnsi="Arial Narrow"/>
        </w:rPr>
        <w:t xml:space="preserve"> Ver também </w:t>
      </w:r>
      <w:r w:rsidRPr="00AE4E82">
        <w:rPr>
          <w:rFonts w:ascii="Arial Narrow" w:hAnsi="Arial Narrow"/>
        </w:rPr>
        <w:t xml:space="preserve">S. Friedländer (2008) </w:t>
      </w:r>
      <w:r>
        <w:rPr>
          <w:rFonts w:ascii="Arial Narrow" w:hAnsi="Arial Narrow"/>
        </w:rPr>
        <w:t>81-83</w:t>
      </w:r>
      <w:r w:rsidRPr="00AE4E82">
        <w:rPr>
          <w:rFonts w:ascii="Arial Narrow" w:hAnsi="Arial Narrow"/>
        </w:rPr>
        <w:t>.</w:t>
      </w:r>
    </w:p>
  </w:footnote>
  <w:footnote w:id="723">
    <w:p w:rsidR="00392E0D" w:rsidRPr="008E11E3" w:rsidRDefault="00392E0D">
      <w:pPr>
        <w:pStyle w:val="Textodenotaderodap"/>
        <w:rPr>
          <w:rFonts w:ascii="Arial Narrow" w:hAnsi="Arial Narrow"/>
        </w:rPr>
      </w:pPr>
      <w:r w:rsidRPr="008E11E3">
        <w:rPr>
          <w:rStyle w:val="Refdenotaderodap"/>
          <w:rFonts w:ascii="Arial Narrow" w:hAnsi="Arial Narrow"/>
        </w:rPr>
        <w:footnoteRef/>
      </w:r>
      <w:r w:rsidRPr="008E11E3">
        <w:rPr>
          <w:rFonts w:ascii="Arial Narrow" w:hAnsi="Arial Narrow"/>
        </w:rPr>
        <w:t xml:space="preserve"> </w:t>
      </w:r>
      <w:r>
        <w:rPr>
          <w:rFonts w:ascii="Arial Narrow" w:hAnsi="Arial Narrow"/>
        </w:rPr>
        <w:t xml:space="preserve">Citado em </w:t>
      </w:r>
      <w:r w:rsidRPr="00AE4E82">
        <w:rPr>
          <w:rFonts w:ascii="Arial Narrow" w:hAnsi="Arial Narrow"/>
        </w:rPr>
        <w:t xml:space="preserve">J. Noakes et al. </w:t>
      </w:r>
      <w:r w:rsidRPr="00784882">
        <w:rPr>
          <w:rFonts w:ascii="Arial Narrow" w:hAnsi="Arial Narrow"/>
        </w:rPr>
        <w:t xml:space="preserve">(orgs. </w:t>
      </w:r>
      <w:r w:rsidRPr="008E11E3">
        <w:rPr>
          <w:rFonts w:ascii="Arial Narrow" w:hAnsi="Arial Narrow"/>
        </w:rPr>
        <w:t>200</w:t>
      </w:r>
      <w:r>
        <w:rPr>
          <w:rFonts w:ascii="Arial Narrow" w:hAnsi="Arial Narrow"/>
        </w:rPr>
        <w:t>8-2010</w:t>
      </w:r>
      <w:r w:rsidRPr="008E11E3">
        <w:rPr>
          <w:rFonts w:ascii="Arial Narrow" w:hAnsi="Arial Narrow"/>
        </w:rPr>
        <w:t xml:space="preserve">) </w:t>
      </w:r>
      <w:r>
        <w:rPr>
          <w:rFonts w:ascii="Arial Narrow" w:hAnsi="Arial Narrow"/>
        </w:rPr>
        <w:t xml:space="preserve">III </w:t>
      </w:r>
      <w:r w:rsidRPr="00D10618">
        <w:rPr>
          <w:rFonts w:ascii="Arial Narrow" w:hAnsi="Arial Narrow"/>
        </w:rPr>
        <w:t>462.</w:t>
      </w:r>
      <w:r>
        <w:rPr>
          <w:rFonts w:ascii="Arial Narrow" w:hAnsi="Arial Narrow"/>
        </w:rPr>
        <w:t xml:space="preserve"> A opinião de Hitler foi a mesma depois de ter visitado o bairro judeu de Kielce e Goebbels reagiu de modo idêntico após a visita ao </w:t>
      </w:r>
      <w:r w:rsidRPr="003568EE">
        <w:rPr>
          <w:rFonts w:ascii="Arial Narrow" w:hAnsi="Arial Narrow"/>
          <w:i/>
        </w:rPr>
        <w:t>ghetto</w:t>
      </w:r>
      <w:r>
        <w:rPr>
          <w:rFonts w:ascii="Arial Narrow" w:hAnsi="Arial Narrow"/>
        </w:rPr>
        <w:t xml:space="preserve"> de Łódź, segundo </w:t>
      </w:r>
      <w:r w:rsidRPr="00E7598A">
        <w:rPr>
          <w:rFonts w:ascii="Arial Narrow" w:hAnsi="Arial Narrow"/>
        </w:rPr>
        <w:t>S. Friedländer (2008) 49</w:t>
      </w:r>
      <w:r>
        <w:rPr>
          <w:rFonts w:ascii="Arial Narrow" w:hAnsi="Arial Narrow"/>
        </w:rPr>
        <w:t xml:space="preserve"> e 56</w:t>
      </w:r>
      <w:r w:rsidRPr="00E7598A">
        <w:rPr>
          <w:rFonts w:ascii="Arial Narrow" w:hAnsi="Arial Narrow"/>
        </w:rPr>
        <w:t>.</w:t>
      </w:r>
    </w:p>
  </w:footnote>
  <w:footnote w:id="724">
    <w:p w:rsidR="00392E0D" w:rsidRPr="00784882" w:rsidRDefault="00392E0D" w:rsidP="00321E01">
      <w:pPr>
        <w:pStyle w:val="Textodenotaderodap"/>
        <w:rPr>
          <w:rFonts w:ascii="Arial Narrow" w:hAnsi="Arial Narrow"/>
          <w:lang w:val="en-US"/>
        </w:rPr>
      </w:pPr>
      <w:r w:rsidRPr="003E305A">
        <w:rPr>
          <w:rStyle w:val="Refdenotaderodap"/>
          <w:rFonts w:ascii="Arial Narrow" w:hAnsi="Arial Narrow"/>
        </w:rPr>
        <w:footnoteRef/>
      </w:r>
      <w:r w:rsidRPr="00784882">
        <w:rPr>
          <w:rFonts w:ascii="Arial Narrow" w:hAnsi="Arial Narrow"/>
          <w:lang w:val="en-US"/>
        </w:rPr>
        <w:t xml:space="preserve"> J. Droz [s. d.] 104-105.</w:t>
      </w:r>
    </w:p>
  </w:footnote>
  <w:footnote w:id="725">
    <w:p w:rsidR="00392E0D" w:rsidRPr="00B2463D"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H. Arendt (1994) 216-217; R. L. Koehl (1983) 163</w:t>
      </w:r>
      <w:r>
        <w:rPr>
          <w:rFonts w:ascii="Arial Narrow" w:hAnsi="Arial Narrow"/>
          <w:lang w:val="de-DE"/>
        </w:rPr>
        <w:t xml:space="preserve">; </w:t>
      </w:r>
      <w:r w:rsidRPr="00784882">
        <w:rPr>
          <w:rFonts w:ascii="Arial Narrow" w:hAnsi="Arial Narrow"/>
          <w:lang w:val="en-US"/>
        </w:rPr>
        <w:t xml:space="preserve">J. Noakes et al. </w:t>
      </w:r>
      <w:r w:rsidRPr="009B4FF1">
        <w:rPr>
          <w:rFonts w:ascii="Arial Narrow" w:hAnsi="Arial Narrow"/>
        </w:rPr>
        <w:t>(orgs. 2008-2010) III 446, 447</w:t>
      </w:r>
      <w:r w:rsidRPr="00B2463D">
        <w:rPr>
          <w:rFonts w:ascii="Arial Narrow" w:hAnsi="Arial Narrow"/>
          <w:lang w:val="de-DE"/>
        </w:rPr>
        <w:t>.</w:t>
      </w:r>
    </w:p>
  </w:footnote>
  <w:footnote w:id="726">
    <w:p w:rsidR="00392E0D" w:rsidRPr="00B2463D" w:rsidRDefault="00392E0D" w:rsidP="00321E01">
      <w:pPr>
        <w:pStyle w:val="Textodenotaderodap"/>
        <w:ind w:firstLine="708"/>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R. Hilberg (1961) 177, 262.</w:t>
      </w:r>
    </w:p>
  </w:footnote>
  <w:footnote w:id="727">
    <w:p w:rsidR="00392E0D" w:rsidRPr="009E13C5" w:rsidRDefault="00392E0D" w:rsidP="00015D43">
      <w:pPr>
        <w:pStyle w:val="Textodenotaderodap"/>
        <w:rPr>
          <w:rFonts w:ascii="Arial Narrow" w:hAnsi="Arial Narrow"/>
        </w:rPr>
      </w:pPr>
      <w:r w:rsidRPr="00CB0DAE">
        <w:rPr>
          <w:rStyle w:val="Refdenotaderodap"/>
          <w:rFonts w:ascii="Arial Narrow" w:hAnsi="Arial Narrow"/>
        </w:rPr>
        <w:footnoteRef/>
      </w:r>
      <w:r w:rsidRPr="009B4FF1">
        <w:rPr>
          <w:rFonts w:ascii="Arial Narrow" w:hAnsi="Arial Narrow"/>
        </w:rPr>
        <w:t xml:space="preserve"> A. Rosenberg (1986) 180; id. [s. d.</w:t>
      </w:r>
      <w:r>
        <w:rPr>
          <w:rFonts w:ascii="Arial Narrow" w:hAnsi="Arial Narrow"/>
        </w:rPr>
        <w:t xml:space="preserve"> 2</w:t>
      </w:r>
      <w:r w:rsidRPr="009B4FF1">
        <w:rPr>
          <w:rFonts w:ascii="Arial Narrow" w:hAnsi="Arial Narrow"/>
        </w:rPr>
        <w:t xml:space="preserve">] 169. Já preso em Nuremberga, Rosenberg continuou a argumentar: «O Reich tinha de gastar cerca de um milhar de milhões de marcos por ano para cuidar dos incuráveis. Dez mil mulheres saudáveis dedicavam a vida ao serviço desses incuráveis […] Será que era humano manter em vida aqueles destroços?». Mas Rosenberg acrescentou que a eutanásia devia ter sido discutida claramente e ter o apoio das famílias. </w:t>
      </w:r>
      <w:r w:rsidRPr="009E13C5">
        <w:rPr>
          <w:rFonts w:ascii="Arial Narrow" w:hAnsi="Arial Narrow"/>
        </w:rPr>
        <w:t>Ver id. [s. d. 1] 48-49.</w:t>
      </w:r>
    </w:p>
  </w:footnote>
  <w:footnote w:id="728">
    <w:p w:rsidR="00392E0D" w:rsidRPr="000F5F6D" w:rsidRDefault="00392E0D">
      <w:pPr>
        <w:pStyle w:val="Textodenotaderodap"/>
        <w:rPr>
          <w:rFonts w:ascii="Arial Narrow" w:hAnsi="Arial Narrow"/>
        </w:rPr>
      </w:pPr>
      <w:r w:rsidRPr="000F5F6D">
        <w:rPr>
          <w:rStyle w:val="Refdenotaderodap"/>
          <w:rFonts w:ascii="Arial Narrow" w:hAnsi="Arial Narrow"/>
        </w:rPr>
        <w:footnoteRef/>
      </w:r>
      <w:r w:rsidRPr="000F5F6D">
        <w:rPr>
          <w:rFonts w:ascii="Arial Narrow" w:hAnsi="Arial Narrow"/>
        </w:rPr>
        <w:t xml:space="preserve"> </w:t>
      </w:r>
      <w:r w:rsidRPr="009E13C5">
        <w:rPr>
          <w:rFonts w:ascii="Arial Narrow" w:hAnsi="Arial Narrow"/>
        </w:rPr>
        <w:t xml:space="preserve">D. Welch (2002) 91 observou que «a </w:t>
      </w:r>
      <w:r w:rsidRPr="009E13C5">
        <w:rPr>
          <w:rFonts w:ascii="Arial Narrow" w:hAnsi="Arial Narrow"/>
          <w:i/>
        </w:rPr>
        <w:t>Rassenpolitik</w:t>
      </w:r>
      <w:r w:rsidRPr="009E13C5">
        <w:rPr>
          <w:rFonts w:ascii="Arial Narrow" w:hAnsi="Arial Narrow"/>
        </w:rPr>
        <w:t xml:space="preserve"> implicava que antes que pudesse haver uma “solução” para o problema judaico os alemães “inaptos” tinham de ser eliminados».</w:t>
      </w:r>
    </w:p>
  </w:footnote>
  <w:footnote w:id="729">
    <w:p w:rsidR="00392E0D" w:rsidRPr="009E13C5" w:rsidRDefault="00392E0D">
      <w:pPr>
        <w:pStyle w:val="Textodenotaderodap"/>
        <w:rPr>
          <w:rFonts w:ascii="Arial Narrow" w:hAnsi="Arial Narrow"/>
        </w:rPr>
      </w:pPr>
      <w:r w:rsidRPr="00991EDC">
        <w:rPr>
          <w:rStyle w:val="Refdenotaderodap"/>
          <w:rFonts w:ascii="Arial Narrow" w:hAnsi="Arial Narrow"/>
        </w:rPr>
        <w:footnoteRef/>
      </w:r>
      <w:r w:rsidRPr="00784882">
        <w:rPr>
          <w:rFonts w:ascii="Arial Narrow" w:hAnsi="Arial Narrow"/>
          <w:lang w:val="en-US"/>
        </w:rPr>
        <w:t xml:space="preserve"> J. Noa</w:t>
      </w:r>
      <w:r w:rsidRPr="00991EDC">
        <w:rPr>
          <w:rFonts w:ascii="Arial Narrow" w:hAnsi="Arial Narrow"/>
          <w:lang w:val="en-US"/>
        </w:rPr>
        <w:t xml:space="preserve">kes et al. </w:t>
      </w:r>
      <w:r w:rsidRPr="009B4FF1">
        <w:rPr>
          <w:rFonts w:ascii="Arial Narrow" w:hAnsi="Arial Narrow"/>
          <w:lang w:val="en-US"/>
        </w:rPr>
        <w:t xml:space="preserve">(orgs. </w:t>
      </w:r>
      <w:r w:rsidRPr="009E13C5">
        <w:rPr>
          <w:rFonts w:ascii="Arial Narrow" w:hAnsi="Arial Narrow"/>
        </w:rPr>
        <w:t>2008-2010) III 394.</w:t>
      </w:r>
    </w:p>
  </w:footnote>
  <w:footnote w:id="730">
    <w:p w:rsidR="00392E0D" w:rsidRPr="00232974" w:rsidRDefault="00392E0D">
      <w:pPr>
        <w:pStyle w:val="Textodenotaderodap"/>
        <w:rPr>
          <w:rFonts w:ascii="Arial Narrow" w:hAnsi="Arial Narrow"/>
        </w:rPr>
      </w:pPr>
      <w:r w:rsidRPr="00DE1200">
        <w:rPr>
          <w:rStyle w:val="Refdenotaderodap"/>
          <w:rFonts w:ascii="Arial Narrow" w:hAnsi="Arial Narrow"/>
        </w:rPr>
        <w:footnoteRef/>
      </w:r>
      <w:r w:rsidRPr="00232974">
        <w:rPr>
          <w:rFonts w:ascii="Arial Narrow" w:hAnsi="Arial Narrow"/>
        </w:rPr>
        <w:t xml:space="preserve"> Id., ibid., III 397 e segs., 401 e segs.</w:t>
      </w:r>
    </w:p>
  </w:footnote>
  <w:footnote w:id="731">
    <w:p w:rsidR="00392E0D" w:rsidRPr="00AB6074" w:rsidRDefault="00392E0D" w:rsidP="00B96B13">
      <w:pPr>
        <w:pStyle w:val="Textodenotaderodap"/>
        <w:rPr>
          <w:rFonts w:ascii="Arial Narrow" w:hAnsi="Arial Narrow"/>
          <w:lang w:val="en-US"/>
        </w:rPr>
      </w:pPr>
      <w:r w:rsidRPr="00DA51D1">
        <w:rPr>
          <w:rStyle w:val="Refdenotaderodap"/>
          <w:rFonts w:ascii="Arial Narrow" w:hAnsi="Arial Narrow"/>
        </w:rPr>
        <w:footnoteRef/>
      </w:r>
      <w:r w:rsidRPr="00AB6074">
        <w:rPr>
          <w:rFonts w:ascii="Arial Narrow" w:hAnsi="Arial Narrow"/>
          <w:lang w:val="en-US"/>
        </w:rPr>
        <w:t xml:space="preserve"> </w:t>
      </w:r>
      <w:r w:rsidRPr="00BD0A6E">
        <w:rPr>
          <w:rFonts w:ascii="Arial Narrow" w:hAnsi="Arial Narrow"/>
          <w:lang w:val="en-US"/>
        </w:rPr>
        <w:t xml:space="preserve">S. Friedländer (2008) </w:t>
      </w:r>
      <w:r>
        <w:rPr>
          <w:rFonts w:ascii="Arial Narrow" w:hAnsi="Arial Narrow"/>
          <w:lang w:val="en-US"/>
        </w:rPr>
        <w:t xml:space="preserve">47-49; </w:t>
      </w:r>
      <w:r w:rsidRPr="00784882">
        <w:rPr>
          <w:rFonts w:ascii="Arial Narrow" w:hAnsi="Arial Narrow"/>
          <w:lang w:val="en-US"/>
        </w:rPr>
        <w:t>J. Noa</w:t>
      </w:r>
      <w:r w:rsidRPr="00991EDC">
        <w:rPr>
          <w:rFonts w:ascii="Arial Narrow" w:hAnsi="Arial Narrow"/>
          <w:lang w:val="en-US"/>
        </w:rPr>
        <w:t xml:space="preserve">kes et al. </w:t>
      </w:r>
      <w:r w:rsidRPr="009B4FF1">
        <w:rPr>
          <w:rFonts w:ascii="Arial Narrow" w:hAnsi="Arial Narrow"/>
          <w:lang w:val="en-US"/>
        </w:rPr>
        <w:t xml:space="preserve">(orgs. 2008-2010) </w:t>
      </w:r>
      <w:r w:rsidRPr="00AB6074">
        <w:rPr>
          <w:rFonts w:ascii="Arial Narrow" w:hAnsi="Arial Narrow"/>
          <w:lang w:val="en-US"/>
        </w:rPr>
        <w:t>III 412, 545; M. Roseman (2012) 26</w:t>
      </w:r>
      <w:r>
        <w:rPr>
          <w:rFonts w:ascii="Arial Narrow" w:hAnsi="Arial Narrow"/>
          <w:lang w:val="en-US"/>
        </w:rPr>
        <w:t>, 27</w:t>
      </w:r>
      <w:r w:rsidRPr="00AB6074">
        <w:rPr>
          <w:rFonts w:ascii="Arial Narrow" w:hAnsi="Arial Narrow"/>
          <w:lang w:val="en-US"/>
        </w:rPr>
        <w:t>.</w:t>
      </w:r>
    </w:p>
  </w:footnote>
  <w:footnote w:id="732">
    <w:p w:rsidR="00392E0D" w:rsidRPr="003E305A" w:rsidRDefault="00392E0D" w:rsidP="00321E01">
      <w:pPr>
        <w:pStyle w:val="Textodenotaderodap"/>
        <w:ind w:firstLine="708"/>
        <w:rPr>
          <w:rFonts w:ascii="Arial Narrow" w:hAnsi="Arial Narrow"/>
          <w:lang w:val="es-ES"/>
        </w:rPr>
      </w:pPr>
      <w:r w:rsidRPr="003E305A">
        <w:rPr>
          <w:rStyle w:val="Refdenotaderodap"/>
          <w:rFonts w:ascii="Arial Narrow" w:hAnsi="Arial Narrow"/>
        </w:rPr>
        <w:footnoteRef/>
      </w:r>
      <w:r w:rsidRPr="00B2463D">
        <w:rPr>
          <w:rFonts w:ascii="Arial Narrow" w:hAnsi="Arial Narrow"/>
          <w:lang w:val="de-DE"/>
        </w:rPr>
        <w:t xml:space="preserve"> G. Aly et al. </w:t>
      </w:r>
      <w:r w:rsidRPr="003E305A">
        <w:rPr>
          <w:rFonts w:ascii="Arial Narrow" w:hAnsi="Arial Narrow"/>
          <w:lang w:val="en-GB"/>
        </w:rPr>
        <w:t xml:space="preserve">(2006) 195, 202; E. Black (2003) 312-313; </w:t>
      </w:r>
      <w:r w:rsidRPr="00D42775">
        <w:rPr>
          <w:rFonts w:ascii="Arial Narrow" w:hAnsi="Arial Narrow"/>
          <w:lang w:val="en-US"/>
        </w:rPr>
        <w:t xml:space="preserve">S. Friedländer (2008) </w:t>
      </w:r>
      <w:r>
        <w:rPr>
          <w:rFonts w:ascii="Arial Narrow" w:hAnsi="Arial Narrow"/>
          <w:lang w:val="en-US"/>
        </w:rPr>
        <w:t xml:space="preserve">360; </w:t>
      </w:r>
      <w:r>
        <w:rPr>
          <w:rFonts w:ascii="Arial Narrow" w:hAnsi="Arial Narrow"/>
          <w:lang w:val="es-ES"/>
        </w:rPr>
        <w:t xml:space="preserve">M. Gilbert (2011 b) I 13, 125-126; J. Noakes et al. (orgs. 2008-2010) III 403 e segs., 412; </w:t>
      </w:r>
      <w:r w:rsidRPr="000F2066">
        <w:rPr>
          <w:rFonts w:ascii="Arial Narrow" w:hAnsi="Arial Narrow"/>
          <w:lang w:val="en-US"/>
        </w:rPr>
        <w:t xml:space="preserve">«Operation Reinhard», em I. C. B. Dear et al. </w:t>
      </w:r>
      <w:r w:rsidRPr="003E305A">
        <w:rPr>
          <w:rFonts w:ascii="Arial Narrow" w:hAnsi="Arial Narrow"/>
          <w:lang w:val="es-ES"/>
        </w:rPr>
        <w:t>(orgs. 1995) 839; A. Pichot (2000) 20, 259</w:t>
      </w:r>
      <w:r>
        <w:rPr>
          <w:rFonts w:ascii="Arial Narrow" w:hAnsi="Arial Narrow"/>
          <w:lang w:val="es-ES"/>
        </w:rPr>
        <w:t xml:space="preserve">; </w:t>
      </w:r>
      <w:r w:rsidRPr="00AB6074">
        <w:rPr>
          <w:rFonts w:ascii="Arial Narrow" w:hAnsi="Arial Narrow"/>
          <w:lang w:val="en-US"/>
        </w:rPr>
        <w:t xml:space="preserve">M. Roseman (2012) </w:t>
      </w:r>
      <w:r>
        <w:rPr>
          <w:rFonts w:ascii="Arial Narrow" w:hAnsi="Arial Narrow"/>
          <w:lang w:val="en-US"/>
        </w:rPr>
        <w:t>27.</w:t>
      </w:r>
    </w:p>
  </w:footnote>
  <w:footnote w:id="733">
    <w:p w:rsidR="00392E0D" w:rsidRPr="00D72417" w:rsidRDefault="00392E0D">
      <w:pPr>
        <w:pStyle w:val="Textodenotaderodap"/>
        <w:rPr>
          <w:rFonts w:ascii="Arial Narrow" w:hAnsi="Arial Narrow"/>
          <w:lang w:val="en-US"/>
        </w:rPr>
      </w:pPr>
      <w:r w:rsidRPr="00D72417">
        <w:rPr>
          <w:rStyle w:val="Refdenotaderodap"/>
          <w:rFonts w:ascii="Arial Narrow" w:hAnsi="Arial Narrow"/>
        </w:rPr>
        <w:footnoteRef/>
      </w:r>
      <w:r w:rsidRPr="00D72417">
        <w:rPr>
          <w:rFonts w:ascii="Arial Narrow" w:hAnsi="Arial Narrow"/>
          <w:lang w:val="en-US"/>
        </w:rPr>
        <w:t xml:space="preserve"> </w:t>
      </w:r>
      <w:r>
        <w:rPr>
          <w:rFonts w:ascii="Arial Narrow" w:hAnsi="Arial Narrow"/>
          <w:lang w:val="en-US"/>
        </w:rPr>
        <w:t>M. Roseman (2012) 46.</w:t>
      </w:r>
    </w:p>
  </w:footnote>
  <w:footnote w:id="734">
    <w:p w:rsidR="00392E0D" w:rsidRPr="007909A2" w:rsidRDefault="00392E0D">
      <w:pPr>
        <w:pStyle w:val="Textodenotaderodap"/>
        <w:rPr>
          <w:rFonts w:ascii="Arial Narrow" w:hAnsi="Arial Narrow"/>
        </w:rPr>
      </w:pPr>
      <w:r w:rsidRPr="00E52084">
        <w:rPr>
          <w:rStyle w:val="Refdenotaderodap"/>
          <w:rFonts w:ascii="Arial Narrow" w:hAnsi="Arial Narrow"/>
        </w:rPr>
        <w:footnoteRef/>
      </w:r>
      <w:r w:rsidRPr="007909A2">
        <w:rPr>
          <w:rFonts w:ascii="Arial Narrow" w:hAnsi="Arial Narrow"/>
          <w:lang w:val="en-US"/>
        </w:rPr>
        <w:t xml:space="preserve"> </w:t>
      </w:r>
      <w:r w:rsidRPr="000359FF">
        <w:rPr>
          <w:rFonts w:ascii="Arial Narrow" w:hAnsi="Arial Narrow"/>
          <w:lang w:val="en-US"/>
        </w:rPr>
        <w:t xml:space="preserve">S. Friedländer (2008) </w:t>
      </w:r>
      <w:r>
        <w:rPr>
          <w:rFonts w:ascii="Arial Narrow" w:hAnsi="Arial Narrow"/>
          <w:lang w:val="en-US"/>
        </w:rPr>
        <w:t xml:space="preserve">643; </w:t>
      </w:r>
      <w:r w:rsidRPr="007909A2">
        <w:rPr>
          <w:rFonts w:ascii="Arial Narrow" w:hAnsi="Arial Narrow"/>
          <w:lang w:val="en-US"/>
        </w:rPr>
        <w:t xml:space="preserve">M. Gilbert (2011 b) I 399-400; J. </w:t>
      </w:r>
      <w:r>
        <w:rPr>
          <w:rFonts w:ascii="Arial Narrow" w:hAnsi="Arial Narrow"/>
          <w:lang w:val="en-US"/>
        </w:rPr>
        <w:t xml:space="preserve">Noakes et al. </w:t>
      </w:r>
      <w:r w:rsidRPr="007909A2">
        <w:rPr>
          <w:rFonts w:ascii="Arial Narrow" w:hAnsi="Arial Narrow"/>
        </w:rPr>
        <w:t xml:space="preserve">(org. </w:t>
      </w:r>
      <w:r>
        <w:rPr>
          <w:rFonts w:ascii="Arial Narrow" w:hAnsi="Arial Narrow"/>
        </w:rPr>
        <w:t>2008-2010) III 562, 564</w:t>
      </w:r>
      <w:r w:rsidRPr="007909A2">
        <w:rPr>
          <w:rFonts w:ascii="Arial Narrow" w:hAnsi="Arial Narrow"/>
        </w:rPr>
        <w:t xml:space="preserve">. </w:t>
      </w:r>
      <w:r>
        <w:rPr>
          <w:rFonts w:ascii="Arial Narrow" w:hAnsi="Arial Narrow"/>
        </w:rPr>
        <w:t>Aliás, o médico que comandava Treblinka foi demitido por incompetência passados alguns meses, já que se revelara incapaz de fazer desaparecer os cadáveres com suficiente rapidez, sendo substituído pelo comandante de Sobibor.</w:t>
      </w:r>
    </w:p>
  </w:footnote>
  <w:footnote w:id="735">
    <w:p w:rsidR="00392E0D" w:rsidRPr="00E7598A" w:rsidRDefault="00392E0D">
      <w:pPr>
        <w:pStyle w:val="Textodenotaderodap"/>
        <w:rPr>
          <w:rFonts w:ascii="Arial Narrow" w:hAnsi="Arial Narrow"/>
          <w:lang w:val="en-US"/>
        </w:rPr>
      </w:pPr>
      <w:r w:rsidRPr="00E614F0">
        <w:rPr>
          <w:rStyle w:val="Refdenotaderodap"/>
          <w:rFonts w:ascii="Arial Narrow" w:hAnsi="Arial Narrow"/>
        </w:rPr>
        <w:footnoteRef/>
      </w:r>
      <w:r w:rsidRPr="00E614F0">
        <w:rPr>
          <w:rFonts w:ascii="Arial Narrow" w:hAnsi="Arial Narrow"/>
          <w:lang w:val="en-US"/>
        </w:rPr>
        <w:t xml:space="preserve"> </w:t>
      </w:r>
      <w:r w:rsidRPr="00796BCB">
        <w:rPr>
          <w:rFonts w:ascii="Arial Narrow" w:hAnsi="Arial Narrow"/>
          <w:lang w:val="en-US"/>
        </w:rPr>
        <w:t xml:space="preserve">S. Friedländer (2008) </w:t>
      </w:r>
      <w:r>
        <w:rPr>
          <w:rFonts w:ascii="Arial Narrow" w:hAnsi="Arial Narrow"/>
          <w:lang w:val="en-US"/>
        </w:rPr>
        <w:t xml:space="preserve">431, 537; </w:t>
      </w:r>
      <w:r w:rsidRPr="00E86FE4">
        <w:rPr>
          <w:rFonts w:ascii="Arial Narrow" w:hAnsi="Arial Narrow"/>
          <w:lang w:val="en-US"/>
        </w:rPr>
        <w:t xml:space="preserve">J. Noakes et al. (orgs. </w:t>
      </w:r>
      <w:r w:rsidRPr="00E7598A">
        <w:rPr>
          <w:rFonts w:ascii="Arial Narrow" w:hAnsi="Arial Narrow"/>
          <w:lang w:val="en-US"/>
        </w:rPr>
        <w:t>2008-2010) III 552 e segs., 565, 578, 625-626; M. Roseman (2012) 49, 51-52; W. Sofsky (199</w:t>
      </w:r>
      <w:r>
        <w:rPr>
          <w:rFonts w:ascii="Arial Narrow" w:hAnsi="Arial Narrow"/>
          <w:lang w:val="en-US"/>
        </w:rPr>
        <w:t>7</w:t>
      </w:r>
      <w:r w:rsidRPr="00E7598A">
        <w:rPr>
          <w:rFonts w:ascii="Arial Narrow" w:hAnsi="Arial Narrow"/>
          <w:lang w:val="en-US"/>
        </w:rPr>
        <w:t>) 425-426, 456-457.</w:t>
      </w:r>
    </w:p>
  </w:footnote>
  <w:footnote w:id="736">
    <w:p w:rsidR="00392E0D" w:rsidRPr="00624E34" w:rsidRDefault="00392E0D">
      <w:pPr>
        <w:pStyle w:val="Textodenotaderodap"/>
        <w:rPr>
          <w:rFonts w:ascii="Arial Narrow" w:hAnsi="Arial Narrow"/>
        </w:rPr>
      </w:pPr>
      <w:r w:rsidRPr="00E86FE4">
        <w:rPr>
          <w:rStyle w:val="Refdenotaderodap"/>
          <w:rFonts w:ascii="Arial Narrow" w:hAnsi="Arial Narrow"/>
        </w:rPr>
        <w:footnoteRef/>
      </w:r>
      <w:r w:rsidRPr="000F26B2">
        <w:rPr>
          <w:rFonts w:ascii="Arial Narrow" w:hAnsi="Arial Narrow"/>
          <w:lang w:val="en-US"/>
        </w:rPr>
        <w:t xml:space="preserve"> </w:t>
      </w:r>
      <w:r w:rsidRPr="00E86FE4">
        <w:rPr>
          <w:rFonts w:ascii="Arial Narrow" w:hAnsi="Arial Narrow"/>
          <w:lang w:val="en-US"/>
        </w:rPr>
        <w:t xml:space="preserve">J. Noakes et al. </w:t>
      </w:r>
      <w:r w:rsidRPr="00E7598A">
        <w:rPr>
          <w:rFonts w:ascii="Arial Narrow" w:hAnsi="Arial Narrow"/>
        </w:rPr>
        <w:t xml:space="preserve">(orgs. </w:t>
      </w:r>
      <w:r w:rsidRPr="00624E34">
        <w:rPr>
          <w:rFonts w:ascii="Arial Narrow" w:hAnsi="Arial Narrow"/>
        </w:rPr>
        <w:t>2008-2010) III 413, 424-426.</w:t>
      </w:r>
    </w:p>
  </w:footnote>
  <w:footnote w:id="737">
    <w:p w:rsidR="00392E0D" w:rsidRPr="00DC069F" w:rsidRDefault="00392E0D">
      <w:pPr>
        <w:pStyle w:val="Textodenotaderodap"/>
        <w:rPr>
          <w:rFonts w:ascii="Arial Narrow" w:hAnsi="Arial Narrow"/>
        </w:rPr>
      </w:pPr>
      <w:r w:rsidRPr="00DC069F">
        <w:rPr>
          <w:rStyle w:val="Refdenotaderodap"/>
          <w:rFonts w:ascii="Arial Narrow" w:hAnsi="Arial Narrow"/>
        </w:rPr>
        <w:footnoteRef/>
      </w:r>
      <w:r w:rsidRPr="00DC069F">
        <w:rPr>
          <w:rFonts w:ascii="Arial Narrow" w:hAnsi="Arial Narrow"/>
        </w:rPr>
        <w:t xml:space="preserve"> </w:t>
      </w:r>
      <w:r w:rsidRPr="00624E34">
        <w:rPr>
          <w:rFonts w:ascii="Arial Narrow" w:hAnsi="Arial Narrow"/>
          <w:bCs/>
        </w:rPr>
        <w:t xml:space="preserve">W. L. Shirer (2011) 523 registou na página do seu diário referente a 21 de Setembro de 1940 a primeira notícia que lhe transmitiram, em segredo, acerca da liquidação sistemática dos doentes mentais. Em 25 de Novembro </w:t>
      </w:r>
      <w:r>
        <w:rPr>
          <w:rFonts w:ascii="Arial Narrow" w:hAnsi="Arial Narrow"/>
          <w:bCs/>
        </w:rPr>
        <w:t xml:space="preserve">ele </w:t>
      </w:r>
      <w:r w:rsidRPr="00624E34">
        <w:rPr>
          <w:rFonts w:ascii="Arial Narrow" w:hAnsi="Arial Narrow"/>
          <w:bCs/>
        </w:rPr>
        <w:t>indicou (págs. 579-585) que conseguira confirmar essa notícia e acrescentou várias informações.</w:t>
      </w:r>
    </w:p>
  </w:footnote>
  <w:footnote w:id="738">
    <w:p w:rsidR="00392E0D" w:rsidRPr="00624E34" w:rsidRDefault="00392E0D">
      <w:pPr>
        <w:pStyle w:val="Textodenotaderodap"/>
        <w:rPr>
          <w:rFonts w:ascii="Arial Narrow" w:hAnsi="Arial Narrow"/>
        </w:rPr>
      </w:pPr>
      <w:r w:rsidRPr="00F324FD">
        <w:rPr>
          <w:rStyle w:val="Refdenotaderodap"/>
          <w:rFonts w:ascii="Arial Narrow" w:hAnsi="Arial Narrow"/>
        </w:rPr>
        <w:footnoteRef/>
      </w:r>
      <w:r w:rsidRPr="00DB64E7">
        <w:rPr>
          <w:rFonts w:ascii="Arial Narrow" w:hAnsi="Arial Narrow"/>
          <w:lang w:val="en-US"/>
        </w:rPr>
        <w:t xml:space="preserve"> </w:t>
      </w:r>
      <w:r w:rsidRPr="00E86FE4">
        <w:rPr>
          <w:rFonts w:ascii="Arial Narrow" w:hAnsi="Arial Narrow"/>
          <w:lang w:val="en-US"/>
        </w:rPr>
        <w:t xml:space="preserve">J. Noakes et al. (orgs. </w:t>
      </w:r>
      <w:r w:rsidRPr="00624E34">
        <w:rPr>
          <w:rFonts w:ascii="Arial Narrow" w:hAnsi="Arial Narrow"/>
        </w:rPr>
        <w:t>2008-2010) III 426-431.</w:t>
      </w:r>
      <w:r>
        <w:rPr>
          <w:rFonts w:ascii="Arial Narrow" w:hAnsi="Arial Narrow"/>
        </w:rPr>
        <w:t xml:space="preserve"> Ver igualmente </w:t>
      </w:r>
      <w:r w:rsidRPr="000061E2">
        <w:rPr>
          <w:rFonts w:ascii="Arial Narrow" w:hAnsi="Arial Narrow"/>
        </w:rPr>
        <w:t>S. Friedländer (2008) 315</w:t>
      </w:r>
      <w:r>
        <w:rPr>
          <w:rFonts w:ascii="Arial Narrow" w:hAnsi="Arial Narrow"/>
        </w:rPr>
        <w:t xml:space="preserve"> e </w:t>
      </w:r>
      <w:r w:rsidRPr="009E13C5">
        <w:rPr>
          <w:rFonts w:ascii="Arial Narrow" w:hAnsi="Arial Narrow"/>
        </w:rPr>
        <w:t>D. Welch (2002) 89</w:t>
      </w:r>
      <w:r w:rsidRPr="000061E2">
        <w:rPr>
          <w:rFonts w:ascii="Arial Narrow" w:hAnsi="Arial Narrow"/>
        </w:rPr>
        <w:t>.</w:t>
      </w:r>
    </w:p>
  </w:footnote>
  <w:footnote w:id="739">
    <w:p w:rsidR="00392E0D" w:rsidRPr="008D1728" w:rsidRDefault="00392E0D">
      <w:pPr>
        <w:pStyle w:val="Textodenotaderodap"/>
        <w:rPr>
          <w:rFonts w:ascii="Arial Narrow" w:hAnsi="Arial Narrow"/>
        </w:rPr>
      </w:pPr>
      <w:r w:rsidRPr="008D1728">
        <w:rPr>
          <w:rStyle w:val="Refdenotaderodap"/>
          <w:rFonts w:ascii="Arial Narrow" w:hAnsi="Arial Narrow"/>
        </w:rPr>
        <w:footnoteRef/>
      </w:r>
      <w:r w:rsidRPr="000061E2">
        <w:rPr>
          <w:rFonts w:ascii="Arial Narrow" w:hAnsi="Arial Narrow"/>
          <w:lang w:val="en-US"/>
        </w:rPr>
        <w:t xml:space="preserve"> </w:t>
      </w:r>
      <w:r w:rsidRPr="00E86FE4">
        <w:rPr>
          <w:rFonts w:ascii="Arial Narrow" w:hAnsi="Arial Narrow"/>
          <w:lang w:val="en-US"/>
        </w:rPr>
        <w:t xml:space="preserve">J. Noakes et al. (orgs. </w:t>
      </w:r>
      <w:r w:rsidRPr="00624E34">
        <w:rPr>
          <w:rFonts w:ascii="Arial Narrow" w:hAnsi="Arial Narrow"/>
        </w:rPr>
        <w:t xml:space="preserve">2008-2010) III 431, 432. </w:t>
      </w:r>
      <w:r>
        <w:rPr>
          <w:rFonts w:ascii="Arial Narrow" w:hAnsi="Arial Narrow"/>
        </w:rPr>
        <w:t xml:space="preserve">Todavia, </w:t>
      </w:r>
      <w:r w:rsidRPr="003E305A">
        <w:rPr>
          <w:rFonts w:ascii="Arial Narrow" w:hAnsi="Arial Narrow"/>
        </w:rPr>
        <w:t>a crer em G</w:t>
      </w:r>
      <w:r>
        <w:rPr>
          <w:rFonts w:ascii="Arial Narrow" w:hAnsi="Arial Narrow"/>
        </w:rPr>
        <w:t xml:space="preserve">. </w:t>
      </w:r>
      <w:r w:rsidRPr="003E305A">
        <w:rPr>
          <w:rFonts w:ascii="Arial Narrow" w:hAnsi="Arial Narrow"/>
        </w:rPr>
        <w:t>Aly et al.</w:t>
      </w:r>
      <w:r>
        <w:rPr>
          <w:rFonts w:ascii="Arial Narrow" w:hAnsi="Arial Narrow"/>
        </w:rPr>
        <w:t xml:space="preserve"> </w:t>
      </w:r>
      <w:r w:rsidRPr="00741434">
        <w:rPr>
          <w:rFonts w:ascii="Arial Narrow" w:hAnsi="Arial Narrow"/>
        </w:rPr>
        <w:t xml:space="preserve">(2006) </w:t>
      </w:r>
      <w:r w:rsidRPr="003E305A">
        <w:rPr>
          <w:rFonts w:ascii="Arial Narrow" w:hAnsi="Arial Narrow"/>
        </w:rPr>
        <w:t>203-204, a censura governamental teria deixado transparecer deliberadamente indícios da operação, a qual teria beneficiado da indiferença ou mesmo do apoio activo da grande maioria da população.</w:t>
      </w:r>
    </w:p>
  </w:footnote>
  <w:footnote w:id="740">
    <w:p w:rsidR="00392E0D" w:rsidRPr="00976308" w:rsidRDefault="00392E0D">
      <w:pPr>
        <w:pStyle w:val="Textodenotaderodap"/>
        <w:rPr>
          <w:rFonts w:ascii="Arial Narrow" w:hAnsi="Arial Narrow"/>
        </w:rPr>
      </w:pPr>
      <w:r w:rsidRPr="00976308">
        <w:rPr>
          <w:rStyle w:val="Refdenotaderodap"/>
          <w:rFonts w:ascii="Arial Narrow" w:hAnsi="Arial Narrow"/>
        </w:rPr>
        <w:footnoteRef/>
      </w:r>
      <w:r w:rsidRPr="009777D4">
        <w:rPr>
          <w:rFonts w:ascii="Arial Narrow" w:hAnsi="Arial Narrow"/>
          <w:lang w:val="en-US"/>
        </w:rPr>
        <w:t xml:space="preserve"> </w:t>
      </w:r>
      <w:r w:rsidRPr="00E86FE4">
        <w:rPr>
          <w:rFonts w:ascii="Arial Narrow" w:hAnsi="Arial Narrow"/>
          <w:lang w:val="en-US"/>
        </w:rPr>
        <w:t xml:space="preserve">J. Noakes et al. (orgs. </w:t>
      </w:r>
      <w:r>
        <w:rPr>
          <w:rFonts w:ascii="Arial Narrow" w:hAnsi="Arial Narrow"/>
        </w:rPr>
        <w:t>2008-2010) III 432.</w:t>
      </w:r>
    </w:p>
  </w:footnote>
  <w:footnote w:id="741">
    <w:p w:rsidR="00392E0D" w:rsidRPr="004521A5" w:rsidRDefault="00392E0D">
      <w:pPr>
        <w:pStyle w:val="Textodenotaderodap"/>
        <w:rPr>
          <w:rFonts w:ascii="Arial Narrow" w:hAnsi="Arial Narrow"/>
        </w:rPr>
      </w:pPr>
      <w:r w:rsidRPr="004521A5">
        <w:rPr>
          <w:rStyle w:val="Refdenotaderodap"/>
          <w:rFonts w:ascii="Arial Narrow" w:hAnsi="Arial Narrow"/>
        </w:rPr>
        <w:footnoteRef/>
      </w:r>
      <w:r w:rsidRPr="004521A5">
        <w:rPr>
          <w:rFonts w:ascii="Arial Narrow" w:hAnsi="Arial Narrow"/>
        </w:rPr>
        <w:t xml:space="preserve"> </w:t>
      </w:r>
      <w:r>
        <w:rPr>
          <w:rFonts w:ascii="Arial Narrow" w:hAnsi="Arial Narrow"/>
        </w:rPr>
        <w:t>Id., ibid., III 435.</w:t>
      </w:r>
    </w:p>
  </w:footnote>
  <w:footnote w:id="742">
    <w:p w:rsidR="00392E0D" w:rsidRPr="00741434" w:rsidRDefault="00392E0D" w:rsidP="009F0539">
      <w:pPr>
        <w:pStyle w:val="Textodenotaderodap"/>
        <w:rPr>
          <w:rFonts w:ascii="Arial Narrow" w:hAnsi="Arial Narrow"/>
        </w:rPr>
      </w:pPr>
      <w:r w:rsidRPr="00741434">
        <w:rPr>
          <w:rStyle w:val="Refdenotaderodap"/>
          <w:rFonts w:ascii="Arial Narrow" w:hAnsi="Arial Narrow"/>
        </w:rPr>
        <w:footnoteRef/>
      </w:r>
      <w:r w:rsidRPr="00741434">
        <w:rPr>
          <w:rFonts w:ascii="Arial Narrow" w:hAnsi="Arial Narrow"/>
        </w:rPr>
        <w:t xml:space="preserve"> </w:t>
      </w:r>
      <w:r>
        <w:rPr>
          <w:rFonts w:ascii="Arial Narrow" w:hAnsi="Arial Narrow"/>
        </w:rPr>
        <w:t xml:space="preserve">Este artigo, publicado em </w:t>
      </w:r>
      <w:r w:rsidRPr="0030703D">
        <w:rPr>
          <w:rFonts w:ascii="Arial Narrow" w:hAnsi="Arial Narrow"/>
          <w:i/>
        </w:rPr>
        <w:t>Das Schwartze Korps</w:t>
      </w:r>
      <w:r>
        <w:rPr>
          <w:rFonts w:ascii="Arial Narrow" w:hAnsi="Arial Narrow"/>
          <w:i/>
        </w:rPr>
        <w:t>,</w:t>
      </w:r>
      <w:r>
        <w:rPr>
          <w:rFonts w:ascii="Arial Narrow" w:hAnsi="Arial Narrow"/>
        </w:rPr>
        <w:t xml:space="preserve"> 18 de Março de 1937, encontra-se em id., ibid., III 395-396. A passagem citada vem na pág. 395.</w:t>
      </w:r>
    </w:p>
  </w:footnote>
  <w:footnote w:id="743">
    <w:p w:rsidR="00392E0D" w:rsidRPr="003E305A" w:rsidRDefault="00392E0D" w:rsidP="00321E01">
      <w:pPr>
        <w:pStyle w:val="Textodenotaderodap"/>
        <w:ind w:firstLine="708"/>
        <w:rPr>
          <w:rFonts w:ascii="Arial Narrow" w:hAnsi="Arial Narrow"/>
        </w:rPr>
      </w:pPr>
      <w:r w:rsidRPr="003E305A">
        <w:rPr>
          <w:rStyle w:val="Refdenotaderodap"/>
          <w:rFonts w:ascii="Arial Narrow" w:hAnsi="Arial Narrow"/>
        </w:rPr>
        <w:footnoteRef/>
      </w:r>
      <w:r w:rsidRPr="003E305A">
        <w:rPr>
          <w:rFonts w:ascii="Arial Narrow" w:hAnsi="Arial Narrow"/>
          <w:lang w:val="es-ES"/>
        </w:rPr>
        <w:t xml:space="preserve"> A. Pichot (2000) 260-264, 271. Ver igualmente: G. Aly et al. </w:t>
      </w:r>
      <w:r w:rsidRPr="00052948">
        <w:rPr>
          <w:rFonts w:ascii="Arial Narrow" w:hAnsi="Arial Narrow"/>
          <w:lang w:val="en-US"/>
        </w:rPr>
        <w:t>(2006) 197-204; E. Black (2003) 317, 369; M. Gilbert (2011 b</w:t>
      </w:r>
      <w:r>
        <w:rPr>
          <w:rFonts w:ascii="Arial Narrow" w:hAnsi="Arial Narrow"/>
          <w:lang w:val="en-GB"/>
        </w:rPr>
        <w:t xml:space="preserve">) I 262, 350, 441; </w:t>
      </w:r>
      <w:r w:rsidRPr="00052948">
        <w:rPr>
          <w:rFonts w:ascii="Arial Narrow" w:hAnsi="Arial Narrow"/>
          <w:lang w:val="en-US"/>
        </w:rPr>
        <w:t xml:space="preserve">J. Noakes et al. </w:t>
      </w:r>
      <w:r w:rsidRPr="00862DE9">
        <w:rPr>
          <w:rFonts w:ascii="Arial Narrow" w:hAnsi="Arial Narrow"/>
          <w:lang w:val="en-US"/>
        </w:rPr>
        <w:t>(orgs. 200</w:t>
      </w:r>
      <w:r>
        <w:rPr>
          <w:rFonts w:ascii="Arial Narrow" w:hAnsi="Arial Narrow"/>
          <w:lang w:val="en-US"/>
        </w:rPr>
        <w:t>8-2010</w:t>
      </w:r>
      <w:r w:rsidRPr="00862DE9">
        <w:rPr>
          <w:rFonts w:ascii="Arial Narrow" w:hAnsi="Arial Narrow"/>
          <w:lang w:val="en-US"/>
        </w:rPr>
        <w:t xml:space="preserve">) </w:t>
      </w:r>
      <w:r>
        <w:rPr>
          <w:rFonts w:ascii="Arial Narrow" w:hAnsi="Arial Narrow"/>
          <w:lang w:val="en-US"/>
        </w:rPr>
        <w:t xml:space="preserve">III </w:t>
      </w:r>
      <w:r w:rsidRPr="00862DE9">
        <w:rPr>
          <w:rFonts w:ascii="Arial Narrow" w:hAnsi="Arial Narrow"/>
          <w:lang w:val="en-US"/>
        </w:rPr>
        <w:t xml:space="preserve">432-433, 438; </w:t>
      </w:r>
      <w:r w:rsidRPr="00B2463D">
        <w:rPr>
          <w:rFonts w:ascii="Arial Narrow" w:hAnsi="Arial Narrow"/>
          <w:lang w:val="en-GB"/>
        </w:rPr>
        <w:t xml:space="preserve">W. Petter, «Euthanasia Programme», em I. C. B. Dear et al. </w:t>
      </w:r>
      <w:r w:rsidRPr="00862DE9">
        <w:rPr>
          <w:rFonts w:ascii="Arial Narrow" w:hAnsi="Arial Narrow"/>
          <w:lang w:val="en-US"/>
        </w:rPr>
        <w:t xml:space="preserve">(orgs. 1995) 342-344; Sh. F. Weiss (2010) 173. </w:t>
      </w:r>
      <w:r w:rsidRPr="006A5D47">
        <w:rPr>
          <w:rFonts w:ascii="Arial Narrow" w:hAnsi="Arial Narrow"/>
        </w:rPr>
        <w:t xml:space="preserve">A crer </w:t>
      </w:r>
      <w:r>
        <w:rPr>
          <w:rFonts w:ascii="Arial Narrow" w:hAnsi="Arial Narrow"/>
        </w:rPr>
        <w:t>em Jeremy Noakes et al.,</w:t>
      </w:r>
      <w:r w:rsidRPr="00BF3B4C">
        <w:rPr>
          <w:rFonts w:ascii="Arial Narrow" w:hAnsi="Arial Narrow"/>
        </w:rPr>
        <w:t xml:space="preserve"> op. cit.,</w:t>
      </w:r>
      <w:r>
        <w:rPr>
          <w:rFonts w:ascii="Arial Narrow" w:hAnsi="Arial Narrow"/>
        </w:rPr>
        <w:t xml:space="preserve"> III 389, </w:t>
      </w:r>
      <w:r w:rsidRPr="006A5D47">
        <w:rPr>
          <w:rFonts w:ascii="Arial Narrow" w:hAnsi="Arial Narrow"/>
        </w:rPr>
        <w:t xml:space="preserve">mais de cem mil </w:t>
      </w:r>
      <w:r>
        <w:rPr>
          <w:rFonts w:ascii="Arial Narrow" w:hAnsi="Arial Narrow"/>
        </w:rPr>
        <w:t xml:space="preserve">doentes mentais e deficientes teriam sido mortos entre 1939 e 1945, mas estes autores indicaram (pág. 440) que é impossível determinar quantos foram mortos a partir do termo oficial do programa de eutanásia em Agosto de 1941. Também Martin Gilbert, </w:t>
      </w:r>
      <w:r w:rsidRPr="00201C92">
        <w:rPr>
          <w:rFonts w:ascii="Arial Narrow" w:hAnsi="Arial Narrow"/>
        </w:rPr>
        <w:t>op. cit.,</w:t>
      </w:r>
      <w:r>
        <w:rPr>
          <w:rFonts w:ascii="Arial Narrow" w:hAnsi="Arial Narrow"/>
        </w:rPr>
        <w:t xml:space="preserve"> I 441 considerou que «talvez nunca venha a ser conhecida a escala das mortes por eutanásia».</w:t>
      </w:r>
    </w:p>
  </w:footnote>
  <w:footnote w:id="744">
    <w:p w:rsidR="00392E0D" w:rsidRPr="00B2463D" w:rsidRDefault="00392E0D" w:rsidP="00321E01">
      <w:pPr>
        <w:pStyle w:val="Textodenotaderodap"/>
        <w:rPr>
          <w:rFonts w:ascii="Arial Narrow" w:hAnsi="Arial Narrow"/>
          <w:lang w:val="de-DE"/>
        </w:rPr>
      </w:pPr>
      <w:r w:rsidRPr="003E305A">
        <w:rPr>
          <w:rStyle w:val="Refdenotaderodap"/>
          <w:rFonts w:ascii="Arial Narrow" w:hAnsi="Arial Narrow"/>
        </w:rPr>
        <w:footnoteRef/>
      </w:r>
      <w:r w:rsidRPr="00B2463D">
        <w:rPr>
          <w:rFonts w:ascii="Arial Narrow" w:hAnsi="Arial Narrow"/>
          <w:lang w:val="de-DE"/>
        </w:rPr>
        <w:t xml:space="preserve"> E. Kogon (2002) 280-281.</w:t>
      </w:r>
    </w:p>
  </w:footnote>
  <w:footnote w:id="745">
    <w:p w:rsidR="00392E0D" w:rsidRPr="009A26E4" w:rsidRDefault="00392E0D">
      <w:pPr>
        <w:pStyle w:val="Textodenotaderodap"/>
        <w:rPr>
          <w:rFonts w:ascii="Arial Narrow" w:hAnsi="Arial Narrow"/>
        </w:rPr>
      </w:pPr>
      <w:r w:rsidRPr="00A64765">
        <w:rPr>
          <w:rStyle w:val="Refdenotaderodap"/>
          <w:rFonts w:ascii="Arial Narrow" w:hAnsi="Arial Narrow"/>
        </w:rPr>
        <w:footnoteRef/>
      </w:r>
      <w:r w:rsidR="009A26E4" w:rsidRPr="009A26E4">
        <w:rPr>
          <w:rFonts w:ascii="Arial Narrow" w:hAnsi="Arial Narrow"/>
        </w:rPr>
        <w:t xml:space="preserve"> Ver neste capítulo a n. </w:t>
      </w:r>
      <w:r w:rsidR="009A26E4">
        <w:rPr>
          <w:rFonts w:ascii="Arial Narrow" w:hAnsi="Arial Narrow"/>
        </w:rPr>
        <w:t>708.</w:t>
      </w:r>
    </w:p>
  </w:footnote>
  <w:footnote w:id="746">
    <w:p w:rsidR="00392E0D" w:rsidRPr="00025BE8" w:rsidRDefault="00392E0D">
      <w:pPr>
        <w:pStyle w:val="Textodenotaderodap"/>
        <w:rPr>
          <w:rFonts w:ascii="Arial Narrow" w:hAnsi="Arial Narrow"/>
        </w:rPr>
      </w:pPr>
      <w:r w:rsidRPr="0040664B">
        <w:rPr>
          <w:rStyle w:val="Refdenotaderodap"/>
          <w:rFonts w:ascii="Arial Narrow" w:hAnsi="Arial Narrow"/>
        </w:rPr>
        <w:footnoteRef/>
      </w:r>
      <w:r w:rsidRPr="00D345AA">
        <w:rPr>
          <w:rFonts w:ascii="Arial Narrow" w:hAnsi="Arial Narrow"/>
          <w:lang w:val="en-US"/>
        </w:rPr>
        <w:t xml:space="preserve"> </w:t>
      </w:r>
      <w:r w:rsidRPr="004C50AF">
        <w:rPr>
          <w:rFonts w:ascii="Arial Narrow" w:hAnsi="Arial Narrow"/>
          <w:lang w:val="en-US"/>
        </w:rPr>
        <w:t xml:space="preserve">Ph. Burrin (2000) 180; </w:t>
      </w:r>
      <w:r w:rsidRPr="004328F7">
        <w:rPr>
          <w:rFonts w:ascii="Arial Narrow" w:hAnsi="Arial Narrow"/>
          <w:lang w:val="en-US"/>
        </w:rPr>
        <w:t xml:space="preserve">S. Friedländer (2008) </w:t>
      </w:r>
      <w:r>
        <w:rPr>
          <w:rFonts w:ascii="Arial Narrow" w:hAnsi="Arial Narrow"/>
          <w:lang w:val="en-US"/>
        </w:rPr>
        <w:t xml:space="preserve">315, 376-377; </w:t>
      </w:r>
      <w:r w:rsidRPr="00D345AA">
        <w:rPr>
          <w:rFonts w:ascii="Arial Narrow" w:hAnsi="Arial Narrow"/>
          <w:lang w:val="en-US"/>
        </w:rPr>
        <w:t>M. Gilbert (2011 b) I 23, 47, 84, 267, 274, 293, 326, 345, 356, 373, 38</w:t>
      </w:r>
      <w:r>
        <w:rPr>
          <w:rFonts w:ascii="Arial Narrow" w:hAnsi="Arial Narrow"/>
          <w:lang w:val="en-US"/>
        </w:rPr>
        <w:t xml:space="preserve">3, 391, 398, 412, II 461, 518; J. Noakes et al. </w:t>
      </w:r>
      <w:r w:rsidRPr="00025BE8">
        <w:rPr>
          <w:rFonts w:ascii="Arial Narrow" w:hAnsi="Arial Narrow"/>
        </w:rPr>
        <w:t>(orgs. 200</w:t>
      </w:r>
      <w:r>
        <w:rPr>
          <w:rFonts w:ascii="Arial Narrow" w:hAnsi="Arial Narrow"/>
        </w:rPr>
        <w:t>8-2010</w:t>
      </w:r>
      <w:r w:rsidRPr="00025BE8">
        <w:rPr>
          <w:rFonts w:ascii="Arial Narrow" w:hAnsi="Arial Narrow"/>
        </w:rPr>
        <w:t xml:space="preserve">) </w:t>
      </w:r>
      <w:r>
        <w:rPr>
          <w:rFonts w:ascii="Arial Narrow" w:hAnsi="Arial Narrow"/>
        </w:rPr>
        <w:t xml:space="preserve">III </w:t>
      </w:r>
      <w:r w:rsidRPr="00025BE8">
        <w:rPr>
          <w:rFonts w:ascii="Arial Narrow" w:hAnsi="Arial Narrow"/>
        </w:rPr>
        <w:t>ix</w:t>
      </w:r>
      <w:r>
        <w:rPr>
          <w:rFonts w:ascii="Arial Narrow" w:hAnsi="Arial Narrow"/>
        </w:rPr>
        <w:t>, 435, 545, 555</w:t>
      </w:r>
      <w:r w:rsidRPr="00025BE8">
        <w:rPr>
          <w:rFonts w:ascii="Arial Narrow" w:hAnsi="Arial Narrow"/>
        </w:rPr>
        <w:t>.</w:t>
      </w:r>
    </w:p>
  </w:footnote>
  <w:footnote w:id="747">
    <w:p w:rsidR="00392E0D" w:rsidRPr="006E77C5" w:rsidRDefault="00392E0D">
      <w:pPr>
        <w:pStyle w:val="Textodenotaderodap"/>
        <w:rPr>
          <w:rFonts w:ascii="Arial Narrow" w:hAnsi="Arial Narrow"/>
        </w:rPr>
      </w:pPr>
      <w:r w:rsidRPr="00FE435A">
        <w:rPr>
          <w:rStyle w:val="Refdenotaderodap"/>
          <w:rFonts w:ascii="Arial Narrow" w:hAnsi="Arial Narrow"/>
        </w:rPr>
        <w:footnoteRef/>
      </w:r>
      <w:r w:rsidRPr="00025BE8">
        <w:rPr>
          <w:rFonts w:ascii="Arial Narrow" w:hAnsi="Arial Narrow"/>
        </w:rPr>
        <w:t xml:space="preserve"> M. Gilbert (2011 b) I 322. </w:t>
      </w:r>
      <w:r w:rsidRPr="00C90EFB">
        <w:rPr>
          <w:rFonts w:ascii="Arial Narrow" w:hAnsi="Arial Narrow"/>
        </w:rPr>
        <w:t xml:space="preserve">Ver igualmente </w:t>
      </w:r>
      <w:r w:rsidRPr="00175EAD">
        <w:rPr>
          <w:rFonts w:ascii="Arial Narrow" w:hAnsi="Arial Narrow"/>
        </w:rPr>
        <w:t>G. MacDonogh (2009)</w:t>
      </w:r>
      <w:r>
        <w:rPr>
          <w:rFonts w:ascii="Arial Narrow" w:hAnsi="Arial Narrow"/>
        </w:rPr>
        <w:t xml:space="preserve"> 81, J. Noakes et al. </w:t>
      </w:r>
      <w:r w:rsidRPr="006E77C5">
        <w:rPr>
          <w:rFonts w:ascii="Arial Narrow" w:hAnsi="Arial Narrow"/>
        </w:rPr>
        <w:t>(orgs. 2008-2010) III 435, 437</w:t>
      </w:r>
      <w:r>
        <w:rPr>
          <w:rFonts w:ascii="Arial Narrow" w:hAnsi="Arial Narrow"/>
        </w:rPr>
        <w:t xml:space="preserve">, </w:t>
      </w:r>
      <w:r w:rsidRPr="006D31F9">
        <w:rPr>
          <w:rFonts w:ascii="Arial Narrow" w:hAnsi="Arial Narrow"/>
        </w:rPr>
        <w:t>W. Sofsky (199</w:t>
      </w:r>
      <w:r>
        <w:rPr>
          <w:rFonts w:ascii="Arial Narrow" w:hAnsi="Arial Narrow"/>
        </w:rPr>
        <w:t>7</w:t>
      </w:r>
      <w:r w:rsidRPr="006D31F9">
        <w:rPr>
          <w:rFonts w:ascii="Arial Narrow" w:hAnsi="Arial Narrow"/>
        </w:rPr>
        <w:t xml:space="preserve">) </w:t>
      </w:r>
      <w:r>
        <w:rPr>
          <w:rFonts w:ascii="Arial Narrow" w:hAnsi="Arial Narrow"/>
        </w:rPr>
        <w:t>422 e segs.</w:t>
      </w:r>
      <w:r w:rsidRPr="006E77C5">
        <w:rPr>
          <w:rFonts w:ascii="Arial Narrow" w:hAnsi="Arial Narrow"/>
        </w:rPr>
        <w:t xml:space="preserve"> e Sh. F. Weiss (2010) 173. Segundo M. Buber (1949) 244, esta medida começou a ser aplicada em Ravensbrück no início de 1942; ver também as págs. 208, 216, 234, 240 e 303-306.</w:t>
      </w:r>
    </w:p>
  </w:footnote>
  <w:footnote w:id="748">
    <w:p w:rsidR="00392E0D" w:rsidRPr="00190486" w:rsidRDefault="00392E0D">
      <w:pPr>
        <w:pStyle w:val="Textodenotaderodap"/>
        <w:rPr>
          <w:rFonts w:ascii="Arial Narrow" w:hAnsi="Arial Narrow"/>
        </w:rPr>
      </w:pPr>
      <w:r w:rsidRPr="002E2319">
        <w:rPr>
          <w:rStyle w:val="Refdenotaderodap"/>
          <w:rFonts w:ascii="Arial Narrow" w:hAnsi="Arial Narrow"/>
        </w:rPr>
        <w:footnoteRef/>
      </w:r>
      <w:r w:rsidRPr="00190486">
        <w:rPr>
          <w:rFonts w:ascii="Arial Narrow" w:hAnsi="Arial Narrow"/>
        </w:rPr>
        <w:t xml:space="preserve"> C. Clausewitz (2011) 216.</w:t>
      </w:r>
    </w:p>
  </w:footnote>
  <w:footnote w:id="749">
    <w:p w:rsidR="00392E0D" w:rsidRPr="00A554B3" w:rsidRDefault="00392E0D">
      <w:pPr>
        <w:pStyle w:val="Textodenotaderodap"/>
        <w:rPr>
          <w:rFonts w:ascii="Arial Narrow" w:hAnsi="Arial Narrow"/>
        </w:rPr>
      </w:pPr>
      <w:r w:rsidRPr="00A554B3">
        <w:rPr>
          <w:rStyle w:val="Refdenotaderodap"/>
          <w:rFonts w:ascii="Arial Narrow" w:hAnsi="Arial Narrow"/>
        </w:rPr>
        <w:footnoteRef/>
      </w:r>
      <w:r w:rsidRPr="00A554B3">
        <w:rPr>
          <w:rFonts w:ascii="Arial Narrow" w:hAnsi="Arial Narrow"/>
        </w:rPr>
        <w:t xml:space="preserve"> Citado em P. M. Baldwin (1981) 15.</w:t>
      </w:r>
      <w:r>
        <w:rPr>
          <w:rFonts w:ascii="Arial Narrow" w:hAnsi="Arial Narrow"/>
        </w:rPr>
        <w:t xml:space="preserve"> A mesma tese foi defendida por </w:t>
      </w:r>
      <w:r w:rsidRPr="009C6EC5">
        <w:rPr>
          <w:rFonts w:ascii="Arial Narrow" w:hAnsi="Arial Narrow"/>
        </w:rPr>
        <w:t>D. Welch (2002) 139.</w:t>
      </w:r>
    </w:p>
  </w:footnote>
  <w:footnote w:id="750">
    <w:p w:rsidR="00392E0D" w:rsidRPr="00514685" w:rsidRDefault="00392E0D">
      <w:pPr>
        <w:pStyle w:val="Textodenotaderodap"/>
        <w:rPr>
          <w:rFonts w:ascii="Arial Narrow" w:hAnsi="Arial Narrow"/>
        </w:rPr>
      </w:pPr>
      <w:r w:rsidRPr="009D4DD5">
        <w:rPr>
          <w:rStyle w:val="Refdenotaderodap"/>
          <w:rFonts w:ascii="Arial Narrow" w:hAnsi="Arial Narrow"/>
        </w:rPr>
        <w:footnoteRef/>
      </w:r>
      <w:r w:rsidRPr="00514685">
        <w:rPr>
          <w:rFonts w:ascii="Arial Narrow" w:hAnsi="Arial Narrow"/>
        </w:rPr>
        <w:t xml:space="preserve"> R. Bessel (2010) </w:t>
      </w:r>
      <w:r w:rsidRPr="00514685">
        <w:rPr>
          <w:rFonts w:ascii="Arial Narrow" w:hAnsi="Arial Narrow"/>
          <w:i/>
        </w:rPr>
        <w:t>passim</w:t>
      </w:r>
      <w:r w:rsidRPr="00514685">
        <w:rPr>
          <w:rFonts w:ascii="Arial Narrow" w:hAnsi="Arial Narrow"/>
        </w:rPr>
        <w:t>.</w:t>
      </w:r>
    </w:p>
  </w:footnote>
  <w:footnote w:id="751">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B2463D">
        <w:rPr>
          <w:rFonts w:ascii="Arial Narrow" w:hAnsi="Arial Narrow"/>
          <w:lang w:val="de-DE"/>
        </w:rPr>
        <w:t xml:space="preserve"> A. Speer (1979) 533-535, 562, 574 e segs., 751 n. 10, 752 n. 3. </w:t>
      </w:r>
      <w:r w:rsidRPr="003E305A">
        <w:rPr>
          <w:rFonts w:ascii="Arial Narrow" w:hAnsi="Arial Narrow"/>
        </w:rPr>
        <w:t>Aliás, como é bem conhecido, Speer esforçou-se na prática por sabotar esta directiva de Hitler.</w:t>
      </w:r>
      <w:r>
        <w:rPr>
          <w:rFonts w:ascii="Arial Narrow" w:hAnsi="Arial Narrow"/>
        </w:rPr>
        <w:t xml:space="preserve"> Ver igualmente </w:t>
      </w:r>
      <w:r w:rsidRPr="00073073">
        <w:rPr>
          <w:rFonts w:ascii="Arial Narrow" w:hAnsi="Arial Narrow"/>
        </w:rPr>
        <w:t>J. C. Fest (1974) 1244, 1255 e 1258-1259.</w:t>
      </w:r>
      <w:r>
        <w:rPr>
          <w:rFonts w:ascii="Arial Narrow" w:hAnsi="Arial Narrow"/>
        </w:rPr>
        <w:t xml:space="preserve"> Curiosamente, um relatório elaborado pelos serviços secretos soviéticos pretendeu que </w:t>
      </w:r>
      <w:r w:rsidRPr="00F312CE">
        <w:rPr>
          <w:rFonts w:ascii="Arial Narrow" w:hAnsi="Arial Narrow"/>
        </w:rPr>
        <w:t>em Fevereiro de 1945 Hitler de</w:t>
      </w:r>
      <w:r>
        <w:rPr>
          <w:rFonts w:ascii="Arial Narrow" w:hAnsi="Arial Narrow"/>
        </w:rPr>
        <w:t>ra</w:t>
      </w:r>
      <w:r w:rsidRPr="00F312CE">
        <w:rPr>
          <w:rFonts w:ascii="Arial Narrow" w:hAnsi="Arial Narrow"/>
        </w:rPr>
        <w:t xml:space="preserve"> ordem a Speer para destruir tudo no leste do Reich, de modo a privar de meios de produção o Exército </w:t>
      </w:r>
      <w:r>
        <w:rPr>
          <w:rFonts w:ascii="Arial Narrow" w:hAnsi="Arial Narrow"/>
        </w:rPr>
        <w:t xml:space="preserve">Vermelho </w:t>
      </w:r>
      <w:r w:rsidRPr="00F312CE">
        <w:rPr>
          <w:rFonts w:ascii="Arial Narrow" w:hAnsi="Arial Narrow"/>
        </w:rPr>
        <w:t xml:space="preserve">invasor, e para concentrar a indústria no oeste do país. </w:t>
      </w:r>
      <w:r>
        <w:rPr>
          <w:rFonts w:ascii="Arial Narrow" w:hAnsi="Arial Narrow"/>
        </w:rPr>
        <w:t xml:space="preserve">Ver </w:t>
      </w:r>
      <w:r w:rsidRPr="00F312CE">
        <w:rPr>
          <w:rFonts w:ascii="Arial Narrow" w:hAnsi="Arial Narrow"/>
        </w:rPr>
        <w:t xml:space="preserve">H. Eberle et al. (org. 2005) </w:t>
      </w:r>
      <w:r>
        <w:rPr>
          <w:rFonts w:ascii="Arial Narrow" w:hAnsi="Arial Narrow"/>
        </w:rPr>
        <w:t>321.</w:t>
      </w:r>
    </w:p>
  </w:footnote>
  <w:footnote w:id="752">
    <w:p w:rsidR="00392E0D" w:rsidRPr="00073073" w:rsidRDefault="00392E0D">
      <w:pPr>
        <w:pStyle w:val="Textodenotaderodap"/>
        <w:rPr>
          <w:rFonts w:ascii="Arial Narrow" w:hAnsi="Arial Narrow"/>
        </w:rPr>
      </w:pPr>
      <w:r w:rsidRPr="00680DE5">
        <w:rPr>
          <w:rStyle w:val="Refdenotaderodap"/>
          <w:rFonts w:ascii="Arial Narrow" w:hAnsi="Arial Narrow"/>
        </w:rPr>
        <w:footnoteRef/>
      </w:r>
      <w:r w:rsidRPr="00073073">
        <w:rPr>
          <w:rFonts w:ascii="Arial Narrow" w:hAnsi="Arial Narrow"/>
        </w:rPr>
        <w:t xml:space="preserve"> J. C. Fest (1974) 910.</w:t>
      </w:r>
    </w:p>
  </w:footnote>
  <w:footnote w:id="753">
    <w:p w:rsidR="00392E0D" w:rsidRPr="00073073" w:rsidRDefault="00392E0D">
      <w:pPr>
        <w:pStyle w:val="Textodenotaderodap"/>
        <w:rPr>
          <w:rFonts w:ascii="Arial Narrow" w:hAnsi="Arial Narrow"/>
        </w:rPr>
      </w:pPr>
      <w:r w:rsidRPr="001B678A">
        <w:rPr>
          <w:rStyle w:val="Refdenotaderodap"/>
          <w:rFonts w:ascii="Arial Narrow" w:hAnsi="Arial Narrow"/>
        </w:rPr>
        <w:footnoteRef/>
      </w:r>
      <w:r w:rsidRPr="00073073">
        <w:rPr>
          <w:rFonts w:ascii="Arial Narrow" w:hAnsi="Arial Narrow"/>
        </w:rPr>
        <w:t xml:space="preserve"> G. MacDonogh (2009) 261-262.</w:t>
      </w:r>
    </w:p>
  </w:footnote>
  <w:footnote w:id="754">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«Todos podiam tomar à vontade chá, café, chocolate, com diferentes tipos de doces, tortas e pastéis e, para terminar, licores e conhaques»</w:t>
      </w:r>
      <w:r>
        <w:rPr>
          <w:rFonts w:ascii="Arial Narrow" w:hAnsi="Arial Narrow"/>
        </w:rPr>
        <w:t xml:space="preserve">, contou </w:t>
      </w:r>
      <w:r w:rsidRPr="00B2463D">
        <w:rPr>
          <w:rFonts w:ascii="Arial Narrow" w:hAnsi="Arial Narrow"/>
          <w:lang w:val="de-DE"/>
        </w:rPr>
        <w:t xml:space="preserve">A. Speer (1979) </w:t>
      </w:r>
      <w:r w:rsidRPr="003E305A">
        <w:rPr>
          <w:rFonts w:ascii="Arial Narrow" w:hAnsi="Arial Narrow"/>
        </w:rPr>
        <w:t>123. O Führer, como se sabe, além de vegetariano era abstémio, defeitos a que juntava a gula.</w:t>
      </w:r>
      <w:r>
        <w:rPr>
          <w:rFonts w:ascii="Arial Narrow" w:hAnsi="Arial Narrow"/>
        </w:rPr>
        <w:t xml:space="preserve"> Porém, o relatório dos serviços secretos soviéticos publicado em </w:t>
      </w:r>
      <w:r w:rsidRPr="005A37D2">
        <w:rPr>
          <w:rFonts w:ascii="Arial Narrow" w:hAnsi="Arial Narrow"/>
        </w:rPr>
        <w:t xml:space="preserve">H. Eberle et al. (org. 2005) </w:t>
      </w:r>
      <w:r>
        <w:rPr>
          <w:rFonts w:ascii="Arial Narrow" w:hAnsi="Arial Narrow"/>
        </w:rPr>
        <w:t xml:space="preserve">pretendeu (págs. 231, 236) que depois da derrota em Stalingrado ele passara a beber aguardente, conhaque e </w:t>
      </w:r>
      <w:r w:rsidRPr="0060201B">
        <w:rPr>
          <w:rFonts w:ascii="Arial Narrow" w:hAnsi="Arial Narrow"/>
          <w:i/>
        </w:rPr>
        <w:t>cocktails</w:t>
      </w:r>
      <w:r>
        <w:rPr>
          <w:rFonts w:ascii="Arial Narrow" w:hAnsi="Arial Narrow"/>
        </w:rPr>
        <w:t>. Quanto aos monólogos, alguém que falou com ele contou que «não era fácil guiar uma conversa em que participasse Hitler. Ele preferia o monólogo à discussão». Ver L. Degrelle (1949 b) 203.</w:t>
      </w:r>
    </w:p>
  </w:footnote>
  <w:footnote w:id="75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sidRPr="00B2463D">
        <w:rPr>
          <w:rFonts w:ascii="Arial Narrow" w:hAnsi="Arial Narrow"/>
          <w:lang w:val="de-DE"/>
        </w:rPr>
        <w:t xml:space="preserve">A. Speer (1979) </w:t>
      </w:r>
      <w:r w:rsidRPr="003E305A">
        <w:rPr>
          <w:rFonts w:ascii="Arial Narrow" w:hAnsi="Arial Narrow"/>
        </w:rPr>
        <w:t>132. Os russos brancos são, claro, os bielo-russos.</w:t>
      </w:r>
      <w:r>
        <w:rPr>
          <w:rFonts w:ascii="Arial Narrow" w:hAnsi="Arial Narrow"/>
        </w:rPr>
        <w:t xml:space="preserve"> Segundo um relatório dos serviços secretos soviéticos, Hitler disse pela primeira vez em Março de 1944 que os generais do Reich deviam aprender com os generais russos, um tema que repetiria com frequência nos meses seguintes. Ver </w:t>
      </w:r>
      <w:r w:rsidRPr="005A37D2">
        <w:rPr>
          <w:rFonts w:ascii="Arial Narrow" w:hAnsi="Arial Narrow"/>
        </w:rPr>
        <w:t>H. Eberle et al. (org. 2005)</w:t>
      </w:r>
      <w:r>
        <w:rPr>
          <w:rFonts w:ascii="Arial Narrow" w:hAnsi="Arial Narrow"/>
        </w:rPr>
        <w:t xml:space="preserve"> 243-244.</w:t>
      </w:r>
    </w:p>
  </w:footnote>
  <w:footnote w:id="756">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w:t>
      </w:r>
      <w:r w:rsidRPr="00B2463D">
        <w:rPr>
          <w:rFonts w:ascii="Arial Narrow" w:hAnsi="Arial Narrow"/>
          <w:lang w:val="de-DE"/>
        </w:rPr>
        <w:t xml:space="preserve">A. Speer (1979) </w:t>
      </w:r>
      <w:r w:rsidRPr="003E305A">
        <w:rPr>
          <w:rFonts w:ascii="Arial Narrow" w:hAnsi="Arial Narrow"/>
        </w:rPr>
        <w:t xml:space="preserve">578-579. </w:t>
      </w:r>
      <w:r w:rsidR="00E908DF">
        <w:rPr>
          <w:rFonts w:ascii="Arial Narrow" w:hAnsi="Arial Narrow"/>
        </w:rPr>
        <w:t xml:space="preserve">Albert </w:t>
      </w:r>
      <w:r w:rsidRPr="003E305A">
        <w:rPr>
          <w:rFonts w:ascii="Arial Narrow" w:hAnsi="Arial Narrow"/>
        </w:rPr>
        <w:t>Speer assegur</w:t>
      </w:r>
      <w:r>
        <w:rPr>
          <w:rFonts w:ascii="Arial Narrow" w:hAnsi="Arial Narrow"/>
        </w:rPr>
        <w:t>ou</w:t>
      </w:r>
      <w:r w:rsidRPr="003E305A">
        <w:rPr>
          <w:rFonts w:ascii="Arial Narrow" w:hAnsi="Arial Narrow"/>
        </w:rPr>
        <w:t xml:space="preserve"> a exactidão destas palavras, por motivos que explic</w:t>
      </w:r>
      <w:r>
        <w:rPr>
          <w:rFonts w:ascii="Arial Narrow" w:hAnsi="Arial Narrow"/>
        </w:rPr>
        <w:t>ou</w:t>
      </w:r>
      <w:r w:rsidRPr="003E305A">
        <w:rPr>
          <w:rFonts w:ascii="Arial Narrow" w:hAnsi="Arial Narrow"/>
        </w:rPr>
        <w:t xml:space="preserve"> </w:t>
      </w:r>
      <w:r>
        <w:rPr>
          <w:rFonts w:ascii="Arial Narrow" w:hAnsi="Arial Narrow"/>
        </w:rPr>
        <w:t>(</w:t>
      </w:r>
      <w:r w:rsidRPr="003E305A">
        <w:rPr>
          <w:rFonts w:ascii="Arial Narrow" w:hAnsi="Arial Narrow"/>
        </w:rPr>
        <w:t>págs. 750-751 n. 8</w:t>
      </w:r>
      <w:r>
        <w:rPr>
          <w:rFonts w:ascii="Arial Narrow" w:hAnsi="Arial Narrow"/>
        </w:rPr>
        <w:t>)</w:t>
      </w:r>
      <w:r w:rsidRPr="003E305A">
        <w:rPr>
          <w:rFonts w:ascii="Arial Narrow" w:hAnsi="Arial Narrow"/>
        </w:rPr>
        <w:t>. Ver igualmente A. Bullock (1972) 774-775</w:t>
      </w:r>
      <w:r>
        <w:rPr>
          <w:rFonts w:ascii="Arial Narrow" w:hAnsi="Arial Narrow"/>
        </w:rPr>
        <w:t xml:space="preserve"> e J. Noakes et al. (orgs. 2008-2010) IV 660</w:t>
      </w:r>
      <w:r w:rsidRPr="003E305A">
        <w:rPr>
          <w:rFonts w:ascii="Arial Narrow" w:hAnsi="Arial Narrow"/>
        </w:rPr>
        <w:t>. É muito curioso que na versão apresentada por H.-R. Trevor-Roper (1947) 105 se leia: «A nação [germânica] mostrou-se demasiado fraca e o futuro pertence apenas à mais forte das nações ocidentais». Eis os eslavos desprovidos do título! Aquele tema não se deveu inteiramente à imaginação do Führer e dava continuidade a uma preocupação já antiga entre os adeptos do racismo. Durante a primeira guerra mundial</w:t>
      </w:r>
      <w:r>
        <w:rPr>
          <w:rFonts w:ascii="Arial Narrow" w:hAnsi="Arial Narrow"/>
        </w:rPr>
        <w:t xml:space="preserve"> e os anos seguintes,</w:t>
      </w:r>
      <w:r w:rsidRPr="003E305A">
        <w:rPr>
          <w:rFonts w:ascii="Arial Narrow" w:hAnsi="Arial Narrow"/>
        </w:rPr>
        <w:t xml:space="preserve"> </w:t>
      </w:r>
      <w:r>
        <w:rPr>
          <w:rFonts w:ascii="Arial Narrow" w:hAnsi="Arial Narrow"/>
        </w:rPr>
        <w:t xml:space="preserve">a crer em </w:t>
      </w:r>
      <w:r w:rsidRPr="003E305A">
        <w:rPr>
          <w:rFonts w:ascii="Arial Narrow" w:hAnsi="Arial Narrow"/>
        </w:rPr>
        <w:t>E. Black (2003) 222-223</w:t>
      </w:r>
      <w:r>
        <w:rPr>
          <w:rFonts w:ascii="Arial Narrow" w:hAnsi="Arial Narrow"/>
        </w:rPr>
        <w:t xml:space="preserve"> e Sh. F. Weiss (2010) 38, 66, 171, 228, as </w:t>
      </w:r>
      <w:r w:rsidRPr="003E305A">
        <w:rPr>
          <w:rFonts w:ascii="Arial Narrow" w:hAnsi="Arial Narrow"/>
        </w:rPr>
        <w:t>figuras destacadas do movimento eugenista nos Estados Unidos</w:t>
      </w:r>
      <w:r>
        <w:rPr>
          <w:rFonts w:ascii="Arial Narrow" w:hAnsi="Arial Narrow"/>
        </w:rPr>
        <w:t>,</w:t>
      </w:r>
      <w:r w:rsidRPr="003E305A">
        <w:rPr>
          <w:rFonts w:ascii="Arial Narrow" w:hAnsi="Arial Narrow"/>
        </w:rPr>
        <w:t xml:space="preserve"> na Grã-Bretanha</w:t>
      </w:r>
      <w:r>
        <w:rPr>
          <w:rFonts w:ascii="Arial Narrow" w:hAnsi="Arial Narrow"/>
        </w:rPr>
        <w:t>,</w:t>
      </w:r>
      <w:r w:rsidRPr="003E305A">
        <w:rPr>
          <w:rFonts w:ascii="Arial Narrow" w:hAnsi="Arial Narrow"/>
        </w:rPr>
        <w:t xml:space="preserve"> </w:t>
      </w:r>
      <w:r>
        <w:rPr>
          <w:rFonts w:ascii="Arial Narrow" w:hAnsi="Arial Narrow"/>
        </w:rPr>
        <w:t xml:space="preserve">na Alemanha e noutros países beligerantes </w:t>
      </w:r>
      <w:r w:rsidRPr="003E305A">
        <w:rPr>
          <w:rFonts w:ascii="Arial Narrow" w:hAnsi="Arial Narrow"/>
        </w:rPr>
        <w:t xml:space="preserve">haviam prevenido que os melhores elementos biológicos estavam a morrer </w:t>
      </w:r>
      <w:r>
        <w:rPr>
          <w:rFonts w:ascii="Arial Narrow" w:hAnsi="Arial Narrow"/>
        </w:rPr>
        <w:t>massiv</w:t>
      </w:r>
      <w:r w:rsidRPr="003E305A">
        <w:rPr>
          <w:rFonts w:ascii="Arial Narrow" w:hAnsi="Arial Narrow"/>
        </w:rPr>
        <w:t>amente, deixando que sobrevivessem e se reproduzissem os enfermos e os cobardes</w:t>
      </w:r>
      <w:r>
        <w:rPr>
          <w:rFonts w:ascii="Arial Narrow" w:hAnsi="Arial Narrow"/>
        </w:rPr>
        <w:t>, o que daria à guerra um carácter disgenético</w:t>
      </w:r>
      <w:r w:rsidRPr="003E305A">
        <w:rPr>
          <w:rFonts w:ascii="Arial Narrow" w:hAnsi="Arial Narrow"/>
        </w:rPr>
        <w:t>. Esta conclusão era inesperada da parte de pessoas que consideravam que a luta garantia a sobrevivência dos mais aptos.</w:t>
      </w:r>
      <w:r>
        <w:rPr>
          <w:rFonts w:ascii="Arial Narrow" w:hAnsi="Arial Narrow"/>
        </w:rPr>
        <w:t xml:space="preserve"> Talvez devessem ter adoptado a sugestão de Ploetz, que, segundo </w:t>
      </w:r>
      <w:r w:rsidRPr="00A360E3">
        <w:rPr>
          <w:rFonts w:ascii="Arial Narrow" w:hAnsi="Arial Narrow"/>
        </w:rPr>
        <w:t xml:space="preserve">A. Quinchon-Caudal (2013) 30, </w:t>
      </w:r>
      <w:r>
        <w:rPr>
          <w:rFonts w:ascii="Arial Narrow" w:hAnsi="Arial Narrow"/>
        </w:rPr>
        <w:t xml:space="preserve">propunha o envio para a frente de batalha não dos homens mais valorosos, mas dos considerados inúteis para a sociedade. </w:t>
      </w:r>
      <w:r w:rsidR="00291415">
        <w:rPr>
          <w:rFonts w:ascii="Arial Narrow" w:hAnsi="Arial Narrow"/>
        </w:rPr>
        <w:t xml:space="preserve">Creio que o </w:t>
      </w:r>
      <w:r>
        <w:rPr>
          <w:rFonts w:ascii="Arial Narrow" w:hAnsi="Arial Narrow"/>
        </w:rPr>
        <w:t>objectivo dos pacifistas estaria alcançado se os exércitos de ambos os lados fossem unicamente recrutados entre os cobardes.</w:t>
      </w:r>
    </w:p>
  </w:footnote>
  <w:footnote w:id="757">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H.-R. Trevor-Roper (1947) 153-154.</w:t>
      </w:r>
    </w:p>
  </w:footnote>
  <w:footnote w:id="758">
    <w:p w:rsidR="00392E0D" w:rsidRPr="003E305A" w:rsidRDefault="00392E0D" w:rsidP="00321E01">
      <w:pPr>
        <w:pStyle w:val="Textodenotaderodap"/>
        <w:rPr>
          <w:rFonts w:ascii="Arial Narrow" w:hAnsi="Arial Narrow"/>
          <w:lang w:val="en-GB"/>
        </w:rPr>
      </w:pPr>
      <w:r w:rsidRPr="003E305A">
        <w:rPr>
          <w:rStyle w:val="Refdenotaderodap"/>
          <w:rFonts w:ascii="Arial Narrow" w:hAnsi="Arial Narrow"/>
        </w:rPr>
        <w:footnoteRef/>
      </w:r>
      <w:r w:rsidRPr="003E305A">
        <w:rPr>
          <w:rFonts w:ascii="Arial Narrow" w:hAnsi="Arial Narrow"/>
          <w:lang w:val="en-GB"/>
        </w:rPr>
        <w:t xml:space="preserve"> A. Bullock (1972) 794-795; </w:t>
      </w:r>
      <w:r>
        <w:rPr>
          <w:rFonts w:ascii="Arial Narrow" w:hAnsi="Arial Narrow"/>
          <w:lang w:val="en-GB"/>
        </w:rPr>
        <w:t xml:space="preserve">J. Noakes et al. (orgs. 2008-2010) IV 668-670; </w:t>
      </w:r>
      <w:r w:rsidRPr="003E305A">
        <w:rPr>
          <w:rFonts w:ascii="Arial Narrow" w:hAnsi="Arial Narrow"/>
          <w:lang w:val="en-GB"/>
        </w:rPr>
        <w:t>W. L. Shirer (1995) II 549.</w:t>
      </w:r>
    </w:p>
  </w:footnote>
  <w:footnote w:id="759">
    <w:p w:rsidR="00392E0D" w:rsidRPr="00321E01" w:rsidRDefault="00392E0D" w:rsidP="00321E01">
      <w:pPr>
        <w:pStyle w:val="Textodenotaderodap"/>
        <w:rPr>
          <w:rFonts w:ascii="Arial Narrow" w:hAnsi="Arial Narrow"/>
        </w:rPr>
      </w:pPr>
      <w:r w:rsidRPr="003E305A">
        <w:rPr>
          <w:rStyle w:val="Refdenotaderodap"/>
          <w:rFonts w:ascii="Arial Narrow" w:hAnsi="Arial Narrow"/>
        </w:rPr>
        <w:footnoteRef/>
      </w:r>
      <w:r w:rsidRPr="00321E01">
        <w:rPr>
          <w:rFonts w:ascii="Arial Narrow" w:hAnsi="Arial Narrow"/>
        </w:rPr>
        <w:t xml:space="preserve"> H.-R. Trevor-Roper (1947) 95.</w:t>
      </w:r>
    </w:p>
  </w:footnote>
  <w:footnote w:id="760">
    <w:p w:rsidR="00392E0D" w:rsidRPr="00416B78" w:rsidRDefault="00392E0D">
      <w:pPr>
        <w:pStyle w:val="Textodenotaderodap"/>
        <w:rPr>
          <w:rFonts w:ascii="Arial Narrow" w:hAnsi="Arial Narrow"/>
        </w:rPr>
      </w:pPr>
      <w:r w:rsidRPr="00416B78">
        <w:rPr>
          <w:rStyle w:val="Refdenotaderodap"/>
          <w:rFonts w:ascii="Arial Narrow" w:hAnsi="Arial Narrow"/>
        </w:rPr>
        <w:footnoteRef/>
      </w:r>
      <w:r w:rsidRPr="00416B78">
        <w:rPr>
          <w:rFonts w:ascii="Arial Narrow" w:hAnsi="Arial Narrow"/>
        </w:rPr>
        <w:t xml:space="preserve"> </w:t>
      </w:r>
      <w:r>
        <w:rPr>
          <w:rFonts w:ascii="Arial Narrow" w:hAnsi="Arial Narrow"/>
        </w:rPr>
        <w:t xml:space="preserve">Citado em </w:t>
      </w:r>
      <w:r w:rsidRPr="00416B78">
        <w:rPr>
          <w:rFonts w:ascii="Arial Narrow" w:hAnsi="Arial Narrow"/>
        </w:rPr>
        <w:t>A. Tooze (2006)</w:t>
      </w:r>
      <w:r>
        <w:rPr>
          <w:rFonts w:ascii="Arial Narrow" w:hAnsi="Arial Narrow"/>
        </w:rPr>
        <w:t xml:space="preserve"> 220.</w:t>
      </w:r>
    </w:p>
  </w:footnote>
  <w:footnote w:id="761">
    <w:p w:rsidR="00392E0D" w:rsidRPr="003E305A" w:rsidRDefault="00392E0D" w:rsidP="000C6DC8">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Speer (1979) 226.</w:t>
      </w:r>
    </w:p>
  </w:footnote>
  <w:footnote w:id="762">
    <w:p w:rsidR="00392E0D" w:rsidRPr="004A4D5E" w:rsidRDefault="00392E0D" w:rsidP="000C6DC8">
      <w:pPr>
        <w:pStyle w:val="Textodenotaderodap"/>
        <w:rPr>
          <w:rFonts w:ascii="Arial Narrow" w:hAnsi="Arial Narrow"/>
        </w:rPr>
      </w:pPr>
      <w:r w:rsidRPr="004A4D5E">
        <w:rPr>
          <w:rStyle w:val="Refdenotaderodap"/>
          <w:rFonts w:ascii="Arial Narrow" w:hAnsi="Arial Narrow"/>
        </w:rPr>
        <w:footnoteRef/>
      </w:r>
      <w:r w:rsidRPr="004A4D5E">
        <w:rPr>
          <w:rFonts w:ascii="Arial Narrow" w:hAnsi="Arial Narrow"/>
        </w:rPr>
        <w:t xml:space="preserve"> </w:t>
      </w:r>
      <w:r>
        <w:rPr>
          <w:rFonts w:ascii="Arial Narrow" w:hAnsi="Arial Narrow"/>
        </w:rPr>
        <w:t xml:space="preserve">Citado em </w:t>
      </w:r>
      <w:r w:rsidRPr="00D578DB">
        <w:rPr>
          <w:rFonts w:ascii="Arial Narrow" w:hAnsi="Arial Narrow"/>
        </w:rPr>
        <w:t xml:space="preserve">J. C. Fest (1974) </w:t>
      </w:r>
      <w:r>
        <w:rPr>
          <w:rFonts w:ascii="Arial Narrow" w:hAnsi="Arial Narrow"/>
        </w:rPr>
        <w:t>1124 e S. Haffner (2011) 117, 155. Ver também, neste último autor, a pág. 140.</w:t>
      </w:r>
    </w:p>
  </w:footnote>
  <w:footnote w:id="763">
    <w:p w:rsidR="00392E0D" w:rsidRPr="00B622B5" w:rsidRDefault="00392E0D">
      <w:pPr>
        <w:pStyle w:val="Textodenotaderodap"/>
        <w:rPr>
          <w:rFonts w:ascii="Arial Narrow" w:hAnsi="Arial Narrow"/>
        </w:rPr>
      </w:pPr>
      <w:r w:rsidRPr="00B622B5">
        <w:rPr>
          <w:rStyle w:val="Refdenotaderodap"/>
          <w:rFonts w:ascii="Arial Narrow" w:hAnsi="Arial Narrow"/>
        </w:rPr>
        <w:footnoteRef/>
      </w:r>
      <w:r w:rsidRPr="00B622B5">
        <w:rPr>
          <w:rFonts w:ascii="Arial Narrow" w:hAnsi="Arial Narrow"/>
        </w:rPr>
        <w:t xml:space="preserve"> </w:t>
      </w:r>
      <w:r>
        <w:rPr>
          <w:rFonts w:ascii="Arial Narrow" w:hAnsi="Arial Narrow"/>
        </w:rPr>
        <w:t xml:space="preserve">Citado em </w:t>
      </w:r>
      <w:r w:rsidRPr="00B622B5">
        <w:rPr>
          <w:rFonts w:ascii="Arial Narrow" w:hAnsi="Arial Narrow"/>
        </w:rPr>
        <w:t>A. Tooze (2006)</w:t>
      </w:r>
      <w:r>
        <w:rPr>
          <w:rFonts w:ascii="Arial Narrow" w:hAnsi="Arial Narrow"/>
        </w:rPr>
        <w:t xml:space="preserve"> 503.</w:t>
      </w:r>
    </w:p>
  </w:footnote>
  <w:footnote w:id="764">
    <w:p w:rsidR="00392E0D" w:rsidRPr="00822575" w:rsidRDefault="00392E0D" w:rsidP="00AB4120">
      <w:pPr>
        <w:pStyle w:val="Textodenotaderodap"/>
        <w:rPr>
          <w:rFonts w:ascii="Arial Narrow" w:hAnsi="Arial Narrow"/>
        </w:rPr>
      </w:pPr>
      <w:r w:rsidRPr="00822575">
        <w:rPr>
          <w:rStyle w:val="Refdenotaderodap"/>
          <w:rFonts w:ascii="Arial Narrow" w:hAnsi="Arial Narrow"/>
        </w:rPr>
        <w:footnoteRef/>
      </w:r>
      <w:r w:rsidRPr="00822575">
        <w:rPr>
          <w:rFonts w:ascii="Arial Narrow" w:hAnsi="Arial Narrow"/>
        </w:rPr>
        <w:t xml:space="preserve"> </w:t>
      </w:r>
      <w:r>
        <w:rPr>
          <w:rFonts w:ascii="Arial Narrow" w:hAnsi="Arial Narrow"/>
        </w:rPr>
        <w:t>Citado em M. Gilbert (2011 b) II 467.</w:t>
      </w:r>
    </w:p>
  </w:footnote>
  <w:footnote w:id="765">
    <w:p w:rsidR="00392E0D" w:rsidRPr="003E305A" w:rsidRDefault="00392E0D" w:rsidP="00321E01">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Citado em A. Speer (1979) 521. Ver igualmente H.-R. Trevor-Roper (1947) 63.</w:t>
      </w:r>
    </w:p>
  </w:footnote>
  <w:footnote w:id="766">
    <w:p w:rsidR="00392E0D" w:rsidRPr="003937D9" w:rsidRDefault="00392E0D" w:rsidP="00321E01">
      <w:pPr>
        <w:pStyle w:val="Textodenotaderodap"/>
        <w:rPr>
          <w:rFonts w:ascii="Arial Narrow" w:hAnsi="Arial Narrow"/>
        </w:rPr>
      </w:pPr>
      <w:r w:rsidRPr="003937D9">
        <w:rPr>
          <w:rStyle w:val="Refdenotaderodap"/>
          <w:rFonts w:ascii="Arial Narrow" w:hAnsi="Arial Narrow"/>
        </w:rPr>
        <w:footnoteRef/>
      </w:r>
      <w:r w:rsidRPr="003937D9">
        <w:rPr>
          <w:rFonts w:ascii="Arial Narrow" w:hAnsi="Arial Narrow"/>
        </w:rPr>
        <w:t xml:space="preserve"> </w:t>
      </w:r>
      <w:r>
        <w:rPr>
          <w:rFonts w:ascii="Arial Narrow" w:hAnsi="Arial Narrow"/>
        </w:rPr>
        <w:t>H. G. Dahms (1968) II 375.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E0D" w:rsidRDefault="00392E0D"/>
  <w:p w:rsidR="00392E0D" w:rsidRDefault="00392E0D"/>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321E01"/>
    <w:rsid w:val="00000719"/>
    <w:rsid w:val="00001110"/>
    <w:rsid w:val="000011E3"/>
    <w:rsid w:val="000018AB"/>
    <w:rsid w:val="00001963"/>
    <w:rsid w:val="00001E0D"/>
    <w:rsid w:val="000024BD"/>
    <w:rsid w:val="000027B5"/>
    <w:rsid w:val="00002871"/>
    <w:rsid w:val="00003E22"/>
    <w:rsid w:val="0000521C"/>
    <w:rsid w:val="00006020"/>
    <w:rsid w:val="000061E2"/>
    <w:rsid w:val="00007C6E"/>
    <w:rsid w:val="00007CB3"/>
    <w:rsid w:val="00007DB0"/>
    <w:rsid w:val="000103F3"/>
    <w:rsid w:val="000107D5"/>
    <w:rsid w:val="00010898"/>
    <w:rsid w:val="00010A18"/>
    <w:rsid w:val="00010C3D"/>
    <w:rsid w:val="00011ADC"/>
    <w:rsid w:val="00011D53"/>
    <w:rsid w:val="00012612"/>
    <w:rsid w:val="00012CEA"/>
    <w:rsid w:val="0001400D"/>
    <w:rsid w:val="000158BA"/>
    <w:rsid w:val="00015A78"/>
    <w:rsid w:val="00015B5B"/>
    <w:rsid w:val="00015D43"/>
    <w:rsid w:val="000173A3"/>
    <w:rsid w:val="00017827"/>
    <w:rsid w:val="00020321"/>
    <w:rsid w:val="000214C7"/>
    <w:rsid w:val="00022364"/>
    <w:rsid w:val="00023CDC"/>
    <w:rsid w:val="00023D1B"/>
    <w:rsid w:val="000243B3"/>
    <w:rsid w:val="00024788"/>
    <w:rsid w:val="00025BD1"/>
    <w:rsid w:val="00025BE8"/>
    <w:rsid w:val="00026077"/>
    <w:rsid w:val="00026595"/>
    <w:rsid w:val="00026E9F"/>
    <w:rsid w:val="0002700E"/>
    <w:rsid w:val="00027903"/>
    <w:rsid w:val="00027D95"/>
    <w:rsid w:val="000302FC"/>
    <w:rsid w:val="0003040C"/>
    <w:rsid w:val="00030869"/>
    <w:rsid w:val="0003161D"/>
    <w:rsid w:val="000326C2"/>
    <w:rsid w:val="00033187"/>
    <w:rsid w:val="00035656"/>
    <w:rsid w:val="00035834"/>
    <w:rsid w:val="000359FF"/>
    <w:rsid w:val="0003612B"/>
    <w:rsid w:val="000367E9"/>
    <w:rsid w:val="00037753"/>
    <w:rsid w:val="00037E2D"/>
    <w:rsid w:val="000400AD"/>
    <w:rsid w:val="00040E07"/>
    <w:rsid w:val="00041276"/>
    <w:rsid w:val="000414D7"/>
    <w:rsid w:val="0004175C"/>
    <w:rsid w:val="00041E68"/>
    <w:rsid w:val="0004209D"/>
    <w:rsid w:val="000421C9"/>
    <w:rsid w:val="00042A9B"/>
    <w:rsid w:val="00042C5D"/>
    <w:rsid w:val="00042D54"/>
    <w:rsid w:val="00042D63"/>
    <w:rsid w:val="000432C1"/>
    <w:rsid w:val="00043BD6"/>
    <w:rsid w:val="00043DD4"/>
    <w:rsid w:val="000445A6"/>
    <w:rsid w:val="000448CB"/>
    <w:rsid w:val="00044CDE"/>
    <w:rsid w:val="0004604D"/>
    <w:rsid w:val="0004605E"/>
    <w:rsid w:val="0004619A"/>
    <w:rsid w:val="0004641E"/>
    <w:rsid w:val="00046BA5"/>
    <w:rsid w:val="00046FCB"/>
    <w:rsid w:val="00047055"/>
    <w:rsid w:val="00047FE5"/>
    <w:rsid w:val="00050EC3"/>
    <w:rsid w:val="00050FFD"/>
    <w:rsid w:val="000512AF"/>
    <w:rsid w:val="00051384"/>
    <w:rsid w:val="0005152B"/>
    <w:rsid w:val="00051899"/>
    <w:rsid w:val="00051A24"/>
    <w:rsid w:val="00052680"/>
    <w:rsid w:val="00052948"/>
    <w:rsid w:val="00054895"/>
    <w:rsid w:val="000549DD"/>
    <w:rsid w:val="00055140"/>
    <w:rsid w:val="00055EFD"/>
    <w:rsid w:val="00055F66"/>
    <w:rsid w:val="00056786"/>
    <w:rsid w:val="000570B6"/>
    <w:rsid w:val="000577B0"/>
    <w:rsid w:val="000579D7"/>
    <w:rsid w:val="0006065C"/>
    <w:rsid w:val="000608D5"/>
    <w:rsid w:val="00060FD0"/>
    <w:rsid w:val="00061249"/>
    <w:rsid w:val="0006175A"/>
    <w:rsid w:val="000625A4"/>
    <w:rsid w:val="00062EE5"/>
    <w:rsid w:val="000632B2"/>
    <w:rsid w:val="000633C1"/>
    <w:rsid w:val="000634EA"/>
    <w:rsid w:val="00063AC4"/>
    <w:rsid w:val="00063B5F"/>
    <w:rsid w:val="000648A8"/>
    <w:rsid w:val="00064BDA"/>
    <w:rsid w:val="00065240"/>
    <w:rsid w:val="000652C4"/>
    <w:rsid w:val="000657FB"/>
    <w:rsid w:val="0006676B"/>
    <w:rsid w:val="00066895"/>
    <w:rsid w:val="000671AE"/>
    <w:rsid w:val="00067875"/>
    <w:rsid w:val="00067B3E"/>
    <w:rsid w:val="00070519"/>
    <w:rsid w:val="00070641"/>
    <w:rsid w:val="00071224"/>
    <w:rsid w:val="00071294"/>
    <w:rsid w:val="0007196C"/>
    <w:rsid w:val="0007218E"/>
    <w:rsid w:val="0007231B"/>
    <w:rsid w:val="00072A40"/>
    <w:rsid w:val="00072AFB"/>
    <w:rsid w:val="00073073"/>
    <w:rsid w:val="0007333B"/>
    <w:rsid w:val="00073568"/>
    <w:rsid w:val="0007395C"/>
    <w:rsid w:val="00074CBD"/>
    <w:rsid w:val="000758B0"/>
    <w:rsid w:val="00075F53"/>
    <w:rsid w:val="00076892"/>
    <w:rsid w:val="00076DFC"/>
    <w:rsid w:val="000771F9"/>
    <w:rsid w:val="00077396"/>
    <w:rsid w:val="00077BB5"/>
    <w:rsid w:val="00081157"/>
    <w:rsid w:val="000813DB"/>
    <w:rsid w:val="00081829"/>
    <w:rsid w:val="000829E7"/>
    <w:rsid w:val="00082F0F"/>
    <w:rsid w:val="000830E9"/>
    <w:rsid w:val="00083858"/>
    <w:rsid w:val="00083AAE"/>
    <w:rsid w:val="000847B5"/>
    <w:rsid w:val="0008553F"/>
    <w:rsid w:val="00085699"/>
    <w:rsid w:val="00086DB2"/>
    <w:rsid w:val="00086FAD"/>
    <w:rsid w:val="000874EA"/>
    <w:rsid w:val="000878D5"/>
    <w:rsid w:val="00087E8A"/>
    <w:rsid w:val="000907B0"/>
    <w:rsid w:val="00090C02"/>
    <w:rsid w:val="00091060"/>
    <w:rsid w:val="00091125"/>
    <w:rsid w:val="0009143F"/>
    <w:rsid w:val="0009188F"/>
    <w:rsid w:val="00091A3B"/>
    <w:rsid w:val="00091CDF"/>
    <w:rsid w:val="000931C0"/>
    <w:rsid w:val="00093286"/>
    <w:rsid w:val="000934B6"/>
    <w:rsid w:val="00094468"/>
    <w:rsid w:val="00095388"/>
    <w:rsid w:val="000953D5"/>
    <w:rsid w:val="000955E7"/>
    <w:rsid w:val="000960AA"/>
    <w:rsid w:val="00096130"/>
    <w:rsid w:val="000962CC"/>
    <w:rsid w:val="00096378"/>
    <w:rsid w:val="00096C87"/>
    <w:rsid w:val="00096E44"/>
    <w:rsid w:val="000975B5"/>
    <w:rsid w:val="000978D1"/>
    <w:rsid w:val="00097D1E"/>
    <w:rsid w:val="000A04C6"/>
    <w:rsid w:val="000A07ED"/>
    <w:rsid w:val="000A0B28"/>
    <w:rsid w:val="000A14A1"/>
    <w:rsid w:val="000A1583"/>
    <w:rsid w:val="000A1BDC"/>
    <w:rsid w:val="000A1CF6"/>
    <w:rsid w:val="000A2012"/>
    <w:rsid w:val="000A2A99"/>
    <w:rsid w:val="000A2C56"/>
    <w:rsid w:val="000A3962"/>
    <w:rsid w:val="000A3DC9"/>
    <w:rsid w:val="000A459B"/>
    <w:rsid w:val="000A4B57"/>
    <w:rsid w:val="000A58F4"/>
    <w:rsid w:val="000A616B"/>
    <w:rsid w:val="000A6203"/>
    <w:rsid w:val="000A62F1"/>
    <w:rsid w:val="000A6467"/>
    <w:rsid w:val="000A6569"/>
    <w:rsid w:val="000B0C68"/>
    <w:rsid w:val="000B0C93"/>
    <w:rsid w:val="000B19BC"/>
    <w:rsid w:val="000B1D68"/>
    <w:rsid w:val="000B1FAC"/>
    <w:rsid w:val="000B1FDE"/>
    <w:rsid w:val="000B219F"/>
    <w:rsid w:val="000B35D7"/>
    <w:rsid w:val="000B38D6"/>
    <w:rsid w:val="000B3A3A"/>
    <w:rsid w:val="000B4207"/>
    <w:rsid w:val="000B42A1"/>
    <w:rsid w:val="000B43C7"/>
    <w:rsid w:val="000B54FE"/>
    <w:rsid w:val="000B5533"/>
    <w:rsid w:val="000B58C2"/>
    <w:rsid w:val="000B60C5"/>
    <w:rsid w:val="000B629E"/>
    <w:rsid w:val="000B6A39"/>
    <w:rsid w:val="000B6B25"/>
    <w:rsid w:val="000B7BB2"/>
    <w:rsid w:val="000B7BDB"/>
    <w:rsid w:val="000C0211"/>
    <w:rsid w:val="000C0988"/>
    <w:rsid w:val="000C14F0"/>
    <w:rsid w:val="000C1701"/>
    <w:rsid w:val="000C200E"/>
    <w:rsid w:val="000C206E"/>
    <w:rsid w:val="000C23DE"/>
    <w:rsid w:val="000C271A"/>
    <w:rsid w:val="000C29D9"/>
    <w:rsid w:val="000C2EAB"/>
    <w:rsid w:val="000C389F"/>
    <w:rsid w:val="000C3989"/>
    <w:rsid w:val="000C533B"/>
    <w:rsid w:val="000C5F62"/>
    <w:rsid w:val="000C607D"/>
    <w:rsid w:val="000C6109"/>
    <w:rsid w:val="000C6131"/>
    <w:rsid w:val="000C633D"/>
    <w:rsid w:val="000C675A"/>
    <w:rsid w:val="000C6DC8"/>
    <w:rsid w:val="000C6E31"/>
    <w:rsid w:val="000C7188"/>
    <w:rsid w:val="000C72AE"/>
    <w:rsid w:val="000D084D"/>
    <w:rsid w:val="000D0F49"/>
    <w:rsid w:val="000D1D9E"/>
    <w:rsid w:val="000D2845"/>
    <w:rsid w:val="000D28A1"/>
    <w:rsid w:val="000D2C39"/>
    <w:rsid w:val="000D3F62"/>
    <w:rsid w:val="000D4AF6"/>
    <w:rsid w:val="000D4C0B"/>
    <w:rsid w:val="000D50FD"/>
    <w:rsid w:val="000D5694"/>
    <w:rsid w:val="000D5EBF"/>
    <w:rsid w:val="000D649B"/>
    <w:rsid w:val="000D670F"/>
    <w:rsid w:val="000D7BB5"/>
    <w:rsid w:val="000E0B76"/>
    <w:rsid w:val="000E1D86"/>
    <w:rsid w:val="000E1E79"/>
    <w:rsid w:val="000E21AF"/>
    <w:rsid w:val="000E23D8"/>
    <w:rsid w:val="000E2E60"/>
    <w:rsid w:val="000E3810"/>
    <w:rsid w:val="000E40ED"/>
    <w:rsid w:val="000E4BDB"/>
    <w:rsid w:val="000E4DB7"/>
    <w:rsid w:val="000E5276"/>
    <w:rsid w:val="000E582B"/>
    <w:rsid w:val="000E5932"/>
    <w:rsid w:val="000E5968"/>
    <w:rsid w:val="000E5CE0"/>
    <w:rsid w:val="000E64AC"/>
    <w:rsid w:val="000E64B7"/>
    <w:rsid w:val="000E7521"/>
    <w:rsid w:val="000F027E"/>
    <w:rsid w:val="000F079D"/>
    <w:rsid w:val="000F07E9"/>
    <w:rsid w:val="000F08BE"/>
    <w:rsid w:val="000F0E52"/>
    <w:rsid w:val="000F1F3E"/>
    <w:rsid w:val="000F2066"/>
    <w:rsid w:val="000F255D"/>
    <w:rsid w:val="000F26B2"/>
    <w:rsid w:val="000F3026"/>
    <w:rsid w:val="000F4B72"/>
    <w:rsid w:val="000F4F88"/>
    <w:rsid w:val="000F5F6D"/>
    <w:rsid w:val="000F6495"/>
    <w:rsid w:val="000F691E"/>
    <w:rsid w:val="000F7047"/>
    <w:rsid w:val="000F7B1B"/>
    <w:rsid w:val="000F7D29"/>
    <w:rsid w:val="000F7E0F"/>
    <w:rsid w:val="000F7EED"/>
    <w:rsid w:val="001001B7"/>
    <w:rsid w:val="0010091B"/>
    <w:rsid w:val="00100B49"/>
    <w:rsid w:val="00100F5D"/>
    <w:rsid w:val="0010345E"/>
    <w:rsid w:val="001037AD"/>
    <w:rsid w:val="001044BC"/>
    <w:rsid w:val="0010470B"/>
    <w:rsid w:val="00104C2A"/>
    <w:rsid w:val="00104EF4"/>
    <w:rsid w:val="00104FC3"/>
    <w:rsid w:val="00105577"/>
    <w:rsid w:val="00105651"/>
    <w:rsid w:val="0011006E"/>
    <w:rsid w:val="0011177E"/>
    <w:rsid w:val="0011440C"/>
    <w:rsid w:val="001151F1"/>
    <w:rsid w:val="001156F6"/>
    <w:rsid w:val="00116DE5"/>
    <w:rsid w:val="00116EA9"/>
    <w:rsid w:val="00117074"/>
    <w:rsid w:val="0011739A"/>
    <w:rsid w:val="00117871"/>
    <w:rsid w:val="0011792C"/>
    <w:rsid w:val="00117CBE"/>
    <w:rsid w:val="00120146"/>
    <w:rsid w:val="00120657"/>
    <w:rsid w:val="001208C5"/>
    <w:rsid w:val="00120EFD"/>
    <w:rsid w:val="00122844"/>
    <w:rsid w:val="00122C8A"/>
    <w:rsid w:val="00123053"/>
    <w:rsid w:val="0012543A"/>
    <w:rsid w:val="00125C5A"/>
    <w:rsid w:val="00126248"/>
    <w:rsid w:val="00126549"/>
    <w:rsid w:val="00126950"/>
    <w:rsid w:val="00126AC8"/>
    <w:rsid w:val="00126B4B"/>
    <w:rsid w:val="001273A9"/>
    <w:rsid w:val="00127DC9"/>
    <w:rsid w:val="00127EE6"/>
    <w:rsid w:val="00130D4D"/>
    <w:rsid w:val="001310D7"/>
    <w:rsid w:val="00131231"/>
    <w:rsid w:val="0013210B"/>
    <w:rsid w:val="001327BB"/>
    <w:rsid w:val="00133E72"/>
    <w:rsid w:val="00133ED6"/>
    <w:rsid w:val="0013417E"/>
    <w:rsid w:val="00134209"/>
    <w:rsid w:val="00134DF3"/>
    <w:rsid w:val="00135095"/>
    <w:rsid w:val="00135839"/>
    <w:rsid w:val="001359C2"/>
    <w:rsid w:val="00135A3D"/>
    <w:rsid w:val="00135A92"/>
    <w:rsid w:val="0013610C"/>
    <w:rsid w:val="00136836"/>
    <w:rsid w:val="00137752"/>
    <w:rsid w:val="00137806"/>
    <w:rsid w:val="00141F03"/>
    <w:rsid w:val="0014305A"/>
    <w:rsid w:val="001431BA"/>
    <w:rsid w:val="001432FE"/>
    <w:rsid w:val="001435C5"/>
    <w:rsid w:val="00143BF6"/>
    <w:rsid w:val="00143D2A"/>
    <w:rsid w:val="00144A3B"/>
    <w:rsid w:val="00144FFB"/>
    <w:rsid w:val="00146410"/>
    <w:rsid w:val="001475D9"/>
    <w:rsid w:val="00147B59"/>
    <w:rsid w:val="00150677"/>
    <w:rsid w:val="00150AAC"/>
    <w:rsid w:val="00150CD8"/>
    <w:rsid w:val="00151FFD"/>
    <w:rsid w:val="00152747"/>
    <w:rsid w:val="00152D5E"/>
    <w:rsid w:val="00153129"/>
    <w:rsid w:val="001534E2"/>
    <w:rsid w:val="00153AD5"/>
    <w:rsid w:val="00153F06"/>
    <w:rsid w:val="00153F10"/>
    <w:rsid w:val="001559A8"/>
    <w:rsid w:val="00156B9A"/>
    <w:rsid w:val="00157B3B"/>
    <w:rsid w:val="00157DEF"/>
    <w:rsid w:val="00157FBC"/>
    <w:rsid w:val="001617AE"/>
    <w:rsid w:val="00161F3E"/>
    <w:rsid w:val="00163059"/>
    <w:rsid w:val="00164738"/>
    <w:rsid w:val="0016574F"/>
    <w:rsid w:val="001663F7"/>
    <w:rsid w:val="00166C86"/>
    <w:rsid w:val="00166FD8"/>
    <w:rsid w:val="001675A0"/>
    <w:rsid w:val="00167F62"/>
    <w:rsid w:val="00170529"/>
    <w:rsid w:val="0017072C"/>
    <w:rsid w:val="001707C9"/>
    <w:rsid w:val="00170C91"/>
    <w:rsid w:val="00170CA0"/>
    <w:rsid w:val="00171039"/>
    <w:rsid w:val="001713FB"/>
    <w:rsid w:val="00171696"/>
    <w:rsid w:val="00171804"/>
    <w:rsid w:val="0017182C"/>
    <w:rsid w:val="001719A0"/>
    <w:rsid w:val="00171A11"/>
    <w:rsid w:val="00172076"/>
    <w:rsid w:val="0017209E"/>
    <w:rsid w:val="00172185"/>
    <w:rsid w:val="001729F4"/>
    <w:rsid w:val="001738A9"/>
    <w:rsid w:val="00173B61"/>
    <w:rsid w:val="00173BED"/>
    <w:rsid w:val="00173E8D"/>
    <w:rsid w:val="001741E8"/>
    <w:rsid w:val="0017421B"/>
    <w:rsid w:val="00174762"/>
    <w:rsid w:val="00175380"/>
    <w:rsid w:val="00175EAD"/>
    <w:rsid w:val="00176AA0"/>
    <w:rsid w:val="00176BC8"/>
    <w:rsid w:val="00176C4A"/>
    <w:rsid w:val="00177832"/>
    <w:rsid w:val="00177DB7"/>
    <w:rsid w:val="0018054B"/>
    <w:rsid w:val="00180C96"/>
    <w:rsid w:val="00180E96"/>
    <w:rsid w:val="0018113D"/>
    <w:rsid w:val="0018182C"/>
    <w:rsid w:val="00181E26"/>
    <w:rsid w:val="001825D8"/>
    <w:rsid w:val="00185513"/>
    <w:rsid w:val="001855A3"/>
    <w:rsid w:val="001855C4"/>
    <w:rsid w:val="00190486"/>
    <w:rsid w:val="00190A03"/>
    <w:rsid w:val="001911A6"/>
    <w:rsid w:val="001916B9"/>
    <w:rsid w:val="00192A28"/>
    <w:rsid w:val="00192CE9"/>
    <w:rsid w:val="0019471E"/>
    <w:rsid w:val="0019476C"/>
    <w:rsid w:val="00195208"/>
    <w:rsid w:val="00195B7D"/>
    <w:rsid w:val="00195D48"/>
    <w:rsid w:val="00196537"/>
    <w:rsid w:val="00196A14"/>
    <w:rsid w:val="001973DD"/>
    <w:rsid w:val="00197488"/>
    <w:rsid w:val="00197D04"/>
    <w:rsid w:val="00197D42"/>
    <w:rsid w:val="001A00BB"/>
    <w:rsid w:val="001A01AE"/>
    <w:rsid w:val="001A02A4"/>
    <w:rsid w:val="001A0427"/>
    <w:rsid w:val="001A04E5"/>
    <w:rsid w:val="001A0631"/>
    <w:rsid w:val="001A18D7"/>
    <w:rsid w:val="001A2022"/>
    <w:rsid w:val="001A2109"/>
    <w:rsid w:val="001A2C52"/>
    <w:rsid w:val="001A3CC3"/>
    <w:rsid w:val="001A3E09"/>
    <w:rsid w:val="001A43DE"/>
    <w:rsid w:val="001A44B3"/>
    <w:rsid w:val="001A4C2E"/>
    <w:rsid w:val="001A4CD7"/>
    <w:rsid w:val="001A50EF"/>
    <w:rsid w:val="001A55F6"/>
    <w:rsid w:val="001A6C09"/>
    <w:rsid w:val="001A78AC"/>
    <w:rsid w:val="001B0F7C"/>
    <w:rsid w:val="001B10AF"/>
    <w:rsid w:val="001B206A"/>
    <w:rsid w:val="001B2253"/>
    <w:rsid w:val="001B2C19"/>
    <w:rsid w:val="001B36CC"/>
    <w:rsid w:val="001B4025"/>
    <w:rsid w:val="001B42A6"/>
    <w:rsid w:val="001B5772"/>
    <w:rsid w:val="001B678A"/>
    <w:rsid w:val="001B68ED"/>
    <w:rsid w:val="001B6C19"/>
    <w:rsid w:val="001B6EBF"/>
    <w:rsid w:val="001C07FC"/>
    <w:rsid w:val="001C1C43"/>
    <w:rsid w:val="001C1D7C"/>
    <w:rsid w:val="001C24D6"/>
    <w:rsid w:val="001C3787"/>
    <w:rsid w:val="001C3CAD"/>
    <w:rsid w:val="001C3F92"/>
    <w:rsid w:val="001C47A2"/>
    <w:rsid w:val="001C4F29"/>
    <w:rsid w:val="001C61E6"/>
    <w:rsid w:val="001C70C9"/>
    <w:rsid w:val="001C7D21"/>
    <w:rsid w:val="001D0121"/>
    <w:rsid w:val="001D07B0"/>
    <w:rsid w:val="001D0803"/>
    <w:rsid w:val="001D0BB4"/>
    <w:rsid w:val="001D1584"/>
    <w:rsid w:val="001D15C2"/>
    <w:rsid w:val="001D1AD6"/>
    <w:rsid w:val="001D1DE6"/>
    <w:rsid w:val="001D21D5"/>
    <w:rsid w:val="001D335F"/>
    <w:rsid w:val="001D33D6"/>
    <w:rsid w:val="001D35C0"/>
    <w:rsid w:val="001D4300"/>
    <w:rsid w:val="001D4358"/>
    <w:rsid w:val="001D493C"/>
    <w:rsid w:val="001D4D6C"/>
    <w:rsid w:val="001D5C0A"/>
    <w:rsid w:val="001D63E4"/>
    <w:rsid w:val="001D658C"/>
    <w:rsid w:val="001D68B4"/>
    <w:rsid w:val="001D7586"/>
    <w:rsid w:val="001D7EE5"/>
    <w:rsid w:val="001E0B8A"/>
    <w:rsid w:val="001E1388"/>
    <w:rsid w:val="001E15AD"/>
    <w:rsid w:val="001E280A"/>
    <w:rsid w:val="001E29EE"/>
    <w:rsid w:val="001E3CFE"/>
    <w:rsid w:val="001E40BC"/>
    <w:rsid w:val="001E51EE"/>
    <w:rsid w:val="001E562E"/>
    <w:rsid w:val="001E5737"/>
    <w:rsid w:val="001E5C1E"/>
    <w:rsid w:val="001E6BA9"/>
    <w:rsid w:val="001E7584"/>
    <w:rsid w:val="001E7B72"/>
    <w:rsid w:val="001E7C71"/>
    <w:rsid w:val="001F042D"/>
    <w:rsid w:val="001F30C3"/>
    <w:rsid w:val="001F3ABB"/>
    <w:rsid w:val="001F5539"/>
    <w:rsid w:val="001F56FE"/>
    <w:rsid w:val="001F5C8A"/>
    <w:rsid w:val="001F649E"/>
    <w:rsid w:val="001F6FB4"/>
    <w:rsid w:val="001F7469"/>
    <w:rsid w:val="001F7C0D"/>
    <w:rsid w:val="001F7F0A"/>
    <w:rsid w:val="002002EB"/>
    <w:rsid w:val="002008BE"/>
    <w:rsid w:val="00200DF0"/>
    <w:rsid w:val="00201C92"/>
    <w:rsid w:val="00201CD1"/>
    <w:rsid w:val="002022EC"/>
    <w:rsid w:val="00202D10"/>
    <w:rsid w:val="00202D33"/>
    <w:rsid w:val="00203197"/>
    <w:rsid w:val="00203230"/>
    <w:rsid w:val="002039E6"/>
    <w:rsid w:val="0020406A"/>
    <w:rsid w:val="0020495C"/>
    <w:rsid w:val="00204C6D"/>
    <w:rsid w:val="00204F78"/>
    <w:rsid w:val="002053E6"/>
    <w:rsid w:val="002058CF"/>
    <w:rsid w:val="00205E81"/>
    <w:rsid w:val="00205FCE"/>
    <w:rsid w:val="0020638A"/>
    <w:rsid w:val="00206453"/>
    <w:rsid w:val="00206A63"/>
    <w:rsid w:val="00207562"/>
    <w:rsid w:val="00210734"/>
    <w:rsid w:val="002109FD"/>
    <w:rsid w:val="002113BE"/>
    <w:rsid w:val="00211BBB"/>
    <w:rsid w:val="00212CFB"/>
    <w:rsid w:val="00213096"/>
    <w:rsid w:val="0021354C"/>
    <w:rsid w:val="00214641"/>
    <w:rsid w:val="00214B10"/>
    <w:rsid w:val="002152F8"/>
    <w:rsid w:val="002154C2"/>
    <w:rsid w:val="00216867"/>
    <w:rsid w:val="002172A4"/>
    <w:rsid w:val="00217C4D"/>
    <w:rsid w:val="00217D75"/>
    <w:rsid w:val="00222170"/>
    <w:rsid w:val="0022278F"/>
    <w:rsid w:val="00222D95"/>
    <w:rsid w:val="002233AF"/>
    <w:rsid w:val="00223C3E"/>
    <w:rsid w:val="002243EE"/>
    <w:rsid w:val="00224635"/>
    <w:rsid w:val="0022481A"/>
    <w:rsid w:val="00224E19"/>
    <w:rsid w:val="00225167"/>
    <w:rsid w:val="00225CED"/>
    <w:rsid w:val="002265A4"/>
    <w:rsid w:val="00226850"/>
    <w:rsid w:val="00227BA1"/>
    <w:rsid w:val="002303FD"/>
    <w:rsid w:val="002304C2"/>
    <w:rsid w:val="00230697"/>
    <w:rsid w:val="002307B8"/>
    <w:rsid w:val="0023086E"/>
    <w:rsid w:val="002310EA"/>
    <w:rsid w:val="002315D0"/>
    <w:rsid w:val="00231EB2"/>
    <w:rsid w:val="00232974"/>
    <w:rsid w:val="002338C3"/>
    <w:rsid w:val="0023448E"/>
    <w:rsid w:val="00235534"/>
    <w:rsid w:val="0023598A"/>
    <w:rsid w:val="00236195"/>
    <w:rsid w:val="00236C1E"/>
    <w:rsid w:val="00237052"/>
    <w:rsid w:val="002374D0"/>
    <w:rsid w:val="00241218"/>
    <w:rsid w:val="00241492"/>
    <w:rsid w:val="00241C45"/>
    <w:rsid w:val="00242207"/>
    <w:rsid w:val="002422BE"/>
    <w:rsid w:val="002423C9"/>
    <w:rsid w:val="00242D89"/>
    <w:rsid w:val="00242FBB"/>
    <w:rsid w:val="00243066"/>
    <w:rsid w:val="00243C3C"/>
    <w:rsid w:val="00243C54"/>
    <w:rsid w:val="0024429F"/>
    <w:rsid w:val="002442E4"/>
    <w:rsid w:val="00244F9E"/>
    <w:rsid w:val="00245135"/>
    <w:rsid w:val="002451A2"/>
    <w:rsid w:val="0024527F"/>
    <w:rsid w:val="00245879"/>
    <w:rsid w:val="00245F39"/>
    <w:rsid w:val="00246AA7"/>
    <w:rsid w:val="00246EC3"/>
    <w:rsid w:val="0024706F"/>
    <w:rsid w:val="00247F87"/>
    <w:rsid w:val="002502BE"/>
    <w:rsid w:val="00250601"/>
    <w:rsid w:val="00250C05"/>
    <w:rsid w:val="00252DDE"/>
    <w:rsid w:val="002532C2"/>
    <w:rsid w:val="002534BD"/>
    <w:rsid w:val="002534D5"/>
    <w:rsid w:val="002541D7"/>
    <w:rsid w:val="0025444E"/>
    <w:rsid w:val="002544C3"/>
    <w:rsid w:val="0025464F"/>
    <w:rsid w:val="002546A1"/>
    <w:rsid w:val="002549A4"/>
    <w:rsid w:val="00255110"/>
    <w:rsid w:val="002579FF"/>
    <w:rsid w:val="00257AFA"/>
    <w:rsid w:val="00257D73"/>
    <w:rsid w:val="00260328"/>
    <w:rsid w:val="00260C09"/>
    <w:rsid w:val="00261496"/>
    <w:rsid w:val="002644B7"/>
    <w:rsid w:val="00264694"/>
    <w:rsid w:val="00264DA3"/>
    <w:rsid w:val="002650E6"/>
    <w:rsid w:val="00266A67"/>
    <w:rsid w:val="002703A1"/>
    <w:rsid w:val="002705C2"/>
    <w:rsid w:val="00270619"/>
    <w:rsid w:val="00270A9D"/>
    <w:rsid w:val="00271C04"/>
    <w:rsid w:val="00271C87"/>
    <w:rsid w:val="002720AA"/>
    <w:rsid w:val="002723BA"/>
    <w:rsid w:val="00274082"/>
    <w:rsid w:val="00274111"/>
    <w:rsid w:val="00274DA0"/>
    <w:rsid w:val="002750C0"/>
    <w:rsid w:val="00276422"/>
    <w:rsid w:val="0027762C"/>
    <w:rsid w:val="002776CF"/>
    <w:rsid w:val="0027779A"/>
    <w:rsid w:val="0027786D"/>
    <w:rsid w:val="00277D07"/>
    <w:rsid w:val="002809EB"/>
    <w:rsid w:val="002813AA"/>
    <w:rsid w:val="0028152C"/>
    <w:rsid w:val="00281548"/>
    <w:rsid w:val="00281ADE"/>
    <w:rsid w:val="0028247B"/>
    <w:rsid w:val="00282834"/>
    <w:rsid w:val="0028393C"/>
    <w:rsid w:val="00283D19"/>
    <w:rsid w:val="00283E8A"/>
    <w:rsid w:val="002844E6"/>
    <w:rsid w:val="00284C01"/>
    <w:rsid w:val="0028518E"/>
    <w:rsid w:val="002853BC"/>
    <w:rsid w:val="00285879"/>
    <w:rsid w:val="00285BFE"/>
    <w:rsid w:val="00285CE6"/>
    <w:rsid w:val="002863EE"/>
    <w:rsid w:val="00286C67"/>
    <w:rsid w:val="00287065"/>
    <w:rsid w:val="00287A04"/>
    <w:rsid w:val="00287C29"/>
    <w:rsid w:val="00287F11"/>
    <w:rsid w:val="00287FB7"/>
    <w:rsid w:val="00291415"/>
    <w:rsid w:val="00291554"/>
    <w:rsid w:val="00291F3B"/>
    <w:rsid w:val="00292069"/>
    <w:rsid w:val="002923AE"/>
    <w:rsid w:val="002929DF"/>
    <w:rsid w:val="00292B81"/>
    <w:rsid w:val="0029303D"/>
    <w:rsid w:val="002930F8"/>
    <w:rsid w:val="002934C2"/>
    <w:rsid w:val="00294709"/>
    <w:rsid w:val="00295083"/>
    <w:rsid w:val="00296051"/>
    <w:rsid w:val="002961A6"/>
    <w:rsid w:val="00296508"/>
    <w:rsid w:val="00296639"/>
    <w:rsid w:val="002967EB"/>
    <w:rsid w:val="0029739C"/>
    <w:rsid w:val="00297614"/>
    <w:rsid w:val="00297A0F"/>
    <w:rsid w:val="002A01B4"/>
    <w:rsid w:val="002A04B7"/>
    <w:rsid w:val="002A05F9"/>
    <w:rsid w:val="002A0A29"/>
    <w:rsid w:val="002A2283"/>
    <w:rsid w:val="002A2477"/>
    <w:rsid w:val="002A2DDD"/>
    <w:rsid w:val="002A327D"/>
    <w:rsid w:val="002A3375"/>
    <w:rsid w:val="002A3BC7"/>
    <w:rsid w:val="002A4175"/>
    <w:rsid w:val="002A4B47"/>
    <w:rsid w:val="002A4CB0"/>
    <w:rsid w:val="002A5621"/>
    <w:rsid w:val="002A56E0"/>
    <w:rsid w:val="002A5CDC"/>
    <w:rsid w:val="002A6003"/>
    <w:rsid w:val="002A6172"/>
    <w:rsid w:val="002A6F81"/>
    <w:rsid w:val="002A70CA"/>
    <w:rsid w:val="002B061E"/>
    <w:rsid w:val="002B0858"/>
    <w:rsid w:val="002B0FF2"/>
    <w:rsid w:val="002B1154"/>
    <w:rsid w:val="002B1546"/>
    <w:rsid w:val="002B1758"/>
    <w:rsid w:val="002B1790"/>
    <w:rsid w:val="002B1C6D"/>
    <w:rsid w:val="002B3407"/>
    <w:rsid w:val="002B3483"/>
    <w:rsid w:val="002B3689"/>
    <w:rsid w:val="002B3F3B"/>
    <w:rsid w:val="002B4AEE"/>
    <w:rsid w:val="002B5250"/>
    <w:rsid w:val="002B578A"/>
    <w:rsid w:val="002B598A"/>
    <w:rsid w:val="002B64B9"/>
    <w:rsid w:val="002B73E8"/>
    <w:rsid w:val="002C06D7"/>
    <w:rsid w:val="002C0E76"/>
    <w:rsid w:val="002C1522"/>
    <w:rsid w:val="002C1967"/>
    <w:rsid w:val="002C1B87"/>
    <w:rsid w:val="002C1E6F"/>
    <w:rsid w:val="002C256F"/>
    <w:rsid w:val="002C354C"/>
    <w:rsid w:val="002C5EA9"/>
    <w:rsid w:val="002C732F"/>
    <w:rsid w:val="002D12D4"/>
    <w:rsid w:val="002D13CD"/>
    <w:rsid w:val="002D1456"/>
    <w:rsid w:val="002D19E2"/>
    <w:rsid w:val="002D1B74"/>
    <w:rsid w:val="002D1CBE"/>
    <w:rsid w:val="002D203C"/>
    <w:rsid w:val="002D2199"/>
    <w:rsid w:val="002D25C6"/>
    <w:rsid w:val="002D2A52"/>
    <w:rsid w:val="002D2A54"/>
    <w:rsid w:val="002D2BC0"/>
    <w:rsid w:val="002D2F82"/>
    <w:rsid w:val="002D373D"/>
    <w:rsid w:val="002D3921"/>
    <w:rsid w:val="002D3BA6"/>
    <w:rsid w:val="002D3D20"/>
    <w:rsid w:val="002D55AD"/>
    <w:rsid w:val="002D561A"/>
    <w:rsid w:val="002D570D"/>
    <w:rsid w:val="002D57DE"/>
    <w:rsid w:val="002D5C9B"/>
    <w:rsid w:val="002D5DE1"/>
    <w:rsid w:val="002D6BE0"/>
    <w:rsid w:val="002D70A4"/>
    <w:rsid w:val="002D790E"/>
    <w:rsid w:val="002D7A86"/>
    <w:rsid w:val="002E0645"/>
    <w:rsid w:val="002E06D3"/>
    <w:rsid w:val="002E0EC3"/>
    <w:rsid w:val="002E106B"/>
    <w:rsid w:val="002E2319"/>
    <w:rsid w:val="002E252D"/>
    <w:rsid w:val="002E2AC0"/>
    <w:rsid w:val="002E3081"/>
    <w:rsid w:val="002E30CF"/>
    <w:rsid w:val="002E33E0"/>
    <w:rsid w:val="002E410A"/>
    <w:rsid w:val="002E478D"/>
    <w:rsid w:val="002E4CB7"/>
    <w:rsid w:val="002E4E30"/>
    <w:rsid w:val="002E62E8"/>
    <w:rsid w:val="002E6C0E"/>
    <w:rsid w:val="002E787F"/>
    <w:rsid w:val="002E7C0C"/>
    <w:rsid w:val="002F061C"/>
    <w:rsid w:val="002F07D9"/>
    <w:rsid w:val="002F0850"/>
    <w:rsid w:val="002F1468"/>
    <w:rsid w:val="002F22DB"/>
    <w:rsid w:val="002F2A48"/>
    <w:rsid w:val="002F35DF"/>
    <w:rsid w:val="002F423F"/>
    <w:rsid w:val="002F49E4"/>
    <w:rsid w:val="002F51BE"/>
    <w:rsid w:val="002F6263"/>
    <w:rsid w:val="002F6F5E"/>
    <w:rsid w:val="002F7360"/>
    <w:rsid w:val="002F7930"/>
    <w:rsid w:val="002F7DBF"/>
    <w:rsid w:val="002F7F4F"/>
    <w:rsid w:val="0030040A"/>
    <w:rsid w:val="00300F58"/>
    <w:rsid w:val="00301048"/>
    <w:rsid w:val="003013AB"/>
    <w:rsid w:val="00301585"/>
    <w:rsid w:val="0030190C"/>
    <w:rsid w:val="00301D27"/>
    <w:rsid w:val="00302C3A"/>
    <w:rsid w:val="003031D5"/>
    <w:rsid w:val="00303D53"/>
    <w:rsid w:val="00303F6D"/>
    <w:rsid w:val="00304A06"/>
    <w:rsid w:val="00305006"/>
    <w:rsid w:val="003054A8"/>
    <w:rsid w:val="00305E19"/>
    <w:rsid w:val="00305E3F"/>
    <w:rsid w:val="00306087"/>
    <w:rsid w:val="00306ED1"/>
    <w:rsid w:val="0030703D"/>
    <w:rsid w:val="0030764B"/>
    <w:rsid w:val="00307A90"/>
    <w:rsid w:val="00307BB6"/>
    <w:rsid w:val="00307DE1"/>
    <w:rsid w:val="003100F5"/>
    <w:rsid w:val="00310B14"/>
    <w:rsid w:val="00311022"/>
    <w:rsid w:val="00313456"/>
    <w:rsid w:val="00313703"/>
    <w:rsid w:val="00313743"/>
    <w:rsid w:val="00313B3B"/>
    <w:rsid w:val="00314AFF"/>
    <w:rsid w:val="003150F0"/>
    <w:rsid w:val="00315A29"/>
    <w:rsid w:val="00316F20"/>
    <w:rsid w:val="003178EC"/>
    <w:rsid w:val="00317B94"/>
    <w:rsid w:val="00320235"/>
    <w:rsid w:val="00320296"/>
    <w:rsid w:val="00321611"/>
    <w:rsid w:val="00321AFE"/>
    <w:rsid w:val="00321E01"/>
    <w:rsid w:val="0032289F"/>
    <w:rsid w:val="00322E8B"/>
    <w:rsid w:val="00323440"/>
    <w:rsid w:val="0032389F"/>
    <w:rsid w:val="00323F84"/>
    <w:rsid w:val="00325171"/>
    <w:rsid w:val="00325781"/>
    <w:rsid w:val="003261E0"/>
    <w:rsid w:val="0032686F"/>
    <w:rsid w:val="00326F8A"/>
    <w:rsid w:val="00327131"/>
    <w:rsid w:val="00327550"/>
    <w:rsid w:val="00327C68"/>
    <w:rsid w:val="00327ED5"/>
    <w:rsid w:val="003302BD"/>
    <w:rsid w:val="00330BAF"/>
    <w:rsid w:val="00330FF1"/>
    <w:rsid w:val="00331991"/>
    <w:rsid w:val="003320E6"/>
    <w:rsid w:val="00332375"/>
    <w:rsid w:val="00332B7A"/>
    <w:rsid w:val="00333230"/>
    <w:rsid w:val="00333242"/>
    <w:rsid w:val="0033344D"/>
    <w:rsid w:val="0033364F"/>
    <w:rsid w:val="00333DF7"/>
    <w:rsid w:val="003355D8"/>
    <w:rsid w:val="00335F8F"/>
    <w:rsid w:val="003365F7"/>
    <w:rsid w:val="00336611"/>
    <w:rsid w:val="00337352"/>
    <w:rsid w:val="0033782E"/>
    <w:rsid w:val="00337C15"/>
    <w:rsid w:val="00337E30"/>
    <w:rsid w:val="0034008F"/>
    <w:rsid w:val="003402EE"/>
    <w:rsid w:val="00340C49"/>
    <w:rsid w:val="00340F35"/>
    <w:rsid w:val="003410A7"/>
    <w:rsid w:val="00341D02"/>
    <w:rsid w:val="00341D70"/>
    <w:rsid w:val="00341EC2"/>
    <w:rsid w:val="00342F36"/>
    <w:rsid w:val="00343195"/>
    <w:rsid w:val="003434D5"/>
    <w:rsid w:val="00343598"/>
    <w:rsid w:val="00343A93"/>
    <w:rsid w:val="003442E5"/>
    <w:rsid w:val="003443A4"/>
    <w:rsid w:val="003451F7"/>
    <w:rsid w:val="0034520D"/>
    <w:rsid w:val="003452E9"/>
    <w:rsid w:val="00345561"/>
    <w:rsid w:val="00345AEC"/>
    <w:rsid w:val="00345FE7"/>
    <w:rsid w:val="00346863"/>
    <w:rsid w:val="00346F58"/>
    <w:rsid w:val="00347AEB"/>
    <w:rsid w:val="00350214"/>
    <w:rsid w:val="00350E6A"/>
    <w:rsid w:val="003513F2"/>
    <w:rsid w:val="00351B30"/>
    <w:rsid w:val="003521FF"/>
    <w:rsid w:val="00352460"/>
    <w:rsid w:val="00352911"/>
    <w:rsid w:val="00353762"/>
    <w:rsid w:val="00353A45"/>
    <w:rsid w:val="00353B99"/>
    <w:rsid w:val="00353D22"/>
    <w:rsid w:val="003548B3"/>
    <w:rsid w:val="00354DB8"/>
    <w:rsid w:val="00354FE3"/>
    <w:rsid w:val="00355898"/>
    <w:rsid w:val="003565A0"/>
    <w:rsid w:val="0035667D"/>
    <w:rsid w:val="003568EE"/>
    <w:rsid w:val="00357CED"/>
    <w:rsid w:val="00357FA7"/>
    <w:rsid w:val="003600B3"/>
    <w:rsid w:val="00360552"/>
    <w:rsid w:val="00360763"/>
    <w:rsid w:val="003612C4"/>
    <w:rsid w:val="003612E2"/>
    <w:rsid w:val="003616A5"/>
    <w:rsid w:val="00362004"/>
    <w:rsid w:val="00362162"/>
    <w:rsid w:val="003627F6"/>
    <w:rsid w:val="00362835"/>
    <w:rsid w:val="003633F1"/>
    <w:rsid w:val="0036348B"/>
    <w:rsid w:val="003636CC"/>
    <w:rsid w:val="00363BCF"/>
    <w:rsid w:val="00363D1D"/>
    <w:rsid w:val="00365FE1"/>
    <w:rsid w:val="003668F2"/>
    <w:rsid w:val="00366FE0"/>
    <w:rsid w:val="003670D3"/>
    <w:rsid w:val="0037083F"/>
    <w:rsid w:val="00371628"/>
    <w:rsid w:val="003720C4"/>
    <w:rsid w:val="00373489"/>
    <w:rsid w:val="00373914"/>
    <w:rsid w:val="0037419A"/>
    <w:rsid w:val="00374D40"/>
    <w:rsid w:val="003755B3"/>
    <w:rsid w:val="00376DDC"/>
    <w:rsid w:val="00377381"/>
    <w:rsid w:val="003802EA"/>
    <w:rsid w:val="00381415"/>
    <w:rsid w:val="0038197B"/>
    <w:rsid w:val="003824A1"/>
    <w:rsid w:val="00382AB5"/>
    <w:rsid w:val="00383F01"/>
    <w:rsid w:val="003840C9"/>
    <w:rsid w:val="0038427B"/>
    <w:rsid w:val="0038499F"/>
    <w:rsid w:val="00385231"/>
    <w:rsid w:val="003854D8"/>
    <w:rsid w:val="0038555C"/>
    <w:rsid w:val="003867F2"/>
    <w:rsid w:val="0038685A"/>
    <w:rsid w:val="003878B6"/>
    <w:rsid w:val="00387F99"/>
    <w:rsid w:val="00390406"/>
    <w:rsid w:val="003906EE"/>
    <w:rsid w:val="00390EAA"/>
    <w:rsid w:val="00391F0B"/>
    <w:rsid w:val="00392B08"/>
    <w:rsid w:val="00392D4F"/>
    <w:rsid w:val="00392E0D"/>
    <w:rsid w:val="00393E35"/>
    <w:rsid w:val="00394186"/>
    <w:rsid w:val="00394367"/>
    <w:rsid w:val="003946F1"/>
    <w:rsid w:val="003950C0"/>
    <w:rsid w:val="00395C7F"/>
    <w:rsid w:val="0039630B"/>
    <w:rsid w:val="00396B88"/>
    <w:rsid w:val="003A028F"/>
    <w:rsid w:val="003A0FA4"/>
    <w:rsid w:val="003A1345"/>
    <w:rsid w:val="003A26BD"/>
    <w:rsid w:val="003A3D08"/>
    <w:rsid w:val="003A3EAB"/>
    <w:rsid w:val="003A50E5"/>
    <w:rsid w:val="003A55EB"/>
    <w:rsid w:val="003A5631"/>
    <w:rsid w:val="003A65A9"/>
    <w:rsid w:val="003B0050"/>
    <w:rsid w:val="003B0ED8"/>
    <w:rsid w:val="003B1468"/>
    <w:rsid w:val="003B1A5D"/>
    <w:rsid w:val="003B2C6A"/>
    <w:rsid w:val="003B2C7C"/>
    <w:rsid w:val="003B2D13"/>
    <w:rsid w:val="003B3439"/>
    <w:rsid w:val="003B3C3F"/>
    <w:rsid w:val="003B4276"/>
    <w:rsid w:val="003B4D1D"/>
    <w:rsid w:val="003B4D95"/>
    <w:rsid w:val="003B4F23"/>
    <w:rsid w:val="003B5160"/>
    <w:rsid w:val="003B5344"/>
    <w:rsid w:val="003B5D82"/>
    <w:rsid w:val="003B659D"/>
    <w:rsid w:val="003B6954"/>
    <w:rsid w:val="003B6EBB"/>
    <w:rsid w:val="003B71C1"/>
    <w:rsid w:val="003B771E"/>
    <w:rsid w:val="003B7E9F"/>
    <w:rsid w:val="003C04D0"/>
    <w:rsid w:val="003C102F"/>
    <w:rsid w:val="003C124C"/>
    <w:rsid w:val="003C1CF7"/>
    <w:rsid w:val="003C2986"/>
    <w:rsid w:val="003C29DD"/>
    <w:rsid w:val="003C3025"/>
    <w:rsid w:val="003C3EDC"/>
    <w:rsid w:val="003C4A72"/>
    <w:rsid w:val="003C4C99"/>
    <w:rsid w:val="003C5221"/>
    <w:rsid w:val="003C542C"/>
    <w:rsid w:val="003C5A53"/>
    <w:rsid w:val="003C681D"/>
    <w:rsid w:val="003C6BE5"/>
    <w:rsid w:val="003C7011"/>
    <w:rsid w:val="003C788A"/>
    <w:rsid w:val="003C7B28"/>
    <w:rsid w:val="003C7C7C"/>
    <w:rsid w:val="003C7FEB"/>
    <w:rsid w:val="003D0843"/>
    <w:rsid w:val="003D0A73"/>
    <w:rsid w:val="003D1362"/>
    <w:rsid w:val="003D145C"/>
    <w:rsid w:val="003D181A"/>
    <w:rsid w:val="003D1F24"/>
    <w:rsid w:val="003D26D0"/>
    <w:rsid w:val="003D3952"/>
    <w:rsid w:val="003D4675"/>
    <w:rsid w:val="003D5150"/>
    <w:rsid w:val="003D5CCE"/>
    <w:rsid w:val="003D5F78"/>
    <w:rsid w:val="003D630D"/>
    <w:rsid w:val="003D68BC"/>
    <w:rsid w:val="003E0814"/>
    <w:rsid w:val="003E087A"/>
    <w:rsid w:val="003E0D1C"/>
    <w:rsid w:val="003E228E"/>
    <w:rsid w:val="003E2845"/>
    <w:rsid w:val="003E2A05"/>
    <w:rsid w:val="003E2D3F"/>
    <w:rsid w:val="003E2DE0"/>
    <w:rsid w:val="003E39A5"/>
    <w:rsid w:val="003E3A00"/>
    <w:rsid w:val="003E3A45"/>
    <w:rsid w:val="003E41B6"/>
    <w:rsid w:val="003E42B8"/>
    <w:rsid w:val="003E501B"/>
    <w:rsid w:val="003E5353"/>
    <w:rsid w:val="003E5DB8"/>
    <w:rsid w:val="003E6EF7"/>
    <w:rsid w:val="003E725A"/>
    <w:rsid w:val="003F04F9"/>
    <w:rsid w:val="003F0C17"/>
    <w:rsid w:val="003F1AA0"/>
    <w:rsid w:val="003F1F13"/>
    <w:rsid w:val="003F25C5"/>
    <w:rsid w:val="003F28E4"/>
    <w:rsid w:val="003F29ED"/>
    <w:rsid w:val="003F3611"/>
    <w:rsid w:val="003F5539"/>
    <w:rsid w:val="003F5787"/>
    <w:rsid w:val="003F58FA"/>
    <w:rsid w:val="003F5EDE"/>
    <w:rsid w:val="0040088E"/>
    <w:rsid w:val="0040274D"/>
    <w:rsid w:val="00402759"/>
    <w:rsid w:val="00402A49"/>
    <w:rsid w:val="00402C2F"/>
    <w:rsid w:val="00402FFC"/>
    <w:rsid w:val="00403B4E"/>
    <w:rsid w:val="00403D94"/>
    <w:rsid w:val="00403F8E"/>
    <w:rsid w:val="00405004"/>
    <w:rsid w:val="00405320"/>
    <w:rsid w:val="00405780"/>
    <w:rsid w:val="00406171"/>
    <w:rsid w:val="0040664B"/>
    <w:rsid w:val="00406E51"/>
    <w:rsid w:val="00406E59"/>
    <w:rsid w:val="00406EE0"/>
    <w:rsid w:val="00407F96"/>
    <w:rsid w:val="00410194"/>
    <w:rsid w:val="00410410"/>
    <w:rsid w:val="004109B2"/>
    <w:rsid w:val="00410E56"/>
    <w:rsid w:val="00410F59"/>
    <w:rsid w:val="0041143B"/>
    <w:rsid w:val="0041160C"/>
    <w:rsid w:val="00411E42"/>
    <w:rsid w:val="004125E3"/>
    <w:rsid w:val="00412FA1"/>
    <w:rsid w:val="00413339"/>
    <w:rsid w:val="0041346E"/>
    <w:rsid w:val="00413A6D"/>
    <w:rsid w:val="00413D35"/>
    <w:rsid w:val="00414720"/>
    <w:rsid w:val="00414777"/>
    <w:rsid w:val="00414F3F"/>
    <w:rsid w:val="00416283"/>
    <w:rsid w:val="00416506"/>
    <w:rsid w:val="00416A1A"/>
    <w:rsid w:val="00416B5E"/>
    <w:rsid w:val="00416B78"/>
    <w:rsid w:val="00416C3C"/>
    <w:rsid w:val="00417207"/>
    <w:rsid w:val="004176C1"/>
    <w:rsid w:val="00417C27"/>
    <w:rsid w:val="00417F48"/>
    <w:rsid w:val="00420326"/>
    <w:rsid w:val="0042139D"/>
    <w:rsid w:val="004220B5"/>
    <w:rsid w:val="004222E1"/>
    <w:rsid w:val="00423BD8"/>
    <w:rsid w:val="00423CEC"/>
    <w:rsid w:val="00423E0A"/>
    <w:rsid w:val="00425430"/>
    <w:rsid w:val="004259B7"/>
    <w:rsid w:val="00425BBA"/>
    <w:rsid w:val="0042699F"/>
    <w:rsid w:val="004269DC"/>
    <w:rsid w:val="00426CB2"/>
    <w:rsid w:val="0042709B"/>
    <w:rsid w:val="0042725B"/>
    <w:rsid w:val="00427423"/>
    <w:rsid w:val="0043001F"/>
    <w:rsid w:val="004307E9"/>
    <w:rsid w:val="00430853"/>
    <w:rsid w:val="00430A6E"/>
    <w:rsid w:val="0043122A"/>
    <w:rsid w:val="00431858"/>
    <w:rsid w:val="004328F7"/>
    <w:rsid w:val="00433571"/>
    <w:rsid w:val="004339D6"/>
    <w:rsid w:val="00434015"/>
    <w:rsid w:val="00434310"/>
    <w:rsid w:val="00434722"/>
    <w:rsid w:val="00434A3D"/>
    <w:rsid w:val="00434E89"/>
    <w:rsid w:val="00434FC8"/>
    <w:rsid w:val="0043509E"/>
    <w:rsid w:val="00435263"/>
    <w:rsid w:val="00435A15"/>
    <w:rsid w:val="004363FE"/>
    <w:rsid w:val="00437001"/>
    <w:rsid w:val="004378A0"/>
    <w:rsid w:val="004379A5"/>
    <w:rsid w:val="00437A44"/>
    <w:rsid w:val="004403B5"/>
    <w:rsid w:val="00440B82"/>
    <w:rsid w:val="004416B5"/>
    <w:rsid w:val="00441868"/>
    <w:rsid w:val="00441D54"/>
    <w:rsid w:val="004436E9"/>
    <w:rsid w:val="00444C9B"/>
    <w:rsid w:val="00445A39"/>
    <w:rsid w:val="004463B5"/>
    <w:rsid w:val="0044651A"/>
    <w:rsid w:val="00446A73"/>
    <w:rsid w:val="00446ABA"/>
    <w:rsid w:val="00446B1B"/>
    <w:rsid w:val="00446E70"/>
    <w:rsid w:val="00447DC2"/>
    <w:rsid w:val="00450402"/>
    <w:rsid w:val="0045087E"/>
    <w:rsid w:val="00450BFA"/>
    <w:rsid w:val="00450C67"/>
    <w:rsid w:val="00450EEF"/>
    <w:rsid w:val="00450FC5"/>
    <w:rsid w:val="0045104F"/>
    <w:rsid w:val="0045124A"/>
    <w:rsid w:val="004514D2"/>
    <w:rsid w:val="00451B1C"/>
    <w:rsid w:val="004521A5"/>
    <w:rsid w:val="00452905"/>
    <w:rsid w:val="00452E83"/>
    <w:rsid w:val="00453539"/>
    <w:rsid w:val="004535F6"/>
    <w:rsid w:val="00454402"/>
    <w:rsid w:val="00454DBE"/>
    <w:rsid w:val="00455304"/>
    <w:rsid w:val="00457364"/>
    <w:rsid w:val="00457383"/>
    <w:rsid w:val="00457BF7"/>
    <w:rsid w:val="00457F91"/>
    <w:rsid w:val="00460F77"/>
    <w:rsid w:val="0046191C"/>
    <w:rsid w:val="004622E2"/>
    <w:rsid w:val="00463AC7"/>
    <w:rsid w:val="00464080"/>
    <w:rsid w:val="0046456F"/>
    <w:rsid w:val="00464C79"/>
    <w:rsid w:val="00464FB9"/>
    <w:rsid w:val="00465878"/>
    <w:rsid w:val="00465CF5"/>
    <w:rsid w:val="004663FF"/>
    <w:rsid w:val="0046732E"/>
    <w:rsid w:val="004676E5"/>
    <w:rsid w:val="00472489"/>
    <w:rsid w:val="00472F44"/>
    <w:rsid w:val="00472F56"/>
    <w:rsid w:val="00473AF2"/>
    <w:rsid w:val="00473F45"/>
    <w:rsid w:val="004760F1"/>
    <w:rsid w:val="00477012"/>
    <w:rsid w:val="00477996"/>
    <w:rsid w:val="0048032B"/>
    <w:rsid w:val="00480E0E"/>
    <w:rsid w:val="00481BF7"/>
    <w:rsid w:val="0048216C"/>
    <w:rsid w:val="00482249"/>
    <w:rsid w:val="004826C1"/>
    <w:rsid w:val="0048271D"/>
    <w:rsid w:val="0048271F"/>
    <w:rsid w:val="004829C7"/>
    <w:rsid w:val="00483045"/>
    <w:rsid w:val="004834C9"/>
    <w:rsid w:val="0048355E"/>
    <w:rsid w:val="004837BC"/>
    <w:rsid w:val="00483A6B"/>
    <w:rsid w:val="00483E01"/>
    <w:rsid w:val="00484161"/>
    <w:rsid w:val="00484F4F"/>
    <w:rsid w:val="00485372"/>
    <w:rsid w:val="00485896"/>
    <w:rsid w:val="0048690A"/>
    <w:rsid w:val="00487C3A"/>
    <w:rsid w:val="00487D99"/>
    <w:rsid w:val="00487DE9"/>
    <w:rsid w:val="00487FC5"/>
    <w:rsid w:val="0049005E"/>
    <w:rsid w:val="00490AEE"/>
    <w:rsid w:val="00490F5C"/>
    <w:rsid w:val="00491229"/>
    <w:rsid w:val="004916BF"/>
    <w:rsid w:val="004919E3"/>
    <w:rsid w:val="00491ECB"/>
    <w:rsid w:val="00492EFC"/>
    <w:rsid w:val="00493BD2"/>
    <w:rsid w:val="0049433E"/>
    <w:rsid w:val="00494402"/>
    <w:rsid w:val="004945E0"/>
    <w:rsid w:val="004956E0"/>
    <w:rsid w:val="00495D82"/>
    <w:rsid w:val="00496000"/>
    <w:rsid w:val="00496A3F"/>
    <w:rsid w:val="00496D3A"/>
    <w:rsid w:val="004979AB"/>
    <w:rsid w:val="00497E63"/>
    <w:rsid w:val="004A0961"/>
    <w:rsid w:val="004A151A"/>
    <w:rsid w:val="004A1A4C"/>
    <w:rsid w:val="004A1D29"/>
    <w:rsid w:val="004A3385"/>
    <w:rsid w:val="004A3893"/>
    <w:rsid w:val="004A3CF0"/>
    <w:rsid w:val="004A454A"/>
    <w:rsid w:val="004A48FB"/>
    <w:rsid w:val="004A4D5E"/>
    <w:rsid w:val="004A4F7B"/>
    <w:rsid w:val="004A581E"/>
    <w:rsid w:val="004A5824"/>
    <w:rsid w:val="004A5C35"/>
    <w:rsid w:val="004A5F70"/>
    <w:rsid w:val="004A7057"/>
    <w:rsid w:val="004A726C"/>
    <w:rsid w:val="004B0FFF"/>
    <w:rsid w:val="004B1CF9"/>
    <w:rsid w:val="004B2332"/>
    <w:rsid w:val="004B2738"/>
    <w:rsid w:val="004B298E"/>
    <w:rsid w:val="004B2C0C"/>
    <w:rsid w:val="004B2CD3"/>
    <w:rsid w:val="004B2EC3"/>
    <w:rsid w:val="004B377E"/>
    <w:rsid w:val="004B38A2"/>
    <w:rsid w:val="004B44DC"/>
    <w:rsid w:val="004B5A63"/>
    <w:rsid w:val="004B65E4"/>
    <w:rsid w:val="004B65FA"/>
    <w:rsid w:val="004B6752"/>
    <w:rsid w:val="004B68A2"/>
    <w:rsid w:val="004B7545"/>
    <w:rsid w:val="004B7650"/>
    <w:rsid w:val="004C0690"/>
    <w:rsid w:val="004C06E1"/>
    <w:rsid w:val="004C0D58"/>
    <w:rsid w:val="004C0EBF"/>
    <w:rsid w:val="004C0F4D"/>
    <w:rsid w:val="004C1AA8"/>
    <w:rsid w:val="004C22A7"/>
    <w:rsid w:val="004C2B54"/>
    <w:rsid w:val="004C370D"/>
    <w:rsid w:val="004C3CB0"/>
    <w:rsid w:val="004C3E0E"/>
    <w:rsid w:val="004C4322"/>
    <w:rsid w:val="004C50AF"/>
    <w:rsid w:val="004C5272"/>
    <w:rsid w:val="004C558F"/>
    <w:rsid w:val="004C581E"/>
    <w:rsid w:val="004C6169"/>
    <w:rsid w:val="004C67DB"/>
    <w:rsid w:val="004C7A7C"/>
    <w:rsid w:val="004C7BE7"/>
    <w:rsid w:val="004C7EEE"/>
    <w:rsid w:val="004D04EA"/>
    <w:rsid w:val="004D0A59"/>
    <w:rsid w:val="004D0B11"/>
    <w:rsid w:val="004D0EEF"/>
    <w:rsid w:val="004D2653"/>
    <w:rsid w:val="004D3646"/>
    <w:rsid w:val="004D3CC0"/>
    <w:rsid w:val="004D3D68"/>
    <w:rsid w:val="004D43E8"/>
    <w:rsid w:val="004D4C4A"/>
    <w:rsid w:val="004D4D08"/>
    <w:rsid w:val="004D5354"/>
    <w:rsid w:val="004D5E37"/>
    <w:rsid w:val="004D5EF2"/>
    <w:rsid w:val="004D5FE4"/>
    <w:rsid w:val="004D64E5"/>
    <w:rsid w:val="004D68CD"/>
    <w:rsid w:val="004D7602"/>
    <w:rsid w:val="004E0E8E"/>
    <w:rsid w:val="004E10AB"/>
    <w:rsid w:val="004E2017"/>
    <w:rsid w:val="004E2839"/>
    <w:rsid w:val="004E29C7"/>
    <w:rsid w:val="004E2D6F"/>
    <w:rsid w:val="004E3B7D"/>
    <w:rsid w:val="004E3FD6"/>
    <w:rsid w:val="004E4A33"/>
    <w:rsid w:val="004E4C7A"/>
    <w:rsid w:val="004E5128"/>
    <w:rsid w:val="004E632C"/>
    <w:rsid w:val="004E664D"/>
    <w:rsid w:val="004E6988"/>
    <w:rsid w:val="004F01A2"/>
    <w:rsid w:val="004F1188"/>
    <w:rsid w:val="004F12D3"/>
    <w:rsid w:val="004F1512"/>
    <w:rsid w:val="004F15C5"/>
    <w:rsid w:val="004F1A89"/>
    <w:rsid w:val="004F1FE4"/>
    <w:rsid w:val="004F24AA"/>
    <w:rsid w:val="004F2D4C"/>
    <w:rsid w:val="004F3000"/>
    <w:rsid w:val="004F357B"/>
    <w:rsid w:val="004F36EA"/>
    <w:rsid w:val="004F370F"/>
    <w:rsid w:val="004F39CF"/>
    <w:rsid w:val="004F3F14"/>
    <w:rsid w:val="004F4900"/>
    <w:rsid w:val="004F4A05"/>
    <w:rsid w:val="004F4B54"/>
    <w:rsid w:val="004F4EB1"/>
    <w:rsid w:val="004F4F5B"/>
    <w:rsid w:val="004F5A2D"/>
    <w:rsid w:val="004F5A4A"/>
    <w:rsid w:val="004F7539"/>
    <w:rsid w:val="004F7EEC"/>
    <w:rsid w:val="0050023C"/>
    <w:rsid w:val="00500C64"/>
    <w:rsid w:val="00500D18"/>
    <w:rsid w:val="00500D38"/>
    <w:rsid w:val="00501D87"/>
    <w:rsid w:val="005020A3"/>
    <w:rsid w:val="005023A6"/>
    <w:rsid w:val="00502659"/>
    <w:rsid w:val="00502997"/>
    <w:rsid w:val="00503693"/>
    <w:rsid w:val="0050375F"/>
    <w:rsid w:val="00503861"/>
    <w:rsid w:val="00503CFA"/>
    <w:rsid w:val="00505320"/>
    <w:rsid w:val="00505AFC"/>
    <w:rsid w:val="00505BCE"/>
    <w:rsid w:val="00505CBA"/>
    <w:rsid w:val="00506DB5"/>
    <w:rsid w:val="00507291"/>
    <w:rsid w:val="0050741A"/>
    <w:rsid w:val="0050767C"/>
    <w:rsid w:val="00507DDA"/>
    <w:rsid w:val="00510120"/>
    <w:rsid w:val="00510CF9"/>
    <w:rsid w:val="00513409"/>
    <w:rsid w:val="00513700"/>
    <w:rsid w:val="0051391C"/>
    <w:rsid w:val="00513A55"/>
    <w:rsid w:val="00514685"/>
    <w:rsid w:val="005147A1"/>
    <w:rsid w:val="00515167"/>
    <w:rsid w:val="0051551B"/>
    <w:rsid w:val="00515CD7"/>
    <w:rsid w:val="005161A2"/>
    <w:rsid w:val="005162C8"/>
    <w:rsid w:val="00516767"/>
    <w:rsid w:val="0051702B"/>
    <w:rsid w:val="00517944"/>
    <w:rsid w:val="00517E79"/>
    <w:rsid w:val="005200A0"/>
    <w:rsid w:val="005200DD"/>
    <w:rsid w:val="005207B4"/>
    <w:rsid w:val="00520B7B"/>
    <w:rsid w:val="00521173"/>
    <w:rsid w:val="00521A57"/>
    <w:rsid w:val="00521BFF"/>
    <w:rsid w:val="005220FC"/>
    <w:rsid w:val="0052235B"/>
    <w:rsid w:val="005225D4"/>
    <w:rsid w:val="00522B3B"/>
    <w:rsid w:val="00522F3C"/>
    <w:rsid w:val="005233C0"/>
    <w:rsid w:val="005234D8"/>
    <w:rsid w:val="00523584"/>
    <w:rsid w:val="005247D2"/>
    <w:rsid w:val="00524965"/>
    <w:rsid w:val="00525042"/>
    <w:rsid w:val="00525E37"/>
    <w:rsid w:val="005261CC"/>
    <w:rsid w:val="00526287"/>
    <w:rsid w:val="00526960"/>
    <w:rsid w:val="00526E06"/>
    <w:rsid w:val="00527326"/>
    <w:rsid w:val="00527AF6"/>
    <w:rsid w:val="0053034B"/>
    <w:rsid w:val="005304AF"/>
    <w:rsid w:val="00530AAA"/>
    <w:rsid w:val="00532A98"/>
    <w:rsid w:val="00533C4B"/>
    <w:rsid w:val="00533F89"/>
    <w:rsid w:val="00534514"/>
    <w:rsid w:val="00534C37"/>
    <w:rsid w:val="005354B5"/>
    <w:rsid w:val="00536430"/>
    <w:rsid w:val="00536729"/>
    <w:rsid w:val="00536B25"/>
    <w:rsid w:val="00536C7B"/>
    <w:rsid w:val="00537580"/>
    <w:rsid w:val="00537DE0"/>
    <w:rsid w:val="005402F1"/>
    <w:rsid w:val="00540887"/>
    <w:rsid w:val="005409B5"/>
    <w:rsid w:val="00540A3B"/>
    <w:rsid w:val="0054152E"/>
    <w:rsid w:val="00542054"/>
    <w:rsid w:val="005424FC"/>
    <w:rsid w:val="00542C96"/>
    <w:rsid w:val="00542CC7"/>
    <w:rsid w:val="0054423D"/>
    <w:rsid w:val="00544263"/>
    <w:rsid w:val="00545D2A"/>
    <w:rsid w:val="00546994"/>
    <w:rsid w:val="0054737E"/>
    <w:rsid w:val="00547699"/>
    <w:rsid w:val="00547E46"/>
    <w:rsid w:val="00547FBB"/>
    <w:rsid w:val="00550AC8"/>
    <w:rsid w:val="00550B5F"/>
    <w:rsid w:val="00551699"/>
    <w:rsid w:val="005519CD"/>
    <w:rsid w:val="00551A2B"/>
    <w:rsid w:val="0055256F"/>
    <w:rsid w:val="00552AFE"/>
    <w:rsid w:val="005533AB"/>
    <w:rsid w:val="00553A83"/>
    <w:rsid w:val="0055402F"/>
    <w:rsid w:val="00554921"/>
    <w:rsid w:val="00556184"/>
    <w:rsid w:val="00556394"/>
    <w:rsid w:val="00556E82"/>
    <w:rsid w:val="00557311"/>
    <w:rsid w:val="00557F33"/>
    <w:rsid w:val="005604A5"/>
    <w:rsid w:val="00561648"/>
    <w:rsid w:val="005617E8"/>
    <w:rsid w:val="00561BDE"/>
    <w:rsid w:val="00561BE6"/>
    <w:rsid w:val="00562147"/>
    <w:rsid w:val="00562981"/>
    <w:rsid w:val="005631BA"/>
    <w:rsid w:val="00563251"/>
    <w:rsid w:val="00563538"/>
    <w:rsid w:val="005637AB"/>
    <w:rsid w:val="00563D11"/>
    <w:rsid w:val="00564A64"/>
    <w:rsid w:val="0056504E"/>
    <w:rsid w:val="0056519C"/>
    <w:rsid w:val="005654C2"/>
    <w:rsid w:val="0056650C"/>
    <w:rsid w:val="0056687A"/>
    <w:rsid w:val="00566B30"/>
    <w:rsid w:val="00567C5B"/>
    <w:rsid w:val="005705E4"/>
    <w:rsid w:val="005709CD"/>
    <w:rsid w:val="00571354"/>
    <w:rsid w:val="0057137C"/>
    <w:rsid w:val="005717D2"/>
    <w:rsid w:val="00571AB8"/>
    <w:rsid w:val="0057208F"/>
    <w:rsid w:val="0057248A"/>
    <w:rsid w:val="0057290A"/>
    <w:rsid w:val="00572B3D"/>
    <w:rsid w:val="0057310B"/>
    <w:rsid w:val="0057317E"/>
    <w:rsid w:val="00573955"/>
    <w:rsid w:val="005754F0"/>
    <w:rsid w:val="00575800"/>
    <w:rsid w:val="00576212"/>
    <w:rsid w:val="00576323"/>
    <w:rsid w:val="00577164"/>
    <w:rsid w:val="0057785D"/>
    <w:rsid w:val="00577C74"/>
    <w:rsid w:val="005805BE"/>
    <w:rsid w:val="00580DEA"/>
    <w:rsid w:val="00580F62"/>
    <w:rsid w:val="00581CD6"/>
    <w:rsid w:val="00581DD6"/>
    <w:rsid w:val="005825B3"/>
    <w:rsid w:val="00582DAB"/>
    <w:rsid w:val="00583D91"/>
    <w:rsid w:val="00584027"/>
    <w:rsid w:val="0058409F"/>
    <w:rsid w:val="0058468A"/>
    <w:rsid w:val="00584AAA"/>
    <w:rsid w:val="00584F14"/>
    <w:rsid w:val="00585582"/>
    <w:rsid w:val="00585690"/>
    <w:rsid w:val="00587F4A"/>
    <w:rsid w:val="005900A9"/>
    <w:rsid w:val="0059022D"/>
    <w:rsid w:val="005908CD"/>
    <w:rsid w:val="00590943"/>
    <w:rsid w:val="00590B70"/>
    <w:rsid w:val="00592D77"/>
    <w:rsid w:val="00592E0B"/>
    <w:rsid w:val="00593C5E"/>
    <w:rsid w:val="0059428D"/>
    <w:rsid w:val="00594F22"/>
    <w:rsid w:val="005957F4"/>
    <w:rsid w:val="0059675C"/>
    <w:rsid w:val="0059792D"/>
    <w:rsid w:val="00597A83"/>
    <w:rsid w:val="00597AC3"/>
    <w:rsid w:val="00597FB9"/>
    <w:rsid w:val="005A1163"/>
    <w:rsid w:val="005A1545"/>
    <w:rsid w:val="005A1861"/>
    <w:rsid w:val="005A1ADB"/>
    <w:rsid w:val="005A1E41"/>
    <w:rsid w:val="005A1E7E"/>
    <w:rsid w:val="005A26FF"/>
    <w:rsid w:val="005A2E8B"/>
    <w:rsid w:val="005A3323"/>
    <w:rsid w:val="005A341B"/>
    <w:rsid w:val="005A3441"/>
    <w:rsid w:val="005A37D2"/>
    <w:rsid w:val="005A4D16"/>
    <w:rsid w:val="005A5CF0"/>
    <w:rsid w:val="005A6859"/>
    <w:rsid w:val="005B0B45"/>
    <w:rsid w:val="005B0E0B"/>
    <w:rsid w:val="005B12D5"/>
    <w:rsid w:val="005B1752"/>
    <w:rsid w:val="005B1900"/>
    <w:rsid w:val="005B1B2A"/>
    <w:rsid w:val="005B1FFB"/>
    <w:rsid w:val="005B296A"/>
    <w:rsid w:val="005B29F8"/>
    <w:rsid w:val="005B3150"/>
    <w:rsid w:val="005B3395"/>
    <w:rsid w:val="005B36F7"/>
    <w:rsid w:val="005B3735"/>
    <w:rsid w:val="005B3A11"/>
    <w:rsid w:val="005B428D"/>
    <w:rsid w:val="005B50CB"/>
    <w:rsid w:val="005B5732"/>
    <w:rsid w:val="005B5A2C"/>
    <w:rsid w:val="005B5EC3"/>
    <w:rsid w:val="005B63F6"/>
    <w:rsid w:val="005B6934"/>
    <w:rsid w:val="005B6E16"/>
    <w:rsid w:val="005B7A56"/>
    <w:rsid w:val="005C0A2A"/>
    <w:rsid w:val="005C1B14"/>
    <w:rsid w:val="005C1E92"/>
    <w:rsid w:val="005C3407"/>
    <w:rsid w:val="005C3721"/>
    <w:rsid w:val="005C3DAB"/>
    <w:rsid w:val="005C3DE4"/>
    <w:rsid w:val="005C482B"/>
    <w:rsid w:val="005C5817"/>
    <w:rsid w:val="005C5FB0"/>
    <w:rsid w:val="005C6539"/>
    <w:rsid w:val="005C65E7"/>
    <w:rsid w:val="005C6759"/>
    <w:rsid w:val="005C695E"/>
    <w:rsid w:val="005C70EE"/>
    <w:rsid w:val="005C7736"/>
    <w:rsid w:val="005C7B52"/>
    <w:rsid w:val="005C7D41"/>
    <w:rsid w:val="005C7DAB"/>
    <w:rsid w:val="005C7E34"/>
    <w:rsid w:val="005D1046"/>
    <w:rsid w:val="005D1732"/>
    <w:rsid w:val="005D1DA0"/>
    <w:rsid w:val="005D1DDC"/>
    <w:rsid w:val="005D21E3"/>
    <w:rsid w:val="005D2F68"/>
    <w:rsid w:val="005D34EC"/>
    <w:rsid w:val="005D45CA"/>
    <w:rsid w:val="005D5098"/>
    <w:rsid w:val="005D515D"/>
    <w:rsid w:val="005D5DD2"/>
    <w:rsid w:val="005D6519"/>
    <w:rsid w:val="005D7F08"/>
    <w:rsid w:val="005E016A"/>
    <w:rsid w:val="005E190D"/>
    <w:rsid w:val="005E2806"/>
    <w:rsid w:val="005E2FD2"/>
    <w:rsid w:val="005E3554"/>
    <w:rsid w:val="005E3D2A"/>
    <w:rsid w:val="005E4792"/>
    <w:rsid w:val="005E47B5"/>
    <w:rsid w:val="005E4F94"/>
    <w:rsid w:val="005E5216"/>
    <w:rsid w:val="005E5284"/>
    <w:rsid w:val="005E55A2"/>
    <w:rsid w:val="005E5B3E"/>
    <w:rsid w:val="005E621A"/>
    <w:rsid w:val="005E7361"/>
    <w:rsid w:val="005E77DE"/>
    <w:rsid w:val="005F031D"/>
    <w:rsid w:val="005F05FF"/>
    <w:rsid w:val="005F10F7"/>
    <w:rsid w:val="005F2294"/>
    <w:rsid w:val="005F3144"/>
    <w:rsid w:val="005F3BFB"/>
    <w:rsid w:val="005F4453"/>
    <w:rsid w:val="005F4678"/>
    <w:rsid w:val="005F4810"/>
    <w:rsid w:val="005F518E"/>
    <w:rsid w:val="005F5587"/>
    <w:rsid w:val="005F5924"/>
    <w:rsid w:val="005F6432"/>
    <w:rsid w:val="005F677C"/>
    <w:rsid w:val="005F78EF"/>
    <w:rsid w:val="005F7EC9"/>
    <w:rsid w:val="00600610"/>
    <w:rsid w:val="00600650"/>
    <w:rsid w:val="006008A1"/>
    <w:rsid w:val="00601565"/>
    <w:rsid w:val="00601983"/>
    <w:rsid w:val="0060201B"/>
    <w:rsid w:val="00603621"/>
    <w:rsid w:val="00604679"/>
    <w:rsid w:val="00604C20"/>
    <w:rsid w:val="00604E8B"/>
    <w:rsid w:val="0060520F"/>
    <w:rsid w:val="00605A5E"/>
    <w:rsid w:val="0060607E"/>
    <w:rsid w:val="00606812"/>
    <w:rsid w:val="00606D3D"/>
    <w:rsid w:val="00606F20"/>
    <w:rsid w:val="00607150"/>
    <w:rsid w:val="0060744D"/>
    <w:rsid w:val="00607542"/>
    <w:rsid w:val="0061126F"/>
    <w:rsid w:val="006121D5"/>
    <w:rsid w:val="006125E3"/>
    <w:rsid w:val="006128FE"/>
    <w:rsid w:val="00612B5C"/>
    <w:rsid w:val="0061337C"/>
    <w:rsid w:val="00613EED"/>
    <w:rsid w:val="00613F4A"/>
    <w:rsid w:val="00614310"/>
    <w:rsid w:val="0061459B"/>
    <w:rsid w:val="0061462A"/>
    <w:rsid w:val="0061589F"/>
    <w:rsid w:val="00616E6A"/>
    <w:rsid w:val="006170EE"/>
    <w:rsid w:val="006174F6"/>
    <w:rsid w:val="00617684"/>
    <w:rsid w:val="006206C5"/>
    <w:rsid w:val="00621EE1"/>
    <w:rsid w:val="00621F0F"/>
    <w:rsid w:val="006223C5"/>
    <w:rsid w:val="0062259C"/>
    <w:rsid w:val="00622DDB"/>
    <w:rsid w:val="00623130"/>
    <w:rsid w:val="00623291"/>
    <w:rsid w:val="0062330A"/>
    <w:rsid w:val="00624E34"/>
    <w:rsid w:val="00625E61"/>
    <w:rsid w:val="00626377"/>
    <w:rsid w:val="0062655A"/>
    <w:rsid w:val="0062661B"/>
    <w:rsid w:val="00626F97"/>
    <w:rsid w:val="006272B4"/>
    <w:rsid w:val="0062755F"/>
    <w:rsid w:val="006278A6"/>
    <w:rsid w:val="00627C9D"/>
    <w:rsid w:val="00627CE9"/>
    <w:rsid w:val="00627FC6"/>
    <w:rsid w:val="00630B3A"/>
    <w:rsid w:val="00630DFC"/>
    <w:rsid w:val="00630EE9"/>
    <w:rsid w:val="00630F0C"/>
    <w:rsid w:val="00631119"/>
    <w:rsid w:val="006314F9"/>
    <w:rsid w:val="00632066"/>
    <w:rsid w:val="00632157"/>
    <w:rsid w:val="006337DB"/>
    <w:rsid w:val="00633FF1"/>
    <w:rsid w:val="00634CC8"/>
    <w:rsid w:val="006352DD"/>
    <w:rsid w:val="00635320"/>
    <w:rsid w:val="0063624B"/>
    <w:rsid w:val="006365DD"/>
    <w:rsid w:val="006365FE"/>
    <w:rsid w:val="00636BB0"/>
    <w:rsid w:val="00636BEB"/>
    <w:rsid w:val="006377BA"/>
    <w:rsid w:val="00640D5B"/>
    <w:rsid w:val="00640FC0"/>
    <w:rsid w:val="00641B17"/>
    <w:rsid w:val="00643058"/>
    <w:rsid w:val="00643CD9"/>
    <w:rsid w:val="00644174"/>
    <w:rsid w:val="00644539"/>
    <w:rsid w:val="00644D95"/>
    <w:rsid w:val="006450F1"/>
    <w:rsid w:val="00645EA5"/>
    <w:rsid w:val="00645F6F"/>
    <w:rsid w:val="00646174"/>
    <w:rsid w:val="00647C8C"/>
    <w:rsid w:val="0065021A"/>
    <w:rsid w:val="00650A42"/>
    <w:rsid w:val="006512F2"/>
    <w:rsid w:val="006517F6"/>
    <w:rsid w:val="00651915"/>
    <w:rsid w:val="006519B8"/>
    <w:rsid w:val="006520A4"/>
    <w:rsid w:val="00652505"/>
    <w:rsid w:val="00652730"/>
    <w:rsid w:val="0065279A"/>
    <w:rsid w:val="0065284D"/>
    <w:rsid w:val="00652CD1"/>
    <w:rsid w:val="0065304E"/>
    <w:rsid w:val="00653446"/>
    <w:rsid w:val="006553CB"/>
    <w:rsid w:val="00655C40"/>
    <w:rsid w:val="006565FA"/>
    <w:rsid w:val="006568B4"/>
    <w:rsid w:val="006568C1"/>
    <w:rsid w:val="006579F2"/>
    <w:rsid w:val="00660CC1"/>
    <w:rsid w:val="00661EB2"/>
    <w:rsid w:val="0066217C"/>
    <w:rsid w:val="006629A0"/>
    <w:rsid w:val="00662A5A"/>
    <w:rsid w:val="006633F2"/>
    <w:rsid w:val="006634B2"/>
    <w:rsid w:val="00663819"/>
    <w:rsid w:val="00663B5F"/>
    <w:rsid w:val="00663F29"/>
    <w:rsid w:val="00664124"/>
    <w:rsid w:val="0066420E"/>
    <w:rsid w:val="00664671"/>
    <w:rsid w:val="00664C61"/>
    <w:rsid w:val="00664FC7"/>
    <w:rsid w:val="00665CBB"/>
    <w:rsid w:val="00666962"/>
    <w:rsid w:val="006674C1"/>
    <w:rsid w:val="0067127E"/>
    <w:rsid w:val="0067140A"/>
    <w:rsid w:val="00671529"/>
    <w:rsid w:val="00671695"/>
    <w:rsid w:val="00672B5F"/>
    <w:rsid w:val="00672EDA"/>
    <w:rsid w:val="00673708"/>
    <w:rsid w:val="00673992"/>
    <w:rsid w:val="006739B8"/>
    <w:rsid w:val="00673E95"/>
    <w:rsid w:val="0067529B"/>
    <w:rsid w:val="0067532E"/>
    <w:rsid w:val="00675997"/>
    <w:rsid w:val="00676202"/>
    <w:rsid w:val="006765E9"/>
    <w:rsid w:val="00676CDF"/>
    <w:rsid w:val="0067747A"/>
    <w:rsid w:val="0067748B"/>
    <w:rsid w:val="006779B6"/>
    <w:rsid w:val="00677C70"/>
    <w:rsid w:val="006802E4"/>
    <w:rsid w:val="00680A26"/>
    <w:rsid w:val="00680DE5"/>
    <w:rsid w:val="00680DFF"/>
    <w:rsid w:val="00680E78"/>
    <w:rsid w:val="00681A66"/>
    <w:rsid w:val="006835D6"/>
    <w:rsid w:val="006838FC"/>
    <w:rsid w:val="00683AFE"/>
    <w:rsid w:val="00683F5D"/>
    <w:rsid w:val="00684273"/>
    <w:rsid w:val="00684322"/>
    <w:rsid w:val="00684611"/>
    <w:rsid w:val="00684B88"/>
    <w:rsid w:val="006864D0"/>
    <w:rsid w:val="006871FD"/>
    <w:rsid w:val="00687491"/>
    <w:rsid w:val="00690657"/>
    <w:rsid w:val="006908D9"/>
    <w:rsid w:val="00690DEE"/>
    <w:rsid w:val="00690EC1"/>
    <w:rsid w:val="00691554"/>
    <w:rsid w:val="00691B63"/>
    <w:rsid w:val="00691D59"/>
    <w:rsid w:val="0069279B"/>
    <w:rsid w:val="00692811"/>
    <w:rsid w:val="00692D49"/>
    <w:rsid w:val="00693996"/>
    <w:rsid w:val="006940F9"/>
    <w:rsid w:val="00694F00"/>
    <w:rsid w:val="00695486"/>
    <w:rsid w:val="00695CCB"/>
    <w:rsid w:val="0069614A"/>
    <w:rsid w:val="00697406"/>
    <w:rsid w:val="006976ED"/>
    <w:rsid w:val="00697CE9"/>
    <w:rsid w:val="006A0389"/>
    <w:rsid w:val="006A0CC3"/>
    <w:rsid w:val="006A0D9D"/>
    <w:rsid w:val="006A0E4A"/>
    <w:rsid w:val="006A0F37"/>
    <w:rsid w:val="006A102F"/>
    <w:rsid w:val="006A1135"/>
    <w:rsid w:val="006A20BE"/>
    <w:rsid w:val="006A2113"/>
    <w:rsid w:val="006A2C4F"/>
    <w:rsid w:val="006A2D14"/>
    <w:rsid w:val="006A39F0"/>
    <w:rsid w:val="006A3B98"/>
    <w:rsid w:val="006A4087"/>
    <w:rsid w:val="006A4B69"/>
    <w:rsid w:val="006A4D17"/>
    <w:rsid w:val="006A5409"/>
    <w:rsid w:val="006A570B"/>
    <w:rsid w:val="006A5B70"/>
    <w:rsid w:val="006A5D47"/>
    <w:rsid w:val="006A619B"/>
    <w:rsid w:val="006A6356"/>
    <w:rsid w:val="006A63A7"/>
    <w:rsid w:val="006A6B2E"/>
    <w:rsid w:val="006A7B7E"/>
    <w:rsid w:val="006A7F4A"/>
    <w:rsid w:val="006B009E"/>
    <w:rsid w:val="006B0B2D"/>
    <w:rsid w:val="006B11A5"/>
    <w:rsid w:val="006B21C5"/>
    <w:rsid w:val="006B24F3"/>
    <w:rsid w:val="006B2731"/>
    <w:rsid w:val="006B2898"/>
    <w:rsid w:val="006B2E1A"/>
    <w:rsid w:val="006B2EBF"/>
    <w:rsid w:val="006B38B9"/>
    <w:rsid w:val="006B3F79"/>
    <w:rsid w:val="006B42AB"/>
    <w:rsid w:val="006B48D5"/>
    <w:rsid w:val="006B4B87"/>
    <w:rsid w:val="006B4E88"/>
    <w:rsid w:val="006B509A"/>
    <w:rsid w:val="006B5569"/>
    <w:rsid w:val="006B5695"/>
    <w:rsid w:val="006B5D17"/>
    <w:rsid w:val="006B6174"/>
    <w:rsid w:val="006B6F83"/>
    <w:rsid w:val="006B719D"/>
    <w:rsid w:val="006C002A"/>
    <w:rsid w:val="006C0813"/>
    <w:rsid w:val="006C15A2"/>
    <w:rsid w:val="006C1757"/>
    <w:rsid w:val="006C1F9C"/>
    <w:rsid w:val="006C20E6"/>
    <w:rsid w:val="006C2173"/>
    <w:rsid w:val="006C2832"/>
    <w:rsid w:val="006C38B1"/>
    <w:rsid w:val="006C41E0"/>
    <w:rsid w:val="006C5139"/>
    <w:rsid w:val="006C6DB1"/>
    <w:rsid w:val="006C72DC"/>
    <w:rsid w:val="006D0AEB"/>
    <w:rsid w:val="006D2FBF"/>
    <w:rsid w:val="006D305B"/>
    <w:rsid w:val="006D31F9"/>
    <w:rsid w:val="006D520E"/>
    <w:rsid w:val="006D596B"/>
    <w:rsid w:val="006D5DD0"/>
    <w:rsid w:val="006D7024"/>
    <w:rsid w:val="006D7AAF"/>
    <w:rsid w:val="006E09F2"/>
    <w:rsid w:val="006E13FF"/>
    <w:rsid w:val="006E1421"/>
    <w:rsid w:val="006E196B"/>
    <w:rsid w:val="006E1B2F"/>
    <w:rsid w:val="006E2386"/>
    <w:rsid w:val="006E24F9"/>
    <w:rsid w:val="006E385F"/>
    <w:rsid w:val="006E433A"/>
    <w:rsid w:val="006E43A4"/>
    <w:rsid w:val="006E4A6E"/>
    <w:rsid w:val="006E4DD4"/>
    <w:rsid w:val="006E6362"/>
    <w:rsid w:val="006E67BE"/>
    <w:rsid w:val="006E728E"/>
    <w:rsid w:val="006E7456"/>
    <w:rsid w:val="006E75A6"/>
    <w:rsid w:val="006E76AD"/>
    <w:rsid w:val="006E77C5"/>
    <w:rsid w:val="006E7F4C"/>
    <w:rsid w:val="006F060C"/>
    <w:rsid w:val="006F08D2"/>
    <w:rsid w:val="006F0FF8"/>
    <w:rsid w:val="006F1037"/>
    <w:rsid w:val="006F17B0"/>
    <w:rsid w:val="006F1BA5"/>
    <w:rsid w:val="006F2DAA"/>
    <w:rsid w:val="006F3021"/>
    <w:rsid w:val="006F3EAD"/>
    <w:rsid w:val="006F44B9"/>
    <w:rsid w:val="006F48F1"/>
    <w:rsid w:val="006F4A90"/>
    <w:rsid w:val="006F4B0D"/>
    <w:rsid w:val="006F4B71"/>
    <w:rsid w:val="006F4D9F"/>
    <w:rsid w:val="006F4E00"/>
    <w:rsid w:val="006F4E0D"/>
    <w:rsid w:val="006F59A5"/>
    <w:rsid w:val="006F5DAD"/>
    <w:rsid w:val="006F6177"/>
    <w:rsid w:val="006F6FBF"/>
    <w:rsid w:val="006F752B"/>
    <w:rsid w:val="006F7851"/>
    <w:rsid w:val="006F790B"/>
    <w:rsid w:val="007000E3"/>
    <w:rsid w:val="00700504"/>
    <w:rsid w:val="007006F6"/>
    <w:rsid w:val="007013A0"/>
    <w:rsid w:val="00701632"/>
    <w:rsid w:val="00702D4F"/>
    <w:rsid w:val="007036FD"/>
    <w:rsid w:val="007042B1"/>
    <w:rsid w:val="007057B3"/>
    <w:rsid w:val="00705D05"/>
    <w:rsid w:val="007068C5"/>
    <w:rsid w:val="00706E0C"/>
    <w:rsid w:val="00706F7E"/>
    <w:rsid w:val="007070FD"/>
    <w:rsid w:val="00707D42"/>
    <w:rsid w:val="007118D1"/>
    <w:rsid w:val="007124B0"/>
    <w:rsid w:val="00712586"/>
    <w:rsid w:val="00712962"/>
    <w:rsid w:val="007129DB"/>
    <w:rsid w:val="00712B01"/>
    <w:rsid w:val="00712E41"/>
    <w:rsid w:val="007132E4"/>
    <w:rsid w:val="007135ED"/>
    <w:rsid w:val="0071393E"/>
    <w:rsid w:val="0071461F"/>
    <w:rsid w:val="00714C6D"/>
    <w:rsid w:val="00716090"/>
    <w:rsid w:val="007168D8"/>
    <w:rsid w:val="00716CE5"/>
    <w:rsid w:val="00716D64"/>
    <w:rsid w:val="00716FA5"/>
    <w:rsid w:val="007175FD"/>
    <w:rsid w:val="00717950"/>
    <w:rsid w:val="007179F3"/>
    <w:rsid w:val="00717C17"/>
    <w:rsid w:val="0072004F"/>
    <w:rsid w:val="00720073"/>
    <w:rsid w:val="007205CD"/>
    <w:rsid w:val="007209BA"/>
    <w:rsid w:val="00720D57"/>
    <w:rsid w:val="00720ECF"/>
    <w:rsid w:val="00722625"/>
    <w:rsid w:val="00722E31"/>
    <w:rsid w:val="00724220"/>
    <w:rsid w:val="007247D8"/>
    <w:rsid w:val="00724953"/>
    <w:rsid w:val="00724CC8"/>
    <w:rsid w:val="00724E32"/>
    <w:rsid w:val="007255CA"/>
    <w:rsid w:val="007262AB"/>
    <w:rsid w:val="0072647F"/>
    <w:rsid w:val="0072763B"/>
    <w:rsid w:val="00727EB0"/>
    <w:rsid w:val="007305D0"/>
    <w:rsid w:val="00731B3B"/>
    <w:rsid w:val="007329E6"/>
    <w:rsid w:val="0073386A"/>
    <w:rsid w:val="00733BEC"/>
    <w:rsid w:val="00734600"/>
    <w:rsid w:val="007347BD"/>
    <w:rsid w:val="00734F98"/>
    <w:rsid w:val="00735547"/>
    <w:rsid w:val="00735AD1"/>
    <w:rsid w:val="007367BA"/>
    <w:rsid w:val="007369AC"/>
    <w:rsid w:val="00740EED"/>
    <w:rsid w:val="007412AC"/>
    <w:rsid w:val="00741434"/>
    <w:rsid w:val="007417A3"/>
    <w:rsid w:val="00741EDF"/>
    <w:rsid w:val="007426D6"/>
    <w:rsid w:val="00743D6D"/>
    <w:rsid w:val="0074417D"/>
    <w:rsid w:val="00744BB6"/>
    <w:rsid w:val="007453B9"/>
    <w:rsid w:val="00745CB5"/>
    <w:rsid w:val="00746214"/>
    <w:rsid w:val="00746C76"/>
    <w:rsid w:val="00746DEA"/>
    <w:rsid w:val="007474E2"/>
    <w:rsid w:val="00747AA2"/>
    <w:rsid w:val="00750234"/>
    <w:rsid w:val="007513D4"/>
    <w:rsid w:val="00751B14"/>
    <w:rsid w:val="0075203C"/>
    <w:rsid w:val="007526F6"/>
    <w:rsid w:val="0075326C"/>
    <w:rsid w:val="007534F8"/>
    <w:rsid w:val="00753635"/>
    <w:rsid w:val="00753710"/>
    <w:rsid w:val="007537D0"/>
    <w:rsid w:val="00753D80"/>
    <w:rsid w:val="00753F5B"/>
    <w:rsid w:val="007546B5"/>
    <w:rsid w:val="0075482B"/>
    <w:rsid w:val="00754B5F"/>
    <w:rsid w:val="00754DF9"/>
    <w:rsid w:val="00755104"/>
    <w:rsid w:val="00755959"/>
    <w:rsid w:val="007562F6"/>
    <w:rsid w:val="00756F4C"/>
    <w:rsid w:val="0075753B"/>
    <w:rsid w:val="00757CE7"/>
    <w:rsid w:val="00760476"/>
    <w:rsid w:val="00760715"/>
    <w:rsid w:val="00760DEC"/>
    <w:rsid w:val="00761240"/>
    <w:rsid w:val="0076133E"/>
    <w:rsid w:val="00761CB9"/>
    <w:rsid w:val="00761D9A"/>
    <w:rsid w:val="00762570"/>
    <w:rsid w:val="0076352A"/>
    <w:rsid w:val="00763B3F"/>
    <w:rsid w:val="00763F0C"/>
    <w:rsid w:val="00764124"/>
    <w:rsid w:val="0076469F"/>
    <w:rsid w:val="00764975"/>
    <w:rsid w:val="00765015"/>
    <w:rsid w:val="007650CD"/>
    <w:rsid w:val="00765203"/>
    <w:rsid w:val="007666DB"/>
    <w:rsid w:val="00766B67"/>
    <w:rsid w:val="00766F93"/>
    <w:rsid w:val="0076722D"/>
    <w:rsid w:val="00767594"/>
    <w:rsid w:val="00771F22"/>
    <w:rsid w:val="0077256C"/>
    <w:rsid w:val="0077377B"/>
    <w:rsid w:val="00773C1C"/>
    <w:rsid w:val="007749D5"/>
    <w:rsid w:val="00774B3B"/>
    <w:rsid w:val="00774E62"/>
    <w:rsid w:val="00775EB9"/>
    <w:rsid w:val="00776095"/>
    <w:rsid w:val="007761B6"/>
    <w:rsid w:val="00777287"/>
    <w:rsid w:val="00777FD6"/>
    <w:rsid w:val="0078060C"/>
    <w:rsid w:val="00780882"/>
    <w:rsid w:val="0078107B"/>
    <w:rsid w:val="0078158A"/>
    <w:rsid w:val="00781B10"/>
    <w:rsid w:val="00782EBB"/>
    <w:rsid w:val="007834B8"/>
    <w:rsid w:val="007836AB"/>
    <w:rsid w:val="00784036"/>
    <w:rsid w:val="00784388"/>
    <w:rsid w:val="00784522"/>
    <w:rsid w:val="00784833"/>
    <w:rsid w:val="00784882"/>
    <w:rsid w:val="00784E1E"/>
    <w:rsid w:val="00785C4F"/>
    <w:rsid w:val="0078649C"/>
    <w:rsid w:val="00786880"/>
    <w:rsid w:val="00786934"/>
    <w:rsid w:val="00787354"/>
    <w:rsid w:val="007873A0"/>
    <w:rsid w:val="007876F7"/>
    <w:rsid w:val="0078771B"/>
    <w:rsid w:val="00787D1D"/>
    <w:rsid w:val="00787ED6"/>
    <w:rsid w:val="00787F53"/>
    <w:rsid w:val="007909A2"/>
    <w:rsid w:val="00790AA9"/>
    <w:rsid w:val="00790D69"/>
    <w:rsid w:val="0079100D"/>
    <w:rsid w:val="007918E9"/>
    <w:rsid w:val="00793645"/>
    <w:rsid w:val="0079402D"/>
    <w:rsid w:val="007949B0"/>
    <w:rsid w:val="00796BCB"/>
    <w:rsid w:val="007972FD"/>
    <w:rsid w:val="007A105A"/>
    <w:rsid w:val="007A18DF"/>
    <w:rsid w:val="007A20BC"/>
    <w:rsid w:val="007A31F2"/>
    <w:rsid w:val="007A3D40"/>
    <w:rsid w:val="007A4263"/>
    <w:rsid w:val="007A4309"/>
    <w:rsid w:val="007A4F11"/>
    <w:rsid w:val="007A4FB8"/>
    <w:rsid w:val="007A5047"/>
    <w:rsid w:val="007A5185"/>
    <w:rsid w:val="007A5827"/>
    <w:rsid w:val="007A5C80"/>
    <w:rsid w:val="007A5E25"/>
    <w:rsid w:val="007A6035"/>
    <w:rsid w:val="007A6348"/>
    <w:rsid w:val="007A6CF1"/>
    <w:rsid w:val="007A7167"/>
    <w:rsid w:val="007A7C08"/>
    <w:rsid w:val="007B0149"/>
    <w:rsid w:val="007B147F"/>
    <w:rsid w:val="007B1F04"/>
    <w:rsid w:val="007B2A3D"/>
    <w:rsid w:val="007B2DAB"/>
    <w:rsid w:val="007B2FAB"/>
    <w:rsid w:val="007B3C52"/>
    <w:rsid w:val="007B3F52"/>
    <w:rsid w:val="007B4C2F"/>
    <w:rsid w:val="007B4EA2"/>
    <w:rsid w:val="007B53B5"/>
    <w:rsid w:val="007B54DE"/>
    <w:rsid w:val="007B56A8"/>
    <w:rsid w:val="007B6CD4"/>
    <w:rsid w:val="007B7132"/>
    <w:rsid w:val="007B7AAE"/>
    <w:rsid w:val="007C02FA"/>
    <w:rsid w:val="007C07C8"/>
    <w:rsid w:val="007C0A9C"/>
    <w:rsid w:val="007C0EF3"/>
    <w:rsid w:val="007C24B2"/>
    <w:rsid w:val="007C257F"/>
    <w:rsid w:val="007C27DB"/>
    <w:rsid w:val="007C3BD2"/>
    <w:rsid w:val="007C4306"/>
    <w:rsid w:val="007C48E4"/>
    <w:rsid w:val="007C4C12"/>
    <w:rsid w:val="007C509F"/>
    <w:rsid w:val="007C527A"/>
    <w:rsid w:val="007C5573"/>
    <w:rsid w:val="007C5AA0"/>
    <w:rsid w:val="007C5EE9"/>
    <w:rsid w:val="007C6306"/>
    <w:rsid w:val="007C67F8"/>
    <w:rsid w:val="007C69A9"/>
    <w:rsid w:val="007C6D99"/>
    <w:rsid w:val="007D03B4"/>
    <w:rsid w:val="007D0A60"/>
    <w:rsid w:val="007D1222"/>
    <w:rsid w:val="007D149C"/>
    <w:rsid w:val="007D15EF"/>
    <w:rsid w:val="007D268E"/>
    <w:rsid w:val="007D28DC"/>
    <w:rsid w:val="007D29E6"/>
    <w:rsid w:val="007D2A2B"/>
    <w:rsid w:val="007D2A86"/>
    <w:rsid w:val="007D2B0E"/>
    <w:rsid w:val="007D3581"/>
    <w:rsid w:val="007D3B4C"/>
    <w:rsid w:val="007D4552"/>
    <w:rsid w:val="007D4A54"/>
    <w:rsid w:val="007D4DA6"/>
    <w:rsid w:val="007D4E97"/>
    <w:rsid w:val="007D54A4"/>
    <w:rsid w:val="007D6208"/>
    <w:rsid w:val="007D64E1"/>
    <w:rsid w:val="007D71CE"/>
    <w:rsid w:val="007D741F"/>
    <w:rsid w:val="007D7B2C"/>
    <w:rsid w:val="007D7D76"/>
    <w:rsid w:val="007E01CD"/>
    <w:rsid w:val="007E1730"/>
    <w:rsid w:val="007E20FA"/>
    <w:rsid w:val="007E28C2"/>
    <w:rsid w:val="007E2AA9"/>
    <w:rsid w:val="007E33E5"/>
    <w:rsid w:val="007E3753"/>
    <w:rsid w:val="007E3937"/>
    <w:rsid w:val="007E3A2C"/>
    <w:rsid w:val="007E3AFF"/>
    <w:rsid w:val="007E3D0E"/>
    <w:rsid w:val="007E40E4"/>
    <w:rsid w:val="007E452B"/>
    <w:rsid w:val="007E4A93"/>
    <w:rsid w:val="007E4B0D"/>
    <w:rsid w:val="007E4EC1"/>
    <w:rsid w:val="007E4FCD"/>
    <w:rsid w:val="007E5D74"/>
    <w:rsid w:val="007E6520"/>
    <w:rsid w:val="007E6686"/>
    <w:rsid w:val="007E6A59"/>
    <w:rsid w:val="007E75D1"/>
    <w:rsid w:val="007E79C6"/>
    <w:rsid w:val="007F030A"/>
    <w:rsid w:val="007F0973"/>
    <w:rsid w:val="007F0FF7"/>
    <w:rsid w:val="007F38AD"/>
    <w:rsid w:val="007F3C43"/>
    <w:rsid w:val="007F3DE0"/>
    <w:rsid w:val="007F430E"/>
    <w:rsid w:val="007F435F"/>
    <w:rsid w:val="007F51AE"/>
    <w:rsid w:val="007F5492"/>
    <w:rsid w:val="007F5FAC"/>
    <w:rsid w:val="007F60BD"/>
    <w:rsid w:val="007F6B07"/>
    <w:rsid w:val="007F78BE"/>
    <w:rsid w:val="007F7C55"/>
    <w:rsid w:val="0080084F"/>
    <w:rsid w:val="008009F7"/>
    <w:rsid w:val="00801128"/>
    <w:rsid w:val="008013D0"/>
    <w:rsid w:val="00801613"/>
    <w:rsid w:val="00801621"/>
    <w:rsid w:val="0080188A"/>
    <w:rsid w:val="00801F6A"/>
    <w:rsid w:val="008024D2"/>
    <w:rsid w:val="00802CA0"/>
    <w:rsid w:val="0080326A"/>
    <w:rsid w:val="00803299"/>
    <w:rsid w:val="00804EBA"/>
    <w:rsid w:val="0080535B"/>
    <w:rsid w:val="00805948"/>
    <w:rsid w:val="00806935"/>
    <w:rsid w:val="00806FE2"/>
    <w:rsid w:val="00807D94"/>
    <w:rsid w:val="00810466"/>
    <w:rsid w:val="0081065B"/>
    <w:rsid w:val="00810862"/>
    <w:rsid w:val="00813BE2"/>
    <w:rsid w:val="0081427F"/>
    <w:rsid w:val="008149FA"/>
    <w:rsid w:val="00814E4A"/>
    <w:rsid w:val="008156F7"/>
    <w:rsid w:val="00815AA0"/>
    <w:rsid w:val="008161E9"/>
    <w:rsid w:val="00816321"/>
    <w:rsid w:val="008164F9"/>
    <w:rsid w:val="00816C8A"/>
    <w:rsid w:val="00817328"/>
    <w:rsid w:val="00817716"/>
    <w:rsid w:val="00817C67"/>
    <w:rsid w:val="00817F42"/>
    <w:rsid w:val="0082032F"/>
    <w:rsid w:val="00820457"/>
    <w:rsid w:val="008205E8"/>
    <w:rsid w:val="008221FD"/>
    <w:rsid w:val="0082242B"/>
    <w:rsid w:val="0082244C"/>
    <w:rsid w:val="00822575"/>
    <w:rsid w:val="00822FFF"/>
    <w:rsid w:val="008235FB"/>
    <w:rsid w:val="00823F90"/>
    <w:rsid w:val="00824D9C"/>
    <w:rsid w:val="00824FE8"/>
    <w:rsid w:val="008250CC"/>
    <w:rsid w:val="00825489"/>
    <w:rsid w:val="00825805"/>
    <w:rsid w:val="00825E43"/>
    <w:rsid w:val="0082654C"/>
    <w:rsid w:val="00826B10"/>
    <w:rsid w:val="0083134B"/>
    <w:rsid w:val="00832217"/>
    <w:rsid w:val="008334C6"/>
    <w:rsid w:val="008341DB"/>
    <w:rsid w:val="00834990"/>
    <w:rsid w:val="0083504F"/>
    <w:rsid w:val="0083577B"/>
    <w:rsid w:val="008363B5"/>
    <w:rsid w:val="0083640E"/>
    <w:rsid w:val="0083689F"/>
    <w:rsid w:val="00836A13"/>
    <w:rsid w:val="00836A4E"/>
    <w:rsid w:val="00836DD1"/>
    <w:rsid w:val="00836EC6"/>
    <w:rsid w:val="00837064"/>
    <w:rsid w:val="008404F5"/>
    <w:rsid w:val="00840582"/>
    <w:rsid w:val="00840B12"/>
    <w:rsid w:val="00842975"/>
    <w:rsid w:val="00842E80"/>
    <w:rsid w:val="00843206"/>
    <w:rsid w:val="00843821"/>
    <w:rsid w:val="00844580"/>
    <w:rsid w:val="00844934"/>
    <w:rsid w:val="00844C9C"/>
    <w:rsid w:val="00845045"/>
    <w:rsid w:val="008451E9"/>
    <w:rsid w:val="0084522C"/>
    <w:rsid w:val="00847686"/>
    <w:rsid w:val="00847E0A"/>
    <w:rsid w:val="008505DC"/>
    <w:rsid w:val="0085074A"/>
    <w:rsid w:val="00850C12"/>
    <w:rsid w:val="00851001"/>
    <w:rsid w:val="008516BC"/>
    <w:rsid w:val="00851966"/>
    <w:rsid w:val="00852432"/>
    <w:rsid w:val="008524BF"/>
    <w:rsid w:val="00852CB3"/>
    <w:rsid w:val="00853CB9"/>
    <w:rsid w:val="00853E8F"/>
    <w:rsid w:val="0085515F"/>
    <w:rsid w:val="0085567E"/>
    <w:rsid w:val="00855FC3"/>
    <w:rsid w:val="0085648D"/>
    <w:rsid w:val="00856635"/>
    <w:rsid w:val="00856AEF"/>
    <w:rsid w:val="00856BC4"/>
    <w:rsid w:val="00856C38"/>
    <w:rsid w:val="00856EEA"/>
    <w:rsid w:val="0085729D"/>
    <w:rsid w:val="0085735E"/>
    <w:rsid w:val="00860018"/>
    <w:rsid w:val="008600FD"/>
    <w:rsid w:val="0086110D"/>
    <w:rsid w:val="008615C8"/>
    <w:rsid w:val="00861768"/>
    <w:rsid w:val="00861FE7"/>
    <w:rsid w:val="008629D1"/>
    <w:rsid w:val="00862DE9"/>
    <w:rsid w:val="0086567F"/>
    <w:rsid w:val="00865C1C"/>
    <w:rsid w:val="00866311"/>
    <w:rsid w:val="008663A5"/>
    <w:rsid w:val="0086709C"/>
    <w:rsid w:val="00867E6D"/>
    <w:rsid w:val="00871D57"/>
    <w:rsid w:val="0087209D"/>
    <w:rsid w:val="00872516"/>
    <w:rsid w:val="00872573"/>
    <w:rsid w:val="00872F37"/>
    <w:rsid w:val="00872FCA"/>
    <w:rsid w:val="0087380A"/>
    <w:rsid w:val="008750A5"/>
    <w:rsid w:val="00875728"/>
    <w:rsid w:val="0087577B"/>
    <w:rsid w:val="00875812"/>
    <w:rsid w:val="0087663F"/>
    <w:rsid w:val="00877866"/>
    <w:rsid w:val="00877A14"/>
    <w:rsid w:val="00877AD6"/>
    <w:rsid w:val="00877BF7"/>
    <w:rsid w:val="00877E89"/>
    <w:rsid w:val="008801DD"/>
    <w:rsid w:val="008802EE"/>
    <w:rsid w:val="0088059B"/>
    <w:rsid w:val="00880DF1"/>
    <w:rsid w:val="00881D5B"/>
    <w:rsid w:val="008820DC"/>
    <w:rsid w:val="008821E4"/>
    <w:rsid w:val="00882A5F"/>
    <w:rsid w:val="0088367B"/>
    <w:rsid w:val="00883A18"/>
    <w:rsid w:val="00883A26"/>
    <w:rsid w:val="00883AD0"/>
    <w:rsid w:val="00883BC1"/>
    <w:rsid w:val="008842E8"/>
    <w:rsid w:val="0088443F"/>
    <w:rsid w:val="00884C88"/>
    <w:rsid w:val="00884D5F"/>
    <w:rsid w:val="008858B8"/>
    <w:rsid w:val="00886019"/>
    <w:rsid w:val="00886504"/>
    <w:rsid w:val="00886F16"/>
    <w:rsid w:val="008911FB"/>
    <w:rsid w:val="00891A12"/>
    <w:rsid w:val="00891C2A"/>
    <w:rsid w:val="00891CC3"/>
    <w:rsid w:val="008929D0"/>
    <w:rsid w:val="0089355D"/>
    <w:rsid w:val="00893EE8"/>
    <w:rsid w:val="00893F32"/>
    <w:rsid w:val="00894A17"/>
    <w:rsid w:val="00894CC2"/>
    <w:rsid w:val="00894E43"/>
    <w:rsid w:val="008954C7"/>
    <w:rsid w:val="00895B98"/>
    <w:rsid w:val="00897DF8"/>
    <w:rsid w:val="008A00FC"/>
    <w:rsid w:val="008A09FC"/>
    <w:rsid w:val="008A1294"/>
    <w:rsid w:val="008A12E4"/>
    <w:rsid w:val="008A276F"/>
    <w:rsid w:val="008A2C8D"/>
    <w:rsid w:val="008A2DB4"/>
    <w:rsid w:val="008A2E2E"/>
    <w:rsid w:val="008A3495"/>
    <w:rsid w:val="008A36CE"/>
    <w:rsid w:val="008A38FC"/>
    <w:rsid w:val="008A4372"/>
    <w:rsid w:val="008A4522"/>
    <w:rsid w:val="008A4B90"/>
    <w:rsid w:val="008A5C3F"/>
    <w:rsid w:val="008A5C68"/>
    <w:rsid w:val="008A6175"/>
    <w:rsid w:val="008A627D"/>
    <w:rsid w:val="008A6428"/>
    <w:rsid w:val="008A645C"/>
    <w:rsid w:val="008A65D8"/>
    <w:rsid w:val="008A6B06"/>
    <w:rsid w:val="008A797A"/>
    <w:rsid w:val="008B00F5"/>
    <w:rsid w:val="008B070F"/>
    <w:rsid w:val="008B10DD"/>
    <w:rsid w:val="008B240C"/>
    <w:rsid w:val="008B2C02"/>
    <w:rsid w:val="008B2F53"/>
    <w:rsid w:val="008B30F1"/>
    <w:rsid w:val="008B329E"/>
    <w:rsid w:val="008B393C"/>
    <w:rsid w:val="008B3CAE"/>
    <w:rsid w:val="008B3F37"/>
    <w:rsid w:val="008B46BE"/>
    <w:rsid w:val="008B4AC9"/>
    <w:rsid w:val="008B5380"/>
    <w:rsid w:val="008B54FF"/>
    <w:rsid w:val="008B5E5C"/>
    <w:rsid w:val="008B64D3"/>
    <w:rsid w:val="008B6AB2"/>
    <w:rsid w:val="008B70DA"/>
    <w:rsid w:val="008B7725"/>
    <w:rsid w:val="008B787E"/>
    <w:rsid w:val="008B7BA6"/>
    <w:rsid w:val="008C0C5B"/>
    <w:rsid w:val="008C1463"/>
    <w:rsid w:val="008C18CF"/>
    <w:rsid w:val="008C1B47"/>
    <w:rsid w:val="008C1F99"/>
    <w:rsid w:val="008C2321"/>
    <w:rsid w:val="008C23F0"/>
    <w:rsid w:val="008C2570"/>
    <w:rsid w:val="008C296D"/>
    <w:rsid w:val="008C3742"/>
    <w:rsid w:val="008C3D26"/>
    <w:rsid w:val="008C3E8A"/>
    <w:rsid w:val="008C400C"/>
    <w:rsid w:val="008C4B75"/>
    <w:rsid w:val="008C4C14"/>
    <w:rsid w:val="008C4DDC"/>
    <w:rsid w:val="008C538F"/>
    <w:rsid w:val="008C6331"/>
    <w:rsid w:val="008C7CC7"/>
    <w:rsid w:val="008C7DA0"/>
    <w:rsid w:val="008D00D1"/>
    <w:rsid w:val="008D11ED"/>
    <w:rsid w:val="008D1728"/>
    <w:rsid w:val="008D183D"/>
    <w:rsid w:val="008D1A9E"/>
    <w:rsid w:val="008D1EBD"/>
    <w:rsid w:val="008D21BC"/>
    <w:rsid w:val="008D3363"/>
    <w:rsid w:val="008D338E"/>
    <w:rsid w:val="008D33C7"/>
    <w:rsid w:val="008D34D6"/>
    <w:rsid w:val="008D3D4C"/>
    <w:rsid w:val="008D41AC"/>
    <w:rsid w:val="008D41D5"/>
    <w:rsid w:val="008D4765"/>
    <w:rsid w:val="008D4ABD"/>
    <w:rsid w:val="008D50CA"/>
    <w:rsid w:val="008D5ADE"/>
    <w:rsid w:val="008D5CCC"/>
    <w:rsid w:val="008D5E64"/>
    <w:rsid w:val="008D6324"/>
    <w:rsid w:val="008D66EF"/>
    <w:rsid w:val="008D67A8"/>
    <w:rsid w:val="008D6EAF"/>
    <w:rsid w:val="008D7055"/>
    <w:rsid w:val="008D7415"/>
    <w:rsid w:val="008D7853"/>
    <w:rsid w:val="008D78B5"/>
    <w:rsid w:val="008D7C33"/>
    <w:rsid w:val="008D7C39"/>
    <w:rsid w:val="008E0D51"/>
    <w:rsid w:val="008E11E3"/>
    <w:rsid w:val="008E299B"/>
    <w:rsid w:val="008E582C"/>
    <w:rsid w:val="008E5C86"/>
    <w:rsid w:val="008E5DB8"/>
    <w:rsid w:val="008E6786"/>
    <w:rsid w:val="008E6875"/>
    <w:rsid w:val="008E6A61"/>
    <w:rsid w:val="008E6E0D"/>
    <w:rsid w:val="008E73B0"/>
    <w:rsid w:val="008E76AA"/>
    <w:rsid w:val="008E76E3"/>
    <w:rsid w:val="008E7C16"/>
    <w:rsid w:val="008F081F"/>
    <w:rsid w:val="008F0A60"/>
    <w:rsid w:val="008F0E2E"/>
    <w:rsid w:val="008F1B90"/>
    <w:rsid w:val="008F2622"/>
    <w:rsid w:val="008F2892"/>
    <w:rsid w:val="008F28BF"/>
    <w:rsid w:val="008F3503"/>
    <w:rsid w:val="008F38D3"/>
    <w:rsid w:val="008F4362"/>
    <w:rsid w:val="008F46BF"/>
    <w:rsid w:val="008F48A5"/>
    <w:rsid w:val="008F4E6F"/>
    <w:rsid w:val="008F5626"/>
    <w:rsid w:val="008F5861"/>
    <w:rsid w:val="008F58C3"/>
    <w:rsid w:val="008F6029"/>
    <w:rsid w:val="008F64DA"/>
    <w:rsid w:val="008F652D"/>
    <w:rsid w:val="008F73E6"/>
    <w:rsid w:val="009002CF"/>
    <w:rsid w:val="009003F8"/>
    <w:rsid w:val="0090068C"/>
    <w:rsid w:val="00901BED"/>
    <w:rsid w:val="00901C98"/>
    <w:rsid w:val="00901F92"/>
    <w:rsid w:val="00901FF5"/>
    <w:rsid w:val="00901FFD"/>
    <w:rsid w:val="00902446"/>
    <w:rsid w:val="00902CF5"/>
    <w:rsid w:val="00902D74"/>
    <w:rsid w:val="00903210"/>
    <w:rsid w:val="00903947"/>
    <w:rsid w:val="00904763"/>
    <w:rsid w:val="00905570"/>
    <w:rsid w:val="009057B2"/>
    <w:rsid w:val="00905F72"/>
    <w:rsid w:val="00906D57"/>
    <w:rsid w:val="009075C9"/>
    <w:rsid w:val="00907E4E"/>
    <w:rsid w:val="0091078F"/>
    <w:rsid w:val="00910D2D"/>
    <w:rsid w:val="00911274"/>
    <w:rsid w:val="00911440"/>
    <w:rsid w:val="00912EA0"/>
    <w:rsid w:val="009134C6"/>
    <w:rsid w:val="00913A75"/>
    <w:rsid w:val="009149F3"/>
    <w:rsid w:val="00915977"/>
    <w:rsid w:val="009166FF"/>
    <w:rsid w:val="00916D9A"/>
    <w:rsid w:val="00917BC0"/>
    <w:rsid w:val="009205CB"/>
    <w:rsid w:val="00920A3E"/>
    <w:rsid w:val="00920D34"/>
    <w:rsid w:val="00920D36"/>
    <w:rsid w:val="00921057"/>
    <w:rsid w:val="009218C9"/>
    <w:rsid w:val="00922114"/>
    <w:rsid w:val="0092281B"/>
    <w:rsid w:val="00922F78"/>
    <w:rsid w:val="009230DE"/>
    <w:rsid w:val="00924515"/>
    <w:rsid w:val="00924A6D"/>
    <w:rsid w:val="00924AD3"/>
    <w:rsid w:val="0092534A"/>
    <w:rsid w:val="00925871"/>
    <w:rsid w:val="00925976"/>
    <w:rsid w:val="0092621A"/>
    <w:rsid w:val="009265F5"/>
    <w:rsid w:val="00926877"/>
    <w:rsid w:val="00926E58"/>
    <w:rsid w:val="00926EE9"/>
    <w:rsid w:val="009272A4"/>
    <w:rsid w:val="009276CB"/>
    <w:rsid w:val="00927710"/>
    <w:rsid w:val="009301DF"/>
    <w:rsid w:val="009302B0"/>
    <w:rsid w:val="00930727"/>
    <w:rsid w:val="009308BE"/>
    <w:rsid w:val="00930D64"/>
    <w:rsid w:val="00931D70"/>
    <w:rsid w:val="00931EC5"/>
    <w:rsid w:val="009321DC"/>
    <w:rsid w:val="0093273F"/>
    <w:rsid w:val="0093307A"/>
    <w:rsid w:val="009330A9"/>
    <w:rsid w:val="00933D92"/>
    <w:rsid w:val="00934A60"/>
    <w:rsid w:val="009354C0"/>
    <w:rsid w:val="00935563"/>
    <w:rsid w:val="009358F7"/>
    <w:rsid w:val="00935E2A"/>
    <w:rsid w:val="00936054"/>
    <w:rsid w:val="0093673E"/>
    <w:rsid w:val="009369D1"/>
    <w:rsid w:val="00936A7A"/>
    <w:rsid w:val="00937133"/>
    <w:rsid w:val="009400DA"/>
    <w:rsid w:val="00940C64"/>
    <w:rsid w:val="009410E9"/>
    <w:rsid w:val="00941DFE"/>
    <w:rsid w:val="00941F68"/>
    <w:rsid w:val="009425E5"/>
    <w:rsid w:val="009426C7"/>
    <w:rsid w:val="0094273C"/>
    <w:rsid w:val="00942D06"/>
    <w:rsid w:val="00942E00"/>
    <w:rsid w:val="009432D3"/>
    <w:rsid w:val="009434EA"/>
    <w:rsid w:val="009434F1"/>
    <w:rsid w:val="00943B3D"/>
    <w:rsid w:val="00943C14"/>
    <w:rsid w:val="00943DE1"/>
    <w:rsid w:val="00944CAC"/>
    <w:rsid w:val="00944F7D"/>
    <w:rsid w:val="00945BEF"/>
    <w:rsid w:val="00945D87"/>
    <w:rsid w:val="0094653A"/>
    <w:rsid w:val="00947B2B"/>
    <w:rsid w:val="00947E64"/>
    <w:rsid w:val="0095146A"/>
    <w:rsid w:val="00951717"/>
    <w:rsid w:val="009524F9"/>
    <w:rsid w:val="00953209"/>
    <w:rsid w:val="0095357A"/>
    <w:rsid w:val="009539F6"/>
    <w:rsid w:val="00953B92"/>
    <w:rsid w:val="00954C98"/>
    <w:rsid w:val="009551E2"/>
    <w:rsid w:val="00955C6B"/>
    <w:rsid w:val="00955D7A"/>
    <w:rsid w:val="00956FA2"/>
    <w:rsid w:val="00957630"/>
    <w:rsid w:val="00957821"/>
    <w:rsid w:val="00957C19"/>
    <w:rsid w:val="00960A99"/>
    <w:rsid w:val="009612DD"/>
    <w:rsid w:val="00961D7A"/>
    <w:rsid w:val="00961EB9"/>
    <w:rsid w:val="00962202"/>
    <w:rsid w:val="009624E1"/>
    <w:rsid w:val="00962FFF"/>
    <w:rsid w:val="0096358A"/>
    <w:rsid w:val="009635D0"/>
    <w:rsid w:val="009635D3"/>
    <w:rsid w:val="00963B14"/>
    <w:rsid w:val="009644AE"/>
    <w:rsid w:val="009644BC"/>
    <w:rsid w:val="00964A53"/>
    <w:rsid w:val="00964D7A"/>
    <w:rsid w:val="00964E24"/>
    <w:rsid w:val="00964F39"/>
    <w:rsid w:val="009651AD"/>
    <w:rsid w:val="00965434"/>
    <w:rsid w:val="009657A4"/>
    <w:rsid w:val="00965A02"/>
    <w:rsid w:val="00965D79"/>
    <w:rsid w:val="0096637A"/>
    <w:rsid w:val="00966552"/>
    <w:rsid w:val="00966CF3"/>
    <w:rsid w:val="0096779A"/>
    <w:rsid w:val="0096786C"/>
    <w:rsid w:val="009701A8"/>
    <w:rsid w:val="00970FAE"/>
    <w:rsid w:val="00971575"/>
    <w:rsid w:val="00972012"/>
    <w:rsid w:val="00972572"/>
    <w:rsid w:val="00973B82"/>
    <w:rsid w:val="009743BF"/>
    <w:rsid w:val="009744AE"/>
    <w:rsid w:val="00974701"/>
    <w:rsid w:val="00974BCB"/>
    <w:rsid w:val="00974CDA"/>
    <w:rsid w:val="00975196"/>
    <w:rsid w:val="009755EF"/>
    <w:rsid w:val="00975A5E"/>
    <w:rsid w:val="00975CCF"/>
    <w:rsid w:val="00975E06"/>
    <w:rsid w:val="00975E8E"/>
    <w:rsid w:val="00976308"/>
    <w:rsid w:val="009772DE"/>
    <w:rsid w:val="0097737A"/>
    <w:rsid w:val="009777D4"/>
    <w:rsid w:val="00980272"/>
    <w:rsid w:val="00980327"/>
    <w:rsid w:val="00980CBA"/>
    <w:rsid w:val="0098116A"/>
    <w:rsid w:val="00981362"/>
    <w:rsid w:val="00981500"/>
    <w:rsid w:val="009833F2"/>
    <w:rsid w:val="00984431"/>
    <w:rsid w:val="00985789"/>
    <w:rsid w:val="009860AA"/>
    <w:rsid w:val="00986895"/>
    <w:rsid w:val="00986D28"/>
    <w:rsid w:val="00987C17"/>
    <w:rsid w:val="00987E2D"/>
    <w:rsid w:val="00990E5E"/>
    <w:rsid w:val="009910AB"/>
    <w:rsid w:val="0099128F"/>
    <w:rsid w:val="00991AFD"/>
    <w:rsid w:val="00991D28"/>
    <w:rsid w:val="00991EDC"/>
    <w:rsid w:val="009933C4"/>
    <w:rsid w:val="00994574"/>
    <w:rsid w:val="0099511C"/>
    <w:rsid w:val="00995772"/>
    <w:rsid w:val="0099656E"/>
    <w:rsid w:val="0099710C"/>
    <w:rsid w:val="00997526"/>
    <w:rsid w:val="00997975"/>
    <w:rsid w:val="00997EA5"/>
    <w:rsid w:val="009A046B"/>
    <w:rsid w:val="009A0DFF"/>
    <w:rsid w:val="009A1AD9"/>
    <w:rsid w:val="009A1CF8"/>
    <w:rsid w:val="009A1D1E"/>
    <w:rsid w:val="009A223A"/>
    <w:rsid w:val="009A236B"/>
    <w:rsid w:val="009A26E4"/>
    <w:rsid w:val="009A2827"/>
    <w:rsid w:val="009A3F5F"/>
    <w:rsid w:val="009A42B3"/>
    <w:rsid w:val="009A574C"/>
    <w:rsid w:val="009A5BF2"/>
    <w:rsid w:val="009A6D3B"/>
    <w:rsid w:val="009A7057"/>
    <w:rsid w:val="009A79D4"/>
    <w:rsid w:val="009A7C8A"/>
    <w:rsid w:val="009B026C"/>
    <w:rsid w:val="009B0F2A"/>
    <w:rsid w:val="009B1609"/>
    <w:rsid w:val="009B293D"/>
    <w:rsid w:val="009B3103"/>
    <w:rsid w:val="009B3277"/>
    <w:rsid w:val="009B3481"/>
    <w:rsid w:val="009B39F0"/>
    <w:rsid w:val="009B3CDB"/>
    <w:rsid w:val="009B3ED0"/>
    <w:rsid w:val="009B4A28"/>
    <w:rsid w:val="009B4FF1"/>
    <w:rsid w:val="009B5D95"/>
    <w:rsid w:val="009B6208"/>
    <w:rsid w:val="009B6461"/>
    <w:rsid w:val="009B671C"/>
    <w:rsid w:val="009B6A78"/>
    <w:rsid w:val="009B70BB"/>
    <w:rsid w:val="009B7739"/>
    <w:rsid w:val="009B7A4C"/>
    <w:rsid w:val="009C001E"/>
    <w:rsid w:val="009C06BD"/>
    <w:rsid w:val="009C21FB"/>
    <w:rsid w:val="009C2205"/>
    <w:rsid w:val="009C29F1"/>
    <w:rsid w:val="009C2A6C"/>
    <w:rsid w:val="009C300B"/>
    <w:rsid w:val="009C3AB5"/>
    <w:rsid w:val="009C3D3C"/>
    <w:rsid w:val="009C4023"/>
    <w:rsid w:val="009C4134"/>
    <w:rsid w:val="009C4477"/>
    <w:rsid w:val="009C4746"/>
    <w:rsid w:val="009C4C2D"/>
    <w:rsid w:val="009C5092"/>
    <w:rsid w:val="009C5EC9"/>
    <w:rsid w:val="009C6152"/>
    <w:rsid w:val="009C638D"/>
    <w:rsid w:val="009C6EC5"/>
    <w:rsid w:val="009C6EDE"/>
    <w:rsid w:val="009C730D"/>
    <w:rsid w:val="009C7F25"/>
    <w:rsid w:val="009C7FEB"/>
    <w:rsid w:val="009D00E6"/>
    <w:rsid w:val="009D063A"/>
    <w:rsid w:val="009D1285"/>
    <w:rsid w:val="009D1881"/>
    <w:rsid w:val="009D195A"/>
    <w:rsid w:val="009D19DD"/>
    <w:rsid w:val="009D22C6"/>
    <w:rsid w:val="009D261C"/>
    <w:rsid w:val="009D2CCA"/>
    <w:rsid w:val="009D2DC1"/>
    <w:rsid w:val="009D327E"/>
    <w:rsid w:val="009D32EB"/>
    <w:rsid w:val="009D3627"/>
    <w:rsid w:val="009D3AE5"/>
    <w:rsid w:val="009D4284"/>
    <w:rsid w:val="009D438B"/>
    <w:rsid w:val="009D474D"/>
    <w:rsid w:val="009D4A75"/>
    <w:rsid w:val="009D4DD5"/>
    <w:rsid w:val="009D516D"/>
    <w:rsid w:val="009D5CF0"/>
    <w:rsid w:val="009D5F34"/>
    <w:rsid w:val="009D6646"/>
    <w:rsid w:val="009D6AC1"/>
    <w:rsid w:val="009D6F6B"/>
    <w:rsid w:val="009D6F72"/>
    <w:rsid w:val="009E0316"/>
    <w:rsid w:val="009E0867"/>
    <w:rsid w:val="009E0FFD"/>
    <w:rsid w:val="009E11C4"/>
    <w:rsid w:val="009E13C5"/>
    <w:rsid w:val="009E13CE"/>
    <w:rsid w:val="009E2342"/>
    <w:rsid w:val="009E268A"/>
    <w:rsid w:val="009E473D"/>
    <w:rsid w:val="009E488E"/>
    <w:rsid w:val="009E4F43"/>
    <w:rsid w:val="009E54BE"/>
    <w:rsid w:val="009E585F"/>
    <w:rsid w:val="009E594D"/>
    <w:rsid w:val="009E5D7C"/>
    <w:rsid w:val="009E64B7"/>
    <w:rsid w:val="009E6567"/>
    <w:rsid w:val="009E79A7"/>
    <w:rsid w:val="009F009A"/>
    <w:rsid w:val="009F00E3"/>
    <w:rsid w:val="009F0539"/>
    <w:rsid w:val="009F153C"/>
    <w:rsid w:val="009F35B9"/>
    <w:rsid w:val="009F3EF2"/>
    <w:rsid w:val="009F45C8"/>
    <w:rsid w:val="009F50CE"/>
    <w:rsid w:val="009F517C"/>
    <w:rsid w:val="009F56F1"/>
    <w:rsid w:val="009F5E93"/>
    <w:rsid w:val="009F63DF"/>
    <w:rsid w:val="009F651D"/>
    <w:rsid w:val="009F6645"/>
    <w:rsid w:val="009F7A78"/>
    <w:rsid w:val="009F7C3C"/>
    <w:rsid w:val="00A00278"/>
    <w:rsid w:val="00A00B75"/>
    <w:rsid w:val="00A00E47"/>
    <w:rsid w:val="00A00F29"/>
    <w:rsid w:val="00A014D8"/>
    <w:rsid w:val="00A014E0"/>
    <w:rsid w:val="00A0241F"/>
    <w:rsid w:val="00A0270E"/>
    <w:rsid w:val="00A02B6B"/>
    <w:rsid w:val="00A02E00"/>
    <w:rsid w:val="00A034E9"/>
    <w:rsid w:val="00A03DEB"/>
    <w:rsid w:val="00A03FA4"/>
    <w:rsid w:val="00A04027"/>
    <w:rsid w:val="00A04610"/>
    <w:rsid w:val="00A055EA"/>
    <w:rsid w:val="00A0625D"/>
    <w:rsid w:val="00A066AB"/>
    <w:rsid w:val="00A06C6A"/>
    <w:rsid w:val="00A07404"/>
    <w:rsid w:val="00A075EA"/>
    <w:rsid w:val="00A07971"/>
    <w:rsid w:val="00A1167F"/>
    <w:rsid w:val="00A11A7D"/>
    <w:rsid w:val="00A11CCF"/>
    <w:rsid w:val="00A11EF8"/>
    <w:rsid w:val="00A132A6"/>
    <w:rsid w:val="00A13B16"/>
    <w:rsid w:val="00A145D6"/>
    <w:rsid w:val="00A14776"/>
    <w:rsid w:val="00A14ACA"/>
    <w:rsid w:val="00A14BE6"/>
    <w:rsid w:val="00A14CB3"/>
    <w:rsid w:val="00A15620"/>
    <w:rsid w:val="00A156ED"/>
    <w:rsid w:val="00A1587A"/>
    <w:rsid w:val="00A15A67"/>
    <w:rsid w:val="00A15D80"/>
    <w:rsid w:val="00A15E1F"/>
    <w:rsid w:val="00A16957"/>
    <w:rsid w:val="00A16B66"/>
    <w:rsid w:val="00A16C35"/>
    <w:rsid w:val="00A17511"/>
    <w:rsid w:val="00A200B9"/>
    <w:rsid w:val="00A20895"/>
    <w:rsid w:val="00A20C60"/>
    <w:rsid w:val="00A21429"/>
    <w:rsid w:val="00A21E0B"/>
    <w:rsid w:val="00A22381"/>
    <w:rsid w:val="00A22D45"/>
    <w:rsid w:val="00A22DD6"/>
    <w:rsid w:val="00A233C3"/>
    <w:rsid w:val="00A244BD"/>
    <w:rsid w:val="00A24D68"/>
    <w:rsid w:val="00A24ECC"/>
    <w:rsid w:val="00A2545F"/>
    <w:rsid w:val="00A25B4D"/>
    <w:rsid w:val="00A25D7F"/>
    <w:rsid w:val="00A25EEE"/>
    <w:rsid w:val="00A26198"/>
    <w:rsid w:val="00A269F1"/>
    <w:rsid w:val="00A26B6E"/>
    <w:rsid w:val="00A270EB"/>
    <w:rsid w:val="00A27B8D"/>
    <w:rsid w:val="00A307D9"/>
    <w:rsid w:val="00A308B5"/>
    <w:rsid w:val="00A30A01"/>
    <w:rsid w:val="00A30A35"/>
    <w:rsid w:val="00A30F9A"/>
    <w:rsid w:val="00A3164E"/>
    <w:rsid w:val="00A31B1E"/>
    <w:rsid w:val="00A31C4B"/>
    <w:rsid w:val="00A32BDD"/>
    <w:rsid w:val="00A333E2"/>
    <w:rsid w:val="00A34B13"/>
    <w:rsid w:val="00A360E3"/>
    <w:rsid w:val="00A37319"/>
    <w:rsid w:val="00A3795F"/>
    <w:rsid w:val="00A37EFD"/>
    <w:rsid w:val="00A4001C"/>
    <w:rsid w:val="00A40892"/>
    <w:rsid w:val="00A4138A"/>
    <w:rsid w:val="00A414AC"/>
    <w:rsid w:val="00A41738"/>
    <w:rsid w:val="00A41814"/>
    <w:rsid w:val="00A41AD5"/>
    <w:rsid w:val="00A4215F"/>
    <w:rsid w:val="00A4233B"/>
    <w:rsid w:val="00A429C8"/>
    <w:rsid w:val="00A42D7C"/>
    <w:rsid w:val="00A42F64"/>
    <w:rsid w:val="00A43AF6"/>
    <w:rsid w:val="00A44F01"/>
    <w:rsid w:val="00A453CA"/>
    <w:rsid w:val="00A45413"/>
    <w:rsid w:val="00A45871"/>
    <w:rsid w:val="00A45AD9"/>
    <w:rsid w:val="00A46216"/>
    <w:rsid w:val="00A464C1"/>
    <w:rsid w:val="00A46729"/>
    <w:rsid w:val="00A46C99"/>
    <w:rsid w:val="00A510EC"/>
    <w:rsid w:val="00A51561"/>
    <w:rsid w:val="00A5172E"/>
    <w:rsid w:val="00A51F30"/>
    <w:rsid w:val="00A5254A"/>
    <w:rsid w:val="00A52982"/>
    <w:rsid w:val="00A52F36"/>
    <w:rsid w:val="00A5361F"/>
    <w:rsid w:val="00A537B5"/>
    <w:rsid w:val="00A5423D"/>
    <w:rsid w:val="00A5445D"/>
    <w:rsid w:val="00A545F7"/>
    <w:rsid w:val="00A5463A"/>
    <w:rsid w:val="00A554B3"/>
    <w:rsid w:val="00A554C3"/>
    <w:rsid w:val="00A55626"/>
    <w:rsid w:val="00A56481"/>
    <w:rsid w:val="00A565AF"/>
    <w:rsid w:val="00A5682A"/>
    <w:rsid w:val="00A57DFE"/>
    <w:rsid w:val="00A6097C"/>
    <w:rsid w:val="00A60C54"/>
    <w:rsid w:val="00A6183D"/>
    <w:rsid w:val="00A6237E"/>
    <w:rsid w:val="00A62419"/>
    <w:rsid w:val="00A62823"/>
    <w:rsid w:val="00A63A1A"/>
    <w:rsid w:val="00A63AF4"/>
    <w:rsid w:val="00A645EE"/>
    <w:rsid w:val="00A646B8"/>
    <w:rsid w:val="00A64765"/>
    <w:rsid w:val="00A64E18"/>
    <w:rsid w:val="00A65DC3"/>
    <w:rsid w:val="00A6666E"/>
    <w:rsid w:val="00A66C03"/>
    <w:rsid w:val="00A67206"/>
    <w:rsid w:val="00A67398"/>
    <w:rsid w:val="00A67531"/>
    <w:rsid w:val="00A6781E"/>
    <w:rsid w:val="00A70D1C"/>
    <w:rsid w:val="00A70DE0"/>
    <w:rsid w:val="00A7110E"/>
    <w:rsid w:val="00A71546"/>
    <w:rsid w:val="00A71F90"/>
    <w:rsid w:val="00A721C5"/>
    <w:rsid w:val="00A7236A"/>
    <w:rsid w:val="00A7526D"/>
    <w:rsid w:val="00A7533B"/>
    <w:rsid w:val="00A7645F"/>
    <w:rsid w:val="00A76763"/>
    <w:rsid w:val="00A7703F"/>
    <w:rsid w:val="00A7724C"/>
    <w:rsid w:val="00A807A1"/>
    <w:rsid w:val="00A80964"/>
    <w:rsid w:val="00A82377"/>
    <w:rsid w:val="00A8252F"/>
    <w:rsid w:val="00A82762"/>
    <w:rsid w:val="00A82BC4"/>
    <w:rsid w:val="00A8336E"/>
    <w:rsid w:val="00A836FC"/>
    <w:rsid w:val="00A837ED"/>
    <w:rsid w:val="00A83D0C"/>
    <w:rsid w:val="00A83DD7"/>
    <w:rsid w:val="00A84060"/>
    <w:rsid w:val="00A8589C"/>
    <w:rsid w:val="00A86407"/>
    <w:rsid w:val="00A864A9"/>
    <w:rsid w:val="00A872D9"/>
    <w:rsid w:val="00A8752A"/>
    <w:rsid w:val="00A877C9"/>
    <w:rsid w:val="00A90682"/>
    <w:rsid w:val="00A90A11"/>
    <w:rsid w:val="00A90F70"/>
    <w:rsid w:val="00A911D9"/>
    <w:rsid w:val="00A91E05"/>
    <w:rsid w:val="00A92CBF"/>
    <w:rsid w:val="00A92E66"/>
    <w:rsid w:val="00A93A86"/>
    <w:rsid w:val="00A9457A"/>
    <w:rsid w:val="00A94E5E"/>
    <w:rsid w:val="00A95676"/>
    <w:rsid w:val="00A97773"/>
    <w:rsid w:val="00A97F8F"/>
    <w:rsid w:val="00AA1817"/>
    <w:rsid w:val="00AA1B2E"/>
    <w:rsid w:val="00AA223C"/>
    <w:rsid w:val="00AA3836"/>
    <w:rsid w:val="00AA447C"/>
    <w:rsid w:val="00AA4FD6"/>
    <w:rsid w:val="00AA53E6"/>
    <w:rsid w:val="00AA56EA"/>
    <w:rsid w:val="00AA5927"/>
    <w:rsid w:val="00AA5DF9"/>
    <w:rsid w:val="00AA60A3"/>
    <w:rsid w:val="00AA671C"/>
    <w:rsid w:val="00AA67C8"/>
    <w:rsid w:val="00AA7148"/>
    <w:rsid w:val="00AA747F"/>
    <w:rsid w:val="00AA7A4B"/>
    <w:rsid w:val="00AB05B5"/>
    <w:rsid w:val="00AB0723"/>
    <w:rsid w:val="00AB1443"/>
    <w:rsid w:val="00AB18DB"/>
    <w:rsid w:val="00AB22A7"/>
    <w:rsid w:val="00AB27C0"/>
    <w:rsid w:val="00AB2A35"/>
    <w:rsid w:val="00AB2F07"/>
    <w:rsid w:val="00AB324A"/>
    <w:rsid w:val="00AB4120"/>
    <w:rsid w:val="00AB43F3"/>
    <w:rsid w:val="00AB4961"/>
    <w:rsid w:val="00AB56B1"/>
    <w:rsid w:val="00AB5A77"/>
    <w:rsid w:val="00AB6074"/>
    <w:rsid w:val="00AB66E4"/>
    <w:rsid w:val="00AB6F65"/>
    <w:rsid w:val="00AB77AA"/>
    <w:rsid w:val="00AB78B0"/>
    <w:rsid w:val="00AB7FD3"/>
    <w:rsid w:val="00AC1974"/>
    <w:rsid w:val="00AC2329"/>
    <w:rsid w:val="00AC2EDF"/>
    <w:rsid w:val="00AC33A3"/>
    <w:rsid w:val="00AC3537"/>
    <w:rsid w:val="00AC3664"/>
    <w:rsid w:val="00AC3731"/>
    <w:rsid w:val="00AC379B"/>
    <w:rsid w:val="00AC4562"/>
    <w:rsid w:val="00AC48B7"/>
    <w:rsid w:val="00AC48DA"/>
    <w:rsid w:val="00AC4ADA"/>
    <w:rsid w:val="00AC4C8C"/>
    <w:rsid w:val="00AC51FF"/>
    <w:rsid w:val="00AC61E2"/>
    <w:rsid w:val="00AC65D3"/>
    <w:rsid w:val="00AC6822"/>
    <w:rsid w:val="00AC7040"/>
    <w:rsid w:val="00AC7904"/>
    <w:rsid w:val="00AC7A71"/>
    <w:rsid w:val="00AC7C5A"/>
    <w:rsid w:val="00AC7DC8"/>
    <w:rsid w:val="00AD054A"/>
    <w:rsid w:val="00AD085B"/>
    <w:rsid w:val="00AD0D8B"/>
    <w:rsid w:val="00AD1002"/>
    <w:rsid w:val="00AD140E"/>
    <w:rsid w:val="00AD16DE"/>
    <w:rsid w:val="00AD17EA"/>
    <w:rsid w:val="00AD1BF9"/>
    <w:rsid w:val="00AD29A0"/>
    <w:rsid w:val="00AD3557"/>
    <w:rsid w:val="00AD44D1"/>
    <w:rsid w:val="00AD4855"/>
    <w:rsid w:val="00AD63BE"/>
    <w:rsid w:val="00AD6FEA"/>
    <w:rsid w:val="00AD7184"/>
    <w:rsid w:val="00AE017A"/>
    <w:rsid w:val="00AE017B"/>
    <w:rsid w:val="00AE0E11"/>
    <w:rsid w:val="00AE1C30"/>
    <w:rsid w:val="00AE2F0D"/>
    <w:rsid w:val="00AE354A"/>
    <w:rsid w:val="00AE377E"/>
    <w:rsid w:val="00AE4303"/>
    <w:rsid w:val="00AE4E82"/>
    <w:rsid w:val="00AE504C"/>
    <w:rsid w:val="00AE5677"/>
    <w:rsid w:val="00AE6AD7"/>
    <w:rsid w:val="00AE6D08"/>
    <w:rsid w:val="00AE6DF0"/>
    <w:rsid w:val="00AE758D"/>
    <w:rsid w:val="00AE7F7B"/>
    <w:rsid w:val="00AF00B3"/>
    <w:rsid w:val="00AF0276"/>
    <w:rsid w:val="00AF0299"/>
    <w:rsid w:val="00AF041E"/>
    <w:rsid w:val="00AF07CD"/>
    <w:rsid w:val="00AF0EBE"/>
    <w:rsid w:val="00AF0F64"/>
    <w:rsid w:val="00AF1968"/>
    <w:rsid w:val="00AF449C"/>
    <w:rsid w:val="00AF48A6"/>
    <w:rsid w:val="00AF48F7"/>
    <w:rsid w:val="00AF52E0"/>
    <w:rsid w:val="00AF6143"/>
    <w:rsid w:val="00AF7336"/>
    <w:rsid w:val="00AF7C3E"/>
    <w:rsid w:val="00B0033E"/>
    <w:rsid w:val="00B02560"/>
    <w:rsid w:val="00B02721"/>
    <w:rsid w:val="00B03825"/>
    <w:rsid w:val="00B03ABC"/>
    <w:rsid w:val="00B044B1"/>
    <w:rsid w:val="00B0450C"/>
    <w:rsid w:val="00B04BED"/>
    <w:rsid w:val="00B04EC9"/>
    <w:rsid w:val="00B052A6"/>
    <w:rsid w:val="00B0571C"/>
    <w:rsid w:val="00B07096"/>
    <w:rsid w:val="00B07CA9"/>
    <w:rsid w:val="00B11135"/>
    <w:rsid w:val="00B11321"/>
    <w:rsid w:val="00B113F4"/>
    <w:rsid w:val="00B11EFF"/>
    <w:rsid w:val="00B11F77"/>
    <w:rsid w:val="00B12622"/>
    <w:rsid w:val="00B12F1D"/>
    <w:rsid w:val="00B1361A"/>
    <w:rsid w:val="00B13B2F"/>
    <w:rsid w:val="00B14221"/>
    <w:rsid w:val="00B1454D"/>
    <w:rsid w:val="00B15B79"/>
    <w:rsid w:val="00B15F62"/>
    <w:rsid w:val="00B162D2"/>
    <w:rsid w:val="00B168F9"/>
    <w:rsid w:val="00B16FBD"/>
    <w:rsid w:val="00B170B2"/>
    <w:rsid w:val="00B17405"/>
    <w:rsid w:val="00B17CB1"/>
    <w:rsid w:val="00B216F8"/>
    <w:rsid w:val="00B21941"/>
    <w:rsid w:val="00B21E92"/>
    <w:rsid w:val="00B22113"/>
    <w:rsid w:val="00B22335"/>
    <w:rsid w:val="00B2245D"/>
    <w:rsid w:val="00B2292C"/>
    <w:rsid w:val="00B22D0F"/>
    <w:rsid w:val="00B237C0"/>
    <w:rsid w:val="00B240A0"/>
    <w:rsid w:val="00B25D77"/>
    <w:rsid w:val="00B25FAF"/>
    <w:rsid w:val="00B25FBA"/>
    <w:rsid w:val="00B2794F"/>
    <w:rsid w:val="00B30674"/>
    <w:rsid w:val="00B313CD"/>
    <w:rsid w:val="00B31AA2"/>
    <w:rsid w:val="00B31CAA"/>
    <w:rsid w:val="00B332B1"/>
    <w:rsid w:val="00B332BE"/>
    <w:rsid w:val="00B335CD"/>
    <w:rsid w:val="00B3457B"/>
    <w:rsid w:val="00B34A7D"/>
    <w:rsid w:val="00B34B0E"/>
    <w:rsid w:val="00B356A4"/>
    <w:rsid w:val="00B3679B"/>
    <w:rsid w:val="00B36877"/>
    <w:rsid w:val="00B36968"/>
    <w:rsid w:val="00B369BA"/>
    <w:rsid w:val="00B378C1"/>
    <w:rsid w:val="00B37C6B"/>
    <w:rsid w:val="00B40805"/>
    <w:rsid w:val="00B40A63"/>
    <w:rsid w:val="00B40D51"/>
    <w:rsid w:val="00B41955"/>
    <w:rsid w:val="00B427DC"/>
    <w:rsid w:val="00B42B0B"/>
    <w:rsid w:val="00B4322D"/>
    <w:rsid w:val="00B433E0"/>
    <w:rsid w:val="00B43E8B"/>
    <w:rsid w:val="00B43F31"/>
    <w:rsid w:val="00B44169"/>
    <w:rsid w:val="00B4460F"/>
    <w:rsid w:val="00B447E9"/>
    <w:rsid w:val="00B44BCF"/>
    <w:rsid w:val="00B451EB"/>
    <w:rsid w:val="00B4625F"/>
    <w:rsid w:val="00B46786"/>
    <w:rsid w:val="00B4763C"/>
    <w:rsid w:val="00B47D75"/>
    <w:rsid w:val="00B5025A"/>
    <w:rsid w:val="00B5041D"/>
    <w:rsid w:val="00B50C3F"/>
    <w:rsid w:val="00B51ECE"/>
    <w:rsid w:val="00B537F1"/>
    <w:rsid w:val="00B53912"/>
    <w:rsid w:val="00B53E58"/>
    <w:rsid w:val="00B54626"/>
    <w:rsid w:val="00B54B0C"/>
    <w:rsid w:val="00B54F81"/>
    <w:rsid w:val="00B54F86"/>
    <w:rsid w:val="00B5655C"/>
    <w:rsid w:val="00B56975"/>
    <w:rsid w:val="00B57063"/>
    <w:rsid w:val="00B570D4"/>
    <w:rsid w:val="00B57818"/>
    <w:rsid w:val="00B5788D"/>
    <w:rsid w:val="00B60471"/>
    <w:rsid w:val="00B622B5"/>
    <w:rsid w:val="00B62843"/>
    <w:rsid w:val="00B62929"/>
    <w:rsid w:val="00B6307F"/>
    <w:rsid w:val="00B63396"/>
    <w:rsid w:val="00B635D2"/>
    <w:rsid w:val="00B63B71"/>
    <w:rsid w:val="00B63C14"/>
    <w:rsid w:val="00B6406C"/>
    <w:rsid w:val="00B643BA"/>
    <w:rsid w:val="00B645E1"/>
    <w:rsid w:val="00B64C6E"/>
    <w:rsid w:val="00B65508"/>
    <w:rsid w:val="00B65E31"/>
    <w:rsid w:val="00B65FA5"/>
    <w:rsid w:val="00B6617B"/>
    <w:rsid w:val="00B6660E"/>
    <w:rsid w:val="00B670DA"/>
    <w:rsid w:val="00B67913"/>
    <w:rsid w:val="00B67FBC"/>
    <w:rsid w:val="00B70446"/>
    <w:rsid w:val="00B70650"/>
    <w:rsid w:val="00B706E0"/>
    <w:rsid w:val="00B712A2"/>
    <w:rsid w:val="00B7136B"/>
    <w:rsid w:val="00B717C4"/>
    <w:rsid w:val="00B718A6"/>
    <w:rsid w:val="00B71B60"/>
    <w:rsid w:val="00B72070"/>
    <w:rsid w:val="00B7217D"/>
    <w:rsid w:val="00B72DF8"/>
    <w:rsid w:val="00B74107"/>
    <w:rsid w:val="00B7424D"/>
    <w:rsid w:val="00B74518"/>
    <w:rsid w:val="00B74ADB"/>
    <w:rsid w:val="00B754C1"/>
    <w:rsid w:val="00B76321"/>
    <w:rsid w:val="00B764DD"/>
    <w:rsid w:val="00B7670C"/>
    <w:rsid w:val="00B767C0"/>
    <w:rsid w:val="00B769A3"/>
    <w:rsid w:val="00B77DD9"/>
    <w:rsid w:val="00B8087E"/>
    <w:rsid w:val="00B81341"/>
    <w:rsid w:val="00B820A6"/>
    <w:rsid w:val="00B8214F"/>
    <w:rsid w:val="00B8288C"/>
    <w:rsid w:val="00B828CA"/>
    <w:rsid w:val="00B837D6"/>
    <w:rsid w:val="00B83A31"/>
    <w:rsid w:val="00B83B72"/>
    <w:rsid w:val="00B83BAB"/>
    <w:rsid w:val="00B83EC9"/>
    <w:rsid w:val="00B83F1B"/>
    <w:rsid w:val="00B840D5"/>
    <w:rsid w:val="00B84102"/>
    <w:rsid w:val="00B84347"/>
    <w:rsid w:val="00B84468"/>
    <w:rsid w:val="00B854A4"/>
    <w:rsid w:val="00B85763"/>
    <w:rsid w:val="00B86579"/>
    <w:rsid w:val="00B865BD"/>
    <w:rsid w:val="00B86949"/>
    <w:rsid w:val="00B86966"/>
    <w:rsid w:val="00B86E54"/>
    <w:rsid w:val="00B86F5C"/>
    <w:rsid w:val="00B87651"/>
    <w:rsid w:val="00B879A5"/>
    <w:rsid w:val="00B9174E"/>
    <w:rsid w:val="00B92046"/>
    <w:rsid w:val="00B92C05"/>
    <w:rsid w:val="00B92E2F"/>
    <w:rsid w:val="00B93719"/>
    <w:rsid w:val="00B95ACF"/>
    <w:rsid w:val="00B96B13"/>
    <w:rsid w:val="00B96B8B"/>
    <w:rsid w:val="00B978C8"/>
    <w:rsid w:val="00BA0209"/>
    <w:rsid w:val="00BA1004"/>
    <w:rsid w:val="00BA12BF"/>
    <w:rsid w:val="00BA1D31"/>
    <w:rsid w:val="00BA24AF"/>
    <w:rsid w:val="00BA29FD"/>
    <w:rsid w:val="00BA3013"/>
    <w:rsid w:val="00BA30C2"/>
    <w:rsid w:val="00BA3F67"/>
    <w:rsid w:val="00BA40D7"/>
    <w:rsid w:val="00BA43FB"/>
    <w:rsid w:val="00BA51FE"/>
    <w:rsid w:val="00BA720E"/>
    <w:rsid w:val="00BA7DD2"/>
    <w:rsid w:val="00BB0A38"/>
    <w:rsid w:val="00BB0A90"/>
    <w:rsid w:val="00BB0DD6"/>
    <w:rsid w:val="00BB1C55"/>
    <w:rsid w:val="00BB1C75"/>
    <w:rsid w:val="00BB38E5"/>
    <w:rsid w:val="00BB3C4F"/>
    <w:rsid w:val="00BB42F6"/>
    <w:rsid w:val="00BB443D"/>
    <w:rsid w:val="00BB44D3"/>
    <w:rsid w:val="00BB4D6D"/>
    <w:rsid w:val="00BB52B6"/>
    <w:rsid w:val="00BB5309"/>
    <w:rsid w:val="00BB5B60"/>
    <w:rsid w:val="00BB5C0E"/>
    <w:rsid w:val="00BB5EF4"/>
    <w:rsid w:val="00BB6315"/>
    <w:rsid w:val="00BB6C31"/>
    <w:rsid w:val="00BB750A"/>
    <w:rsid w:val="00BB7FF3"/>
    <w:rsid w:val="00BC1C0A"/>
    <w:rsid w:val="00BC217C"/>
    <w:rsid w:val="00BC2763"/>
    <w:rsid w:val="00BC293F"/>
    <w:rsid w:val="00BC2A43"/>
    <w:rsid w:val="00BC35DB"/>
    <w:rsid w:val="00BC3604"/>
    <w:rsid w:val="00BC3A1B"/>
    <w:rsid w:val="00BC43AB"/>
    <w:rsid w:val="00BC458E"/>
    <w:rsid w:val="00BC5063"/>
    <w:rsid w:val="00BC6446"/>
    <w:rsid w:val="00BC6645"/>
    <w:rsid w:val="00BC6F82"/>
    <w:rsid w:val="00BC795C"/>
    <w:rsid w:val="00BC7BCA"/>
    <w:rsid w:val="00BD0A6E"/>
    <w:rsid w:val="00BD0D9B"/>
    <w:rsid w:val="00BD147F"/>
    <w:rsid w:val="00BD19DD"/>
    <w:rsid w:val="00BD395D"/>
    <w:rsid w:val="00BD3C94"/>
    <w:rsid w:val="00BD3F1D"/>
    <w:rsid w:val="00BD4742"/>
    <w:rsid w:val="00BD4EF2"/>
    <w:rsid w:val="00BD4FBD"/>
    <w:rsid w:val="00BD5843"/>
    <w:rsid w:val="00BD5F15"/>
    <w:rsid w:val="00BD687B"/>
    <w:rsid w:val="00BD7247"/>
    <w:rsid w:val="00BD7262"/>
    <w:rsid w:val="00BE0267"/>
    <w:rsid w:val="00BE0B7C"/>
    <w:rsid w:val="00BE0F2B"/>
    <w:rsid w:val="00BE0FA6"/>
    <w:rsid w:val="00BE21B4"/>
    <w:rsid w:val="00BE2AF7"/>
    <w:rsid w:val="00BE3053"/>
    <w:rsid w:val="00BE3B02"/>
    <w:rsid w:val="00BE4BCF"/>
    <w:rsid w:val="00BE4D9D"/>
    <w:rsid w:val="00BE5123"/>
    <w:rsid w:val="00BE5500"/>
    <w:rsid w:val="00BE573F"/>
    <w:rsid w:val="00BE5795"/>
    <w:rsid w:val="00BE5C73"/>
    <w:rsid w:val="00BE5D7E"/>
    <w:rsid w:val="00BE6423"/>
    <w:rsid w:val="00BE68D0"/>
    <w:rsid w:val="00BF0660"/>
    <w:rsid w:val="00BF16C8"/>
    <w:rsid w:val="00BF1A02"/>
    <w:rsid w:val="00BF261A"/>
    <w:rsid w:val="00BF30C3"/>
    <w:rsid w:val="00BF32D9"/>
    <w:rsid w:val="00BF34A9"/>
    <w:rsid w:val="00BF3B4C"/>
    <w:rsid w:val="00BF42DF"/>
    <w:rsid w:val="00BF43A5"/>
    <w:rsid w:val="00BF45C9"/>
    <w:rsid w:val="00BF4B79"/>
    <w:rsid w:val="00BF4D51"/>
    <w:rsid w:val="00BF52E6"/>
    <w:rsid w:val="00BF5330"/>
    <w:rsid w:val="00BF60B4"/>
    <w:rsid w:val="00BF6883"/>
    <w:rsid w:val="00BF7139"/>
    <w:rsid w:val="00C00A5B"/>
    <w:rsid w:val="00C010A0"/>
    <w:rsid w:val="00C0165B"/>
    <w:rsid w:val="00C01AE1"/>
    <w:rsid w:val="00C01C58"/>
    <w:rsid w:val="00C02094"/>
    <w:rsid w:val="00C021C0"/>
    <w:rsid w:val="00C02244"/>
    <w:rsid w:val="00C02361"/>
    <w:rsid w:val="00C0311D"/>
    <w:rsid w:val="00C04249"/>
    <w:rsid w:val="00C0469A"/>
    <w:rsid w:val="00C05373"/>
    <w:rsid w:val="00C056F2"/>
    <w:rsid w:val="00C05891"/>
    <w:rsid w:val="00C05B5A"/>
    <w:rsid w:val="00C05EF7"/>
    <w:rsid w:val="00C071DB"/>
    <w:rsid w:val="00C07949"/>
    <w:rsid w:val="00C07F10"/>
    <w:rsid w:val="00C10621"/>
    <w:rsid w:val="00C10C3F"/>
    <w:rsid w:val="00C10E3C"/>
    <w:rsid w:val="00C10F4C"/>
    <w:rsid w:val="00C11191"/>
    <w:rsid w:val="00C11973"/>
    <w:rsid w:val="00C1222A"/>
    <w:rsid w:val="00C128D4"/>
    <w:rsid w:val="00C13307"/>
    <w:rsid w:val="00C13DFE"/>
    <w:rsid w:val="00C146E3"/>
    <w:rsid w:val="00C14F3F"/>
    <w:rsid w:val="00C15595"/>
    <w:rsid w:val="00C157AA"/>
    <w:rsid w:val="00C1587B"/>
    <w:rsid w:val="00C15F87"/>
    <w:rsid w:val="00C16988"/>
    <w:rsid w:val="00C17D12"/>
    <w:rsid w:val="00C205CF"/>
    <w:rsid w:val="00C2090C"/>
    <w:rsid w:val="00C20972"/>
    <w:rsid w:val="00C2123C"/>
    <w:rsid w:val="00C218E3"/>
    <w:rsid w:val="00C21BBD"/>
    <w:rsid w:val="00C2302B"/>
    <w:rsid w:val="00C23A85"/>
    <w:rsid w:val="00C23FF4"/>
    <w:rsid w:val="00C24B33"/>
    <w:rsid w:val="00C250D4"/>
    <w:rsid w:val="00C25311"/>
    <w:rsid w:val="00C2592F"/>
    <w:rsid w:val="00C25A2D"/>
    <w:rsid w:val="00C25D64"/>
    <w:rsid w:val="00C263D7"/>
    <w:rsid w:val="00C26B16"/>
    <w:rsid w:val="00C27142"/>
    <w:rsid w:val="00C30796"/>
    <w:rsid w:val="00C30C8B"/>
    <w:rsid w:val="00C30D22"/>
    <w:rsid w:val="00C31D03"/>
    <w:rsid w:val="00C322A1"/>
    <w:rsid w:val="00C32386"/>
    <w:rsid w:val="00C32A15"/>
    <w:rsid w:val="00C3338F"/>
    <w:rsid w:val="00C33573"/>
    <w:rsid w:val="00C33EBF"/>
    <w:rsid w:val="00C3429E"/>
    <w:rsid w:val="00C34B06"/>
    <w:rsid w:val="00C34D47"/>
    <w:rsid w:val="00C34E86"/>
    <w:rsid w:val="00C362D8"/>
    <w:rsid w:val="00C3639D"/>
    <w:rsid w:val="00C36465"/>
    <w:rsid w:val="00C36628"/>
    <w:rsid w:val="00C369E3"/>
    <w:rsid w:val="00C37101"/>
    <w:rsid w:val="00C376F1"/>
    <w:rsid w:val="00C377BF"/>
    <w:rsid w:val="00C378B7"/>
    <w:rsid w:val="00C37957"/>
    <w:rsid w:val="00C37C6E"/>
    <w:rsid w:val="00C405CC"/>
    <w:rsid w:val="00C4066E"/>
    <w:rsid w:val="00C407D0"/>
    <w:rsid w:val="00C4086E"/>
    <w:rsid w:val="00C40DDA"/>
    <w:rsid w:val="00C414BD"/>
    <w:rsid w:val="00C41647"/>
    <w:rsid w:val="00C419B6"/>
    <w:rsid w:val="00C42FDE"/>
    <w:rsid w:val="00C43B2C"/>
    <w:rsid w:val="00C44E4B"/>
    <w:rsid w:val="00C46301"/>
    <w:rsid w:val="00C46419"/>
    <w:rsid w:val="00C46E92"/>
    <w:rsid w:val="00C47B5D"/>
    <w:rsid w:val="00C47BF9"/>
    <w:rsid w:val="00C5032D"/>
    <w:rsid w:val="00C504F5"/>
    <w:rsid w:val="00C50585"/>
    <w:rsid w:val="00C50744"/>
    <w:rsid w:val="00C508D0"/>
    <w:rsid w:val="00C50F95"/>
    <w:rsid w:val="00C51359"/>
    <w:rsid w:val="00C5196A"/>
    <w:rsid w:val="00C51DCB"/>
    <w:rsid w:val="00C51F2D"/>
    <w:rsid w:val="00C5359B"/>
    <w:rsid w:val="00C5387B"/>
    <w:rsid w:val="00C53BF5"/>
    <w:rsid w:val="00C54103"/>
    <w:rsid w:val="00C54767"/>
    <w:rsid w:val="00C55215"/>
    <w:rsid w:val="00C55A79"/>
    <w:rsid w:val="00C55DDD"/>
    <w:rsid w:val="00C563FE"/>
    <w:rsid w:val="00C56487"/>
    <w:rsid w:val="00C56873"/>
    <w:rsid w:val="00C56D15"/>
    <w:rsid w:val="00C56DA5"/>
    <w:rsid w:val="00C573C0"/>
    <w:rsid w:val="00C57CA6"/>
    <w:rsid w:val="00C57E86"/>
    <w:rsid w:val="00C60B3E"/>
    <w:rsid w:val="00C61076"/>
    <w:rsid w:val="00C610EB"/>
    <w:rsid w:val="00C61237"/>
    <w:rsid w:val="00C6184F"/>
    <w:rsid w:val="00C6230D"/>
    <w:rsid w:val="00C62DD4"/>
    <w:rsid w:val="00C63333"/>
    <w:rsid w:val="00C64467"/>
    <w:rsid w:val="00C64A59"/>
    <w:rsid w:val="00C64DB6"/>
    <w:rsid w:val="00C66B5D"/>
    <w:rsid w:val="00C709DF"/>
    <w:rsid w:val="00C71147"/>
    <w:rsid w:val="00C71314"/>
    <w:rsid w:val="00C71D89"/>
    <w:rsid w:val="00C71EC6"/>
    <w:rsid w:val="00C71ECB"/>
    <w:rsid w:val="00C72020"/>
    <w:rsid w:val="00C722EF"/>
    <w:rsid w:val="00C72571"/>
    <w:rsid w:val="00C7257F"/>
    <w:rsid w:val="00C72D28"/>
    <w:rsid w:val="00C72D5F"/>
    <w:rsid w:val="00C73EC5"/>
    <w:rsid w:val="00C7480E"/>
    <w:rsid w:val="00C75CAA"/>
    <w:rsid w:val="00C76051"/>
    <w:rsid w:val="00C766AA"/>
    <w:rsid w:val="00C7676A"/>
    <w:rsid w:val="00C76C52"/>
    <w:rsid w:val="00C7765D"/>
    <w:rsid w:val="00C802AF"/>
    <w:rsid w:val="00C807BE"/>
    <w:rsid w:val="00C808BF"/>
    <w:rsid w:val="00C80C9B"/>
    <w:rsid w:val="00C817A2"/>
    <w:rsid w:val="00C817A9"/>
    <w:rsid w:val="00C8229F"/>
    <w:rsid w:val="00C828AC"/>
    <w:rsid w:val="00C82C3F"/>
    <w:rsid w:val="00C8342A"/>
    <w:rsid w:val="00C83AE3"/>
    <w:rsid w:val="00C85F2E"/>
    <w:rsid w:val="00C86821"/>
    <w:rsid w:val="00C86B7D"/>
    <w:rsid w:val="00C86C06"/>
    <w:rsid w:val="00C86EB4"/>
    <w:rsid w:val="00C87517"/>
    <w:rsid w:val="00C879F4"/>
    <w:rsid w:val="00C90AC2"/>
    <w:rsid w:val="00C90C99"/>
    <w:rsid w:val="00C90EFB"/>
    <w:rsid w:val="00C91018"/>
    <w:rsid w:val="00C912EE"/>
    <w:rsid w:val="00C9131A"/>
    <w:rsid w:val="00C913C1"/>
    <w:rsid w:val="00C914BD"/>
    <w:rsid w:val="00C916F5"/>
    <w:rsid w:val="00C92298"/>
    <w:rsid w:val="00C928DC"/>
    <w:rsid w:val="00C92E32"/>
    <w:rsid w:val="00C9323B"/>
    <w:rsid w:val="00C9366F"/>
    <w:rsid w:val="00C93716"/>
    <w:rsid w:val="00C93CC6"/>
    <w:rsid w:val="00C941BA"/>
    <w:rsid w:val="00C9426D"/>
    <w:rsid w:val="00C94C47"/>
    <w:rsid w:val="00C94E60"/>
    <w:rsid w:val="00C957CF"/>
    <w:rsid w:val="00C957D9"/>
    <w:rsid w:val="00C95D20"/>
    <w:rsid w:val="00C97211"/>
    <w:rsid w:val="00CA0C71"/>
    <w:rsid w:val="00CA10C2"/>
    <w:rsid w:val="00CA1E7F"/>
    <w:rsid w:val="00CA2E46"/>
    <w:rsid w:val="00CA2E85"/>
    <w:rsid w:val="00CA3E0C"/>
    <w:rsid w:val="00CA3ED1"/>
    <w:rsid w:val="00CA40D3"/>
    <w:rsid w:val="00CA4764"/>
    <w:rsid w:val="00CA4AC4"/>
    <w:rsid w:val="00CA4ED1"/>
    <w:rsid w:val="00CA62A5"/>
    <w:rsid w:val="00CA7570"/>
    <w:rsid w:val="00CA7847"/>
    <w:rsid w:val="00CB08AF"/>
    <w:rsid w:val="00CB0DAE"/>
    <w:rsid w:val="00CB114F"/>
    <w:rsid w:val="00CB179F"/>
    <w:rsid w:val="00CB1D85"/>
    <w:rsid w:val="00CB1E49"/>
    <w:rsid w:val="00CB2839"/>
    <w:rsid w:val="00CB34ED"/>
    <w:rsid w:val="00CB3A1C"/>
    <w:rsid w:val="00CB3A68"/>
    <w:rsid w:val="00CB5832"/>
    <w:rsid w:val="00CB68F3"/>
    <w:rsid w:val="00CB6FA3"/>
    <w:rsid w:val="00CB7729"/>
    <w:rsid w:val="00CB79F2"/>
    <w:rsid w:val="00CB7A55"/>
    <w:rsid w:val="00CB7CC9"/>
    <w:rsid w:val="00CC0253"/>
    <w:rsid w:val="00CC2626"/>
    <w:rsid w:val="00CC2C26"/>
    <w:rsid w:val="00CC37BF"/>
    <w:rsid w:val="00CC3EFC"/>
    <w:rsid w:val="00CC413D"/>
    <w:rsid w:val="00CC479B"/>
    <w:rsid w:val="00CC4EE3"/>
    <w:rsid w:val="00CC554A"/>
    <w:rsid w:val="00CC5DC6"/>
    <w:rsid w:val="00CC6F16"/>
    <w:rsid w:val="00CC7006"/>
    <w:rsid w:val="00CC7E35"/>
    <w:rsid w:val="00CD016A"/>
    <w:rsid w:val="00CD216F"/>
    <w:rsid w:val="00CD25EB"/>
    <w:rsid w:val="00CD2793"/>
    <w:rsid w:val="00CD336F"/>
    <w:rsid w:val="00CD3521"/>
    <w:rsid w:val="00CD5279"/>
    <w:rsid w:val="00CD5612"/>
    <w:rsid w:val="00CD5A5E"/>
    <w:rsid w:val="00CD5CAA"/>
    <w:rsid w:val="00CD5FDE"/>
    <w:rsid w:val="00CD62C7"/>
    <w:rsid w:val="00CD6834"/>
    <w:rsid w:val="00CD6C51"/>
    <w:rsid w:val="00CD72C2"/>
    <w:rsid w:val="00CD7481"/>
    <w:rsid w:val="00CE0286"/>
    <w:rsid w:val="00CE0847"/>
    <w:rsid w:val="00CE09F5"/>
    <w:rsid w:val="00CE0CEF"/>
    <w:rsid w:val="00CE0E72"/>
    <w:rsid w:val="00CE1613"/>
    <w:rsid w:val="00CE1A24"/>
    <w:rsid w:val="00CE2FB2"/>
    <w:rsid w:val="00CE32E7"/>
    <w:rsid w:val="00CE3330"/>
    <w:rsid w:val="00CE344E"/>
    <w:rsid w:val="00CE4532"/>
    <w:rsid w:val="00CE5290"/>
    <w:rsid w:val="00CE54E3"/>
    <w:rsid w:val="00CE585F"/>
    <w:rsid w:val="00CE5987"/>
    <w:rsid w:val="00CE5C60"/>
    <w:rsid w:val="00CE5D97"/>
    <w:rsid w:val="00CE6557"/>
    <w:rsid w:val="00CE6CBD"/>
    <w:rsid w:val="00CE72FB"/>
    <w:rsid w:val="00CE78D9"/>
    <w:rsid w:val="00CE7905"/>
    <w:rsid w:val="00CE7BA9"/>
    <w:rsid w:val="00CF0D95"/>
    <w:rsid w:val="00CF14B1"/>
    <w:rsid w:val="00CF1660"/>
    <w:rsid w:val="00CF1717"/>
    <w:rsid w:val="00CF1915"/>
    <w:rsid w:val="00CF1B60"/>
    <w:rsid w:val="00CF21A4"/>
    <w:rsid w:val="00CF2876"/>
    <w:rsid w:val="00CF30F3"/>
    <w:rsid w:val="00CF3C05"/>
    <w:rsid w:val="00CF4065"/>
    <w:rsid w:val="00CF4210"/>
    <w:rsid w:val="00CF4B63"/>
    <w:rsid w:val="00CF4CAE"/>
    <w:rsid w:val="00CF5E90"/>
    <w:rsid w:val="00CF6343"/>
    <w:rsid w:val="00CF68B0"/>
    <w:rsid w:val="00CF6CA0"/>
    <w:rsid w:val="00CF714C"/>
    <w:rsid w:val="00CF7A58"/>
    <w:rsid w:val="00CF7E62"/>
    <w:rsid w:val="00D0018B"/>
    <w:rsid w:val="00D003A1"/>
    <w:rsid w:val="00D0042C"/>
    <w:rsid w:val="00D0130C"/>
    <w:rsid w:val="00D01366"/>
    <w:rsid w:val="00D017DF"/>
    <w:rsid w:val="00D02088"/>
    <w:rsid w:val="00D0232B"/>
    <w:rsid w:val="00D02757"/>
    <w:rsid w:val="00D02E1B"/>
    <w:rsid w:val="00D033E8"/>
    <w:rsid w:val="00D037A5"/>
    <w:rsid w:val="00D0393E"/>
    <w:rsid w:val="00D04301"/>
    <w:rsid w:val="00D043AA"/>
    <w:rsid w:val="00D049B2"/>
    <w:rsid w:val="00D05975"/>
    <w:rsid w:val="00D07157"/>
    <w:rsid w:val="00D071D0"/>
    <w:rsid w:val="00D1002D"/>
    <w:rsid w:val="00D1029B"/>
    <w:rsid w:val="00D102A9"/>
    <w:rsid w:val="00D10618"/>
    <w:rsid w:val="00D11C4A"/>
    <w:rsid w:val="00D12E6B"/>
    <w:rsid w:val="00D13EF7"/>
    <w:rsid w:val="00D14492"/>
    <w:rsid w:val="00D14F05"/>
    <w:rsid w:val="00D1579F"/>
    <w:rsid w:val="00D157B6"/>
    <w:rsid w:val="00D16919"/>
    <w:rsid w:val="00D17050"/>
    <w:rsid w:val="00D17AF1"/>
    <w:rsid w:val="00D17E2D"/>
    <w:rsid w:val="00D20B43"/>
    <w:rsid w:val="00D20BC0"/>
    <w:rsid w:val="00D20D8B"/>
    <w:rsid w:val="00D213A4"/>
    <w:rsid w:val="00D21EB6"/>
    <w:rsid w:val="00D2255E"/>
    <w:rsid w:val="00D22565"/>
    <w:rsid w:val="00D22895"/>
    <w:rsid w:val="00D23327"/>
    <w:rsid w:val="00D23497"/>
    <w:rsid w:val="00D23F88"/>
    <w:rsid w:val="00D2429F"/>
    <w:rsid w:val="00D25225"/>
    <w:rsid w:val="00D25379"/>
    <w:rsid w:val="00D25E11"/>
    <w:rsid w:val="00D261BE"/>
    <w:rsid w:val="00D26737"/>
    <w:rsid w:val="00D26F81"/>
    <w:rsid w:val="00D27379"/>
    <w:rsid w:val="00D27C94"/>
    <w:rsid w:val="00D308E8"/>
    <w:rsid w:val="00D30DCD"/>
    <w:rsid w:val="00D31522"/>
    <w:rsid w:val="00D32528"/>
    <w:rsid w:val="00D32C34"/>
    <w:rsid w:val="00D330A7"/>
    <w:rsid w:val="00D3396A"/>
    <w:rsid w:val="00D33A75"/>
    <w:rsid w:val="00D33B5D"/>
    <w:rsid w:val="00D344AF"/>
    <w:rsid w:val="00D344B0"/>
    <w:rsid w:val="00D345AA"/>
    <w:rsid w:val="00D34B1C"/>
    <w:rsid w:val="00D36E2D"/>
    <w:rsid w:val="00D37568"/>
    <w:rsid w:val="00D37DE8"/>
    <w:rsid w:val="00D4049A"/>
    <w:rsid w:val="00D40802"/>
    <w:rsid w:val="00D40F24"/>
    <w:rsid w:val="00D40F59"/>
    <w:rsid w:val="00D41248"/>
    <w:rsid w:val="00D41465"/>
    <w:rsid w:val="00D415DB"/>
    <w:rsid w:val="00D41F1F"/>
    <w:rsid w:val="00D4214B"/>
    <w:rsid w:val="00D42775"/>
    <w:rsid w:val="00D42A32"/>
    <w:rsid w:val="00D42B7F"/>
    <w:rsid w:val="00D4324F"/>
    <w:rsid w:val="00D43AE0"/>
    <w:rsid w:val="00D44E6A"/>
    <w:rsid w:val="00D46347"/>
    <w:rsid w:val="00D46689"/>
    <w:rsid w:val="00D46860"/>
    <w:rsid w:val="00D46BED"/>
    <w:rsid w:val="00D46E1B"/>
    <w:rsid w:val="00D47A40"/>
    <w:rsid w:val="00D47B59"/>
    <w:rsid w:val="00D503B8"/>
    <w:rsid w:val="00D50EF7"/>
    <w:rsid w:val="00D52144"/>
    <w:rsid w:val="00D524B4"/>
    <w:rsid w:val="00D529D8"/>
    <w:rsid w:val="00D52CBB"/>
    <w:rsid w:val="00D5321B"/>
    <w:rsid w:val="00D5579D"/>
    <w:rsid w:val="00D5655C"/>
    <w:rsid w:val="00D56FD9"/>
    <w:rsid w:val="00D5724A"/>
    <w:rsid w:val="00D57473"/>
    <w:rsid w:val="00D577AA"/>
    <w:rsid w:val="00D578DB"/>
    <w:rsid w:val="00D617B9"/>
    <w:rsid w:val="00D625DB"/>
    <w:rsid w:val="00D62F5F"/>
    <w:rsid w:val="00D63347"/>
    <w:rsid w:val="00D6365F"/>
    <w:rsid w:val="00D640AB"/>
    <w:rsid w:val="00D64137"/>
    <w:rsid w:val="00D64447"/>
    <w:rsid w:val="00D66340"/>
    <w:rsid w:val="00D66C8C"/>
    <w:rsid w:val="00D709CE"/>
    <w:rsid w:val="00D7168C"/>
    <w:rsid w:val="00D72417"/>
    <w:rsid w:val="00D72456"/>
    <w:rsid w:val="00D7387D"/>
    <w:rsid w:val="00D74F91"/>
    <w:rsid w:val="00D751B7"/>
    <w:rsid w:val="00D75710"/>
    <w:rsid w:val="00D757BC"/>
    <w:rsid w:val="00D758CE"/>
    <w:rsid w:val="00D75941"/>
    <w:rsid w:val="00D75CCE"/>
    <w:rsid w:val="00D75F12"/>
    <w:rsid w:val="00D7620C"/>
    <w:rsid w:val="00D77539"/>
    <w:rsid w:val="00D775C8"/>
    <w:rsid w:val="00D7768D"/>
    <w:rsid w:val="00D80C58"/>
    <w:rsid w:val="00D80FAD"/>
    <w:rsid w:val="00D81B73"/>
    <w:rsid w:val="00D81BDE"/>
    <w:rsid w:val="00D8258D"/>
    <w:rsid w:val="00D82921"/>
    <w:rsid w:val="00D82B85"/>
    <w:rsid w:val="00D83E70"/>
    <w:rsid w:val="00D8464F"/>
    <w:rsid w:val="00D85846"/>
    <w:rsid w:val="00D85A75"/>
    <w:rsid w:val="00D87A96"/>
    <w:rsid w:val="00D90211"/>
    <w:rsid w:val="00D90289"/>
    <w:rsid w:val="00D90BD5"/>
    <w:rsid w:val="00D90E9F"/>
    <w:rsid w:val="00D91422"/>
    <w:rsid w:val="00D91D72"/>
    <w:rsid w:val="00D91E01"/>
    <w:rsid w:val="00D91F7F"/>
    <w:rsid w:val="00D93DE5"/>
    <w:rsid w:val="00D942D9"/>
    <w:rsid w:val="00D94D17"/>
    <w:rsid w:val="00D957FD"/>
    <w:rsid w:val="00D96410"/>
    <w:rsid w:val="00D964A6"/>
    <w:rsid w:val="00D966A5"/>
    <w:rsid w:val="00D9676C"/>
    <w:rsid w:val="00D97439"/>
    <w:rsid w:val="00D97462"/>
    <w:rsid w:val="00D97C92"/>
    <w:rsid w:val="00DA0384"/>
    <w:rsid w:val="00DA0385"/>
    <w:rsid w:val="00DA0B11"/>
    <w:rsid w:val="00DA11DA"/>
    <w:rsid w:val="00DA1574"/>
    <w:rsid w:val="00DA18C3"/>
    <w:rsid w:val="00DA1C9B"/>
    <w:rsid w:val="00DA21C5"/>
    <w:rsid w:val="00DA21FD"/>
    <w:rsid w:val="00DA2648"/>
    <w:rsid w:val="00DA2BEB"/>
    <w:rsid w:val="00DA309A"/>
    <w:rsid w:val="00DA3C45"/>
    <w:rsid w:val="00DA3CC1"/>
    <w:rsid w:val="00DA3FDE"/>
    <w:rsid w:val="00DA4851"/>
    <w:rsid w:val="00DA5085"/>
    <w:rsid w:val="00DA51D1"/>
    <w:rsid w:val="00DA56C3"/>
    <w:rsid w:val="00DA5C1C"/>
    <w:rsid w:val="00DA7269"/>
    <w:rsid w:val="00DA7869"/>
    <w:rsid w:val="00DB0BC8"/>
    <w:rsid w:val="00DB1A3C"/>
    <w:rsid w:val="00DB20DF"/>
    <w:rsid w:val="00DB221E"/>
    <w:rsid w:val="00DB2F66"/>
    <w:rsid w:val="00DB384D"/>
    <w:rsid w:val="00DB4864"/>
    <w:rsid w:val="00DB4F56"/>
    <w:rsid w:val="00DB5937"/>
    <w:rsid w:val="00DB64E7"/>
    <w:rsid w:val="00DB685F"/>
    <w:rsid w:val="00DB7508"/>
    <w:rsid w:val="00DB76B2"/>
    <w:rsid w:val="00DB7B19"/>
    <w:rsid w:val="00DB7C15"/>
    <w:rsid w:val="00DC069F"/>
    <w:rsid w:val="00DC199F"/>
    <w:rsid w:val="00DC2416"/>
    <w:rsid w:val="00DC29B3"/>
    <w:rsid w:val="00DC2A76"/>
    <w:rsid w:val="00DC2ECA"/>
    <w:rsid w:val="00DC2F12"/>
    <w:rsid w:val="00DC3BD2"/>
    <w:rsid w:val="00DC3D37"/>
    <w:rsid w:val="00DC3F51"/>
    <w:rsid w:val="00DC4121"/>
    <w:rsid w:val="00DC49B3"/>
    <w:rsid w:val="00DC53AA"/>
    <w:rsid w:val="00DC5A72"/>
    <w:rsid w:val="00DC5AA2"/>
    <w:rsid w:val="00DC5C81"/>
    <w:rsid w:val="00DC6109"/>
    <w:rsid w:val="00DC6442"/>
    <w:rsid w:val="00DC6714"/>
    <w:rsid w:val="00DC79AF"/>
    <w:rsid w:val="00DC7BC4"/>
    <w:rsid w:val="00DD0EE4"/>
    <w:rsid w:val="00DD1429"/>
    <w:rsid w:val="00DD1FEB"/>
    <w:rsid w:val="00DD2827"/>
    <w:rsid w:val="00DD2EED"/>
    <w:rsid w:val="00DD3EDC"/>
    <w:rsid w:val="00DD4569"/>
    <w:rsid w:val="00DD4C74"/>
    <w:rsid w:val="00DD528D"/>
    <w:rsid w:val="00DD5441"/>
    <w:rsid w:val="00DD5F0E"/>
    <w:rsid w:val="00DD62B6"/>
    <w:rsid w:val="00DD72E4"/>
    <w:rsid w:val="00DD7C91"/>
    <w:rsid w:val="00DD7E06"/>
    <w:rsid w:val="00DE031D"/>
    <w:rsid w:val="00DE06F0"/>
    <w:rsid w:val="00DE1200"/>
    <w:rsid w:val="00DE1235"/>
    <w:rsid w:val="00DE21D5"/>
    <w:rsid w:val="00DE2651"/>
    <w:rsid w:val="00DE26F3"/>
    <w:rsid w:val="00DE2C40"/>
    <w:rsid w:val="00DE2E09"/>
    <w:rsid w:val="00DE3208"/>
    <w:rsid w:val="00DE3291"/>
    <w:rsid w:val="00DE38F9"/>
    <w:rsid w:val="00DE40B4"/>
    <w:rsid w:val="00DE4535"/>
    <w:rsid w:val="00DE50F5"/>
    <w:rsid w:val="00DE52AD"/>
    <w:rsid w:val="00DE6634"/>
    <w:rsid w:val="00DE6922"/>
    <w:rsid w:val="00DE6CE5"/>
    <w:rsid w:val="00DE70BA"/>
    <w:rsid w:val="00DE7540"/>
    <w:rsid w:val="00DE77D7"/>
    <w:rsid w:val="00DE781F"/>
    <w:rsid w:val="00DF0204"/>
    <w:rsid w:val="00DF0878"/>
    <w:rsid w:val="00DF11EE"/>
    <w:rsid w:val="00DF14E3"/>
    <w:rsid w:val="00DF1678"/>
    <w:rsid w:val="00DF180B"/>
    <w:rsid w:val="00DF3EB4"/>
    <w:rsid w:val="00DF42AC"/>
    <w:rsid w:val="00DF489A"/>
    <w:rsid w:val="00DF4A61"/>
    <w:rsid w:val="00DF4A9B"/>
    <w:rsid w:val="00DF4FA6"/>
    <w:rsid w:val="00DF526F"/>
    <w:rsid w:val="00DF55A4"/>
    <w:rsid w:val="00DF57AA"/>
    <w:rsid w:val="00DF5D77"/>
    <w:rsid w:val="00DF639C"/>
    <w:rsid w:val="00DF6627"/>
    <w:rsid w:val="00DF66E9"/>
    <w:rsid w:val="00DF74EF"/>
    <w:rsid w:val="00DF750E"/>
    <w:rsid w:val="00DF7791"/>
    <w:rsid w:val="00DF7BA0"/>
    <w:rsid w:val="00E0020C"/>
    <w:rsid w:val="00E0039A"/>
    <w:rsid w:val="00E00AAE"/>
    <w:rsid w:val="00E00B64"/>
    <w:rsid w:val="00E00FCC"/>
    <w:rsid w:val="00E0111D"/>
    <w:rsid w:val="00E012AB"/>
    <w:rsid w:val="00E025EF"/>
    <w:rsid w:val="00E03B60"/>
    <w:rsid w:val="00E0402D"/>
    <w:rsid w:val="00E04814"/>
    <w:rsid w:val="00E04A71"/>
    <w:rsid w:val="00E04ABC"/>
    <w:rsid w:val="00E04B37"/>
    <w:rsid w:val="00E0509D"/>
    <w:rsid w:val="00E061CA"/>
    <w:rsid w:val="00E061D7"/>
    <w:rsid w:val="00E06410"/>
    <w:rsid w:val="00E06DCF"/>
    <w:rsid w:val="00E102BD"/>
    <w:rsid w:val="00E1207E"/>
    <w:rsid w:val="00E12D1F"/>
    <w:rsid w:val="00E12D2A"/>
    <w:rsid w:val="00E13287"/>
    <w:rsid w:val="00E1344C"/>
    <w:rsid w:val="00E13481"/>
    <w:rsid w:val="00E13634"/>
    <w:rsid w:val="00E13C6C"/>
    <w:rsid w:val="00E143E6"/>
    <w:rsid w:val="00E14C99"/>
    <w:rsid w:val="00E14E6C"/>
    <w:rsid w:val="00E15305"/>
    <w:rsid w:val="00E1577E"/>
    <w:rsid w:val="00E15BAC"/>
    <w:rsid w:val="00E161C0"/>
    <w:rsid w:val="00E17169"/>
    <w:rsid w:val="00E173CE"/>
    <w:rsid w:val="00E20B28"/>
    <w:rsid w:val="00E2183A"/>
    <w:rsid w:val="00E21F9A"/>
    <w:rsid w:val="00E22B08"/>
    <w:rsid w:val="00E22D9D"/>
    <w:rsid w:val="00E22F82"/>
    <w:rsid w:val="00E236CD"/>
    <w:rsid w:val="00E23E84"/>
    <w:rsid w:val="00E2404F"/>
    <w:rsid w:val="00E247D6"/>
    <w:rsid w:val="00E24F10"/>
    <w:rsid w:val="00E2506E"/>
    <w:rsid w:val="00E25A7A"/>
    <w:rsid w:val="00E25E65"/>
    <w:rsid w:val="00E264AE"/>
    <w:rsid w:val="00E26EF2"/>
    <w:rsid w:val="00E26F1D"/>
    <w:rsid w:val="00E26FB9"/>
    <w:rsid w:val="00E27363"/>
    <w:rsid w:val="00E27717"/>
    <w:rsid w:val="00E27E01"/>
    <w:rsid w:val="00E30148"/>
    <w:rsid w:val="00E30303"/>
    <w:rsid w:val="00E3111F"/>
    <w:rsid w:val="00E32A20"/>
    <w:rsid w:val="00E33161"/>
    <w:rsid w:val="00E331F8"/>
    <w:rsid w:val="00E3415B"/>
    <w:rsid w:val="00E34437"/>
    <w:rsid w:val="00E360EC"/>
    <w:rsid w:val="00E361A7"/>
    <w:rsid w:val="00E374F6"/>
    <w:rsid w:val="00E3792E"/>
    <w:rsid w:val="00E379B1"/>
    <w:rsid w:val="00E37D7C"/>
    <w:rsid w:val="00E404F6"/>
    <w:rsid w:val="00E408FD"/>
    <w:rsid w:val="00E40EFE"/>
    <w:rsid w:val="00E41F51"/>
    <w:rsid w:val="00E42C82"/>
    <w:rsid w:val="00E42CB9"/>
    <w:rsid w:val="00E43E32"/>
    <w:rsid w:val="00E4478D"/>
    <w:rsid w:val="00E455D2"/>
    <w:rsid w:val="00E457F1"/>
    <w:rsid w:val="00E459A1"/>
    <w:rsid w:val="00E4614B"/>
    <w:rsid w:val="00E46464"/>
    <w:rsid w:val="00E467AA"/>
    <w:rsid w:val="00E46A6F"/>
    <w:rsid w:val="00E46C09"/>
    <w:rsid w:val="00E46C92"/>
    <w:rsid w:val="00E46E6B"/>
    <w:rsid w:val="00E4735F"/>
    <w:rsid w:val="00E47A68"/>
    <w:rsid w:val="00E47F76"/>
    <w:rsid w:val="00E50414"/>
    <w:rsid w:val="00E50EAC"/>
    <w:rsid w:val="00E51830"/>
    <w:rsid w:val="00E51CD9"/>
    <w:rsid w:val="00E51D06"/>
    <w:rsid w:val="00E51D42"/>
    <w:rsid w:val="00E52084"/>
    <w:rsid w:val="00E5239D"/>
    <w:rsid w:val="00E5272C"/>
    <w:rsid w:val="00E52F92"/>
    <w:rsid w:val="00E53034"/>
    <w:rsid w:val="00E5309B"/>
    <w:rsid w:val="00E53212"/>
    <w:rsid w:val="00E535C5"/>
    <w:rsid w:val="00E538A3"/>
    <w:rsid w:val="00E53BB0"/>
    <w:rsid w:val="00E540C0"/>
    <w:rsid w:val="00E5493C"/>
    <w:rsid w:val="00E54994"/>
    <w:rsid w:val="00E54D8B"/>
    <w:rsid w:val="00E55C4B"/>
    <w:rsid w:val="00E5636A"/>
    <w:rsid w:val="00E5693E"/>
    <w:rsid w:val="00E56F61"/>
    <w:rsid w:val="00E574E7"/>
    <w:rsid w:val="00E57A34"/>
    <w:rsid w:val="00E57BEA"/>
    <w:rsid w:val="00E60194"/>
    <w:rsid w:val="00E614F0"/>
    <w:rsid w:val="00E615F1"/>
    <w:rsid w:val="00E61CAB"/>
    <w:rsid w:val="00E61D47"/>
    <w:rsid w:val="00E634F4"/>
    <w:rsid w:val="00E64240"/>
    <w:rsid w:val="00E64E8C"/>
    <w:rsid w:val="00E6536D"/>
    <w:rsid w:val="00E6559C"/>
    <w:rsid w:val="00E6569B"/>
    <w:rsid w:val="00E65C7D"/>
    <w:rsid w:val="00E65D37"/>
    <w:rsid w:val="00E66536"/>
    <w:rsid w:val="00E66CD5"/>
    <w:rsid w:val="00E7037D"/>
    <w:rsid w:val="00E70396"/>
    <w:rsid w:val="00E70A55"/>
    <w:rsid w:val="00E70C47"/>
    <w:rsid w:val="00E715B9"/>
    <w:rsid w:val="00E7162E"/>
    <w:rsid w:val="00E71920"/>
    <w:rsid w:val="00E71AFC"/>
    <w:rsid w:val="00E7212E"/>
    <w:rsid w:val="00E73234"/>
    <w:rsid w:val="00E747A2"/>
    <w:rsid w:val="00E74A7B"/>
    <w:rsid w:val="00E75290"/>
    <w:rsid w:val="00E756F8"/>
    <w:rsid w:val="00E7598A"/>
    <w:rsid w:val="00E75C7B"/>
    <w:rsid w:val="00E771B5"/>
    <w:rsid w:val="00E77E8A"/>
    <w:rsid w:val="00E80399"/>
    <w:rsid w:val="00E80F3E"/>
    <w:rsid w:val="00E81807"/>
    <w:rsid w:val="00E81B47"/>
    <w:rsid w:val="00E82B79"/>
    <w:rsid w:val="00E82CEA"/>
    <w:rsid w:val="00E82F0E"/>
    <w:rsid w:val="00E83088"/>
    <w:rsid w:val="00E840DA"/>
    <w:rsid w:val="00E8453F"/>
    <w:rsid w:val="00E84B63"/>
    <w:rsid w:val="00E85E80"/>
    <w:rsid w:val="00E8654F"/>
    <w:rsid w:val="00E86551"/>
    <w:rsid w:val="00E865CB"/>
    <w:rsid w:val="00E86FE4"/>
    <w:rsid w:val="00E905E6"/>
    <w:rsid w:val="00E9076F"/>
    <w:rsid w:val="00E908DF"/>
    <w:rsid w:val="00E90A1D"/>
    <w:rsid w:val="00E910A8"/>
    <w:rsid w:val="00E912F7"/>
    <w:rsid w:val="00E925C8"/>
    <w:rsid w:val="00E92A01"/>
    <w:rsid w:val="00E93B84"/>
    <w:rsid w:val="00E940F0"/>
    <w:rsid w:val="00E94102"/>
    <w:rsid w:val="00E95761"/>
    <w:rsid w:val="00E95DE4"/>
    <w:rsid w:val="00E95F58"/>
    <w:rsid w:val="00E96151"/>
    <w:rsid w:val="00E963AF"/>
    <w:rsid w:val="00E9655B"/>
    <w:rsid w:val="00E96932"/>
    <w:rsid w:val="00E96980"/>
    <w:rsid w:val="00E96E75"/>
    <w:rsid w:val="00E979E2"/>
    <w:rsid w:val="00EA0852"/>
    <w:rsid w:val="00EA0A77"/>
    <w:rsid w:val="00EA1722"/>
    <w:rsid w:val="00EA21CA"/>
    <w:rsid w:val="00EA2270"/>
    <w:rsid w:val="00EA4C9D"/>
    <w:rsid w:val="00EA615A"/>
    <w:rsid w:val="00EA662B"/>
    <w:rsid w:val="00EA66FF"/>
    <w:rsid w:val="00EA6E16"/>
    <w:rsid w:val="00EA6F9B"/>
    <w:rsid w:val="00EB1AF6"/>
    <w:rsid w:val="00EB1B6B"/>
    <w:rsid w:val="00EB1B6F"/>
    <w:rsid w:val="00EB1E65"/>
    <w:rsid w:val="00EB2FF1"/>
    <w:rsid w:val="00EB3AAE"/>
    <w:rsid w:val="00EB4799"/>
    <w:rsid w:val="00EB4956"/>
    <w:rsid w:val="00EB4C2F"/>
    <w:rsid w:val="00EB6084"/>
    <w:rsid w:val="00EB68E1"/>
    <w:rsid w:val="00EB6F94"/>
    <w:rsid w:val="00EC0D13"/>
    <w:rsid w:val="00EC0D25"/>
    <w:rsid w:val="00EC0D36"/>
    <w:rsid w:val="00EC13AF"/>
    <w:rsid w:val="00EC183F"/>
    <w:rsid w:val="00EC253E"/>
    <w:rsid w:val="00EC29E2"/>
    <w:rsid w:val="00EC2DFE"/>
    <w:rsid w:val="00EC348A"/>
    <w:rsid w:val="00EC3528"/>
    <w:rsid w:val="00EC39F3"/>
    <w:rsid w:val="00EC4354"/>
    <w:rsid w:val="00EC4ABA"/>
    <w:rsid w:val="00EC5E7A"/>
    <w:rsid w:val="00EC5F56"/>
    <w:rsid w:val="00EC6991"/>
    <w:rsid w:val="00ED007A"/>
    <w:rsid w:val="00ED05A9"/>
    <w:rsid w:val="00ED05DD"/>
    <w:rsid w:val="00ED1336"/>
    <w:rsid w:val="00ED1420"/>
    <w:rsid w:val="00ED1C25"/>
    <w:rsid w:val="00ED20B3"/>
    <w:rsid w:val="00ED218B"/>
    <w:rsid w:val="00ED23D5"/>
    <w:rsid w:val="00ED26C1"/>
    <w:rsid w:val="00ED28EC"/>
    <w:rsid w:val="00ED2AD5"/>
    <w:rsid w:val="00ED30AF"/>
    <w:rsid w:val="00ED32AB"/>
    <w:rsid w:val="00ED3430"/>
    <w:rsid w:val="00ED362B"/>
    <w:rsid w:val="00ED37FC"/>
    <w:rsid w:val="00ED3842"/>
    <w:rsid w:val="00ED45CD"/>
    <w:rsid w:val="00ED46D3"/>
    <w:rsid w:val="00ED46DA"/>
    <w:rsid w:val="00ED58D6"/>
    <w:rsid w:val="00ED5DCE"/>
    <w:rsid w:val="00ED6995"/>
    <w:rsid w:val="00ED7934"/>
    <w:rsid w:val="00ED79FF"/>
    <w:rsid w:val="00EE0146"/>
    <w:rsid w:val="00EE0B24"/>
    <w:rsid w:val="00EE0EC5"/>
    <w:rsid w:val="00EE1A22"/>
    <w:rsid w:val="00EE2591"/>
    <w:rsid w:val="00EE272F"/>
    <w:rsid w:val="00EE31AF"/>
    <w:rsid w:val="00EE352D"/>
    <w:rsid w:val="00EE39C8"/>
    <w:rsid w:val="00EE406C"/>
    <w:rsid w:val="00EE49D1"/>
    <w:rsid w:val="00EE4D11"/>
    <w:rsid w:val="00EE4E21"/>
    <w:rsid w:val="00EE5197"/>
    <w:rsid w:val="00EE59FB"/>
    <w:rsid w:val="00EE65C7"/>
    <w:rsid w:val="00EE7013"/>
    <w:rsid w:val="00EE7D06"/>
    <w:rsid w:val="00EF005A"/>
    <w:rsid w:val="00EF00A9"/>
    <w:rsid w:val="00EF0B9D"/>
    <w:rsid w:val="00EF0DB7"/>
    <w:rsid w:val="00EF14C6"/>
    <w:rsid w:val="00EF1741"/>
    <w:rsid w:val="00EF1A03"/>
    <w:rsid w:val="00EF23E0"/>
    <w:rsid w:val="00EF249D"/>
    <w:rsid w:val="00EF4182"/>
    <w:rsid w:val="00EF4F94"/>
    <w:rsid w:val="00EF6000"/>
    <w:rsid w:val="00EF61BE"/>
    <w:rsid w:val="00EF7728"/>
    <w:rsid w:val="00F00315"/>
    <w:rsid w:val="00F00A55"/>
    <w:rsid w:val="00F00C62"/>
    <w:rsid w:val="00F00C9C"/>
    <w:rsid w:val="00F021A3"/>
    <w:rsid w:val="00F02A45"/>
    <w:rsid w:val="00F02D09"/>
    <w:rsid w:val="00F030BB"/>
    <w:rsid w:val="00F03967"/>
    <w:rsid w:val="00F04012"/>
    <w:rsid w:val="00F04F5A"/>
    <w:rsid w:val="00F05F87"/>
    <w:rsid w:val="00F06207"/>
    <w:rsid w:val="00F074A4"/>
    <w:rsid w:val="00F074DA"/>
    <w:rsid w:val="00F1019C"/>
    <w:rsid w:val="00F1041A"/>
    <w:rsid w:val="00F10623"/>
    <w:rsid w:val="00F119B5"/>
    <w:rsid w:val="00F119D9"/>
    <w:rsid w:val="00F119EC"/>
    <w:rsid w:val="00F11FCE"/>
    <w:rsid w:val="00F121F6"/>
    <w:rsid w:val="00F126CE"/>
    <w:rsid w:val="00F12731"/>
    <w:rsid w:val="00F12BAF"/>
    <w:rsid w:val="00F12FD0"/>
    <w:rsid w:val="00F140BE"/>
    <w:rsid w:val="00F1433A"/>
    <w:rsid w:val="00F146E4"/>
    <w:rsid w:val="00F14728"/>
    <w:rsid w:val="00F14E37"/>
    <w:rsid w:val="00F14E7B"/>
    <w:rsid w:val="00F151DE"/>
    <w:rsid w:val="00F156B4"/>
    <w:rsid w:val="00F16598"/>
    <w:rsid w:val="00F17B56"/>
    <w:rsid w:val="00F2063E"/>
    <w:rsid w:val="00F20D2F"/>
    <w:rsid w:val="00F21840"/>
    <w:rsid w:val="00F21E1B"/>
    <w:rsid w:val="00F21E51"/>
    <w:rsid w:val="00F21F03"/>
    <w:rsid w:val="00F2276B"/>
    <w:rsid w:val="00F227CA"/>
    <w:rsid w:val="00F22E92"/>
    <w:rsid w:val="00F232B3"/>
    <w:rsid w:val="00F233C4"/>
    <w:rsid w:val="00F24446"/>
    <w:rsid w:val="00F245AD"/>
    <w:rsid w:val="00F24705"/>
    <w:rsid w:val="00F24D9D"/>
    <w:rsid w:val="00F24FD7"/>
    <w:rsid w:val="00F2522B"/>
    <w:rsid w:val="00F25EB6"/>
    <w:rsid w:val="00F26484"/>
    <w:rsid w:val="00F26776"/>
    <w:rsid w:val="00F2680C"/>
    <w:rsid w:val="00F269DD"/>
    <w:rsid w:val="00F26D8E"/>
    <w:rsid w:val="00F27054"/>
    <w:rsid w:val="00F2710A"/>
    <w:rsid w:val="00F27415"/>
    <w:rsid w:val="00F27536"/>
    <w:rsid w:val="00F300DD"/>
    <w:rsid w:val="00F301D4"/>
    <w:rsid w:val="00F302ED"/>
    <w:rsid w:val="00F312CE"/>
    <w:rsid w:val="00F314B1"/>
    <w:rsid w:val="00F324FD"/>
    <w:rsid w:val="00F339B5"/>
    <w:rsid w:val="00F3406B"/>
    <w:rsid w:val="00F346BC"/>
    <w:rsid w:val="00F34C4B"/>
    <w:rsid w:val="00F35410"/>
    <w:rsid w:val="00F356C8"/>
    <w:rsid w:val="00F3611B"/>
    <w:rsid w:val="00F36359"/>
    <w:rsid w:val="00F36614"/>
    <w:rsid w:val="00F36FC7"/>
    <w:rsid w:val="00F402F2"/>
    <w:rsid w:val="00F40375"/>
    <w:rsid w:val="00F405A8"/>
    <w:rsid w:val="00F4077B"/>
    <w:rsid w:val="00F43228"/>
    <w:rsid w:val="00F4491D"/>
    <w:rsid w:val="00F4516A"/>
    <w:rsid w:val="00F45824"/>
    <w:rsid w:val="00F45CA9"/>
    <w:rsid w:val="00F466E0"/>
    <w:rsid w:val="00F47492"/>
    <w:rsid w:val="00F4753D"/>
    <w:rsid w:val="00F4787E"/>
    <w:rsid w:val="00F47F6D"/>
    <w:rsid w:val="00F50255"/>
    <w:rsid w:val="00F50D0C"/>
    <w:rsid w:val="00F511D2"/>
    <w:rsid w:val="00F52218"/>
    <w:rsid w:val="00F523A2"/>
    <w:rsid w:val="00F524AC"/>
    <w:rsid w:val="00F52521"/>
    <w:rsid w:val="00F526E7"/>
    <w:rsid w:val="00F54358"/>
    <w:rsid w:val="00F544B1"/>
    <w:rsid w:val="00F54B9E"/>
    <w:rsid w:val="00F54BDA"/>
    <w:rsid w:val="00F555F9"/>
    <w:rsid w:val="00F568F5"/>
    <w:rsid w:val="00F57212"/>
    <w:rsid w:val="00F578BB"/>
    <w:rsid w:val="00F57D8A"/>
    <w:rsid w:val="00F603DD"/>
    <w:rsid w:val="00F604C6"/>
    <w:rsid w:val="00F6059E"/>
    <w:rsid w:val="00F606F1"/>
    <w:rsid w:val="00F60731"/>
    <w:rsid w:val="00F6150A"/>
    <w:rsid w:val="00F618FB"/>
    <w:rsid w:val="00F61987"/>
    <w:rsid w:val="00F620CC"/>
    <w:rsid w:val="00F621F5"/>
    <w:rsid w:val="00F62DAA"/>
    <w:rsid w:val="00F63067"/>
    <w:rsid w:val="00F631AE"/>
    <w:rsid w:val="00F63B63"/>
    <w:rsid w:val="00F64716"/>
    <w:rsid w:val="00F654B3"/>
    <w:rsid w:val="00F6603A"/>
    <w:rsid w:val="00F662B0"/>
    <w:rsid w:val="00F666FA"/>
    <w:rsid w:val="00F66A6A"/>
    <w:rsid w:val="00F66D7F"/>
    <w:rsid w:val="00F67975"/>
    <w:rsid w:val="00F67E94"/>
    <w:rsid w:val="00F704B4"/>
    <w:rsid w:val="00F70AC2"/>
    <w:rsid w:val="00F70E90"/>
    <w:rsid w:val="00F70EF1"/>
    <w:rsid w:val="00F71366"/>
    <w:rsid w:val="00F715D8"/>
    <w:rsid w:val="00F71A48"/>
    <w:rsid w:val="00F71CE5"/>
    <w:rsid w:val="00F71EFC"/>
    <w:rsid w:val="00F72579"/>
    <w:rsid w:val="00F72749"/>
    <w:rsid w:val="00F7467E"/>
    <w:rsid w:val="00F74DA9"/>
    <w:rsid w:val="00F75211"/>
    <w:rsid w:val="00F77DDA"/>
    <w:rsid w:val="00F8001D"/>
    <w:rsid w:val="00F803CE"/>
    <w:rsid w:val="00F806CA"/>
    <w:rsid w:val="00F821DA"/>
    <w:rsid w:val="00F82562"/>
    <w:rsid w:val="00F82B86"/>
    <w:rsid w:val="00F84097"/>
    <w:rsid w:val="00F84BBE"/>
    <w:rsid w:val="00F853D7"/>
    <w:rsid w:val="00F85CD5"/>
    <w:rsid w:val="00F85E21"/>
    <w:rsid w:val="00F86715"/>
    <w:rsid w:val="00F86F46"/>
    <w:rsid w:val="00F871E5"/>
    <w:rsid w:val="00F8765C"/>
    <w:rsid w:val="00F87761"/>
    <w:rsid w:val="00F8787D"/>
    <w:rsid w:val="00F87B38"/>
    <w:rsid w:val="00F909BA"/>
    <w:rsid w:val="00F90F11"/>
    <w:rsid w:val="00F917ED"/>
    <w:rsid w:val="00F91C15"/>
    <w:rsid w:val="00F92A86"/>
    <w:rsid w:val="00F931C6"/>
    <w:rsid w:val="00F937A8"/>
    <w:rsid w:val="00F938A4"/>
    <w:rsid w:val="00F93BB3"/>
    <w:rsid w:val="00F93F18"/>
    <w:rsid w:val="00F949AE"/>
    <w:rsid w:val="00F95460"/>
    <w:rsid w:val="00F956EC"/>
    <w:rsid w:val="00F96CBE"/>
    <w:rsid w:val="00F97104"/>
    <w:rsid w:val="00F976E8"/>
    <w:rsid w:val="00F97D77"/>
    <w:rsid w:val="00FA02D9"/>
    <w:rsid w:val="00FA0987"/>
    <w:rsid w:val="00FA0E2C"/>
    <w:rsid w:val="00FA1813"/>
    <w:rsid w:val="00FA1A19"/>
    <w:rsid w:val="00FA2F12"/>
    <w:rsid w:val="00FA3172"/>
    <w:rsid w:val="00FA3F8D"/>
    <w:rsid w:val="00FA46AF"/>
    <w:rsid w:val="00FA54D3"/>
    <w:rsid w:val="00FA57EC"/>
    <w:rsid w:val="00FA5CED"/>
    <w:rsid w:val="00FA6494"/>
    <w:rsid w:val="00FA6CCF"/>
    <w:rsid w:val="00FA7DBA"/>
    <w:rsid w:val="00FB12AB"/>
    <w:rsid w:val="00FB1376"/>
    <w:rsid w:val="00FB1629"/>
    <w:rsid w:val="00FB1F9E"/>
    <w:rsid w:val="00FB1FDF"/>
    <w:rsid w:val="00FB2660"/>
    <w:rsid w:val="00FB26FE"/>
    <w:rsid w:val="00FB360B"/>
    <w:rsid w:val="00FB3CCC"/>
    <w:rsid w:val="00FB4B69"/>
    <w:rsid w:val="00FB55A5"/>
    <w:rsid w:val="00FB59B3"/>
    <w:rsid w:val="00FB6716"/>
    <w:rsid w:val="00FB7801"/>
    <w:rsid w:val="00FB78A0"/>
    <w:rsid w:val="00FB7EBA"/>
    <w:rsid w:val="00FC1555"/>
    <w:rsid w:val="00FC30DC"/>
    <w:rsid w:val="00FC3315"/>
    <w:rsid w:val="00FC4730"/>
    <w:rsid w:val="00FC483F"/>
    <w:rsid w:val="00FC4C03"/>
    <w:rsid w:val="00FC6106"/>
    <w:rsid w:val="00FC7285"/>
    <w:rsid w:val="00FC7C18"/>
    <w:rsid w:val="00FD069F"/>
    <w:rsid w:val="00FD1AA4"/>
    <w:rsid w:val="00FD1B51"/>
    <w:rsid w:val="00FD3236"/>
    <w:rsid w:val="00FD32FA"/>
    <w:rsid w:val="00FD3335"/>
    <w:rsid w:val="00FD4005"/>
    <w:rsid w:val="00FD413A"/>
    <w:rsid w:val="00FD5525"/>
    <w:rsid w:val="00FD5690"/>
    <w:rsid w:val="00FD59C8"/>
    <w:rsid w:val="00FD5C28"/>
    <w:rsid w:val="00FD6400"/>
    <w:rsid w:val="00FD679D"/>
    <w:rsid w:val="00FD6CC2"/>
    <w:rsid w:val="00FD73CA"/>
    <w:rsid w:val="00FD75BA"/>
    <w:rsid w:val="00FD799C"/>
    <w:rsid w:val="00FE013F"/>
    <w:rsid w:val="00FE059C"/>
    <w:rsid w:val="00FE09B6"/>
    <w:rsid w:val="00FE0D2D"/>
    <w:rsid w:val="00FE0F39"/>
    <w:rsid w:val="00FE1228"/>
    <w:rsid w:val="00FE123C"/>
    <w:rsid w:val="00FE1424"/>
    <w:rsid w:val="00FE14AD"/>
    <w:rsid w:val="00FE1602"/>
    <w:rsid w:val="00FE1AFA"/>
    <w:rsid w:val="00FE435A"/>
    <w:rsid w:val="00FE44BD"/>
    <w:rsid w:val="00FE4A79"/>
    <w:rsid w:val="00FE50FD"/>
    <w:rsid w:val="00FE54BD"/>
    <w:rsid w:val="00FE5A4D"/>
    <w:rsid w:val="00FE5C5B"/>
    <w:rsid w:val="00FE5FA5"/>
    <w:rsid w:val="00FE61B0"/>
    <w:rsid w:val="00FE6249"/>
    <w:rsid w:val="00FE6611"/>
    <w:rsid w:val="00FE6D09"/>
    <w:rsid w:val="00FE7561"/>
    <w:rsid w:val="00FF240C"/>
    <w:rsid w:val="00FF2ED1"/>
    <w:rsid w:val="00FF3283"/>
    <w:rsid w:val="00FF3487"/>
    <w:rsid w:val="00FF3D52"/>
    <w:rsid w:val="00FF4682"/>
    <w:rsid w:val="00FF686D"/>
    <w:rsid w:val="00FF7295"/>
    <w:rsid w:val="00FF7E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542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21E01"/>
    <w:pPr>
      <w:spacing w:line="360" w:lineRule="auto"/>
      <w:ind w:firstLine="709"/>
      <w:jc w:val="both"/>
    </w:pPr>
    <w:rPr>
      <w:rFonts w:ascii="Arial Narrow" w:hAnsi="Arial Narrow"/>
      <w:noProo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basedOn w:val="Normal"/>
    <w:rsid w:val="00321E01"/>
    <w:rPr>
      <w:rFonts w:eastAsia="Batang"/>
      <w:lang w:eastAsia="ko-KR"/>
    </w:rPr>
  </w:style>
  <w:style w:type="paragraph" w:customStyle="1" w:styleId="Estilo2">
    <w:name w:val="Estilo2"/>
    <w:basedOn w:val="Normal"/>
    <w:autoRedefine/>
    <w:rsid w:val="00321E01"/>
  </w:style>
  <w:style w:type="paragraph" w:styleId="Ttulo">
    <w:name w:val="Title"/>
    <w:basedOn w:val="Normal"/>
    <w:link w:val="TtuloChar"/>
    <w:qFormat/>
    <w:rsid w:val="00321E01"/>
    <w:pPr>
      <w:spacing w:before="240" w:after="60"/>
      <w:ind w:firstLine="0"/>
      <w:jc w:val="center"/>
      <w:outlineLvl w:val="0"/>
    </w:pPr>
    <w:rPr>
      <w:rFonts w:ascii="Times New Roman" w:hAnsi="Times New Roman"/>
      <w:b/>
      <w:bCs/>
      <w:noProof w:val="0"/>
      <w:kern w:val="28"/>
      <w:sz w:val="32"/>
      <w:szCs w:val="32"/>
      <w:lang w:eastAsia="zh-CN"/>
    </w:rPr>
  </w:style>
  <w:style w:type="character" w:customStyle="1" w:styleId="TtuloChar">
    <w:name w:val="Título Char"/>
    <w:basedOn w:val="Fontepargpadro"/>
    <w:link w:val="Ttulo"/>
    <w:rsid w:val="00321E01"/>
    <w:rPr>
      <w:b/>
      <w:bCs/>
      <w:kern w:val="28"/>
      <w:sz w:val="32"/>
      <w:szCs w:val="32"/>
      <w:lang w:val="pt-PT" w:eastAsia="zh-CN"/>
    </w:rPr>
  </w:style>
  <w:style w:type="character" w:styleId="Refdenotaderodap">
    <w:name w:val="footnote reference"/>
    <w:basedOn w:val="Fontepargpadro"/>
    <w:semiHidden/>
    <w:rsid w:val="00321E01"/>
    <w:rPr>
      <w:vertAlign w:val="superscript"/>
    </w:rPr>
  </w:style>
  <w:style w:type="paragraph" w:styleId="Textodenotaderodap">
    <w:name w:val="footnote text"/>
    <w:basedOn w:val="Normal"/>
    <w:link w:val="TextodenotaderodapChar"/>
    <w:semiHidden/>
    <w:rsid w:val="00321E01"/>
    <w:pPr>
      <w:spacing w:line="240" w:lineRule="auto"/>
      <w:ind w:firstLine="720"/>
    </w:pPr>
    <w:rPr>
      <w:rFonts w:ascii="Times New Roman" w:hAnsi="Times New Roman"/>
      <w:noProof w:val="0"/>
      <w:sz w:val="20"/>
      <w:szCs w:val="20"/>
      <w:lang w:eastAsia="zh-CN"/>
    </w:rPr>
  </w:style>
  <w:style w:type="character" w:customStyle="1" w:styleId="TextodenotaderodapChar">
    <w:name w:val="Texto de nota de rodapé Char"/>
    <w:basedOn w:val="Fontepargpadro"/>
    <w:link w:val="Textodenotaderodap"/>
    <w:semiHidden/>
    <w:rsid w:val="00321E01"/>
    <w:rPr>
      <w:lang w:val="pt-PT" w:eastAsia="zh-CN"/>
    </w:rPr>
  </w:style>
  <w:style w:type="character" w:styleId="Nmerodepgina">
    <w:name w:val="page number"/>
    <w:basedOn w:val="Fontepargpadro"/>
    <w:rsid w:val="00321E01"/>
  </w:style>
  <w:style w:type="paragraph" w:styleId="Rodap">
    <w:name w:val="footer"/>
    <w:basedOn w:val="Normal"/>
    <w:link w:val="RodapChar"/>
    <w:rsid w:val="00321E01"/>
    <w:pPr>
      <w:tabs>
        <w:tab w:val="center" w:pos="4252"/>
        <w:tab w:val="right" w:pos="8504"/>
      </w:tabs>
      <w:ind w:firstLine="720"/>
    </w:pPr>
    <w:rPr>
      <w:rFonts w:ascii="Times New Roman" w:hAnsi="Times New Roman"/>
      <w:noProof w:val="0"/>
      <w:lang w:eastAsia="zh-CN"/>
    </w:rPr>
  </w:style>
  <w:style w:type="character" w:customStyle="1" w:styleId="RodapChar">
    <w:name w:val="Rodapé Char"/>
    <w:basedOn w:val="Fontepargpadro"/>
    <w:link w:val="Rodap"/>
    <w:rsid w:val="00321E01"/>
    <w:rPr>
      <w:sz w:val="24"/>
      <w:szCs w:val="24"/>
      <w:lang w:val="pt-PT" w:eastAsia="zh-CN"/>
    </w:rPr>
  </w:style>
  <w:style w:type="paragraph" w:styleId="Cabealho">
    <w:name w:val="header"/>
    <w:basedOn w:val="Normal"/>
    <w:link w:val="CabealhoChar"/>
    <w:uiPriority w:val="99"/>
    <w:semiHidden/>
    <w:unhideWhenUsed/>
    <w:rsid w:val="00700504"/>
    <w:pPr>
      <w:tabs>
        <w:tab w:val="center" w:pos="4419"/>
        <w:tab w:val="right" w:pos="8838"/>
      </w:tabs>
      <w:spacing w:line="240" w:lineRule="auto"/>
    </w:pPr>
  </w:style>
  <w:style w:type="character" w:customStyle="1" w:styleId="CabealhoChar">
    <w:name w:val="Cabeçalho Char"/>
    <w:basedOn w:val="Fontepargpadro"/>
    <w:link w:val="Cabealho"/>
    <w:uiPriority w:val="99"/>
    <w:semiHidden/>
    <w:rsid w:val="00700504"/>
    <w:rPr>
      <w:rFonts w:ascii="Arial Narrow" w:hAnsi="Arial Narrow"/>
      <w:noProof/>
      <w:sz w:val="24"/>
      <w:szCs w:val="24"/>
      <w:lang w:val="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51641-FB34-4807-9A5F-619F8E992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20493</TotalTime>
  <Pages>119</Pages>
  <Words>38669</Words>
  <Characters>220415</Characters>
  <Application>Microsoft Office Word</Application>
  <DocSecurity>0</DocSecurity>
  <Lines>1836</Lines>
  <Paragraphs>517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791</cp:revision>
  <dcterms:created xsi:type="dcterms:W3CDTF">2010-10-07T00:23:00Z</dcterms:created>
  <dcterms:modified xsi:type="dcterms:W3CDTF">2015-05-12T17:44:00Z</dcterms:modified>
</cp:coreProperties>
</file>