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A22" w:rsidRPr="004033B7" w:rsidRDefault="00751A22" w:rsidP="00751A22">
      <w:pPr>
        <w:pStyle w:val="Ttulo"/>
        <w:spacing w:before="0" w:after="960"/>
        <w:rPr>
          <w:rFonts w:ascii="Arial Narrow" w:hAnsi="Arial Narrow"/>
        </w:rPr>
      </w:pPr>
      <w:r w:rsidRPr="004033B7">
        <w:rPr>
          <w:rFonts w:ascii="Arial Narrow" w:hAnsi="Arial Narrow"/>
        </w:rPr>
        <w:t xml:space="preserve">Capítulo </w:t>
      </w:r>
      <w:r>
        <w:rPr>
          <w:rFonts w:ascii="Arial Narrow" w:hAnsi="Arial Narrow"/>
        </w:rPr>
        <w:t>3</w:t>
      </w:r>
      <w:r w:rsidRPr="004033B7">
        <w:rPr>
          <w:rFonts w:ascii="Arial Narrow" w:hAnsi="Arial Narrow"/>
        </w:rPr>
        <w:br/>
        <w:t>FASCISMO FILO-SEMITA,</w:t>
      </w:r>
      <w:r w:rsidRPr="004033B7">
        <w:rPr>
          <w:rFonts w:ascii="Arial Narrow" w:hAnsi="Arial Narrow"/>
        </w:rPr>
        <w:br/>
        <w:t>SIONISMO FILOFASCISTA E SIONISMO FASCISTA</w:t>
      </w:r>
    </w:p>
    <w:p w:rsidR="00751A22" w:rsidRPr="004033B7" w:rsidRDefault="00751A22" w:rsidP="00FD6C3A">
      <w:pPr>
        <w:keepNext/>
        <w:tabs>
          <w:tab w:val="left" w:pos="720"/>
          <w:tab w:val="left" w:pos="3312"/>
        </w:tabs>
        <w:spacing w:after="360"/>
        <w:ind w:firstLine="0"/>
        <w:jc w:val="center"/>
        <w:rPr>
          <w:b/>
          <w:sz w:val="28"/>
        </w:rPr>
      </w:pPr>
      <w:r w:rsidRPr="004033B7">
        <w:rPr>
          <w:b/>
          <w:sz w:val="28"/>
        </w:rPr>
        <w:t>1. Seriam casos isolados?</w:t>
      </w:r>
    </w:p>
    <w:p w:rsidR="00724580" w:rsidRDefault="00751A22" w:rsidP="00751A22">
      <w:r w:rsidRPr="004033B7">
        <w:t>Reflectindo sobre a ameaçadora expansão do nacional-socialismo na Baviera, com os seus mitos e o seu irracionalismo político, o filósofo Ernst Bloch, judeu e marxista pouco ortodoxo, cont</w:t>
      </w:r>
      <w:r>
        <w:t>ou</w:t>
      </w:r>
      <w:r w:rsidRPr="004033B7">
        <w:t xml:space="preserve"> que «judeus húngaros baptizados se tornaram espiões ao serviço de Hitler», um indício entre tantos outros, numa longa série que lhe permitiu as previsões sinistras</w:t>
      </w:r>
      <w:r w:rsidRPr="004033B7">
        <w:rPr>
          <w:rStyle w:val="Refdenotaderodap"/>
        </w:rPr>
        <w:footnoteReference w:id="1"/>
      </w:r>
      <w:r w:rsidRPr="004033B7">
        <w:t xml:space="preserve">. Seriam talvez casos isolados, exagerada a sua importância no fluxo da retórica. O certo é que dispersas pela obra de alguns autores, que estranhamente parecem não lhes prestar grande atenção, se encontram outras menções curiosas. </w:t>
      </w:r>
    </w:p>
    <w:p w:rsidR="00751A22" w:rsidRPr="004033B7" w:rsidRDefault="00751A22" w:rsidP="00751A22">
      <w:r w:rsidRPr="004033B7">
        <w:t xml:space="preserve">Os British Fascisti, a primeira organização de inspiração mussoliniana </w:t>
      </w:r>
      <w:r w:rsidR="005B2B2A">
        <w:t>criada</w:t>
      </w:r>
      <w:r w:rsidRPr="004033B7">
        <w:t xml:space="preserve"> fora da Itália, </w:t>
      </w:r>
      <w:r w:rsidR="0055121D">
        <w:t>e que «fora fundada antes de mais como uma organização anti-semita»</w:t>
      </w:r>
      <w:r w:rsidR="0055121D">
        <w:rPr>
          <w:rStyle w:val="Refdenotaderodap"/>
        </w:rPr>
        <w:footnoteReference w:id="2"/>
      </w:r>
      <w:r w:rsidR="0055121D">
        <w:t xml:space="preserve">, </w:t>
      </w:r>
      <w:r w:rsidRPr="004033B7">
        <w:t>contavam pelo menos com um filiado judeu</w:t>
      </w:r>
      <w:r w:rsidRPr="004033B7">
        <w:rPr>
          <w:rStyle w:val="Refdenotaderodap"/>
        </w:rPr>
        <w:footnoteReference w:id="3"/>
      </w:r>
      <w:r w:rsidRPr="004033B7">
        <w:t>. Um extravag</w:t>
      </w:r>
      <w:r>
        <w:t>ante</w:t>
      </w:r>
      <w:r w:rsidRPr="004033B7">
        <w:t xml:space="preserve">, possivelmente, mas quando Sir Oswald Mosley lançou </w:t>
      </w:r>
      <w:r w:rsidR="008042FD">
        <w:t xml:space="preserve">a BUF, </w:t>
      </w:r>
      <w:r w:rsidRPr="004033B7">
        <w:t>o principal movimento fascista da Grã-Bretanha</w:t>
      </w:r>
      <w:r w:rsidR="008042FD">
        <w:t>,</w:t>
      </w:r>
      <w:r w:rsidRPr="004033B7">
        <w:t xml:space="preserve"> foi um campeão de boxe judeu quem lhe treinou as primeiras milícias</w:t>
      </w:r>
      <w:r w:rsidRPr="004033B7">
        <w:rPr>
          <w:rStyle w:val="Refdenotaderodap"/>
        </w:rPr>
        <w:footnoteReference w:id="4"/>
      </w:r>
      <w:r w:rsidRPr="004033B7">
        <w:t xml:space="preserve">, e George Orwell </w:t>
      </w:r>
      <w:r w:rsidR="009048D0">
        <w:t>indicou</w:t>
      </w:r>
      <w:r w:rsidRPr="004033B7">
        <w:t xml:space="preserve"> que Mosley dispunha de outros judeus entre os seus seguidores, só aderindo tardiamente ao anti-semitismo</w:t>
      </w:r>
      <w:r w:rsidRPr="004033B7">
        <w:rPr>
          <w:rStyle w:val="Refdenotaderodap"/>
        </w:rPr>
        <w:footnoteReference w:id="5"/>
      </w:r>
      <w:r w:rsidRPr="004033B7">
        <w:t xml:space="preserve">. </w:t>
      </w:r>
      <w:r w:rsidR="008042FD">
        <w:t xml:space="preserve">Um historiador defendeu mesmo que </w:t>
      </w:r>
      <w:r w:rsidR="008042FD">
        <w:rPr>
          <w:bCs/>
        </w:rPr>
        <w:t>«de início a corrente dominante da comunidade judaica não vira com maus olhos a BUF e condenara em termos vigorosos os judeus que participaram em acções contra ela»</w:t>
      </w:r>
      <w:r w:rsidR="008042FD">
        <w:rPr>
          <w:rStyle w:val="Refdenotaderodap"/>
          <w:bCs/>
        </w:rPr>
        <w:footnoteReference w:id="6"/>
      </w:r>
      <w:r w:rsidR="008042FD">
        <w:rPr>
          <w:bCs/>
        </w:rPr>
        <w:t xml:space="preserve">. </w:t>
      </w:r>
      <w:r w:rsidR="00E71E0A">
        <w:t>Também na Holanda o Movimento Nacional</w:t>
      </w:r>
      <w:r w:rsidR="00FF36CF">
        <w:t>-</w:t>
      </w:r>
      <w:r w:rsidR="00E71E0A">
        <w:t>Socialista, fundado por Mussert em 1931, quando a ameaça de Hitler crescia do outro lado da fronteira, contava em 1935 com uma centena e meia de filiados judeus</w:t>
      </w:r>
      <w:r w:rsidR="00E71E0A">
        <w:rPr>
          <w:rStyle w:val="Refdenotaderodap"/>
        </w:rPr>
        <w:footnoteReference w:id="7"/>
      </w:r>
      <w:r w:rsidR="00E71E0A">
        <w:t xml:space="preserve">. </w:t>
      </w:r>
      <w:r w:rsidR="004C5394">
        <w:t xml:space="preserve">E teria sido apenas a irrefreável </w:t>
      </w:r>
      <w:r w:rsidR="004C5394" w:rsidRPr="008639C8">
        <w:rPr>
          <w:i/>
        </w:rPr>
        <w:t>verve</w:t>
      </w:r>
      <w:r w:rsidR="004C5394">
        <w:t xml:space="preserve"> da mais importante figura do fascismo belga francófono, Léon Degrelle, que o lev</w:t>
      </w:r>
      <w:r w:rsidR="00FF36CF">
        <w:t>ou</w:t>
      </w:r>
      <w:r w:rsidR="004C5394">
        <w:t xml:space="preserve">, numa obra em que recordou os </w:t>
      </w:r>
      <w:r w:rsidR="004C5394">
        <w:lastRenderedPageBreak/>
        <w:t>primeiros tempos da ocupação germânica do seu país, a perguntar retoricamente se «devo dizer, para terminar, que conheci um jornalista israelita candidato à colaboração? Chamava-se Lévy»</w:t>
      </w:r>
      <w:r w:rsidR="004C5394">
        <w:rPr>
          <w:rStyle w:val="Refdenotaderodap"/>
        </w:rPr>
        <w:footnoteReference w:id="8"/>
      </w:r>
      <w:r w:rsidR="004C5394">
        <w:t xml:space="preserve">. </w:t>
      </w:r>
      <w:r w:rsidRPr="004033B7">
        <w:t>E</w:t>
      </w:r>
      <w:r w:rsidR="004C5394">
        <w:t>ntretanto</w:t>
      </w:r>
      <w:r w:rsidRPr="004033B7">
        <w:t xml:space="preserve"> na Hungria, ao proceder durante a década de 1920 à estabilização do regime fascista, o primeiro-ministro István Bethlen beneficiou do apoio da elite judaica, que viu várias das suas personalidades proeminentes serem nomeadas para a câmara alta, onde tinha igualmente assento o principal rabi, ao lado dos maiores dignitários da Igreja católica. </w:t>
      </w:r>
      <w:r w:rsidR="009445AB">
        <w:t xml:space="preserve">E quando </w:t>
      </w:r>
      <w:r w:rsidR="00B564D5">
        <w:t xml:space="preserve">Gyula </w:t>
      </w:r>
      <w:r w:rsidR="009445AB">
        <w:t xml:space="preserve">Gömbös assumiu a chefia do governo em 1932 e, renunciando ao </w:t>
      </w:r>
      <w:r w:rsidR="002737C0">
        <w:t>anti</w:t>
      </w:r>
      <w:r w:rsidR="009445AB">
        <w:t>-semitismo que o havia caracterizado, declarou que abria os braços a todos os judeus que aceitassem o nacionalismo húngaro, beneficiou da boa vontade dos industriais e banqueiros judaicos</w:t>
      </w:r>
      <w:r w:rsidR="00B564D5">
        <w:rPr>
          <w:rStyle w:val="Refdenotaderodap"/>
        </w:rPr>
        <w:footnoteReference w:id="9"/>
      </w:r>
      <w:r w:rsidR="009445AB">
        <w:t xml:space="preserve">. </w:t>
      </w:r>
      <w:r w:rsidRPr="004033B7">
        <w:t xml:space="preserve">Mesmo depois de </w:t>
      </w:r>
      <w:r w:rsidR="009445AB">
        <w:t>outro</w:t>
      </w:r>
      <w:r w:rsidRPr="004033B7">
        <w:t xml:space="preserve"> governo ter começado, em 1938, a promulgar uma série de leis anti-semitas, a alta burguesia judaica </w:t>
      </w:r>
      <w:r>
        <w:t xml:space="preserve">continuou a </w:t>
      </w:r>
      <w:r w:rsidRPr="004033B7">
        <w:t xml:space="preserve">manifestar </w:t>
      </w:r>
      <w:r>
        <w:t xml:space="preserve">a sua adesão </w:t>
      </w:r>
      <w:r w:rsidRPr="004033B7">
        <w:t xml:space="preserve">ao chefe do regime, o regente Horthy, até ao dia em que </w:t>
      </w:r>
      <w:r w:rsidR="00FF36CF">
        <w:t xml:space="preserve">ele </w:t>
      </w:r>
      <w:r w:rsidRPr="004033B7">
        <w:t>foi deposto e detido pelas tropas germânicas</w:t>
      </w:r>
      <w:r w:rsidRPr="004033B7">
        <w:rPr>
          <w:rStyle w:val="Refdenotaderodap"/>
        </w:rPr>
        <w:footnoteReference w:id="10"/>
      </w:r>
      <w:r w:rsidRPr="004033B7">
        <w:t>. Ser</w:t>
      </w:r>
      <w:r w:rsidR="00A174FB">
        <w:t xml:space="preserve">á que, </w:t>
      </w:r>
      <w:r w:rsidRPr="004033B7">
        <w:t xml:space="preserve">perante a ameaça de um Terceiro Reich fanaticamente anti-semita, os judeus magiares </w:t>
      </w:r>
      <w:r w:rsidR="00A174FB">
        <w:t xml:space="preserve">teriam </w:t>
      </w:r>
      <w:r w:rsidRPr="004033B7">
        <w:t>acaba</w:t>
      </w:r>
      <w:r w:rsidR="004C5394">
        <w:t>do</w:t>
      </w:r>
      <w:r w:rsidRPr="004033B7">
        <w:t xml:space="preserve"> compreensivelmente por preferir a versão autóctone do fascismo? </w:t>
      </w:r>
    </w:p>
    <w:p w:rsidR="00774777" w:rsidRDefault="00751A22" w:rsidP="00D2382F">
      <w:r w:rsidRPr="004033B7">
        <w:t xml:space="preserve">Mas que dizer quando vemos judeus apoiarem movimentos declaradamente hostis ao judaísmo? </w:t>
      </w:r>
      <w:r>
        <w:t xml:space="preserve">A Liga Patriótica Argentina, fundada por ocasião da greve geral de Janeiro de 1919, armou milícias que, colocando-se sob a autoridade militar e actuando em conjunto com a polícia, se dedicavam a atacar os operários; mas as suas truculências exerceram-se igualmente nos bairros judeus de Buenos Aires e tanto destruíram sedes sindicais como instituções judaicas, espancaram judeus e invadiram-lhes as casas. A partir de então as actividades da Liga </w:t>
      </w:r>
      <w:r w:rsidR="00FF36CF">
        <w:t>espalharam</w:t>
      </w:r>
      <w:r>
        <w:t>-se pelo país</w:t>
      </w:r>
      <w:r w:rsidR="00FF36CF">
        <w:t>,</w:t>
      </w:r>
      <w:r>
        <w:t xml:space="preserve"> </w:t>
      </w:r>
      <w:r w:rsidR="00FF36CF">
        <w:t xml:space="preserve">ao serviço dos </w:t>
      </w:r>
      <w:r>
        <w:t xml:space="preserve">donos das terras para combater a agitação </w:t>
      </w:r>
      <w:r w:rsidR="00415089">
        <w:t>d</w:t>
      </w:r>
      <w:r>
        <w:t>os trabalhadores rurais. Em Janeiro e Fevereiro de 1921 ocorreu uma greve de assalariados na região de Villaguay, na província de Entre Rios, onde se contavam judeus tanto entre os proprietários fundiários como entre a mão-de-obra, e uma milícia da Liga, auxiliada pela polícia, envolveu-se num tiroteio com grevistas e socialistas, do qual resultou a morte de vários trabalhadores e a prisão de muitos outros. Como uma minoria dos detidos era de origem judaica, isto foi o suficiente para que não só a Liga como órgãos da grande imprensa atribuíssem o movimento reivindicativo a «revolucionários judeus», apesar de serem mais abundantes os proprietários judeus membros da Liga, e o seu número aumentou ainda após o confronto</w:t>
      </w:r>
      <w:r>
        <w:rPr>
          <w:rStyle w:val="Refdenotaderodap"/>
        </w:rPr>
        <w:footnoteReference w:id="11"/>
      </w:r>
      <w:r>
        <w:t xml:space="preserve">. </w:t>
      </w:r>
      <w:r w:rsidR="00FF36CF">
        <w:lastRenderedPageBreak/>
        <w:t>Estes</w:t>
      </w:r>
      <w:r>
        <w:t xml:space="preserve"> patrões judeus não se assustavam com o anti-semitismo de uma organização que lhes protegia os interesses de classe. </w:t>
      </w:r>
    </w:p>
    <w:p w:rsidR="00774777" w:rsidRDefault="00751A22" w:rsidP="00D2382F">
      <w:r>
        <w:t xml:space="preserve">Não foram eles os únicos. </w:t>
      </w:r>
      <w:r w:rsidRPr="004033B7">
        <w:t xml:space="preserve">Na Heimwehr, as milícias de </w:t>
      </w:r>
      <w:r w:rsidR="00415089">
        <w:t xml:space="preserve">um dos fascismos </w:t>
      </w:r>
      <w:r w:rsidRPr="004033B7">
        <w:t>austríac</w:t>
      </w:r>
      <w:r w:rsidR="00415089">
        <w:t>o</w:t>
      </w:r>
      <w:r w:rsidRPr="004033B7">
        <w:t>s, alinhavam lado a lado anti-semitas e membros da burguesia judaica</w:t>
      </w:r>
      <w:r w:rsidRPr="004033B7">
        <w:rPr>
          <w:rStyle w:val="Refdenotaderodap"/>
        </w:rPr>
        <w:footnoteReference w:id="12"/>
      </w:r>
      <w:r w:rsidRPr="004033B7">
        <w:t xml:space="preserve">, o que talvez ajude a compreender a razão por que o judeu austríaco Stefan Zweig, romancista célebre naquela época, omitiu nas suas </w:t>
      </w:r>
      <w:r w:rsidR="00724580" w:rsidRPr="004033B7">
        <w:t xml:space="preserve">Memórias </w:t>
      </w:r>
      <w:r w:rsidRPr="004033B7">
        <w:t xml:space="preserve">o facto de em Novembro de 1932 ter sido convidado pelo </w:t>
      </w:r>
      <w:r>
        <w:t xml:space="preserve">regime </w:t>
      </w:r>
      <w:r w:rsidRPr="004033B7">
        <w:t>fascis</w:t>
      </w:r>
      <w:r>
        <w:t>ta</w:t>
      </w:r>
      <w:r w:rsidRPr="004033B7">
        <w:t xml:space="preserve"> italiano para participar no Congresso Volta, onde pôde sentar-se ao lado de figuras cimeiras do anti-semitismo, como Rosenberg e Göring</w:t>
      </w:r>
      <w:r w:rsidRPr="004033B7">
        <w:rPr>
          <w:rStyle w:val="Refdenotaderodap"/>
        </w:rPr>
        <w:footnoteReference w:id="13"/>
      </w:r>
      <w:r w:rsidRPr="004033B7">
        <w:t xml:space="preserve">. </w:t>
      </w:r>
      <w:r w:rsidR="00774777">
        <w:t xml:space="preserve">Outro célebre judeu austríaco, o </w:t>
      </w:r>
      <w:r w:rsidR="007A2B8E">
        <w:t>psicoterapeuta Sigmund Freud, autografou num dos seus livros</w:t>
      </w:r>
      <w:r w:rsidR="00EE530F">
        <w:t>,</w:t>
      </w:r>
      <w:r w:rsidR="007A2B8E">
        <w:t xml:space="preserve"> </w:t>
      </w:r>
      <w:r w:rsidR="00EE530F">
        <w:t xml:space="preserve">em Abril de 1933, </w:t>
      </w:r>
      <w:r w:rsidR="007A2B8E">
        <w:t xml:space="preserve">uma dedicatória para Mussolini, a quem chamou «herói da cultura», e além disso mostrou simpatia pelo regime de Dollfuss, </w:t>
      </w:r>
      <w:r w:rsidR="00EE530F">
        <w:t xml:space="preserve">apesar de o ter reconhecido como «mais ou menos fascista», </w:t>
      </w:r>
      <w:r w:rsidR="007A2B8E">
        <w:t>permanecendo indiferente ao</w:t>
      </w:r>
      <w:r w:rsidR="00415089">
        <w:t>s</w:t>
      </w:r>
      <w:r w:rsidR="007A2B8E">
        <w:t xml:space="preserve"> </w:t>
      </w:r>
      <w:r w:rsidR="007A2B8E" w:rsidRPr="004033B7">
        <w:t>quatro dias de combates</w:t>
      </w:r>
      <w:r w:rsidR="007A2B8E">
        <w:t xml:space="preserve"> em Viena, </w:t>
      </w:r>
      <w:r w:rsidR="00E07656">
        <w:t xml:space="preserve">em </w:t>
      </w:r>
      <w:r w:rsidR="00E07656" w:rsidRPr="001F54CA">
        <w:t>Fevereiro de 1934</w:t>
      </w:r>
      <w:r w:rsidR="00E07656">
        <w:t xml:space="preserve">, </w:t>
      </w:r>
      <w:r w:rsidR="00415089">
        <w:t xml:space="preserve">que </w:t>
      </w:r>
      <w:r w:rsidR="007A2B8E" w:rsidRPr="004033B7">
        <w:t>deix</w:t>
      </w:r>
      <w:r w:rsidR="00415089">
        <w:t>aram</w:t>
      </w:r>
      <w:r w:rsidR="007A2B8E" w:rsidRPr="004033B7">
        <w:t xml:space="preserve"> mortos quatrocentos operários</w:t>
      </w:r>
      <w:r w:rsidR="007A2B8E">
        <w:rPr>
          <w:rStyle w:val="Refdenotaderodap"/>
        </w:rPr>
        <w:footnoteReference w:id="14"/>
      </w:r>
      <w:r w:rsidR="007A2B8E">
        <w:t xml:space="preserve">. Também </w:t>
      </w:r>
      <w:r w:rsidR="007A2B8E" w:rsidRPr="004033B7">
        <w:t>o principal rabi austríaco, o Doutor David Feuchtwang, agradeceu publicamente a Deus</w:t>
      </w:r>
      <w:r w:rsidRPr="004033B7">
        <w:t xml:space="preserve"> </w:t>
      </w:r>
      <w:r w:rsidR="007A2B8E">
        <w:t xml:space="preserve">aquela </w:t>
      </w:r>
      <w:r w:rsidR="00774777">
        <w:t>s</w:t>
      </w:r>
      <w:r w:rsidRPr="004033B7">
        <w:t>angrenta vitória do chanceler Dollfuss</w:t>
      </w:r>
      <w:r w:rsidR="007A2B8E">
        <w:t xml:space="preserve"> sobre o operariado vienense </w:t>
      </w:r>
      <w:r w:rsidRPr="004033B7">
        <w:t>e sugeriu que se efectuasse uma recolha de fundos na comunidade judaica em benefício das viúvas dos agentes da repressão caídos na refrega</w:t>
      </w:r>
      <w:r w:rsidRPr="004033B7">
        <w:rPr>
          <w:rStyle w:val="Refdenotaderodap"/>
        </w:rPr>
        <w:footnoteReference w:id="15"/>
      </w:r>
      <w:r w:rsidRPr="004033B7">
        <w:t>. Neste ambiente não espanta que se encontrassem judeus nos órgãos directivos d</w:t>
      </w:r>
      <w:r w:rsidR="001733E9" w:rsidRPr="004033B7">
        <w:t>o partido de Dollfuss</w:t>
      </w:r>
      <w:r w:rsidR="001733E9">
        <w:t>,</w:t>
      </w:r>
      <w:r w:rsidR="001733E9" w:rsidRPr="004033B7">
        <w:t xml:space="preserve"> </w:t>
      </w:r>
      <w:r w:rsidRPr="004033B7">
        <w:t>a Frente Patriótica</w:t>
      </w:r>
      <w:r w:rsidRPr="004033B7">
        <w:rPr>
          <w:rStyle w:val="Refdenotaderodap"/>
        </w:rPr>
        <w:footnoteReference w:id="16"/>
      </w:r>
      <w:r w:rsidRPr="004033B7">
        <w:t xml:space="preserve">. </w:t>
      </w:r>
      <w:r w:rsidR="001733E9">
        <w:t xml:space="preserve">Entre os </w:t>
      </w:r>
      <w:r w:rsidR="003452CE">
        <w:t>adeptos</w:t>
      </w:r>
      <w:r w:rsidR="001733E9">
        <w:t xml:space="preserve"> de Dollfuss contava-se </w:t>
      </w:r>
      <w:r w:rsidR="0098175C">
        <w:t>igualmente</w:t>
      </w:r>
      <w:r w:rsidR="001733E9">
        <w:t xml:space="preserve"> o barão </w:t>
      </w:r>
      <w:r w:rsidR="001733E9" w:rsidRPr="001733E9">
        <w:t xml:space="preserve">Leopold Popper von Podhragy, </w:t>
      </w:r>
      <w:r w:rsidR="001733E9">
        <w:t>de uma família judaica nobilitada pelos Habsburgos</w:t>
      </w:r>
      <w:r w:rsidR="001733E9">
        <w:rPr>
          <w:rStyle w:val="Refdenotaderodap"/>
        </w:rPr>
        <w:footnoteReference w:id="17"/>
      </w:r>
      <w:r w:rsidR="001733E9">
        <w:t xml:space="preserve">. </w:t>
      </w:r>
      <w:r w:rsidR="003F3DF9">
        <w:t>Afinal, resumiu um historiador, «muitos judeus austríacos» apoiaram o fascismo de Dollfuss como uma defesa contra o nacional-socialismo de Hitler</w:t>
      </w:r>
      <w:r w:rsidR="003F3DF9">
        <w:rPr>
          <w:rStyle w:val="Refdenotaderodap"/>
        </w:rPr>
        <w:footnoteReference w:id="18"/>
      </w:r>
      <w:r w:rsidR="003F3DF9">
        <w:t xml:space="preserve">. Mas a explicação não é convincente porque </w:t>
      </w:r>
      <w:r w:rsidR="003F3DF9" w:rsidRPr="004033B7">
        <w:t xml:space="preserve">situações </w:t>
      </w:r>
      <w:r w:rsidRPr="004033B7">
        <w:t>des</w:t>
      </w:r>
      <w:r w:rsidR="003F3DF9">
        <w:t>s</w:t>
      </w:r>
      <w:r w:rsidRPr="004033B7">
        <w:t xml:space="preserve">e tipo </w:t>
      </w:r>
      <w:r w:rsidRPr="004033B7">
        <w:lastRenderedPageBreak/>
        <w:t>haviam sido já denunciadas pelo dirigente socialista austríaco Otto Bauer numa obra publicada em 1924</w:t>
      </w:r>
      <w:r w:rsidR="003F3DF9">
        <w:t xml:space="preserve">, antes de os </w:t>
      </w:r>
      <w:r w:rsidR="00724580">
        <w:t xml:space="preserve">hitlerianos </w:t>
      </w:r>
      <w:r w:rsidR="003F3DF9">
        <w:t>se terem tornado um perigo</w:t>
      </w:r>
      <w:r w:rsidR="00724580">
        <w:t xml:space="preserve"> do outro lado da fronteira</w:t>
      </w:r>
      <w:r w:rsidR="003F3DF9">
        <w:t>:</w:t>
      </w:r>
      <w:r w:rsidRPr="004033B7">
        <w:t xml:space="preserve"> «O anti-semitismo, que a certa altura foi a palavra de ordem da pequena burguesia na luta contra a grande burguesia, passou a servir à própria grande burguesia, sendo usado pelos partidos burgueses ao seu serviço enquanto instrumento de luta contra a social-democracia. O capitalista judeu paga de bom grado as despesas de tipografia dos panfletos eleitorais anti-semitas para enfraquecer a social-democracia»</w:t>
      </w:r>
      <w:r w:rsidRPr="004033B7">
        <w:rPr>
          <w:rStyle w:val="Refdenotaderodap"/>
        </w:rPr>
        <w:footnoteReference w:id="19"/>
      </w:r>
      <w:r w:rsidRPr="004033B7">
        <w:t xml:space="preserve">. </w:t>
      </w:r>
    </w:p>
    <w:p w:rsidR="004C5394" w:rsidRDefault="00751A22" w:rsidP="00D2382F">
      <w:r w:rsidRPr="004033B7">
        <w:t xml:space="preserve">Tais habilidades não </w:t>
      </w:r>
      <w:r w:rsidR="00730176">
        <w:t>fo</w:t>
      </w:r>
      <w:r w:rsidRPr="004033B7">
        <w:t>ram um exclusivo austríaco, pois na Roménia a Legião do Arcanjo São Miguel e a sua Guarda de Ferro, comandadas por Corneliu Codreanu, fanaticamente anti-semitas, para quem o ódio aos judeus constituía uma das principais razões de ser, parece terem recebido apoio financeiro de vários industriais judeus</w:t>
      </w:r>
      <w:r w:rsidRPr="004033B7">
        <w:rPr>
          <w:rStyle w:val="Refdenotaderodap"/>
        </w:rPr>
        <w:footnoteReference w:id="20"/>
      </w:r>
      <w:r w:rsidR="001362C2">
        <w:t xml:space="preserve"> e um </w:t>
      </w:r>
      <w:r w:rsidR="00595F79">
        <w:t xml:space="preserve">antigo </w:t>
      </w:r>
      <w:r w:rsidR="0028796B">
        <w:t xml:space="preserve">membro da Legião </w:t>
      </w:r>
      <w:r w:rsidR="00595F79">
        <w:t xml:space="preserve">recordou que «havia sempre um ou dois judeus no Movimento, e os únicos problemas que causavam deviam-se ocasionalmente a uma </w:t>
      </w:r>
      <w:r w:rsidR="0028796B">
        <w:t xml:space="preserve">exagerada </w:t>
      </w:r>
      <w:r w:rsidR="00595F79">
        <w:t xml:space="preserve">devoção à causa </w:t>
      </w:r>
      <w:r w:rsidR="0028796B">
        <w:t>legionária</w:t>
      </w:r>
      <w:r w:rsidR="00595F79">
        <w:t>»</w:t>
      </w:r>
      <w:r w:rsidR="0028796B">
        <w:rPr>
          <w:rStyle w:val="Refdenotaderodap"/>
        </w:rPr>
        <w:footnoteReference w:id="21"/>
      </w:r>
      <w:r w:rsidR="00595F79">
        <w:t xml:space="preserve">. </w:t>
      </w:r>
      <w:r w:rsidR="0028796B">
        <w:t xml:space="preserve">Também um </w:t>
      </w:r>
      <w:r w:rsidR="001362C2" w:rsidRPr="0028796B">
        <w:t>historiador que lhe é favorável afirmou que «a Legião tinha alguns, poucos, apoiantes judeus»</w:t>
      </w:r>
      <w:r w:rsidR="001362C2">
        <w:rPr>
          <w:rStyle w:val="Refdenotaderodap"/>
        </w:rPr>
        <w:footnoteReference w:id="22"/>
      </w:r>
      <w:r w:rsidRPr="0028796B">
        <w:t xml:space="preserve">. </w:t>
      </w:r>
    </w:p>
    <w:p w:rsidR="00751A22" w:rsidRPr="004033B7" w:rsidRDefault="00751A22" w:rsidP="00D2382F">
      <w:r w:rsidRPr="004033B7">
        <w:t>Mais curioso ainda é o caso de Max Naumann, fundador da Liga dos Judeus Naciona</w:t>
      </w:r>
      <w:r w:rsidR="00315D14">
        <w:t>l</w:t>
      </w:r>
      <w:r w:rsidRPr="004033B7">
        <w:t xml:space="preserve">-Alemães, que ao longo da república de Weimar evoluiu da direita para a extrema-direita radical e apelou para a expulsão dos judeus oriundos do </w:t>
      </w:r>
      <w:r w:rsidR="00191EE4" w:rsidRPr="004033B7">
        <w:t>Leste</w:t>
      </w:r>
      <w:r w:rsidRPr="004033B7">
        <w:t xml:space="preserve">, considerando-os racialmente inferiores aos seus correligionários </w:t>
      </w:r>
      <w:r w:rsidR="003A6364">
        <w:t>germânicos</w:t>
      </w:r>
      <w:r w:rsidRPr="004033B7">
        <w:t>. Em 1932 Naumann começou a apresentar Hitler como o único político capaz de promover o ressurgimento do país e nos anos iniciais do Terceiro Reich pediu, sem qualquer êxito, que o partido nacional-socialista os integrasse, a ele e à sua Liga</w:t>
      </w:r>
      <w:r w:rsidRPr="004033B7">
        <w:rPr>
          <w:rStyle w:val="Refdenotaderodap"/>
        </w:rPr>
        <w:footnoteReference w:id="23"/>
      </w:r>
      <w:r w:rsidRPr="004033B7">
        <w:t xml:space="preserve">. Outros houve. O </w:t>
      </w:r>
      <w:r w:rsidR="002329FA">
        <w:t>jovem licenciado</w:t>
      </w:r>
      <w:r w:rsidRPr="004033B7">
        <w:t xml:space="preserve"> judeu Hans Joachim Schoeps, </w:t>
      </w:r>
      <w:r w:rsidR="00277A24">
        <w:t xml:space="preserve">futuro teólogo, </w:t>
      </w:r>
      <w:r w:rsidR="003F04F9">
        <w:t xml:space="preserve">muito próximo dos movimentos de juventude </w:t>
      </w:r>
      <w:r w:rsidR="00C46842">
        <w:t xml:space="preserve">racistas </w:t>
      </w:r>
      <w:r w:rsidR="003F04F9">
        <w:t>de extrema-direita</w:t>
      </w:r>
      <w:r w:rsidR="00F76A82">
        <w:t xml:space="preserve"> </w:t>
      </w:r>
      <w:r w:rsidR="00F43466">
        <w:t xml:space="preserve">e </w:t>
      </w:r>
      <w:r w:rsidR="00CD312C">
        <w:t xml:space="preserve">radicalmente </w:t>
      </w:r>
      <w:r w:rsidR="00F43466">
        <w:t>oposto à imigração dos seus correligionários do Leste</w:t>
      </w:r>
      <w:r w:rsidRPr="004033B7">
        <w:t xml:space="preserve">, </w:t>
      </w:r>
      <w:r w:rsidR="00F76A82">
        <w:t xml:space="preserve">reuniu uma centena e meia de estudantes universitários e </w:t>
      </w:r>
      <w:r w:rsidR="00C46842">
        <w:t>logo após a nomeação de Hitler para a Chancelaria</w:t>
      </w:r>
      <w:r w:rsidR="00C46842" w:rsidRPr="004033B7">
        <w:t xml:space="preserve"> </w:t>
      </w:r>
      <w:r w:rsidRPr="004033B7">
        <w:t xml:space="preserve">fundou </w:t>
      </w:r>
      <w:r w:rsidR="001F7640">
        <w:t xml:space="preserve">uma associação de nome esclarecedor, </w:t>
      </w:r>
      <w:r w:rsidRPr="004033B7">
        <w:t>a Deutscher Vortrupp</w:t>
      </w:r>
      <w:r w:rsidR="00021A09">
        <w:t xml:space="preserve"> </w:t>
      </w:r>
      <w:r w:rsidR="001F7640">
        <w:t>–</w:t>
      </w:r>
      <w:r w:rsidRPr="004033B7">
        <w:t xml:space="preserve"> </w:t>
      </w:r>
      <w:r w:rsidR="007D16CF">
        <w:t>Gefolgschaft deutscher Juden</w:t>
      </w:r>
      <w:r w:rsidR="001F7640">
        <w:t>,</w:t>
      </w:r>
      <w:r w:rsidR="007D16CF">
        <w:t xml:space="preserve"> </w:t>
      </w:r>
      <w:r w:rsidRPr="004033B7">
        <w:t xml:space="preserve">com o objectivo </w:t>
      </w:r>
      <w:r w:rsidR="001F7640">
        <w:t xml:space="preserve">de </w:t>
      </w:r>
      <w:r w:rsidRPr="004033B7">
        <w:t>aproxima</w:t>
      </w:r>
      <w:r w:rsidR="00021A09">
        <w:t>r</w:t>
      </w:r>
      <w:r w:rsidRPr="004033B7">
        <w:t xml:space="preserve"> os judeus dos </w:t>
      </w:r>
      <w:r w:rsidR="003F04F9">
        <w:lastRenderedPageBreak/>
        <w:t>nacionais-socialistas</w:t>
      </w:r>
      <w:r w:rsidRPr="004033B7">
        <w:t xml:space="preserve">. </w:t>
      </w:r>
      <w:r w:rsidR="006E7E11">
        <w:t xml:space="preserve">Acérrimo </w:t>
      </w:r>
      <w:r w:rsidR="007D16CF">
        <w:t xml:space="preserve">defensor da assimilação dos judeus pela restante população alemã, na qual </w:t>
      </w:r>
      <w:r w:rsidR="003F04F9">
        <w:t>estariam</w:t>
      </w:r>
      <w:r w:rsidR="00A11DF9">
        <w:t xml:space="preserve"> a par d</w:t>
      </w:r>
      <w:r w:rsidR="007D16CF">
        <w:t xml:space="preserve">os </w:t>
      </w:r>
      <w:r w:rsidR="00A11DF9">
        <w:t xml:space="preserve">outros </w:t>
      </w:r>
      <w:r w:rsidR="007D16CF">
        <w:t xml:space="preserve">povos </w:t>
      </w:r>
      <w:r w:rsidR="003F04F9">
        <w:t>d</w:t>
      </w:r>
      <w:r w:rsidR="00A11DF9">
        <w:t xml:space="preserve">e origem </w:t>
      </w:r>
      <w:r w:rsidR="007D16CF">
        <w:t>germânic</w:t>
      </w:r>
      <w:r w:rsidR="00A11DF9">
        <w:t>a</w:t>
      </w:r>
      <w:r w:rsidR="007D16CF">
        <w:t>, Schoeps enviou a Hitler um memorando prop</w:t>
      </w:r>
      <w:r w:rsidR="00A11DF9">
        <w:t>ondo</w:t>
      </w:r>
      <w:r w:rsidR="007D16CF">
        <w:t xml:space="preserve"> que os judeus alemães fossem considerados uma entidade legal </w:t>
      </w:r>
      <w:r w:rsidR="00D47265">
        <w:t>plenamente integrad</w:t>
      </w:r>
      <w:r w:rsidR="003F04F9">
        <w:t>a</w:t>
      </w:r>
      <w:r w:rsidR="00D47265">
        <w:t xml:space="preserve"> no </w:t>
      </w:r>
      <w:r w:rsidR="00D53ACE">
        <w:t>desenvolvimento do novo regime</w:t>
      </w:r>
      <w:r w:rsidR="00D47265">
        <w:t xml:space="preserve">. </w:t>
      </w:r>
      <w:r w:rsidR="002329FA">
        <w:t xml:space="preserve">Parece que </w:t>
      </w:r>
      <w:r w:rsidR="00CF7250">
        <w:t xml:space="preserve">desejava até </w:t>
      </w:r>
      <w:r w:rsidR="002329FA">
        <w:t xml:space="preserve">que a </w:t>
      </w:r>
      <w:r w:rsidR="00277A24" w:rsidRPr="004033B7">
        <w:t>Deutscher Vortrupp</w:t>
      </w:r>
      <w:r w:rsidR="00277A24">
        <w:t xml:space="preserve"> </w:t>
      </w:r>
      <w:r w:rsidR="002329FA">
        <w:t xml:space="preserve">fosse reconhecida como o ramo judaico </w:t>
      </w:r>
      <w:r w:rsidR="00277A24">
        <w:t>d</w:t>
      </w:r>
      <w:r w:rsidR="002329FA">
        <w:t xml:space="preserve">a Juventude Hitleriana. </w:t>
      </w:r>
      <w:r w:rsidR="00C46842">
        <w:t>Aquele</w:t>
      </w:r>
      <w:r w:rsidR="00D47265">
        <w:t xml:space="preserve"> memorando era acompanhado por um pedido de audiência, </w:t>
      </w:r>
      <w:r w:rsidR="00A11DF9">
        <w:t>que evidentemente nunca foi aceite</w:t>
      </w:r>
      <w:r w:rsidR="001F7640">
        <w:t>,</w:t>
      </w:r>
      <w:r w:rsidR="00021A09">
        <w:t xml:space="preserve"> </w:t>
      </w:r>
      <w:r w:rsidR="000D3225">
        <w:t xml:space="preserve">mas Schoeps não desistiu e em 1935 </w:t>
      </w:r>
      <w:r w:rsidR="006523C8">
        <w:t xml:space="preserve">a revista da sua </w:t>
      </w:r>
      <w:r w:rsidR="002329FA">
        <w:t>o</w:t>
      </w:r>
      <w:r w:rsidR="006523C8">
        <w:t>rganização proclamava</w:t>
      </w:r>
      <w:r w:rsidR="00277A24">
        <w:t xml:space="preserve"> ainda</w:t>
      </w:r>
      <w:r w:rsidR="006523C8">
        <w:t xml:space="preserve">: «O nacional-socialismo salvará a Alemanha da destruição; a Alemanha está hoje a viver a sua renovação racial». </w:t>
      </w:r>
      <w:r w:rsidR="00B43553">
        <w:t>Como habitualmente,</w:t>
      </w:r>
      <w:r w:rsidR="0030005C">
        <w:t xml:space="preserve"> a realidade foi mais forte do que as ilusões, no final de 1935 a Gestapo dissolveu</w:t>
      </w:r>
      <w:r w:rsidR="00277A24">
        <w:t xml:space="preserve"> a </w:t>
      </w:r>
      <w:r w:rsidR="00277A24" w:rsidRPr="004033B7">
        <w:t>Deutscher Vortrupp</w:t>
      </w:r>
      <w:r w:rsidR="00277A24">
        <w:t xml:space="preserve"> </w:t>
      </w:r>
      <w:r w:rsidR="0030005C">
        <w:t xml:space="preserve">e três anos depois </w:t>
      </w:r>
      <w:r w:rsidR="00992D7C">
        <w:t xml:space="preserve">Schoeps </w:t>
      </w:r>
      <w:r w:rsidRPr="004033B7">
        <w:t>acabou por se exilar</w:t>
      </w:r>
      <w:r w:rsidRPr="004033B7">
        <w:rPr>
          <w:rStyle w:val="Refdenotaderodap"/>
        </w:rPr>
        <w:footnoteReference w:id="24"/>
      </w:r>
      <w:r w:rsidRPr="004033B7">
        <w:t xml:space="preserve">. Mas poderá tudo isto significar alguma coisa? </w:t>
      </w:r>
      <w:r w:rsidR="001F7640" w:rsidRPr="004033B7">
        <w:t xml:space="preserve">Se </w:t>
      </w:r>
      <w:r w:rsidRPr="004033B7">
        <w:t>se tratasse apenas de factos soltos</w:t>
      </w:r>
      <w:r>
        <w:t xml:space="preserve"> e gente esdrúxula</w:t>
      </w:r>
      <w:r w:rsidRPr="004033B7">
        <w:t xml:space="preserve">, bizarrias que não ilustrassem senão a conhecida norma de que existem excepções para todas as regras? </w:t>
      </w:r>
    </w:p>
    <w:p w:rsidR="00751A22" w:rsidRDefault="00751A22" w:rsidP="00751A22">
      <w:r w:rsidRPr="004033B7">
        <w:t xml:space="preserve">A frequência destes casos, porém, e a sua dispersão pelos vários tipos de fascismo parecem indicar razões mais profundas. </w:t>
      </w:r>
      <w:r>
        <w:t xml:space="preserve">Na França da década de 1930 </w:t>
      </w:r>
      <w:r w:rsidR="00EC3A0F">
        <w:t xml:space="preserve">o Movimento Francista, de </w:t>
      </w:r>
      <w:r w:rsidR="00EC3A0F" w:rsidRPr="001F54CA">
        <w:t>Marcel Bucard</w:t>
      </w:r>
      <w:r w:rsidR="00EC3A0F">
        <w:t xml:space="preserve">, </w:t>
      </w:r>
      <w:r w:rsidR="00EB16CF">
        <w:t>contava com alguns judeus entre os filiados</w:t>
      </w:r>
      <w:r w:rsidR="00EB16CF">
        <w:rPr>
          <w:rStyle w:val="Refdenotaderodap"/>
        </w:rPr>
        <w:footnoteReference w:id="25"/>
      </w:r>
      <w:r w:rsidR="00EB16CF">
        <w:t xml:space="preserve"> e </w:t>
      </w:r>
      <w:r>
        <w:t xml:space="preserve">as ligas chefiadas por Taittinger e pelo coronel de La Rocque beneficiaram dos subsídios de conhecidos bancos judaicos, como </w:t>
      </w:r>
      <w:r w:rsidR="00C95517">
        <w:t xml:space="preserve">os </w:t>
      </w:r>
      <w:r>
        <w:t>Rothschild, Dreyfus, Lazard e Worms</w:t>
      </w:r>
      <w:r>
        <w:rPr>
          <w:rStyle w:val="Refdenotaderodap"/>
        </w:rPr>
        <w:footnoteReference w:id="26"/>
      </w:r>
      <w:r w:rsidR="00EB16CF">
        <w:t>.</w:t>
      </w:r>
      <w:r>
        <w:t xml:space="preserve"> </w:t>
      </w:r>
      <w:r w:rsidR="00EB16CF">
        <w:t xml:space="preserve">Mas </w:t>
      </w:r>
      <w:r w:rsidRPr="004033B7">
        <w:t>fo</w:t>
      </w:r>
      <w:r w:rsidR="00EB16CF">
        <w:t>i</w:t>
      </w:r>
      <w:r w:rsidRPr="004033B7">
        <w:t xml:space="preserve"> especialmente em torno de Gaston Bergery</w:t>
      </w:r>
      <w:r w:rsidR="00EB16CF">
        <w:t xml:space="preserve"> que </w:t>
      </w:r>
      <w:r w:rsidR="00EB16CF" w:rsidRPr="004033B7">
        <w:t>os judeus</w:t>
      </w:r>
      <w:r w:rsidR="00EB16CF">
        <w:t xml:space="preserve"> </w:t>
      </w:r>
      <w:r w:rsidR="00B41505">
        <w:t>se congregaram</w:t>
      </w:r>
      <w:r w:rsidRPr="004033B7">
        <w:t xml:space="preserve">, a ponto de os anti-semitas denunciarem o jornal </w:t>
      </w:r>
      <w:r w:rsidRPr="004033B7">
        <w:rPr>
          <w:i/>
        </w:rPr>
        <w:t>La Flèche</w:t>
      </w:r>
      <w:r w:rsidRPr="004033B7">
        <w:t xml:space="preserve"> como um covil da raça odiada</w:t>
      </w:r>
      <w:r w:rsidRPr="004033B7">
        <w:rPr>
          <w:rStyle w:val="Refdenotaderodap"/>
        </w:rPr>
        <w:footnoteReference w:id="27"/>
      </w:r>
      <w:r w:rsidRPr="004033B7">
        <w:t>. Bergery</w:t>
      </w:r>
      <w:r w:rsidR="00B41505">
        <w:t xml:space="preserve"> </w:t>
      </w:r>
      <w:r w:rsidRPr="004033B7">
        <w:t>foi</w:t>
      </w:r>
      <w:r w:rsidR="00B41505">
        <w:t>,</w:t>
      </w:r>
      <w:r w:rsidRPr="004033B7">
        <w:t xml:space="preserve"> </w:t>
      </w:r>
      <w:r w:rsidR="00B41505">
        <w:t xml:space="preserve">como vimos (no capítulo 3 da Parte 3), </w:t>
      </w:r>
      <w:r w:rsidRPr="004033B7">
        <w:t xml:space="preserve">uma das figuras cujo percurso, na década de 1930, permitiu a convergência de uma certa esquerda tomada pelo patriotismo com uma direita percorrida por inquietações sociais, e neste meio político formou-se um fascismo francês que sob a ocupação </w:t>
      </w:r>
      <w:r w:rsidR="00C95517">
        <w:t>germ</w:t>
      </w:r>
      <w:r w:rsidR="00F758A2">
        <w:t>â</w:t>
      </w:r>
      <w:r w:rsidR="00C95517">
        <w:t>nica</w:t>
      </w:r>
      <w:r w:rsidRPr="004033B7">
        <w:t xml:space="preserve"> haveria de mostrar as suas limitações na legislação social e as suas capacidades na legislação racista. Parece até que a hostilidade aos judeus não era um óbice para obter apoios financeiros de judeus da extrema-direita. Quando o editor Arthème Fayard decidiu, na época do Front Populaire, desinteressar-se do </w:t>
      </w:r>
      <w:r w:rsidRPr="004033B7">
        <w:rPr>
          <w:i/>
        </w:rPr>
        <w:t>Je Suis Partout,</w:t>
      </w:r>
      <w:r w:rsidRPr="004033B7">
        <w:t xml:space="preserve"> uma das mais consistentes publicações fascistas e anti-semitas, a revista subsistiu graças aos fundos de três accionistas, um dos quais era um industrial </w:t>
      </w:r>
      <w:r w:rsidRPr="004033B7">
        <w:lastRenderedPageBreak/>
        <w:t>de tipografia judeu</w:t>
      </w:r>
      <w:r w:rsidRPr="004033B7">
        <w:rPr>
          <w:rStyle w:val="Refdenotaderodap"/>
        </w:rPr>
        <w:footnoteReference w:id="28"/>
      </w:r>
      <w:r w:rsidRPr="004033B7">
        <w:t xml:space="preserve">. Ainda em França, entre os financiadores de Jacques Doriot e do seu Parti Populaire Français citam-se </w:t>
      </w:r>
      <w:r w:rsidR="00E4324D">
        <w:t>quatro</w:t>
      </w:r>
      <w:r w:rsidRPr="004033B7">
        <w:t xml:space="preserve"> bancos pertencentes </w:t>
      </w:r>
      <w:r w:rsidR="00DE71F2">
        <w:t xml:space="preserve">ou ligados </w:t>
      </w:r>
      <w:r w:rsidRPr="004033B7">
        <w:t xml:space="preserve">a famílias judaicas, e com efeito, </w:t>
      </w:r>
      <w:r w:rsidR="00E4324D">
        <w:t>além da casa Worms</w:t>
      </w:r>
      <w:r w:rsidR="00E4324D">
        <w:rPr>
          <w:rStyle w:val="Refdenotaderodap"/>
        </w:rPr>
        <w:footnoteReference w:id="29"/>
      </w:r>
      <w:r w:rsidR="00E4324D">
        <w:t xml:space="preserve">, </w:t>
      </w:r>
      <w:r w:rsidRPr="004033B7">
        <w:t>numa lista de patrocinadores des</w:t>
      </w:r>
      <w:r w:rsidR="00C20570">
        <w:t>s</w:t>
      </w:r>
      <w:r w:rsidRPr="004033B7">
        <w:t>e partido, datando verosimilmente de 1938, vejo as firmas Rothschild, Dreyfus e Lazard</w:t>
      </w:r>
      <w:r w:rsidRPr="004033B7">
        <w:rPr>
          <w:rStyle w:val="Refdenotaderodap"/>
        </w:rPr>
        <w:footnoteReference w:id="30"/>
      </w:r>
      <w:r w:rsidR="00C95517">
        <w:t>,</w:t>
      </w:r>
      <w:r w:rsidRPr="004033B7">
        <w:t xml:space="preserve"> </w:t>
      </w:r>
      <w:r w:rsidR="00C95517">
        <w:t xml:space="preserve">as mesmas que encontrámos há pouco entre os </w:t>
      </w:r>
      <w:r w:rsidR="00C20570">
        <w:t>benfeitores</w:t>
      </w:r>
      <w:r w:rsidR="00C95517">
        <w:t xml:space="preserve"> das ligas de Taittinger e do coronel de La Rocque. </w:t>
      </w:r>
      <w:r w:rsidRPr="004033B7">
        <w:t>O exemplo difundi</w:t>
      </w:r>
      <w:r>
        <w:t>u-se</w:t>
      </w:r>
      <w:r w:rsidRPr="004033B7">
        <w:t xml:space="preserve"> de cima a baixo da escala social, porque foi o operário judeu Alexandre Abremski, membro do </w:t>
      </w:r>
      <w:r w:rsidRPr="004033B7">
        <w:rPr>
          <w:i/>
        </w:rPr>
        <w:t>bureau</w:t>
      </w:r>
      <w:r w:rsidRPr="004033B7">
        <w:t xml:space="preserve"> político do PPF, quem dirigiu a secção sindical do partido, até à sua morte em 1938</w:t>
      </w:r>
      <w:r w:rsidRPr="004033B7">
        <w:rPr>
          <w:rStyle w:val="Refdenotaderodap"/>
        </w:rPr>
        <w:footnoteReference w:id="31"/>
      </w:r>
      <w:r w:rsidRPr="004033B7">
        <w:t xml:space="preserve">. </w:t>
      </w:r>
      <w:r w:rsidRPr="003A0833">
        <w:t>Parece também que François de Wendel, um grande capitalista judeu que muito provavelmente teria contribuído para os cofres do PPF, se encontrou pessoalmente com Doriot no final de 1938 e o pressionou a não seguir uma orientação anti-semita</w:t>
      </w:r>
      <w:r w:rsidRPr="003A0833">
        <w:rPr>
          <w:vertAlign w:val="superscript"/>
        </w:rPr>
        <w:footnoteReference w:id="32"/>
      </w:r>
      <w:r w:rsidRPr="003A0833">
        <w:t xml:space="preserve">. Se este contacto vier algum dia a confirmar-se </w:t>
      </w:r>
      <w:r w:rsidR="00E8493D">
        <w:t>—</w:t>
      </w:r>
      <w:r w:rsidRPr="003A0833">
        <w:t xml:space="preserve"> e, mesmo que permaneça duvidoso, não </w:t>
      </w:r>
      <w:r>
        <w:t>deveriam</w:t>
      </w:r>
      <w:r w:rsidRPr="003A0833">
        <w:t xml:space="preserve"> os subsídios judaicos </w:t>
      </w:r>
      <w:r>
        <w:t xml:space="preserve">ser </w:t>
      </w:r>
      <w:r w:rsidRPr="003A0833">
        <w:t xml:space="preserve">um poderoso argumento contra o anti-semitismo? </w:t>
      </w:r>
      <w:r w:rsidR="00E8493D">
        <w:t>—</w:t>
      </w:r>
      <w:r w:rsidRPr="003A0833">
        <w:t xml:space="preserve"> vemos que não era o fascismo político, mas apenas uma forma de hostilidade racial, que preocupava </w:t>
      </w:r>
      <w:r w:rsidR="00B41505">
        <w:t xml:space="preserve">uma </w:t>
      </w:r>
      <w:r w:rsidRPr="003A0833">
        <w:t xml:space="preserve">tão choruda personalidade. </w:t>
      </w:r>
    </w:p>
    <w:p w:rsidR="00751A22" w:rsidRPr="004033B7" w:rsidRDefault="0056381B" w:rsidP="00751A22">
      <w:r>
        <w:t>Mais significativo ainda é o caso do estabelecimento bancário de Hippolyte Worms que, embora conotado com o grande capital jud</w:t>
      </w:r>
      <w:r w:rsidR="00775FD5">
        <w:t>aico</w:t>
      </w:r>
      <w:r>
        <w:rPr>
          <w:rStyle w:val="Refdenotaderodap"/>
        </w:rPr>
        <w:footnoteReference w:id="33"/>
      </w:r>
      <w:r>
        <w:t xml:space="preserve"> e </w:t>
      </w:r>
      <w:r w:rsidRPr="004033B7">
        <w:t>estigmatizado pelos anti-semitas</w:t>
      </w:r>
      <w:r>
        <w:t>,</w:t>
      </w:r>
      <w:r w:rsidRPr="004033B7">
        <w:t xml:space="preserve"> </w:t>
      </w:r>
      <w:r>
        <w:t>man</w:t>
      </w:r>
      <w:r w:rsidR="00751A22">
        <w:t xml:space="preserve">teve ligações muito estreitas com diversos quadrantes do fascismo. Antes de mais, </w:t>
      </w:r>
      <w:r w:rsidR="00751A22" w:rsidRPr="004033B7">
        <w:t>prestou ao PPF uma ajuda económica apreciável</w:t>
      </w:r>
      <w:r w:rsidR="00751A22">
        <w:t>,</w:t>
      </w:r>
      <w:r w:rsidR="00751A22" w:rsidRPr="004033B7">
        <w:t xml:space="preserve"> e Pierre Pucheu, que</w:t>
      </w:r>
      <w:r w:rsidR="00751A22" w:rsidRPr="00D90C55">
        <w:t xml:space="preserve"> </w:t>
      </w:r>
      <w:r w:rsidR="00751A22" w:rsidRPr="004033B7">
        <w:t>geriu uma das principais empresas do grupo</w:t>
      </w:r>
      <w:r w:rsidR="00751A22" w:rsidRPr="00C924AB">
        <w:t xml:space="preserve"> Worms</w:t>
      </w:r>
      <w:r w:rsidR="00751A22" w:rsidRPr="004033B7">
        <w:t>, dirigi</w:t>
      </w:r>
      <w:r w:rsidR="00751A22">
        <w:t>u</w:t>
      </w:r>
      <w:r w:rsidR="00751A22" w:rsidRPr="004033B7">
        <w:t xml:space="preserve"> o Comité Financeiro central do PPF e pertence</w:t>
      </w:r>
      <w:r w:rsidR="00751A22">
        <w:t>u</w:t>
      </w:r>
      <w:r w:rsidR="00751A22" w:rsidRPr="004033B7">
        <w:t xml:space="preserve"> ao seu </w:t>
      </w:r>
      <w:r w:rsidR="00751A22" w:rsidRPr="004033B7">
        <w:rPr>
          <w:i/>
        </w:rPr>
        <w:t>bureau</w:t>
      </w:r>
      <w:r w:rsidR="00751A22" w:rsidRPr="004033B7">
        <w:t xml:space="preserve"> político até se separar de Doriot em Janeiro de 1939</w:t>
      </w:r>
      <w:r w:rsidR="00751A22" w:rsidRPr="004033B7">
        <w:rPr>
          <w:rStyle w:val="Refdenotaderodap"/>
        </w:rPr>
        <w:footnoteReference w:id="34"/>
      </w:r>
      <w:r w:rsidR="00751A22" w:rsidRPr="004033B7">
        <w:t xml:space="preserve">. </w:t>
      </w:r>
      <w:r w:rsidR="00751A22">
        <w:t xml:space="preserve">O facto de Pucheu se ter afastado de Doriot não implicou que </w:t>
      </w:r>
      <w:r w:rsidR="00751A22" w:rsidRPr="004A4ADD">
        <w:t xml:space="preserve">Hippolyte Worms </w:t>
      </w:r>
      <w:r w:rsidR="00751A22">
        <w:t>se desinteressasse do fascismo e durante a ocupação da França pel</w:t>
      </w:r>
      <w:r w:rsidR="00012669">
        <w:t>a</w:t>
      </w:r>
      <w:r w:rsidR="00751A22">
        <w:t xml:space="preserve">s </w:t>
      </w:r>
      <w:r w:rsidR="00012669">
        <w:t xml:space="preserve">tropas do Reich </w:t>
      </w:r>
      <w:r w:rsidR="00751A22">
        <w:t>manteve-se muito próximo tanto d</w:t>
      </w:r>
      <w:r w:rsidR="00751A22" w:rsidRPr="00F22695">
        <w:t>as autoridades germânicas</w:t>
      </w:r>
      <w:r w:rsidR="00751A22" w:rsidRPr="00FD4273">
        <w:t xml:space="preserve"> como </w:t>
      </w:r>
      <w:r w:rsidR="00751A22">
        <w:t>d</w:t>
      </w:r>
      <w:r w:rsidR="00751A22" w:rsidRPr="00F22695">
        <w:t>o regime de Vichy</w:t>
      </w:r>
      <w:r w:rsidR="00751A22">
        <w:rPr>
          <w:rStyle w:val="Refdenotaderodap"/>
        </w:rPr>
        <w:footnoteReference w:id="35"/>
      </w:r>
      <w:r w:rsidR="00751A22">
        <w:t>,</w:t>
      </w:r>
      <w:r w:rsidR="00751A22" w:rsidRPr="00F22695">
        <w:t xml:space="preserve"> </w:t>
      </w:r>
      <w:r w:rsidR="00751A22">
        <w:t xml:space="preserve">a tal ponto que </w:t>
      </w:r>
      <w:r w:rsidR="00751A22" w:rsidRPr="00B601C1">
        <w:t xml:space="preserve">quando </w:t>
      </w:r>
      <w:r w:rsidR="00751A22">
        <w:t xml:space="preserve">o almirante </w:t>
      </w:r>
      <w:r w:rsidR="00751A22" w:rsidRPr="00B601C1">
        <w:t>Darl</w:t>
      </w:r>
      <w:r w:rsidR="00C466E9">
        <w:t>a</w:t>
      </w:r>
      <w:r w:rsidR="00751A22" w:rsidRPr="00B601C1">
        <w:t xml:space="preserve">n </w:t>
      </w:r>
      <w:r w:rsidR="00751A22">
        <w:t xml:space="preserve">foi </w:t>
      </w:r>
      <w:r w:rsidR="00751A22" w:rsidRPr="00B601C1">
        <w:t xml:space="preserve">comunicar a Pétain a composição do seu ministério, </w:t>
      </w:r>
      <w:r w:rsidR="00751A22">
        <w:t xml:space="preserve">o chefe da casa civil de Pétain, </w:t>
      </w:r>
      <w:r w:rsidR="00751A22" w:rsidRPr="00B601C1">
        <w:t xml:space="preserve">Henri du Moulin de Labarthète, </w:t>
      </w:r>
      <w:r w:rsidR="00751A22">
        <w:t>exclamou</w:t>
      </w:r>
      <w:r w:rsidR="00751A22" w:rsidRPr="00B601C1">
        <w:t xml:space="preserve">: </w:t>
      </w:r>
      <w:r w:rsidR="00751A22">
        <w:t xml:space="preserve">«Mas é o banco Worms </w:t>
      </w:r>
      <w:r w:rsidR="000F5B6A">
        <w:t>em peso</w:t>
      </w:r>
      <w:r w:rsidR="00751A22">
        <w:t xml:space="preserve"> que nos traz consigo!»</w:t>
      </w:r>
      <w:r w:rsidR="00751A22">
        <w:rPr>
          <w:rStyle w:val="Refdenotaderodap"/>
        </w:rPr>
        <w:footnoteReference w:id="36"/>
      </w:r>
      <w:r w:rsidR="00751A22">
        <w:t>. Efectivamente</w:t>
      </w:r>
      <w:r w:rsidR="00751A22" w:rsidRPr="00B601C1">
        <w:t>, muitas das principais figuras tecnocráticas que rodeavam o almirante tinham ligações directas ou indirectas com a casa Worms</w:t>
      </w:r>
      <w:r w:rsidR="00751A22">
        <w:t>,</w:t>
      </w:r>
      <w:r w:rsidR="00751A22" w:rsidRPr="00B601C1">
        <w:t xml:space="preserve"> </w:t>
      </w:r>
      <w:r w:rsidR="00751A22">
        <w:t xml:space="preserve">e Marcel Déat estava convencido de que as pastas do governo Darlan eram </w:t>
      </w:r>
      <w:r w:rsidR="00751A22">
        <w:lastRenderedPageBreak/>
        <w:t>atribuídas na sede do banco Worms</w:t>
      </w:r>
      <w:r w:rsidR="00751A22">
        <w:rPr>
          <w:rStyle w:val="Refdenotaderodap"/>
        </w:rPr>
        <w:footnoteReference w:id="37"/>
      </w:r>
      <w:r w:rsidR="00751A22">
        <w:t xml:space="preserve">. Neste caso não se tratou só de uma aproximação ou de um apoio prestado pelo grande capital judaico ao fascismo, mas da plena participação de um dos primeiros grupos económicos judaicos na vida política do fascismo francês. </w:t>
      </w:r>
    </w:p>
    <w:p w:rsidR="00751A22" w:rsidRPr="004033B7" w:rsidRDefault="00751A22" w:rsidP="00751A22">
      <w:r>
        <w:t>Será possível que tais</w:t>
      </w:r>
      <w:r w:rsidRPr="004033B7">
        <w:t xml:space="preserve"> </w:t>
      </w:r>
      <w:r>
        <w:t>exemplos</w:t>
      </w:r>
      <w:r w:rsidRPr="004033B7">
        <w:t xml:space="preserve"> não se limitem a anomalias ou casos singulares e revelem algo mais? </w:t>
      </w:r>
      <w:r w:rsidR="004D58E7">
        <w:t>Porque nem a guerra e o conhecimento do genocídio parecem ter mudado os ânimos</w:t>
      </w:r>
      <w:r w:rsidR="007C4B47">
        <w:t>,</w:t>
      </w:r>
      <w:r w:rsidR="004D58E7">
        <w:t xml:space="preserve"> e </w:t>
      </w:r>
      <w:r w:rsidR="002774A8">
        <w:t xml:space="preserve">assim como se encontram </w:t>
      </w:r>
      <w:r w:rsidR="00A20F35">
        <w:t xml:space="preserve">hoje </w:t>
      </w:r>
      <w:r w:rsidR="002774A8">
        <w:t>alguns judeus entre os membros do Partido Nacional-Bolchevista russo</w:t>
      </w:r>
      <w:r w:rsidR="002774A8">
        <w:rPr>
          <w:rStyle w:val="Refdenotaderodap"/>
        </w:rPr>
        <w:footnoteReference w:id="38"/>
      </w:r>
      <w:r w:rsidR="002774A8">
        <w:t xml:space="preserve"> também </w:t>
      </w:r>
      <w:r w:rsidR="004D58E7">
        <w:t xml:space="preserve">há pouco tempo se afirmou como certo que dois poderosos homens de negócios </w:t>
      </w:r>
      <w:r w:rsidR="009C216B">
        <w:t xml:space="preserve">judeus </w:t>
      </w:r>
      <w:r w:rsidR="004D58E7">
        <w:t>financiavam os fascistas anti-semitas da Unidade Nacional Russa</w:t>
      </w:r>
      <w:r w:rsidR="004D58E7">
        <w:rPr>
          <w:rStyle w:val="Refdenotaderodap"/>
        </w:rPr>
        <w:footnoteReference w:id="39"/>
      </w:r>
      <w:r w:rsidR="004D58E7">
        <w:t xml:space="preserve">. </w:t>
      </w:r>
      <w:r w:rsidR="00C46842">
        <w:t>E</w:t>
      </w:r>
      <w:r w:rsidRPr="004033B7">
        <w:t>xist</w:t>
      </w:r>
      <w:r w:rsidR="00C46842">
        <w:t>irá</w:t>
      </w:r>
      <w:r w:rsidRPr="004033B7">
        <w:t xml:space="preserve"> alguma regra por detrás daquilo que o apressado leitor dos nossos dias tende a considerar como excepções? Em que medida o fascismo, que passou à história como a forma mais perversa e cruel do anti-semitismo moderno, teria também sustentado com os judeus relações de outro tipo? </w:t>
      </w:r>
    </w:p>
    <w:p w:rsidR="00751A22" w:rsidRPr="004033B7" w:rsidRDefault="00751A22" w:rsidP="00FD6C3A">
      <w:pPr>
        <w:keepNext/>
        <w:tabs>
          <w:tab w:val="left" w:pos="720"/>
          <w:tab w:val="left" w:pos="3312"/>
        </w:tabs>
        <w:spacing w:before="720" w:after="360"/>
        <w:ind w:firstLine="0"/>
        <w:jc w:val="center"/>
        <w:rPr>
          <w:b/>
          <w:sz w:val="28"/>
        </w:rPr>
      </w:pPr>
      <w:r w:rsidRPr="004033B7">
        <w:rPr>
          <w:b/>
          <w:sz w:val="28"/>
        </w:rPr>
        <w:t>2. Itália: Entre o fascismo filo-semita e o fascismo anti-semita</w:t>
      </w:r>
    </w:p>
    <w:p w:rsidR="00751A22" w:rsidRPr="004033B7" w:rsidRDefault="00751A22" w:rsidP="00751A22">
      <w:pPr>
        <w:tabs>
          <w:tab w:val="left" w:pos="720"/>
          <w:tab w:val="left" w:pos="3312"/>
        </w:tabs>
      </w:pPr>
      <w:r w:rsidRPr="004033B7">
        <w:t>Enquanto gozou de autonomia suficiente para conservar as características próprias, o fascismo italiano ocupou-se com uma problemática estritamente social, onde não tinha lugar a hostilidade aos judeus</w:t>
      </w:r>
      <w:r w:rsidRPr="004033B7">
        <w:rPr>
          <w:rStyle w:val="Refdenotaderodap"/>
        </w:rPr>
        <w:footnoteReference w:id="40"/>
      </w:r>
      <w:r w:rsidRPr="004033B7">
        <w:t>. «O anti-semitismo italiano é um mero artifício», escreveu alguém que vira o anti-semitismo do outro lado dos Alpes, «uma questão de conveniência, se bem que o ex-secretário do partido, Farinacci, e Paolo Orano [...] tenham desenvolvido uma doutrina anti-semita»</w:t>
      </w:r>
      <w:r w:rsidRPr="004033B7">
        <w:rPr>
          <w:rStyle w:val="Refdenotaderodap"/>
        </w:rPr>
        <w:footnoteReference w:id="41"/>
      </w:r>
      <w:r w:rsidRPr="004033B7">
        <w:t xml:space="preserve">. Orano desempenhou um papel de certa importância. </w:t>
      </w:r>
      <w:r w:rsidR="00E41E1E" w:rsidRPr="004033B7">
        <w:t xml:space="preserve">Sofrera </w:t>
      </w:r>
      <w:r w:rsidRPr="004033B7">
        <w:t xml:space="preserve">a influência de Georges Sorel e em 1905, junto com outros sindicalistas revolucionários, fora expulso da redacção do principal jornal diário do PSI por ter apoiado a greve geral do ano anterior, que </w:t>
      </w:r>
      <w:r w:rsidR="00DA6AF6">
        <w:t xml:space="preserve">não </w:t>
      </w:r>
      <w:r w:rsidRPr="004033B7">
        <w:t xml:space="preserve">entusiasmara a direcção reformista do partido. Cinco anos depois, ao fundar e dirigir </w:t>
      </w:r>
      <w:r w:rsidRPr="004033B7">
        <w:rPr>
          <w:i/>
        </w:rPr>
        <w:t>La Lupa,</w:t>
      </w:r>
      <w:r w:rsidRPr="004033B7">
        <w:t xml:space="preserve"> Orano assumiu um lugar de relevo na junção operada entre os sindicalistas revolucionários e os nacionalistas radicais de Corradini. No regime fascista, porém, permaneceu em segundo plano, ensinando na Faculdade Fascista de Ciências Políticas, em Perugia</w:t>
      </w:r>
      <w:r w:rsidRPr="004033B7">
        <w:rPr>
          <w:rStyle w:val="Refdenotaderodap"/>
        </w:rPr>
        <w:footnoteReference w:id="42"/>
      </w:r>
      <w:r w:rsidRPr="004033B7">
        <w:t xml:space="preserve">. Roberto Farinacci é muitíssimo mais conhecido, chefe </w:t>
      </w:r>
      <w:r w:rsidRPr="004033B7">
        <w:rPr>
          <w:i/>
        </w:rPr>
        <w:t>squadrista</w:t>
      </w:r>
      <w:r w:rsidRPr="004033B7">
        <w:t xml:space="preserve"> desde a primeira hora e secretário-geral do partido de Fevereiro de </w:t>
      </w:r>
      <w:r w:rsidRPr="004033B7">
        <w:lastRenderedPageBreak/>
        <w:t>1925 até Março do ano seguinte, um dos raros promotores do anti-semitismo nas altas esferas do regime. Mas mesmo ele oscilou nestes sentimentos</w:t>
      </w:r>
      <w:r>
        <w:t>.</w:t>
      </w:r>
      <w:r w:rsidRPr="004033B7">
        <w:t xml:space="preserve"> O seu jornal, </w:t>
      </w:r>
      <w:r w:rsidRPr="004033B7">
        <w:rPr>
          <w:i/>
        </w:rPr>
        <w:t>Il Regime Fascista,</w:t>
      </w:r>
      <w:r w:rsidRPr="004033B7">
        <w:t xml:space="preserve"> mitigou as injúrias aos judeus, a ponto de publicar em 1930 um artigo de crítica às posições racistas manifestadas pelo nacional-socialismo alemão, e só em 1936 retomou com vigor o ataque aos judeus</w:t>
      </w:r>
      <w:r w:rsidRPr="004033B7">
        <w:rPr>
          <w:rStyle w:val="Refdenotaderodap"/>
        </w:rPr>
        <w:footnoteReference w:id="43"/>
      </w:r>
      <w:r w:rsidRPr="004033B7">
        <w:t>. Outras figuras revelaram igualmente cedo o anti-semitismo. O futurista Piero Bolzon, por exemplo, um dos fundadores dos Fasci di Combattimento, nomeado em 1923 para o Directório do PNF, identificara socialismo e judaísmo numa mesma aversão</w:t>
      </w:r>
      <w:r w:rsidRPr="004033B7">
        <w:rPr>
          <w:rStyle w:val="Refdenotaderodap"/>
        </w:rPr>
        <w:footnoteReference w:id="44"/>
      </w:r>
      <w:r w:rsidRPr="004033B7">
        <w:t>. Mas o anti-semitismo fanático e constante, servindo de fundamento da orientação política, singularizava em Itália Giovanni Preziosi, que durante muito tempo não conseguiu alargar o reduzido círculo de discípulos entre os seus correligionários fascistas</w:t>
      </w:r>
      <w:r w:rsidRPr="004033B7">
        <w:rPr>
          <w:rStyle w:val="Refdenotaderodap"/>
        </w:rPr>
        <w:footnoteReference w:id="45"/>
      </w:r>
      <w:r w:rsidRPr="004033B7">
        <w:t xml:space="preserve">. </w:t>
      </w:r>
    </w:p>
    <w:p w:rsidR="00751A22" w:rsidRPr="004033B7" w:rsidRDefault="00751A22" w:rsidP="00751A22">
      <w:pPr>
        <w:tabs>
          <w:tab w:val="left" w:pos="720"/>
          <w:tab w:val="left" w:pos="3312"/>
        </w:tabs>
      </w:pPr>
      <w:r w:rsidRPr="004033B7">
        <w:t>Até quando encontrava algum eco jornalístico e era defendido por personalidades com um efectivo peso no movimento, o anti-semitismo não inspirava a linha oficial do regime nem influenciava sequer as preocupações dos demais dirigentes. Numa entrevista concedida em 1932 o Duce afirmou que não existia anti-semitismo na Itália e desabonou o racismo, considerando-o uma atitude sentimental, desprovida de fundamento científico</w:t>
      </w:r>
      <w:r w:rsidRPr="004033B7">
        <w:rPr>
          <w:rStyle w:val="Refdenotaderodap"/>
        </w:rPr>
        <w:footnoteReference w:id="46"/>
      </w:r>
      <w:r w:rsidRPr="004033B7">
        <w:t>. Foi noutro lugar e perante outras gentes que o fascismo italiano se mostrou racista, precisamente onde as grandes democracias se manifestavam também, em África, contra os negros</w:t>
      </w:r>
      <w:r w:rsidRPr="004033B7">
        <w:rPr>
          <w:rStyle w:val="Refdenotaderodap"/>
        </w:rPr>
        <w:footnoteReference w:id="47"/>
      </w:r>
      <w:r w:rsidRPr="004033B7">
        <w:t xml:space="preserve">. </w:t>
      </w:r>
      <w:r w:rsidR="006D636E" w:rsidRPr="004033B7">
        <w:t xml:space="preserve">Aqueles que hoje se esforçam por reduzir a história do racismo moderno ao anti-semitismo estão na realidade a absolver do racismo antinegro as metrópoles democráticas imperialistas. </w:t>
      </w:r>
      <w:r w:rsidRPr="004033B7">
        <w:t xml:space="preserve">Conquistada a Abissínia, o governo de Roma determinou que se instaurasse na organização política e na vida quotidiana </w:t>
      </w:r>
      <w:r w:rsidR="00DB7F2C">
        <w:t xml:space="preserve">uma </w:t>
      </w:r>
      <w:r w:rsidRPr="004033B7">
        <w:t xml:space="preserve">demarcação </w:t>
      </w:r>
      <w:r w:rsidR="00DB7F2C" w:rsidRPr="004033B7">
        <w:t xml:space="preserve">severa </w:t>
      </w:r>
      <w:r w:rsidRPr="004033B7">
        <w:t>entre indígenas e colonos, recusando a cidadania italiana a todos os mestiços que viessem a nascer. Aliás, recorreu-se a um conjunto de medidas destinado a evitar contactos sexuais entre a população italiana e a nativa</w:t>
      </w:r>
      <w:r w:rsidRPr="004033B7">
        <w:rPr>
          <w:rStyle w:val="Refdenotaderodap"/>
        </w:rPr>
        <w:footnoteReference w:id="48"/>
      </w:r>
      <w:r w:rsidRPr="004033B7">
        <w:t xml:space="preserve">. «A raça branca deve impor-se através de uma superioridade afirmada não por axioma, mas na prática», rezam as instruções que o Ministério das Colónias enviou em Agosto 1936 ao governador-geral e vice-rei da </w:t>
      </w:r>
      <w:r w:rsidRPr="004033B7">
        <w:lastRenderedPageBreak/>
        <w:t>Abissínia</w:t>
      </w:r>
      <w:r w:rsidRPr="004033B7">
        <w:rPr>
          <w:rStyle w:val="Refdenotaderodap"/>
        </w:rPr>
        <w:footnoteReference w:id="49"/>
      </w:r>
      <w:r w:rsidRPr="004033B7">
        <w:t xml:space="preserve">. E os judeus italianos não se distinguiram do resto da população no apoio entusiástico que deram à </w:t>
      </w:r>
      <w:r w:rsidR="00AD2409">
        <w:t xml:space="preserve">conquista da </w:t>
      </w:r>
      <w:r w:rsidRPr="004033B7">
        <w:t>Abissínia, oferecendo-se muitos deles como voluntários</w:t>
      </w:r>
      <w:r w:rsidRPr="004033B7">
        <w:rPr>
          <w:rStyle w:val="Refdenotaderodap"/>
        </w:rPr>
        <w:footnoteReference w:id="50"/>
      </w:r>
      <w:r w:rsidRPr="004033B7">
        <w:t xml:space="preserve">. Mesmo fora das fronteiras um dos chefes mundiais </w:t>
      </w:r>
      <w:r w:rsidR="00EC7D76">
        <w:t xml:space="preserve">do </w:t>
      </w:r>
      <w:r w:rsidR="000202BC" w:rsidRPr="004033B7">
        <w:t>sionis</w:t>
      </w:r>
      <w:r w:rsidR="000202BC">
        <w:t xml:space="preserve">mo </w:t>
      </w:r>
      <w:r w:rsidR="00EC7D76">
        <w:t>fascis</w:t>
      </w:r>
      <w:r w:rsidR="000202BC">
        <w:t>ta</w:t>
      </w:r>
      <w:r w:rsidRPr="004033B7">
        <w:t>, Wolfgang von Weisl, declarou numa entrevista em 1936 que «se regozijava pela vitória da Itália fascista na Abissínia, enquanto triunfo das raças brancas sobre os negros»</w:t>
      </w:r>
      <w:r w:rsidRPr="004033B7">
        <w:rPr>
          <w:rStyle w:val="Refdenotaderodap"/>
        </w:rPr>
        <w:footnoteReference w:id="51"/>
      </w:r>
      <w:r w:rsidRPr="004033B7">
        <w:t xml:space="preserve">. </w:t>
      </w:r>
    </w:p>
    <w:p w:rsidR="00751A22" w:rsidRPr="004033B7" w:rsidRDefault="00751A22" w:rsidP="00751A22">
      <w:pPr>
        <w:tabs>
          <w:tab w:val="left" w:pos="720"/>
          <w:tab w:val="left" w:pos="3312"/>
        </w:tabs>
      </w:pPr>
      <w:r w:rsidRPr="004033B7">
        <w:t>O facto de os judeus não serem perseguidos nem sequer hostilizados em Itália relaciona-se com o seu elevadíssimo grau de integração na sociedade</w:t>
      </w:r>
      <w:r w:rsidRPr="004033B7">
        <w:rPr>
          <w:rStyle w:val="Refdenotaderodap"/>
        </w:rPr>
        <w:footnoteReference w:id="52"/>
      </w:r>
      <w:r w:rsidR="00406A3A">
        <w:t xml:space="preserve">, a ponto de </w:t>
      </w:r>
      <w:r w:rsidR="00236A99">
        <w:t xml:space="preserve">ser o país onde </w:t>
      </w:r>
      <w:r w:rsidR="005E5634">
        <w:t>se regista</w:t>
      </w:r>
      <w:r w:rsidR="00236A99">
        <w:t xml:space="preserve">va </w:t>
      </w:r>
      <w:r w:rsidR="00406A3A">
        <w:t>a maior percentagem de judeus apóstatas</w:t>
      </w:r>
      <w:r w:rsidR="00406A3A">
        <w:rPr>
          <w:rStyle w:val="Refdenotaderodap"/>
        </w:rPr>
        <w:footnoteReference w:id="53"/>
      </w:r>
      <w:r w:rsidRPr="004033B7">
        <w:t>. Encontravam-se judeus entre os fundadores dos primeiros Fasci di Combattimento</w:t>
      </w:r>
      <w:r w:rsidRPr="004033B7">
        <w:rPr>
          <w:rStyle w:val="Refdenotaderodap"/>
        </w:rPr>
        <w:footnoteReference w:id="54"/>
      </w:r>
      <w:r w:rsidRPr="004033B7">
        <w:t xml:space="preserve">, bem como entre os primeiros homens de negócios e proprietários fundiários que subsidiaram o movimento fascista e as suas </w:t>
      </w:r>
      <w:r w:rsidRPr="004033B7">
        <w:rPr>
          <w:i/>
        </w:rPr>
        <w:t>squadre</w:t>
      </w:r>
      <w:r w:rsidRPr="004033B7">
        <w:rPr>
          <w:rStyle w:val="Refdenotaderodap"/>
        </w:rPr>
        <w:footnoteReference w:id="55"/>
      </w:r>
      <w:r w:rsidRPr="004033B7">
        <w:t>, e mal terminara a Marcha sobre Roma já os novos governantes tinham o cuidado de comunicar ao principal dignitário religioso judaico da capital que não apoiariam o anti-semitismo nem dentro nem fora das fronteiras</w:t>
      </w:r>
      <w:r w:rsidRPr="004033B7">
        <w:rPr>
          <w:rStyle w:val="Refdenotaderodap"/>
        </w:rPr>
        <w:footnoteReference w:id="56"/>
      </w:r>
      <w:r w:rsidRPr="004033B7">
        <w:t>. O próprio Mussolini encontrou na judia Margherita Sarfatti uma das suas amantes mais íntimas e, apesar da concorrência, mais duráveis, que o acompanhou durante cerca de duas décadas, desde o Partido Socialista até ao fascismo, e que exerceu sobre ele uma considerável influência política e ideológica</w:t>
      </w:r>
      <w:r w:rsidRPr="004033B7">
        <w:rPr>
          <w:rStyle w:val="Refdenotaderodap"/>
        </w:rPr>
        <w:footnoteReference w:id="57"/>
      </w:r>
      <w:r w:rsidRPr="004033B7">
        <w:t>. Um número incalculável de judeus aderiu ao regime, ascendendo alguns a posições de grande relevo no interior do partido e do governo, a tal ponto que a percentagem de judeus no movimento fascista era muito mais elevada do que na população em geral</w:t>
      </w:r>
      <w:r w:rsidRPr="004033B7">
        <w:rPr>
          <w:rStyle w:val="Refdenotaderodap"/>
        </w:rPr>
        <w:footnoteReference w:id="58"/>
      </w:r>
      <w:r w:rsidR="00423DBF">
        <w:t>. Parece que pelo menos um quinto dos judeus italianos se filiou no PNF</w:t>
      </w:r>
      <w:r w:rsidR="00423DBF">
        <w:rPr>
          <w:rStyle w:val="Refdenotaderodap"/>
        </w:rPr>
        <w:footnoteReference w:id="59"/>
      </w:r>
      <w:r w:rsidR="00423DBF">
        <w:t xml:space="preserve">. A </w:t>
      </w:r>
      <w:r w:rsidR="00E833B8">
        <w:t xml:space="preserve">percentagem </w:t>
      </w:r>
      <w:r w:rsidR="008F591E">
        <w:t>foi</w:t>
      </w:r>
      <w:r w:rsidR="00E833B8">
        <w:t xml:space="preserve"> maior ainda num</w:t>
      </w:r>
      <w:r w:rsidR="008F591E">
        <w:t>a</w:t>
      </w:r>
      <w:r w:rsidR="00E833B8">
        <w:t xml:space="preserve"> d</w:t>
      </w:r>
      <w:r w:rsidR="008F591E">
        <w:t>a</w:t>
      </w:r>
      <w:r w:rsidR="00E833B8">
        <w:t xml:space="preserve">s </w:t>
      </w:r>
      <w:r w:rsidR="008F591E">
        <w:t xml:space="preserve">esferas </w:t>
      </w:r>
      <w:r w:rsidR="00E833B8">
        <w:t>de actividade</w:t>
      </w:r>
      <w:r w:rsidR="008F591E" w:rsidRPr="008F591E">
        <w:t xml:space="preserve"> </w:t>
      </w:r>
      <w:r w:rsidR="008F591E">
        <w:t>mais públicas</w:t>
      </w:r>
      <w:r w:rsidR="00E833B8">
        <w:t>, a arquitectura fascista</w:t>
      </w:r>
      <w:r w:rsidR="006E0E01">
        <w:rPr>
          <w:rStyle w:val="Refdenotaderodap"/>
        </w:rPr>
        <w:footnoteReference w:id="60"/>
      </w:r>
      <w:r w:rsidR="00E833B8">
        <w:t xml:space="preserve">. </w:t>
      </w:r>
      <w:r w:rsidR="009F0CD0">
        <w:t>Uma tal</w:t>
      </w:r>
      <w:r w:rsidR="00E833B8">
        <w:t xml:space="preserve"> preeminência </w:t>
      </w:r>
      <w:r w:rsidR="00AC2702">
        <w:t xml:space="preserve">judaica </w:t>
      </w:r>
      <w:r w:rsidRPr="004033B7">
        <w:t xml:space="preserve">chegou a preocupar o Vaticano que, aproveitando a amenidade das suas relações com o governo na altura em que eram assinados os acordos de Latrão, procurou convencer o Duce a substituir judeus por católicos nas listas únicas </w:t>
      </w:r>
      <w:r w:rsidR="009D07F3">
        <w:lastRenderedPageBreak/>
        <w:t>apresentadas</w:t>
      </w:r>
      <w:r w:rsidRPr="004033B7">
        <w:t xml:space="preserve"> às eleições de Marco de 1929</w:t>
      </w:r>
      <w:r w:rsidRPr="004033B7">
        <w:rPr>
          <w:rStyle w:val="Refdenotaderodap"/>
        </w:rPr>
        <w:footnoteReference w:id="61"/>
      </w:r>
      <w:r w:rsidRPr="004033B7">
        <w:t>. Curiosa situação em que os judeus encontravam no fascismo um</w:t>
      </w:r>
      <w:r>
        <w:t>a</w:t>
      </w:r>
      <w:r w:rsidRPr="004033B7">
        <w:t xml:space="preserve"> </w:t>
      </w:r>
      <w:r>
        <w:t xml:space="preserve">barreira contra </w:t>
      </w:r>
      <w:r w:rsidRPr="004033B7">
        <w:t>o fanatismo eclesiástico. Em Ferrara, por exemplo, apesar de serem em número relativamente reduzido, os judeus encabeçavam tanto o partido como a administração local e muitos deles contavam-se entre os amigos pessoais do chefe do fascismo na região, Italo Balbo</w:t>
      </w:r>
      <w:r w:rsidRPr="004033B7">
        <w:rPr>
          <w:rStyle w:val="Refdenotaderodap"/>
        </w:rPr>
        <w:footnoteReference w:id="62"/>
      </w:r>
      <w:r w:rsidRPr="004033B7">
        <w:t xml:space="preserve">. </w:t>
      </w:r>
      <w:r w:rsidR="00C103B1" w:rsidRPr="004033B7">
        <w:t xml:space="preserve">Um dos mais próximos colaboradores </w:t>
      </w:r>
      <w:r w:rsidR="00C103B1">
        <w:t xml:space="preserve">de Mussolini foi </w:t>
      </w:r>
      <w:r w:rsidR="00C91808">
        <w:t xml:space="preserve">um judeu, Aldo Finzi, que o acompanhou na Marcha — para eles ferroviária — sobre Roma e em seguida esteve a seu lado quando o monarca lhe entregou o governo, </w:t>
      </w:r>
      <w:r w:rsidR="00073385">
        <w:t>responsabilizando</w:t>
      </w:r>
      <w:r w:rsidR="00A90325">
        <w:t>-se</w:t>
      </w:r>
      <w:r w:rsidR="00C91808">
        <w:t xml:space="preserve"> </w:t>
      </w:r>
      <w:r w:rsidR="00073385">
        <w:t>pel</w:t>
      </w:r>
      <w:r w:rsidRPr="004033B7">
        <w:t xml:space="preserve">o Subsecretariado do Interior, posto crucial, </w:t>
      </w:r>
      <w:r w:rsidR="008F591E">
        <w:t xml:space="preserve">sobretudo </w:t>
      </w:r>
      <w:r w:rsidRPr="004033B7">
        <w:t xml:space="preserve">numa jovem ditadura, </w:t>
      </w:r>
      <w:r w:rsidR="00B1687B">
        <w:t xml:space="preserve">e </w:t>
      </w:r>
      <w:r w:rsidR="00FB5E5F">
        <w:t xml:space="preserve">obtendo assim </w:t>
      </w:r>
      <w:r w:rsidRPr="004033B7">
        <w:t xml:space="preserve">poderes superiores aos de boa parte dos ministros e </w:t>
      </w:r>
      <w:r w:rsidR="00A90325">
        <w:t xml:space="preserve">um </w:t>
      </w:r>
      <w:r w:rsidRPr="004033B7">
        <w:t>assento no Grande Conselho</w:t>
      </w:r>
      <w:r w:rsidRPr="004033B7">
        <w:rPr>
          <w:rStyle w:val="Refdenotaderodap"/>
        </w:rPr>
        <w:footnoteReference w:id="63"/>
      </w:r>
      <w:r w:rsidRPr="004033B7">
        <w:t xml:space="preserve">. Ao mesmo tempo, outro judeu, o prefeito Dante Almansi, </w:t>
      </w:r>
      <w:r>
        <w:t>foi</w:t>
      </w:r>
      <w:r w:rsidRPr="004033B7">
        <w:t xml:space="preserve"> nomeado vice-chefe da polícia</w:t>
      </w:r>
      <w:r w:rsidRPr="004033B7">
        <w:rPr>
          <w:rStyle w:val="Refdenotaderodap"/>
        </w:rPr>
        <w:footnoteReference w:id="64"/>
      </w:r>
      <w:r w:rsidRPr="004033B7">
        <w:t>. O facto de pertencer à comunidade judaica também não impediu o importante homem de negócios Guido Jung de ser eleito deputado numa lista fascista em Abril de 1924 e de se encarregar, entre 1932 e 1935, do Ministério das Finanças</w:t>
      </w:r>
      <w:r w:rsidRPr="004033B7">
        <w:rPr>
          <w:rStyle w:val="Refdenotaderodap"/>
        </w:rPr>
        <w:footnoteReference w:id="65"/>
      </w:r>
      <w:r w:rsidRPr="004033B7">
        <w:t>. Igualmente judeu era um fascista da primeira hora, Angelo Oliviero Olivetti, que fora um dos principais ideólogos do sindicalismo revolucionário e que, além de professor na Faculdade Fascista de Perugia e membro do Conselho Nacional das Corporações, integrou a comissão de dezoito membros nomeada pelo Duce em Janeiro de 1925 para estudar as modificações a introduzir no sistema constitucional</w:t>
      </w:r>
      <w:r w:rsidRPr="004033B7">
        <w:rPr>
          <w:rStyle w:val="Refdenotaderodap"/>
        </w:rPr>
        <w:footnoteReference w:id="66"/>
      </w:r>
      <w:r w:rsidRPr="004033B7">
        <w:t xml:space="preserve">. </w:t>
      </w:r>
    </w:p>
    <w:p w:rsidR="00751A22" w:rsidRPr="004033B7" w:rsidRDefault="00751A22" w:rsidP="00751A22">
      <w:pPr>
        <w:tabs>
          <w:tab w:val="left" w:pos="720"/>
          <w:tab w:val="left" w:pos="3312"/>
        </w:tabs>
      </w:pPr>
      <w:r w:rsidRPr="004033B7">
        <w:t>Especialmente sugestivo é o facto de ter sido atribuído a um judeu, Fulvio Suvich, o cargo de subsecretário dos Negócios Estrangeiros quando Mussolini assumiu de novo este Ministério, em 1932, e só quatro anos depois Suvich abandonaria aquelas funções</w:t>
      </w:r>
      <w:r w:rsidRPr="004033B7">
        <w:rPr>
          <w:rStyle w:val="Refdenotaderodap"/>
        </w:rPr>
        <w:footnoteReference w:id="67"/>
      </w:r>
      <w:r w:rsidRPr="004033B7">
        <w:t xml:space="preserve">. Ao sabermos que o Duce retomou o comando directo da diplomacia para substituir uma política externa voltada para a Sociedade das Nações por uma orientação favorável à revisão dos tratados de paz e capaz de olhar com simpatia uma Alemanha onde a todo o momento se esperava que Hitler ascendesse ao poder, podemos apreciar as verdadeiras dimensões da </w:t>
      </w:r>
      <w:r w:rsidRPr="004033B7">
        <w:lastRenderedPageBreak/>
        <w:t>escolha de um judeu para executar uma estratégia propícia ao nacional-socialismo</w:t>
      </w:r>
      <w:r w:rsidR="009D07F3" w:rsidRPr="004033B7">
        <w:rPr>
          <w:rStyle w:val="Refdenotaderodap"/>
        </w:rPr>
        <w:footnoteReference w:id="68"/>
      </w:r>
      <w:r w:rsidRPr="004033B7">
        <w:t>. Compreende-se, assim, que no discurso pronunciado durante a visita que fez a Roma no final de 1932 Alfred Rosenberg, apesar do seu fanatismo anti-semita, tivesse omitido cuidadosamente quaisquer ataques directos aos judeus</w:t>
      </w:r>
      <w:r w:rsidRPr="004033B7">
        <w:rPr>
          <w:rStyle w:val="Refdenotaderodap"/>
        </w:rPr>
        <w:footnoteReference w:id="69"/>
      </w:r>
      <w:r w:rsidRPr="004033B7">
        <w:t xml:space="preserve">, o que é tanto mais curioso quanto ele se contava entre os membros do </w:t>
      </w:r>
      <w:r w:rsidR="00AC2702">
        <w:t xml:space="preserve">NSDAP </w:t>
      </w:r>
      <w:r w:rsidRPr="004033B7">
        <w:t>que acusavam o fascismo italiano de ser um movimento capitalista e judaico</w:t>
      </w:r>
      <w:r w:rsidRPr="004033B7">
        <w:rPr>
          <w:rStyle w:val="Refdenotaderodap"/>
        </w:rPr>
        <w:footnoteReference w:id="70"/>
      </w:r>
      <w:r w:rsidRPr="004033B7">
        <w:t xml:space="preserve">. Pouco depois da entrada de Hitler na Chancelaria Suvich foi enviado à Alemanha para ter conversações com os novos </w:t>
      </w:r>
      <w:r w:rsidR="009D07F3">
        <w:t>governantes</w:t>
      </w:r>
      <w:r w:rsidRPr="004033B7">
        <w:rPr>
          <w:rStyle w:val="Refdenotaderodap"/>
        </w:rPr>
        <w:footnoteReference w:id="71"/>
      </w:r>
      <w:r w:rsidRPr="004033B7">
        <w:t>. O Duce não podia ter escolhido melhor, se pretendia evidenciar o plano de clivagem entre o seu modelo de fascismo e o do Führer. E como se isto não fosse suficiente, no primeiro encontro que teve com Hitler, em Junho de 1934, Mussolini fez-se acompanhar por Suvich</w:t>
      </w:r>
      <w:r w:rsidRPr="004033B7">
        <w:rPr>
          <w:rStyle w:val="Refdenotaderodap"/>
        </w:rPr>
        <w:footnoteReference w:id="72"/>
      </w:r>
      <w:r w:rsidRPr="004033B7">
        <w:t xml:space="preserve">. </w:t>
      </w:r>
    </w:p>
    <w:p w:rsidR="00751A22" w:rsidRPr="004033B7" w:rsidRDefault="00751A22" w:rsidP="00751A22">
      <w:pPr>
        <w:tabs>
          <w:tab w:val="left" w:pos="720"/>
          <w:tab w:val="left" w:pos="3312"/>
        </w:tabs>
      </w:pPr>
      <w:r w:rsidRPr="004033B7">
        <w:t>Foi essa a época em que Mussolini procurou servir de medianeiro entre Hitler e os judeus, acalentando a esperança de lev</w:t>
      </w:r>
      <w:r w:rsidR="00981657">
        <w:t xml:space="preserve">á-lo </w:t>
      </w:r>
      <w:r w:rsidRPr="004033B7">
        <w:t>a atenuar a campanha anti-semita a troco de uma suspensão dos boicotes organizados pelo judaísmo mundial</w:t>
      </w:r>
      <w:r w:rsidRPr="004033B7">
        <w:rPr>
          <w:rStyle w:val="Refdenotaderodap"/>
        </w:rPr>
        <w:footnoteReference w:id="73"/>
      </w:r>
      <w:r w:rsidRPr="004033B7">
        <w:t xml:space="preserve">. O único protector plausível dos judeus perante a fúria </w:t>
      </w:r>
      <w:r w:rsidR="00AC2702">
        <w:t>nacional-socialista</w:t>
      </w:r>
      <w:r w:rsidRPr="004033B7">
        <w:t xml:space="preserve"> </w:t>
      </w:r>
      <w:r w:rsidR="00AC2702">
        <w:t>—</w:t>
      </w:r>
      <w:r w:rsidRPr="004033B7">
        <w:t xml:space="preserve"> era como Mussolini se apresentava e como a imprensa sionista da Palestina o reconhecia</w:t>
      </w:r>
      <w:r w:rsidRPr="004033B7">
        <w:rPr>
          <w:rStyle w:val="Refdenotaderodap"/>
        </w:rPr>
        <w:footnoteReference w:id="74"/>
      </w:r>
      <w:r w:rsidRPr="004033B7">
        <w:t>. Em 1933 ele permitiu-se escrever a</w:t>
      </w:r>
      <w:r w:rsidR="00981657" w:rsidRPr="004033B7">
        <w:t>o novo chanceler alemão</w:t>
      </w:r>
      <w:r w:rsidRPr="004033B7">
        <w:t xml:space="preserve">, ensinando-lhe que «todos os regimes têm não só o direito, mas ainda o dever de eliminar dos postos de comando os elementos que não sejam inteiramente seguros, mas para isto não é necessário, e pode mesmo ser prejudicial, colocar no campo da raça </w:t>
      </w:r>
      <w:r w:rsidR="00D7468D">
        <w:t>—</w:t>
      </w:r>
      <w:r w:rsidRPr="004033B7">
        <w:t xml:space="preserve"> semitismo e arianismo </w:t>
      </w:r>
      <w:r w:rsidR="00D7468D">
        <w:t>—</w:t>
      </w:r>
      <w:r w:rsidRPr="004033B7">
        <w:t xml:space="preserve"> aquilo que é simplesmente uma medida de defesa e de desenvolvimento de uma revolução»</w:t>
      </w:r>
      <w:r w:rsidRPr="004033B7">
        <w:rPr>
          <w:rStyle w:val="Refdenotaderodap"/>
        </w:rPr>
        <w:footnoteReference w:id="75"/>
      </w:r>
      <w:r w:rsidRPr="004033B7">
        <w:t xml:space="preserve">. Com quem o Duce estava a gastar o latim! No final de Março desse ano ele deu instruções ao seu embaixador em Berlim para que tentasse dissuadir Hitler de levar a cabo o boicote aos judeus anunciado para o primeiro dia de Abril, e nesse mesmo mês de Abril, numa iniciativa a que a imprensa italiana conferiu um lugar de destaque, recebeu o grande rabi de Roma, que lhe manifestou enorme preocupação pela sorte dos seus correligionários na </w:t>
      </w:r>
      <w:r w:rsidRPr="004033B7">
        <w:lastRenderedPageBreak/>
        <w:t>Alemanha</w:t>
      </w:r>
      <w:r w:rsidRPr="004033B7">
        <w:rPr>
          <w:rStyle w:val="Refdenotaderodap"/>
        </w:rPr>
        <w:footnoteReference w:id="76"/>
      </w:r>
      <w:r w:rsidRPr="004033B7">
        <w:t>. Parece que ao encontrar-se com Hitler</w:t>
      </w:r>
      <w:r>
        <w:t xml:space="preserve"> </w:t>
      </w:r>
      <w:r w:rsidRPr="001C582B">
        <w:t>em Junho de 1934</w:t>
      </w:r>
      <w:r w:rsidRPr="004033B7">
        <w:t xml:space="preserve"> o Duce de novo procurou convencê-lo a limitar na prática a hostilidade aos judeus</w:t>
      </w:r>
      <w:r w:rsidRPr="004033B7">
        <w:rPr>
          <w:rStyle w:val="Refdenotaderodap"/>
        </w:rPr>
        <w:footnoteReference w:id="77"/>
      </w:r>
      <w:r w:rsidRPr="004033B7">
        <w:t>. E assim como num lado tentava conter dentro de limites aceitáveis o anti-semitismo dos nacionais-socialistas, o Duce esforçava-se no outro lado por moderar os ímpetos de muitos judeus. Em Setembro de 1933 o grande rabi de Roma compareceu como representante pessoal de Mussolini na Segunda Conferência Judaica Mundial, mas abandonou a reunião ao verificar que era impossível demover os demais congressistas de aprovarem um movimento mundial de boicote ao comércio externo do Reich sob uma direcção central unificada</w:t>
      </w:r>
      <w:r w:rsidRPr="004033B7">
        <w:rPr>
          <w:rStyle w:val="Refdenotaderodap"/>
        </w:rPr>
        <w:footnoteReference w:id="78"/>
      </w:r>
      <w:r w:rsidRPr="004033B7">
        <w:t>. É sempre ingrat</w:t>
      </w:r>
      <w:r w:rsidR="00D7468D">
        <w:t xml:space="preserve">o colocar-se de permeio </w:t>
      </w:r>
      <w:r w:rsidRPr="004033B7">
        <w:t>quando uma das partes não quer, e a outra não pode, encontrar um terreno de entendimento. Apesar dis</w:t>
      </w:r>
      <w:r>
        <w:t>t</w:t>
      </w:r>
      <w:r w:rsidRPr="004033B7">
        <w:t>o o Duce continuou a usar termos bastante rudes para assinalar publicamente as suas divergências com o Führer, como sucedeu por exemplo num discurso de Setembro de 1934 em que classificou o racismo germânico como «uma doutrina professada pelos descendentes de bárbaros»</w:t>
      </w:r>
      <w:r w:rsidRPr="004033B7">
        <w:rPr>
          <w:rStyle w:val="Refdenotaderodap"/>
        </w:rPr>
        <w:footnoteReference w:id="79"/>
      </w:r>
      <w:r w:rsidRPr="004033B7">
        <w:t>. Entretanto os judeus fugidos do Reich encontravam acolhimento em Itália</w:t>
      </w:r>
      <w:r w:rsidRPr="004033B7">
        <w:rPr>
          <w:rStyle w:val="Refdenotaderodap"/>
        </w:rPr>
        <w:footnoteReference w:id="80"/>
      </w:r>
      <w:r w:rsidRPr="004033B7">
        <w:t xml:space="preserve">. </w:t>
      </w:r>
    </w:p>
    <w:p w:rsidR="00751A22" w:rsidRPr="004033B7" w:rsidRDefault="00751A22" w:rsidP="00751A22">
      <w:pPr>
        <w:tabs>
          <w:tab w:val="left" w:pos="720"/>
          <w:tab w:val="left" w:pos="3312"/>
        </w:tabs>
      </w:pPr>
      <w:r w:rsidRPr="004033B7">
        <w:t xml:space="preserve">Até à chegada de Hitler ao poder, coubera a Mussolini o lugar indisputado de inspirador e protector financeiro dos movimentos fascistas espalhados um pouco por toda a parte, mas após Janeiro de 1933 a importância económica e o prestígio cultural da Alemanha </w:t>
      </w:r>
      <w:r w:rsidR="00057D5A">
        <w:t xml:space="preserve">deram-lhe </w:t>
      </w:r>
      <w:r w:rsidRPr="004033B7">
        <w:t>uma influência cada vez maior sobre o fascismo mundial. Os termos ideológicos desta rivalidade não ofereciam dúvidas, e enquanto o Führer patrocinava uma visão estritamente rácica, o Duce privilegiava as questões sociais e rejeitava o racismo. Em França, por exemplo, o Faisceau, fundado e dirigido por Georges Valois, um dos primeiros partidos de inspiração mussoliniana criado fora de Itália, era completamente alheio ao ódio aos judeus, defendendo a sua integração económica e social</w:t>
      </w:r>
      <w:r w:rsidRPr="004033B7">
        <w:rPr>
          <w:rStyle w:val="Refdenotaderodap"/>
        </w:rPr>
        <w:footnoteReference w:id="81"/>
      </w:r>
      <w:r w:rsidRPr="004033B7">
        <w:t>. A influência do fascismo italiano parece-me ter sido aqui tanto mais indubitável quanto Valois fora até então notoriamente anti-semita</w:t>
      </w:r>
      <w:r w:rsidRPr="004033B7">
        <w:rPr>
          <w:rStyle w:val="Refdenotaderodap"/>
        </w:rPr>
        <w:footnoteReference w:id="82"/>
      </w:r>
      <w:r w:rsidRPr="004033B7">
        <w:t>. Do mesmo modo, ao saber que o chanceler Dollfuss pretendia introduzir na constituição austríaca cláusulas desfavoráveis aos judeus, Mussolini escreveu-lhe a dissuadi-lo</w:t>
      </w:r>
      <w:r w:rsidRPr="004033B7">
        <w:rPr>
          <w:rStyle w:val="Refdenotaderodap"/>
        </w:rPr>
        <w:footnoteReference w:id="83"/>
      </w:r>
      <w:r w:rsidRPr="004033B7">
        <w:t xml:space="preserve">. E se for exacto que Oswald Mosley contara </w:t>
      </w:r>
      <w:r w:rsidRPr="004033B7">
        <w:lastRenderedPageBreak/>
        <w:t>judeus entre os seus mais importantes seguidores quando unificou o movimento fascista na Grã-Bretanha e só aderiu ao anti-semitismo em Setembro de 1934</w:t>
      </w:r>
      <w:r w:rsidRPr="004033B7">
        <w:rPr>
          <w:rStyle w:val="Refdenotaderodap"/>
        </w:rPr>
        <w:footnoteReference w:id="84"/>
      </w:r>
      <w:r w:rsidRPr="004033B7">
        <w:t>, a mudança correspondeu decerto à passagem da órbita de Mussolini para a de Hitler, pois na segunda metade da década de 1930 a British Union cada vez mais substituiu a invocação do fascismo pelas referências ao nacional-socialismo, a ponto de ter passado a chamar</w:t>
      </w:r>
      <w:r w:rsidR="00CE710B">
        <w:t>-se</w:t>
      </w:r>
      <w:r w:rsidRPr="004033B7">
        <w:t>, em Junho de 1936, British Union of Fascists</w:t>
      </w:r>
      <w:r w:rsidRPr="00786827">
        <w:rPr>
          <w:rStyle w:val="Refdenotaderodap"/>
          <w:vertAlign w:val="baseline"/>
        </w:rPr>
        <w:t xml:space="preserve"> and </w:t>
      </w:r>
      <w:r w:rsidRPr="004033B7">
        <w:t>National Socialists</w:t>
      </w:r>
      <w:r w:rsidRPr="004033B7">
        <w:rPr>
          <w:rStyle w:val="Refdenotaderodap"/>
        </w:rPr>
        <w:footnoteReference w:id="85"/>
      </w:r>
      <w:r w:rsidRPr="004033B7">
        <w:t>. Esta evolução reproduziu em escala ampliada o que sucedera alguns anos antes com a Imperial Fascist League, um grupo de escassíssima amplitude e influência diminuta, que até 1931, enquanto se mantivera alheia ao anti-semitismo, havia seguido o modelo do fascismo italiano, copiando-lhe símbolos e denominações, e que de então em diante passou a participar nas campanhas contra os judeus e a propagar a supremacia racial dos nórdicos, colocando-se sob a égide do nacional-socialismo hitleriano</w:t>
      </w:r>
      <w:r w:rsidRPr="004033B7">
        <w:rPr>
          <w:rStyle w:val="Refdenotaderodap"/>
        </w:rPr>
        <w:footnoteReference w:id="86"/>
      </w:r>
      <w:r w:rsidRPr="004033B7">
        <w:t xml:space="preserve">. Tratava-se, em suma, de uma oposição entre o modelo do Estado totalitário e o modelo da comunidade racial. </w:t>
      </w:r>
    </w:p>
    <w:p w:rsidR="00751A22" w:rsidRPr="004033B7" w:rsidRDefault="00751A22" w:rsidP="00751A22">
      <w:pPr>
        <w:tabs>
          <w:tab w:val="left" w:pos="720"/>
          <w:tab w:val="left" w:pos="3312"/>
        </w:tabs>
      </w:pPr>
      <w:r w:rsidRPr="004033B7">
        <w:t xml:space="preserve">Quando, por iniciativa italiana e com a significativa ausência do partido nacional-socialista alemão, se realizou em Dezembro de 1934 a conferência de Montreux, na Suíça, reunindo representantes dos movimentos fascistas de quinze países europeus, o problema judaico teve de ficar em aberto. As decisões finais recusaram-se a promover o anti-semitismo numa escala mundial, declarando que «a questão judaica não pode manifestar-se numa campanha universal de ódio aos judeus». Ao considerar que «cada país [...] é o único competente para decidir a conduta que deve prosseguir no seu território quanto aos cidadãos, aos grupos, às raças e às religiões que aí residem», a conferência circunscreveu a política racial dos </w:t>
      </w:r>
      <w:r w:rsidR="008F7C96">
        <w:t xml:space="preserve">nacionais-socialistas </w:t>
      </w:r>
      <w:r w:rsidRPr="004033B7">
        <w:t>ao âmbito de um caso particular. E a admissão de que «em muitos lugares alguns grupos judaicos se instalaram como em terra conquistada» implicava, na verdade, que o ataque aos judeus se justificava apenas em tais «lugares». Em suma, cada regime e cada movimento adoptaria acerca do assunto a atitude que melhor entendesse</w:t>
      </w:r>
      <w:r w:rsidRPr="004033B7">
        <w:rPr>
          <w:rStyle w:val="Refdenotaderodap"/>
        </w:rPr>
        <w:footnoteReference w:id="87"/>
      </w:r>
      <w:r w:rsidRPr="004033B7">
        <w:t xml:space="preserve">. Na </w:t>
      </w:r>
      <w:r w:rsidRPr="004033B7">
        <w:lastRenderedPageBreak/>
        <w:t xml:space="preserve">realidade, as implicações do dissídio </w:t>
      </w:r>
      <w:r w:rsidR="00A87995">
        <w:t>fo</w:t>
      </w:r>
      <w:r w:rsidRPr="004033B7">
        <w:t>ram mais vastas. Enquanto o fascismo italiano procur</w:t>
      </w:r>
      <w:r w:rsidR="00A87995">
        <w:t>ou</w:t>
      </w:r>
      <w:r w:rsidRPr="004033B7">
        <w:t xml:space="preserve"> internacionalizar a sua doutrina e o seu exemplo prático mediante os contactos e as relações com partidos e movimentos afins</w:t>
      </w:r>
      <w:r w:rsidRPr="004033B7">
        <w:rPr>
          <w:rStyle w:val="Refdenotaderodap"/>
        </w:rPr>
        <w:footnoteReference w:id="88"/>
      </w:r>
      <w:r w:rsidRPr="004033B7">
        <w:t xml:space="preserve">, a </w:t>
      </w:r>
      <w:r w:rsidR="002E28CF">
        <w:t>supra</w:t>
      </w:r>
      <w:r w:rsidRPr="004033B7">
        <w:t xml:space="preserve">nacionalização prevista pelo nacional-socialismo germânico </w:t>
      </w:r>
      <w:r w:rsidR="00A87995">
        <w:t xml:space="preserve">viria a </w:t>
      </w:r>
      <w:r w:rsidRPr="004033B7">
        <w:t xml:space="preserve">ocorrer através da inclusão nos SS de todos os homens, qualquer que fosse o seu país de origem, considerados de bom sangue e susceptíveis de contribuir para a formação da raça de senhores. Eram duas perspectivas distintas, implicando modalidades de proselitismo muito diferentes também. </w:t>
      </w:r>
    </w:p>
    <w:p w:rsidR="00751A22" w:rsidRPr="004033B7" w:rsidRDefault="00751A22" w:rsidP="00751A22">
      <w:pPr>
        <w:tabs>
          <w:tab w:val="left" w:pos="720"/>
          <w:tab w:val="left" w:pos="3312"/>
        </w:tabs>
      </w:pPr>
      <w:r w:rsidRPr="004033B7">
        <w:t>A liquidação política de Gregor Strasser no final de 1932 e o extermínio dos chefes da ala populista d</w:t>
      </w:r>
      <w:r w:rsidR="002E28CF">
        <w:t>a</w:t>
      </w:r>
      <w:r w:rsidRPr="004033B7">
        <w:t>s SA em Junho e Julho de 1934 puseram cobro à influência que as doutrinas mussolinianas exerc</w:t>
      </w:r>
      <w:r>
        <w:t>iam</w:t>
      </w:r>
      <w:r w:rsidRPr="004033B7">
        <w:t xml:space="preserve"> no Reich. Mas nenhuns obstáculos impediram o processo inverso e desde 1933 notou-se um progressivo reforço da facção anti-semita dentro do Partido Nacional Fascista</w:t>
      </w:r>
      <w:r w:rsidRPr="004033B7">
        <w:rPr>
          <w:rStyle w:val="Refdenotaderodap"/>
        </w:rPr>
        <w:footnoteReference w:id="89"/>
      </w:r>
      <w:r w:rsidRPr="004033B7">
        <w:t xml:space="preserve">. </w:t>
      </w:r>
      <w:r w:rsidR="002E28CF" w:rsidRPr="004033B7">
        <w:t>A hegemonia adquirida pela Gestapo no interior da OVRA parece ter estimula</w:t>
      </w:r>
      <w:r w:rsidR="007748CD">
        <w:t>do</w:t>
      </w:r>
      <w:r w:rsidR="002E28CF" w:rsidRPr="004033B7">
        <w:t xml:space="preserve"> o racismo em Itália</w:t>
      </w:r>
      <w:r w:rsidR="002E28CF">
        <w:t>, e um conhecedor pretendeu que</w:t>
      </w:r>
      <w:r w:rsidR="002E28CF" w:rsidRPr="004033B7">
        <w:t xml:space="preserve"> «a Gestapo infiltrou-se até às próprias raízes </w:t>
      </w:r>
      <w:r w:rsidR="002E28CF">
        <w:t>n</w:t>
      </w:r>
      <w:r w:rsidR="002E28CF" w:rsidRPr="004033B7">
        <w:t>a organização policial fascista, procurando reorganizá-la consoante o modelo germânico. É muito possível que a influência crescente da Gestapo na Itália se tenha feito sentir na mudança súbita e inesperada que se operou na política do fascismo relativamente aos judeus»</w:t>
      </w:r>
      <w:r w:rsidR="002E28CF" w:rsidRPr="004033B7">
        <w:rPr>
          <w:rStyle w:val="Refdenotaderodap"/>
        </w:rPr>
        <w:footnoteReference w:id="90"/>
      </w:r>
      <w:r w:rsidR="002E28CF" w:rsidRPr="004033B7">
        <w:t xml:space="preserve">. </w:t>
      </w:r>
      <w:r w:rsidRPr="004033B7">
        <w:t xml:space="preserve">Apesar disso, os inimigos italianos do judaísmo mantinham-se numa posição marginal, sem interferirem nas grandes decisões políticas nem conseguirem sequer uma audiência significativa, até que em 1937 Paolo Orano desencadeou a campanha anti-semita com a publicação da sua obra </w:t>
      </w:r>
      <w:r w:rsidRPr="004033B7">
        <w:rPr>
          <w:i/>
        </w:rPr>
        <w:t>Gli Ebrei in Italia</w:t>
      </w:r>
      <w:r w:rsidRPr="004033B7">
        <w:t xml:space="preserve">. </w:t>
      </w:r>
    </w:p>
    <w:p w:rsidR="00751A22" w:rsidRPr="004033B7" w:rsidRDefault="00751A22" w:rsidP="00751A22">
      <w:pPr>
        <w:tabs>
          <w:tab w:val="left" w:pos="720"/>
          <w:tab w:val="left" w:pos="3312"/>
        </w:tabs>
      </w:pPr>
      <w:r>
        <w:t>Tive</w:t>
      </w:r>
      <w:r w:rsidRPr="004033B7">
        <w:t xml:space="preserve"> aberta a meu lado uma curiosa refutação do livro de Orano, cuja consulta dev</w:t>
      </w:r>
      <w:r>
        <w:t>i</w:t>
      </w:r>
      <w:r w:rsidRPr="004033B7">
        <w:t xml:space="preserve"> à cultíssima bibliofilia de Maurício Tragtenberg. O autor da réplica, Abramo Levi, judeu italiano, reivindic</w:t>
      </w:r>
      <w:r>
        <w:t>ou</w:t>
      </w:r>
      <w:r w:rsidRPr="004033B7">
        <w:t>-se da sua qualidade de fascista para melhor rebater o anti-semitismo. Escrev</w:t>
      </w:r>
      <w:r>
        <w:t>eu</w:t>
      </w:r>
      <w:r w:rsidRPr="004033B7">
        <w:t xml:space="preserve"> ele que «os judeus italianos são politicamente aquilo que devem ser: fascistas, sim; católicos, não... porque são judeus»</w:t>
      </w:r>
      <w:r w:rsidRPr="004033B7">
        <w:rPr>
          <w:rStyle w:val="Refdenotaderodap"/>
        </w:rPr>
        <w:footnoteReference w:id="91"/>
      </w:r>
      <w:r w:rsidRPr="004033B7">
        <w:t xml:space="preserve">. E contra o estafado argumento que pretendia deduzir o carácter judaico do marxismo a partir da etnia do seu fundador, Levi respondeu com espírito que a dialéctica de Marx era de origem hegeliana, inserida portanto numa tradição exclusivamente alemã, assim </w:t>
      </w:r>
      <w:r w:rsidRPr="004033B7">
        <w:lastRenderedPageBreak/>
        <w:t>como era pangermanista a política de Marx, semelhante nisto à do nacional-socialismo</w:t>
      </w:r>
      <w:r w:rsidRPr="004033B7">
        <w:rPr>
          <w:rStyle w:val="Refdenotaderodap"/>
        </w:rPr>
        <w:footnoteReference w:id="92"/>
      </w:r>
      <w:r w:rsidRPr="004033B7">
        <w:t>. Todavia, o grande interesse do livro não reside nas poucas páginas redigidas por quem o assinou, mas nos depoimentos em que se sucedem as profissões de fé fascistas de numerosos judeus, grande parte dos quais ocupava cargos dirigentes nas Comunidades Israelitas formadas no quadro do regime. Aliás, a legislação que regulava o funcionamento destas Comunidades, promulgada em 1930 e 1931, fora muito bem recebida pela enorme maioria dos judeus</w:t>
      </w:r>
      <w:r w:rsidRPr="004033B7">
        <w:rPr>
          <w:rStyle w:val="Refdenotaderodap"/>
        </w:rPr>
        <w:footnoteReference w:id="93"/>
      </w:r>
      <w:r w:rsidRPr="004033B7">
        <w:t>. Aquele erguer de braços judaicos, esticados na saudação romana, culminou a 30 de Maio de 1937 em Florença, onde, na sequência da polémica suscitada por Orano, se reuniram representantes de quase todas as Comunidades Israelitas do país e, entre outras decisões votadas por unanimidade, foi proclamado que «os italianos de religião judaica são, e declaram claramente ser, inimigos de qualquer internacional judaica ou não judaica, maçónica, subversiva ou subversora e, sobretudo, antifascista»</w:t>
      </w:r>
      <w:r w:rsidRPr="004033B7">
        <w:rPr>
          <w:rStyle w:val="Refdenotaderodap"/>
        </w:rPr>
        <w:footnoteReference w:id="94"/>
      </w:r>
      <w:r w:rsidRPr="004033B7">
        <w:t xml:space="preserve">. Não </w:t>
      </w:r>
      <w:r>
        <w:t>foi</w:t>
      </w:r>
      <w:r w:rsidRPr="004033B7">
        <w:t xml:space="preserve"> só o sionismo que os chefes do judaísmo italiano repudia</w:t>
      </w:r>
      <w:r>
        <w:t>r</w:t>
      </w:r>
      <w:r w:rsidRPr="004033B7">
        <w:t>am, mas nega</w:t>
      </w:r>
      <w:r>
        <w:t>r</w:t>
      </w:r>
      <w:r w:rsidRPr="004033B7">
        <w:t xml:space="preserve">am no mesmo gesto a solidariedade com os movimentos estrangeiros que procuravam defender </w:t>
      </w:r>
      <w:r w:rsidR="00A446DC" w:rsidRPr="004033B7">
        <w:t xml:space="preserve">das perseguições </w:t>
      </w:r>
      <w:r w:rsidRPr="004033B7">
        <w:t xml:space="preserve">os judeus </w:t>
      </w:r>
      <w:r w:rsidR="00A446DC">
        <w:t>do Reich</w:t>
      </w:r>
      <w:r w:rsidRPr="004033B7">
        <w:t xml:space="preserve">. </w:t>
      </w:r>
    </w:p>
    <w:p w:rsidR="00751A22" w:rsidRPr="004033B7" w:rsidRDefault="00751A22" w:rsidP="00751A22">
      <w:pPr>
        <w:tabs>
          <w:tab w:val="left" w:pos="720"/>
          <w:tab w:val="left" w:pos="3312"/>
        </w:tabs>
      </w:pPr>
      <w:r w:rsidRPr="004033B7">
        <w:t xml:space="preserve">A decisão de </w:t>
      </w:r>
      <w:r>
        <w:t>hostilizar</w:t>
      </w:r>
      <w:r w:rsidRPr="004033B7">
        <w:t xml:space="preserve"> os judeus</w:t>
      </w:r>
      <w:r w:rsidR="00976D54">
        <w:t>, que tivera no livro de Orano o seu balão de ensaio,</w:t>
      </w:r>
      <w:r w:rsidR="00B25861">
        <w:t xml:space="preserve"> </w:t>
      </w:r>
      <w:r w:rsidR="008F70D6">
        <w:t xml:space="preserve">culminou com o </w:t>
      </w:r>
      <w:r w:rsidR="008F70D6" w:rsidRPr="004033B7">
        <w:t>decreto-lei anti-semita promulgado em 17 de Novembro de 1938</w:t>
      </w:r>
      <w:r w:rsidR="00B25861">
        <w:rPr>
          <w:rStyle w:val="Refdenotaderodap"/>
        </w:rPr>
        <w:footnoteReference w:id="95"/>
      </w:r>
      <w:r w:rsidR="00B25861">
        <w:t>.</w:t>
      </w:r>
      <w:r w:rsidR="008F70D6" w:rsidRPr="004033B7">
        <w:t xml:space="preserve"> </w:t>
      </w:r>
      <w:r w:rsidR="00B25861" w:rsidRPr="004033B7">
        <w:t xml:space="preserve">Foi </w:t>
      </w:r>
      <w:r w:rsidR="00B25861">
        <w:t xml:space="preserve">uma medida a </w:t>
      </w:r>
      <w:r w:rsidRPr="004033B7">
        <w:t xml:space="preserve">tal </w:t>
      </w:r>
      <w:r w:rsidR="00B25861">
        <w:t xml:space="preserve">ponto </w:t>
      </w:r>
      <w:r w:rsidRPr="004033B7">
        <w:t xml:space="preserve">contrária à tradição do fascismo italiano que os autores e apoiantes de um </w:t>
      </w:r>
      <w:r w:rsidRPr="004033B7">
        <w:rPr>
          <w:i/>
        </w:rPr>
        <w:t>Manifesto dos Cientistas Racistas,</w:t>
      </w:r>
      <w:r w:rsidRPr="004033B7">
        <w:t xml:space="preserve"> amplamente difundido na imprensa em Julho d</w:t>
      </w:r>
      <w:r w:rsidR="00B25861">
        <w:t>aquele ano</w:t>
      </w:r>
      <w:r w:rsidRPr="004033B7">
        <w:t xml:space="preserve">, </w:t>
      </w:r>
      <w:r w:rsidR="00B25861">
        <w:t xml:space="preserve">haviam </w:t>
      </w:r>
      <w:r w:rsidR="00B25861" w:rsidRPr="004033B7">
        <w:t>preferi</w:t>
      </w:r>
      <w:r w:rsidR="00B25861">
        <w:t>do</w:t>
      </w:r>
      <w:r w:rsidR="00B25861" w:rsidRPr="004033B7">
        <w:t xml:space="preserve"> </w:t>
      </w:r>
      <w:r w:rsidR="00B25861">
        <w:t xml:space="preserve">o anonimato </w:t>
      </w:r>
      <w:r w:rsidRPr="004033B7">
        <w:t xml:space="preserve">e só vários dias após a publicação foram </w:t>
      </w:r>
      <w:r w:rsidR="00B25861">
        <w:t xml:space="preserve">revelados os </w:t>
      </w:r>
      <w:r w:rsidRPr="004033B7">
        <w:t>subscritores, parecendo que alguns exprimiam objecções ao texto tal como fora dado à estampa</w:t>
      </w:r>
      <w:r w:rsidRPr="004033B7">
        <w:rPr>
          <w:rStyle w:val="Refdenotaderodap"/>
        </w:rPr>
        <w:footnoteReference w:id="96"/>
      </w:r>
      <w:r w:rsidRPr="004033B7">
        <w:t>. A</w:t>
      </w:r>
      <w:r w:rsidR="00B25861">
        <w:t>liás, a</w:t>
      </w:r>
      <w:r w:rsidRPr="004033B7">
        <w:t xml:space="preserve"> nova orientação do regime cheg</w:t>
      </w:r>
      <w:r w:rsidR="00B25861">
        <w:t>ara</w:t>
      </w:r>
      <w:r w:rsidRPr="004033B7">
        <w:t xml:space="preserve"> a suscitar debate na reunião do Grande Conselho </w:t>
      </w:r>
      <w:r w:rsidR="004A74EF">
        <w:t xml:space="preserve">durante a noite de </w:t>
      </w:r>
      <w:r w:rsidRPr="004033B7">
        <w:t xml:space="preserve">6 </w:t>
      </w:r>
      <w:r w:rsidR="004A74EF">
        <w:t>para</w:t>
      </w:r>
      <w:r w:rsidRPr="004033B7">
        <w:t xml:space="preserve"> 7 de Outubro de 1938, apesar de até então o órgão supremo do fascismo ter em geral seguido obedientemente as instruções de Mussolini, e três figuras de primeiro plano destacaram-se na crítica. Uma delas, Italo Balbo, que se opunha igualmente à aliança com o Reich, esforçou-se por evitar o cumprimento das novas leis raciais em Ferrara, onde tinha uma sólida base de apoio, e conseguiu também que a sua aplicação na Líbia fosse sujeita a várias excepções, atenua</w:t>
      </w:r>
      <w:r w:rsidR="004A74EF">
        <w:t>ndo-</w:t>
      </w:r>
      <w:r w:rsidR="004A74EF" w:rsidRPr="004033B7">
        <w:t>lhes</w:t>
      </w:r>
      <w:r w:rsidRPr="004033B7">
        <w:t xml:space="preserve"> a eficácia. De Bono, a quem um judeu auxiliara na chefia da polícia, manifestou-se igualmente contr</w:t>
      </w:r>
      <w:r w:rsidR="004A74EF">
        <w:t>ário</w:t>
      </w:r>
      <w:r w:rsidRPr="004033B7">
        <w:t xml:space="preserve"> </w:t>
      </w:r>
      <w:r w:rsidR="004A74EF">
        <w:t>à</w:t>
      </w:r>
      <w:r w:rsidRPr="004033B7">
        <w:t xml:space="preserve"> legislação racial, embora no mês anterior tivesse registado no seu diário que havia sempre sido anti-semita. O terceiro membro do Grande </w:t>
      </w:r>
      <w:r w:rsidRPr="004033B7">
        <w:lastRenderedPageBreak/>
        <w:t>Conselho a discordar das medidas hostis aos judeus foi o presidente do Senado, Federzoni</w:t>
      </w:r>
      <w:r w:rsidRPr="004033B7">
        <w:rPr>
          <w:rStyle w:val="Refdenotaderodap"/>
        </w:rPr>
        <w:footnoteReference w:id="97"/>
      </w:r>
      <w:r w:rsidRPr="004033B7">
        <w:t>. Entre os intelectuais, Marinetti e outros futuristas, fascistas desde antes da primeira hora, tomaram publicamente posição contra o anti-semitismo</w:t>
      </w:r>
      <w:r w:rsidRPr="004033B7">
        <w:rPr>
          <w:rStyle w:val="Refdenotaderodap"/>
        </w:rPr>
        <w:footnoteReference w:id="98"/>
      </w:r>
      <w:r w:rsidRPr="004033B7">
        <w:t xml:space="preserve"> </w:t>
      </w:r>
      <w:r>
        <w:t xml:space="preserve">e </w:t>
      </w:r>
      <w:r w:rsidRPr="004033B7">
        <w:t>também Giovanni Gentile, o mais importante filósofo do regime, não aderiu à campanha</w:t>
      </w:r>
      <w:r w:rsidRPr="004033B7">
        <w:rPr>
          <w:rStyle w:val="Refdenotaderodap"/>
        </w:rPr>
        <w:footnoteReference w:id="99"/>
      </w:r>
      <w:r w:rsidRPr="004033B7">
        <w:t xml:space="preserve">. </w:t>
      </w:r>
      <w:r w:rsidRPr="00CA0F53">
        <w:t xml:space="preserve">Numa obra publicada originariamente em 1939 uma figura tão importante da cultura fascista </w:t>
      </w:r>
      <w:r w:rsidR="000E7BF9">
        <w:t>—</w:t>
      </w:r>
      <w:r w:rsidRPr="00CA0F53">
        <w:t xml:space="preserve"> ou mesmo da cultura italiana </w:t>
      </w:r>
      <w:r w:rsidRPr="00CA0F53">
        <w:rPr>
          <w:i/>
        </w:rPr>
        <w:t>tout court</w:t>
      </w:r>
      <w:r w:rsidRPr="00CA0F53">
        <w:t xml:space="preserve"> </w:t>
      </w:r>
      <w:r w:rsidR="000E7BF9">
        <w:t>—</w:t>
      </w:r>
      <w:r w:rsidRPr="00CA0F53">
        <w:t xml:space="preserve"> como era o historiador Gioacchino Volpe, secretário da Academia, admiti</w:t>
      </w:r>
      <w:r w:rsidR="004F68A2">
        <w:t>u</w:t>
      </w:r>
      <w:r w:rsidRPr="00CA0F53">
        <w:t xml:space="preserve"> que perante a campanha anti-semita e a adopção oficial de medidas contrárias aos judeus «houve um certo constrangimento e algumas reacções da opinião pública italiana» e acrescentou: «Chegando inesperadamente, a política da raça não encontrou o terreno bem preparado»</w:t>
      </w:r>
      <w:r w:rsidRPr="00CA0F53">
        <w:rPr>
          <w:vertAlign w:val="superscript"/>
        </w:rPr>
        <w:footnoteReference w:id="100"/>
      </w:r>
      <w:r w:rsidRPr="00CA0F53">
        <w:t xml:space="preserve">. </w:t>
      </w:r>
      <w:r>
        <w:t xml:space="preserve">Volpe, </w:t>
      </w:r>
      <w:r w:rsidRPr="004033B7">
        <w:t>que havia pertencido ao Comité Itália-Palestina, fundado em 1927</w:t>
      </w:r>
      <w:r w:rsidRPr="004033B7">
        <w:rPr>
          <w:rStyle w:val="Refdenotaderodap"/>
        </w:rPr>
        <w:footnoteReference w:id="101"/>
      </w:r>
      <w:r w:rsidRPr="004033B7">
        <w:t>, depois de invocar uma série de argumentos contraditórios e pouco convincentes para defender a nova orientação racista do regime, enumer</w:t>
      </w:r>
      <w:r>
        <w:t>ou</w:t>
      </w:r>
      <w:r w:rsidRPr="004033B7">
        <w:t xml:space="preserve"> objecções de muito maior peso, nomeadamente a de que «o fascismo pudesse seguir as pisadas do nazismo em matéria de doutrina da raça e perder ainda alguns caracteres típicos da sua originalidade estritamente italiana»</w:t>
      </w:r>
      <w:r w:rsidRPr="004033B7">
        <w:rPr>
          <w:rStyle w:val="Refdenotaderodap"/>
        </w:rPr>
        <w:footnoteReference w:id="102"/>
      </w:r>
      <w:r w:rsidRPr="004033B7">
        <w:t xml:space="preserve">, o que me leva a crer que aquele capítulo se destinasse a ser lido nas entrelinhas. </w:t>
      </w:r>
    </w:p>
    <w:p w:rsidR="008F70D6" w:rsidRDefault="00751A22" w:rsidP="00751A22">
      <w:pPr>
        <w:tabs>
          <w:tab w:val="left" w:pos="720"/>
          <w:tab w:val="left" w:pos="3312"/>
        </w:tabs>
      </w:pPr>
      <w:r w:rsidRPr="004033B7">
        <w:t xml:space="preserve">Surge assim a questão de saber por que motivo o Duce alterou tão drasticamente a sua política racial. </w:t>
      </w:r>
      <w:r w:rsidR="007770E5">
        <w:t xml:space="preserve">Um historiador </w:t>
      </w:r>
      <w:r w:rsidR="00800CD3">
        <w:rPr>
          <w:lang w:val="de-DE"/>
        </w:rPr>
        <w:t>defendeu</w:t>
      </w:r>
      <w:r w:rsidR="007770E5">
        <w:rPr>
          <w:lang w:val="de-DE"/>
        </w:rPr>
        <w:t xml:space="preserve"> que a legislação anti-semita fora uma das consequências da nova fase imperial inaugurada após a conquista da Abissínia e</w:t>
      </w:r>
      <w:r w:rsidR="0084007B">
        <w:rPr>
          <w:lang w:val="de-DE"/>
        </w:rPr>
        <w:t>,</w:t>
      </w:r>
      <w:r w:rsidR="007770E5">
        <w:rPr>
          <w:lang w:val="de-DE"/>
        </w:rPr>
        <w:t xml:space="preserve"> </w:t>
      </w:r>
      <w:r w:rsidR="0084007B">
        <w:rPr>
          <w:lang w:val="de-DE"/>
        </w:rPr>
        <w:t xml:space="preserve">como prova de que </w:t>
      </w:r>
      <w:r w:rsidR="009C44E1">
        <w:rPr>
          <w:lang w:val="de-DE"/>
        </w:rPr>
        <w:t xml:space="preserve">os preconceitos raciais </w:t>
      </w:r>
      <w:r w:rsidR="0084007B">
        <w:rPr>
          <w:lang w:val="de-DE"/>
        </w:rPr>
        <w:t xml:space="preserve">faziam parte da ideia de império inerente ao fascismo, citou </w:t>
      </w:r>
      <w:r w:rsidR="007770E5">
        <w:rPr>
          <w:lang w:val="de-DE"/>
        </w:rPr>
        <w:t xml:space="preserve">várias declarações de Mussolini </w:t>
      </w:r>
      <w:r w:rsidR="002A0BA4">
        <w:rPr>
          <w:lang w:val="de-DE"/>
        </w:rPr>
        <w:t>desde 1920</w:t>
      </w:r>
      <w:r w:rsidR="00F31957">
        <w:rPr>
          <w:rStyle w:val="Refdenotaderodap"/>
          <w:lang w:val="de-DE"/>
        </w:rPr>
        <w:footnoteReference w:id="103"/>
      </w:r>
      <w:r w:rsidR="007770E5">
        <w:rPr>
          <w:lang w:val="de-DE"/>
        </w:rPr>
        <w:t xml:space="preserve">. </w:t>
      </w:r>
      <w:r w:rsidR="00F31957">
        <w:rPr>
          <w:lang w:val="de-DE"/>
        </w:rPr>
        <w:t>O problema é</w:t>
      </w:r>
      <w:r w:rsidR="007770E5">
        <w:rPr>
          <w:lang w:val="de-DE"/>
        </w:rPr>
        <w:t xml:space="preserve"> </w:t>
      </w:r>
      <w:r w:rsidR="004524FE">
        <w:rPr>
          <w:lang w:val="de-DE"/>
        </w:rPr>
        <w:t xml:space="preserve">que </w:t>
      </w:r>
      <w:r w:rsidR="00F31957">
        <w:rPr>
          <w:lang w:val="de-DE"/>
        </w:rPr>
        <w:t xml:space="preserve">nestas declarações </w:t>
      </w:r>
      <w:r w:rsidR="007770E5">
        <w:rPr>
          <w:lang w:val="de-DE"/>
        </w:rPr>
        <w:t xml:space="preserve">o termo «raça» </w:t>
      </w:r>
      <w:r w:rsidR="002C5819">
        <w:rPr>
          <w:lang w:val="de-DE"/>
        </w:rPr>
        <w:t xml:space="preserve">ou </w:t>
      </w:r>
      <w:r w:rsidR="007770E5">
        <w:rPr>
          <w:lang w:val="de-DE"/>
        </w:rPr>
        <w:t xml:space="preserve">tinha uma conotação simplesmente </w:t>
      </w:r>
      <w:r w:rsidR="000674A1">
        <w:rPr>
          <w:lang w:val="de-DE"/>
        </w:rPr>
        <w:t>civilizacional</w:t>
      </w:r>
      <w:r w:rsidR="007770E5">
        <w:rPr>
          <w:lang w:val="de-DE"/>
        </w:rPr>
        <w:t xml:space="preserve">, por vezes confundindo-se com a nação, </w:t>
      </w:r>
      <w:r w:rsidR="002C5819">
        <w:rPr>
          <w:lang w:val="de-DE"/>
        </w:rPr>
        <w:t>ou tinha uma conotação profilá</w:t>
      </w:r>
      <w:r w:rsidR="00D43CFF">
        <w:rPr>
          <w:lang w:val="de-DE"/>
        </w:rPr>
        <w:t>c</w:t>
      </w:r>
      <w:r w:rsidR="002C5819">
        <w:rPr>
          <w:lang w:val="de-DE"/>
        </w:rPr>
        <w:t xml:space="preserve">tica comum </w:t>
      </w:r>
      <w:r w:rsidR="00181FB0">
        <w:rPr>
          <w:lang w:val="de-DE"/>
        </w:rPr>
        <w:t xml:space="preserve">na </w:t>
      </w:r>
      <w:r w:rsidR="002C5819">
        <w:rPr>
          <w:lang w:val="de-DE"/>
        </w:rPr>
        <w:t xml:space="preserve">época </w:t>
      </w:r>
      <w:r w:rsidR="007770E5">
        <w:rPr>
          <w:lang w:val="de-DE"/>
        </w:rPr>
        <w:t xml:space="preserve">e não a </w:t>
      </w:r>
      <w:r w:rsidR="00BC23CB">
        <w:rPr>
          <w:lang w:val="de-DE"/>
        </w:rPr>
        <w:t>acepção</w:t>
      </w:r>
      <w:r w:rsidR="007770E5">
        <w:rPr>
          <w:lang w:val="de-DE"/>
        </w:rPr>
        <w:t xml:space="preserve"> biológica que as medidas anti-semitas supunham. </w:t>
      </w:r>
      <w:r w:rsidRPr="004033B7">
        <w:t xml:space="preserve">Segundo </w:t>
      </w:r>
      <w:r w:rsidR="007770E5">
        <w:t>outros</w:t>
      </w:r>
      <w:r w:rsidRPr="004033B7">
        <w:t xml:space="preserve"> historiadores, o racismo antiafricano subsequente à conquista da Abissínia poderia ter estimulado o anti-semitismo</w:t>
      </w:r>
      <w:r w:rsidRPr="004033B7">
        <w:rPr>
          <w:rStyle w:val="Refdenotaderodap"/>
        </w:rPr>
        <w:footnoteReference w:id="104"/>
      </w:r>
      <w:r w:rsidRPr="004033B7">
        <w:t xml:space="preserve">. Com efeito, foi isto que </w:t>
      </w:r>
      <w:r w:rsidRPr="004033B7">
        <w:lastRenderedPageBreak/>
        <w:t>Mussolini afirmou no discurso de 18 de Setembro de 1938 em Trieste. «O problema racial não surgiu bruscamente», disse então o Duce. «Ele está relacionado com a nossa conquista do Império, porque a história ensina que os impérios são conquistados pelas armas, mas mantidos pelo prestígio. E o prestígio exige uma consciência rácica bem definida, baseada não apenas em diferenças, mas na mais plena afirmação de superioridade. O problema judaico não é senão um aspecto deste fenómeno»</w:t>
      </w:r>
      <w:r w:rsidRPr="004033B7">
        <w:rPr>
          <w:rStyle w:val="Refdenotaderodap"/>
        </w:rPr>
        <w:footnoteReference w:id="105"/>
      </w:r>
      <w:r w:rsidRPr="004033B7">
        <w:t>. A mesma tese encontra-se na declaração respeitante às medidas anti-semitas aprovada pelo Grande Conselho na noite de 6 para 7 de Outubro de 1938, e era a ela que recorriam para consumo externo os diplomatas italianos</w:t>
      </w:r>
      <w:r w:rsidRPr="004033B7">
        <w:rPr>
          <w:rStyle w:val="Refdenotaderodap"/>
        </w:rPr>
        <w:footnoteReference w:id="106"/>
      </w:r>
      <w:r w:rsidRPr="004033B7">
        <w:t>. Também Gioacchino Volpe adoptou esta explicação para justificar o recurso tardio às medidas anti-semitas</w:t>
      </w:r>
      <w:r w:rsidRPr="004033B7">
        <w:rPr>
          <w:rStyle w:val="Refdenotaderodap"/>
        </w:rPr>
        <w:footnoteReference w:id="107"/>
      </w:r>
      <w:r w:rsidRPr="004033B7">
        <w:t xml:space="preserve">. O argumento é, todavia, muito suspeito, porque Mussolini o invocou para replicar àqueles que o acusavam de ceder às pressões do </w:t>
      </w:r>
      <w:r w:rsidR="00D43CFF">
        <w:t>nacional-socialismo</w:t>
      </w:r>
      <w:r w:rsidRPr="004033B7">
        <w:t xml:space="preserve">. </w:t>
      </w:r>
      <w:r>
        <w:t xml:space="preserve">Ora, </w:t>
      </w:r>
      <w:r w:rsidRPr="004033B7">
        <w:t xml:space="preserve">todas as metrópoles colonialistas praticaram com abundância o racismo contra os negros, sem terem obrigatoriamente ostracizado os judeus ou mantendo-se mesmo, por vezes, estranhas a qualquer traço de anti-semitismo. Aliás, </w:t>
      </w:r>
      <w:r w:rsidR="00342CCB">
        <w:t xml:space="preserve">Evola </w:t>
      </w:r>
      <w:r w:rsidRPr="004033B7">
        <w:t>observou que as medidas antinegras tomadas por Mussolini aquando da constituição do império colonial tiveram um «carácter prático e não ideológico», em nada diferindo das disposições tomadas pelas outras nações coloniais europeias, nomeadamente pela Grã-Bretanha</w:t>
      </w:r>
      <w:r w:rsidRPr="004033B7">
        <w:rPr>
          <w:rStyle w:val="Refdenotaderodap"/>
        </w:rPr>
        <w:footnoteReference w:id="108"/>
      </w:r>
      <w:r w:rsidRPr="004033B7">
        <w:t xml:space="preserve">. </w:t>
      </w:r>
    </w:p>
    <w:p w:rsidR="00751A22" w:rsidRPr="004033B7" w:rsidRDefault="00751A22" w:rsidP="00751A22">
      <w:pPr>
        <w:tabs>
          <w:tab w:val="left" w:pos="720"/>
          <w:tab w:val="left" w:pos="3312"/>
        </w:tabs>
      </w:pPr>
      <w:r w:rsidRPr="004033B7">
        <w:t>Mas o problema também não se esclarece se procurarmos deslindá-lo por outros lados. Um especialista consider</w:t>
      </w:r>
      <w:r>
        <w:t>ou</w:t>
      </w:r>
      <w:r w:rsidRPr="004033B7">
        <w:t xml:space="preserve"> que o abandono da orientação pró-sionista adoptada anteriormente pelo governo de Roma poderia dever-se mais ao facto de o Ministério dos Negócios Estrangeiros italiano ensaiar uma política de aproximação à Grã-Bretanha do que a quaisquer pressões alemãs</w:t>
      </w:r>
      <w:r w:rsidRPr="004033B7">
        <w:rPr>
          <w:rStyle w:val="Refdenotaderodap"/>
        </w:rPr>
        <w:footnoteReference w:id="109"/>
      </w:r>
      <w:r w:rsidRPr="004033B7">
        <w:t>, mas não vejo razão para admitir esta tese. Não deve confundir</w:t>
      </w:r>
      <w:r w:rsidR="00176612">
        <w:t>-se</w:t>
      </w:r>
      <w:r w:rsidRPr="004033B7">
        <w:t xml:space="preserve"> o anti-sionismo, que se difundiu em diversos meios italianos a seguir à Grande Guerra como um aspecto da hostilidade à penetração britânica na Palestina, com o anti-semitismo. A forma corrente de anti-sionismo na Itália daquela época tinha uma conotação geopolítica, sem </w:t>
      </w:r>
      <w:r>
        <w:t>implicações</w:t>
      </w:r>
      <w:r w:rsidRPr="004033B7">
        <w:t xml:space="preserve"> racistas, enquanto o anti-semitismo assenta na biologização de caracteres culturais. Adoptando uma perspectiva muito diferente, </w:t>
      </w:r>
      <w:r w:rsidR="00F3184E">
        <w:t>um</w:t>
      </w:r>
      <w:r w:rsidRPr="004033B7">
        <w:t xml:space="preserve"> autor interessado pelas questões judaicas pretende</w:t>
      </w:r>
      <w:r>
        <w:t>u</w:t>
      </w:r>
      <w:r w:rsidRPr="004033B7">
        <w:t xml:space="preserve"> que a participação conjunta das tropas italianas e alemãs na guerra civil espanhola convencera Mussolini de que não podia deixar o problema dos judeus interferir nas suas relações com Hitler</w:t>
      </w:r>
      <w:r w:rsidRPr="004033B7">
        <w:rPr>
          <w:rStyle w:val="Refdenotaderodap"/>
        </w:rPr>
        <w:footnoteReference w:id="110"/>
      </w:r>
      <w:r w:rsidRPr="004033B7">
        <w:t xml:space="preserve">, mas se assim </w:t>
      </w:r>
      <w:r w:rsidR="00254DA0">
        <w:t xml:space="preserve">fosse </w:t>
      </w:r>
      <w:r w:rsidRPr="004033B7">
        <w:t xml:space="preserve">fica por explicar que não se </w:t>
      </w:r>
      <w:r w:rsidR="00F3184E">
        <w:t xml:space="preserve">tivessem </w:t>
      </w:r>
      <w:r w:rsidRPr="004033B7">
        <w:t>levanta</w:t>
      </w:r>
      <w:r w:rsidR="00F3184E">
        <w:t>do</w:t>
      </w:r>
      <w:r w:rsidRPr="004033B7">
        <w:t xml:space="preserve"> obstáculos à inclusão de judeus entre os voluntários </w:t>
      </w:r>
      <w:r w:rsidR="00176612" w:rsidRPr="004033B7">
        <w:t xml:space="preserve">fascistas italianos </w:t>
      </w:r>
      <w:r w:rsidRPr="004033B7">
        <w:t xml:space="preserve">que se ofereceram para apoiar as </w:t>
      </w:r>
      <w:r w:rsidRPr="004033B7">
        <w:lastRenderedPageBreak/>
        <w:t>tropas franquistas</w:t>
      </w:r>
      <w:r w:rsidRPr="004033B7">
        <w:rPr>
          <w:rStyle w:val="Refdenotaderodap"/>
        </w:rPr>
        <w:footnoteReference w:id="111"/>
      </w:r>
      <w:r w:rsidRPr="004033B7">
        <w:t xml:space="preserve">. </w:t>
      </w:r>
      <w:r w:rsidR="00F3184E">
        <w:t>Um</w:t>
      </w:r>
      <w:r w:rsidR="00E81446">
        <w:t xml:space="preserve"> historiador admitiu que ao visitar Berlim em Setembro de 1937 o Duce ficara tão impressionado com o Terceiro Reich que decidira emular as leis raciais do Führer</w:t>
      </w:r>
      <w:r w:rsidR="00917AE2">
        <w:rPr>
          <w:rStyle w:val="Refdenotaderodap"/>
        </w:rPr>
        <w:footnoteReference w:id="112"/>
      </w:r>
      <w:r w:rsidR="00411916">
        <w:t>,</w:t>
      </w:r>
      <w:r w:rsidR="00E81446">
        <w:t xml:space="preserve"> </w:t>
      </w:r>
      <w:r w:rsidR="00411916">
        <w:t xml:space="preserve">mas esta explicação psicológica parece-me pouco convincente e considero mais pesado o argumento de outro historiador, observando </w:t>
      </w:r>
      <w:r w:rsidRPr="004033B7">
        <w:t xml:space="preserve">que só depois de o </w:t>
      </w:r>
      <w:r w:rsidRPr="004033B7">
        <w:rPr>
          <w:i/>
        </w:rPr>
        <w:t>Anschluss</w:t>
      </w:r>
      <w:r w:rsidRPr="004033B7">
        <w:t xml:space="preserve"> ter selado a dependência de Roma perante Berlim, e quando a aproximação da guerra precipitou o perfil das alianças, é que o Duce, na segunda metade de 1938, tomou as primeiras medidas práticas de perseguição aos judeus e, no final do ano seguinte, criou um tribunal para as questões raciais</w:t>
      </w:r>
      <w:r w:rsidRPr="004033B7">
        <w:rPr>
          <w:rStyle w:val="Refdenotaderodap"/>
        </w:rPr>
        <w:footnoteReference w:id="113"/>
      </w:r>
      <w:r w:rsidRPr="004033B7">
        <w:t xml:space="preserve">. </w:t>
      </w:r>
      <w:r w:rsidR="00917AE2">
        <w:t xml:space="preserve">Mas embora </w:t>
      </w:r>
      <w:r w:rsidR="00782A59" w:rsidRPr="004033B7">
        <w:t xml:space="preserve">esta </w:t>
      </w:r>
      <w:r w:rsidRPr="004033B7">
        <w:t xml:space="preserve">explicação </w:t>
      </w:r>
      <w:r w:rsidR="00917AE2">
        <w:t xml:space="preserve">se me </w:t>
      </w:r>
      <w:r w:rsidRPr="004033B7">
        <w:t xml:space="preserve">afigure a mais </w:t>
      </w:r>
      <w:r w:rsidR="00917AE2">
        <w:t>satisfatória</w:t>
      </w:r>
      <w:r w:rsidRPr="004033B7">
        <w:t xml:space="preserve">, também ela não resiste ao confronto com os factos. </w:t>
      </w:r>
    </w:p>
    <w:p w:rsidR="00C46380" w:rsidRDefault="00751A22" w:rsidP="00751A22">
      <w:pPr>
        <w:tabs>
          <w:tab w:val="left" w:pos="720"/>
          <w:tab w:val="left" w:pos="3312"/>
        </w:tabs>
      </w:pPr>
      <w:r w:rsidRPr="004033B7">
        <w:t>Não me parece que os historiadores se tenham dado conta da profunda diferença de inspiração entre o anti-semitismo de Hitler e aquele que foi adoptado pelo fascismo italiano a partir de 1938</w:t>
      </w:r>
      <w:r w:rsidR="00287B68">
        <w:rPr>
          <w:rStyle w:val="Refdenotaderodap"/>
        </w:rPr>
        <w:footnoteReference w:id="114"/>
      </w:r>
      <w:r w:rsidRPr="004033B7">
        <w:t>. Já no ano anterior, ao lançar a polémica acerca desta questão, Orano afirmara que os judeus, pelo mero facto de se apresentarem como ta</w:t>
      </w:r>
      <w:r w:rsidR="00254DA0">
        <w:t>l</w:t>
      </w:r>
      <w:r w:rsidRPr="004033B7">
        <w:t>, estavam a separar-se do corpo da nação, e concluíra que eles deviam não só recusar o sionismo como ainda renunciar a qualquer especificidade que não fosse religiosa</w:t>
      </w:r>
      <w:r w:rsidRPr="004033B7">
        <w:rPr>
          <w:rStyle w:val="Refdenotaderodap"/>
        </w:rPr>
        <w:footnoteReference w:id="115"/>
      </w:r>
      <w:r w:rsidRPr="004033B7">
        <w:t>. Orano reclamava, portanto, a completa assimilação dos judeus pela sociedade italiana, enquanto Hitler rejeita</w:t>
      </w:r>
      <w:r w:rsidR="0045653A">
        <w:t>v</w:t>
      </w:r>
      <w:r w:rsidRPr="004033B7">
        <w:t>a o racismo de vocação abrangente e, em vez de integrar os judeus, pretendia exactamente o oposto, a sua absoluta exclusão da sociedade germânica. O mesmo antagonismo entre as duas modalidades de racismo continuou a manifestar-se após a adopção oficial do anti-semitismo pelo fascismo romano. Os judeus passaram a ser acusados de não se deixarem assimilar suficientemente</w:t>
      </w:r>
      <w:r w:rsidRPr="004033B7">
        <w:rPr>
          <w:rStyle w:val="Refdenotaderodap"/>
        </w:rPr>
        <w:footnoteReference w:id="116"/>
      </w:r>
      <w:r w:rsidR="00254DA0">
        <w:t>,</w:t>
      </w:r>
      <w:r w:rsidRPr="004033B7">
        <w:t xml:space="preserve"> </w:t>
      </w:r>
      <w:r w:rsidR="00254DA0">
        <w:t xml:space="preserve">o que era </w:t>
      </w:r>
      <w:r w:rsidRPr="004033B7">
        <w:t>contrário ao principal artigo de fé de Hitler. Numa entrevista publicada em Outubro de 1941 Mussolini declarou que, depois de expulsa uma parte substancial dos judeus, os restantes se integrariam sem problemas na população italiana através de casamentos mistos, de modo que na geração seguinte as características hebraicas já teriam desaparecido</w:t>
      </w:r>
      <w:r w:rsidRPr="004033B7">
        <w:rPr>
          <w:rStyle w:val="Refdenotaderodap"/>
        </w:rPr>
        <w:footnoteReference w:id="117"/>
      </w:r>
      <w:r w:rsidRPr="004033B7">
        <w:t>. Uma afirmação a tal ponto oposta às leis de Nuremberga seria suficiente para levar o Duce à prisão</w:t>
      </w:r>
      <w:r w:rsidR="00547723">
        <w:t xml:space="preserve"> ou pior,</w:t>
      </w:r>
      <w:r w:rsidRPr="004033B7">
        <w:t xml:space="preserve"> no Terceiro Reich. </w:t>
      </w:r>
      <w:r w:rsidR="00837815">
        <w:t>Céline foi direito ao centro da questão num livro cuja primeira edição data de 1938</w:t>
      </w:r>
      <w:r w:rsidR="0045653A">
        <w:t>:</w:t>
      </w:r>
      <w:r w:rsidR="00837815">
        <w:t xml:space="preserve"> «Acho o anti-semitismo italiano morno, para o meu gosto, pálido, insuficiente. Acho-o </w:t>
      </w:r>
      <w:r w:rsidR="00E737D1">
        <w:t>arriscado</w:t>
      </w:r>
      <w:r w:rsidR="00837815">
        <w:t xml:space="preserve">. </w:t>
      </w:r>
      <w:r w:rsidR="00837815">
        <w:lastRenderedPageBreak/>
        <w:t xml:space="preserve">Distinguir entre os bons judeus e os maus judeus? Isto não </w:t>
      </w:r>
      <w:r w:rsidR="00E737D1">
        <w:t>tem sentido</w:t>
      </w:r>
      <w:r w:rsidR="00837815">
        <w:t>». E concluiu. «Brincadeira!»</w:t>
      </w:r>
      <w:r w:rsidR="00B20A30">
        <w:rPr>
          <w:rStyle w:val="Refdenotaderodap"/>
        </w:rPr>
        <w:footnoteReference w:id="118"/>
      </w:r>
      <w:r w:rsidR="00837815">
        <w:t xml:space="preserve">. </w:t>
      </w:r>
    </w:p>
    <w:p w:rsidR="004C6CB4" w:rsidRDefault="00C46380" w:rsidP="00751A22">
      <w:pPr>
        <w:tabs>
          <w:tab w:val="left" w:pos="720"/>
          <w:tab w:val="left" w:pos="3312"/>
        </w:tabs>
      </w:pPr>
      <w:r>
        <w:t xml:space="preserve">O carácter inconciliável </w:t>
      </w:r>
      <w:r w:rsidR="00F352AA">
        <w:t>destes</w:t>
      </w:r>
      <w:r>
        <w:t xml:space="preserve"> dois tipos de racismo </w:t>
      </w:r>
      <w:r w:rsidR="0069414F">
        <w:t xml:space="preserve">explica </w:t>
      </w:r>
      <w:r>
        <w:t xml:space="preserve">o fracasso </w:t>
      </w:r>
      <w:r w:rsidR="00DD6527">
        <w:t xml:space="preserve">do projecto de uma revista ítalo-germânica, </w:t>
      </w:r>
      <w:r w:rsidR="00DD6527" w:rsidRPr="00DD6527">
        <w:rPr>
          <w:i/>
          <w:iCs/>
        </w:rPr>
        <w:t>Sangue e Spirito</w:t>
      </w:r>
      <w:r w:rsidR="00BF2315">
        <w:rPr>
          <w:i/>
          <w:iCs/>
        </w:rPr>
        <w:t xml:space="preserve"> –</w:t>
      </w:r>
      <w:r w:rsidR="00DD6527">
        <w:rPr>
          <w:i/>
          <w:iCs/>
        </w:rPr>
        <w:t xml:space="preserve"> </w:t>
      </w:r>
      <w:r w:rsidR="00DD6527" w:rsidRPr="00DD6527">
        <w:rPr>
          <w:i/>
          <w:iCs/>
        </w:rPr>
        <w:t xml:space="preserve">Blot </w:t>
      </w:r>
      <w:r w:rsidR="0045653A">
        <w:rPr>
          <w:i/>
          <w:iCs/>
        </w:rPr>
        <w:t>u</w:t>
      </w:r>
      <w:r w:rsidR="00DD6527" w:rsidRPr="00DD6527">
        <w:rPr>
          <w:i/>
          <w:iCs/>
        </w:rPr>
        <w:t>nd Geist</w:t>
      </w:r>
      <w:r w:rsidR="00DD6527">
        <w:rPr>
          <w:i/>
          <w:iCs/>
        </w:rPr>
        <w:t>,</w:t>
      </w:r>
      <w:r w:rsidR="00DD6527" w:rsidRPr="00DD6527">
        <w:rPr>
          <w:iCs/>
        </w:rPr>
        <w:t xml:space="preserve"> </w:t>
      </w:r>
      <w:r w:rsidR="00DD6527">
        <w:rPr>
          <w:iCs/>
        </w:rPr>
        <w:t xml:space="preserve">que Julius Evola encabeçara </w:t>
      </w:r>
      <w:r w:rsidR="00DD6527">
        <w:t xml:space="preserve">com o acordo de Mussolini. </w:t>
      </w:r>
      <w:r w:rsidR="00DB6FEA">
        <w:t xml:space="preserve">Os </w:t>
      </w:r>
      <w:r w:rsidR="00C5640B">
        <w:t xml:space="preserve">sectores mais conservadores do fascismo italiano, ligados à Igreja, </w:t>
      </w:r>
      <w:r w:rsidR="004C6CB4">
        <w:t>haviam</w:t>
      </w:r>
      <w:r w:rsidR="00BC55F5">
        <w:t xml:space="preserve">-se sempre </w:t>
      </w:r>
      <w:r w:rsidR="004C6CB4">
        <w:t xml:space="preserve">oposto </w:t>
      </w:r>
      <w:r w:rsidR="00BC55F5">
        <w:t xml:space="preserve">a Evola, enquanto </w:t>
      </w:r>
      <w:r w:rsidR="00901A6F">
        <w:t xml:space="preserve">as autoridades </w:t>
      </w:r>
      <w:r w:rsidR="00F43A3F">
        <w:t>do Reich</w:t>
      </w:r>
      <w:r w:rsidR="00BC55F5">
        <w:t xml:space="preserve"> </w:t>
      </w:r>
      <w:r w:rsidR="00901A6F">
        <w:t xml:space="preserve">receavam a discordância </w:t>
      </w:r>
      <w:r w:rsidR="00F352AA">
        <w:t xml:space="preserve">que ele </w:t>
      </w:r>
      <w:r w:rsidR="00901A6F">
        <w:t>manifesta</w:t>
      </w:r>
      <w:r w:rsidR="00F352AA">
        <w:t>v</w:t>
      </w:r>
      <w:r w:rsidR="00901A6F">
        <w:t>a relativamente a alguns aspectos cruciais do nacional-socialismo</w:t>
      </w:r>
      <w:r w:rsidR="0069414F">
        <w:rPr>
          <w:rStyle w:val="Refdenotaderodap"/>
        </w:rPr>
        <w:footnoteReference w:id="119"/>
      </w:r>
      <w:r w:rsidR="00901A6F">
        <w:t xml:space="preserve">. </w:t>
      </w:r>
      <w:r w:rsidR="008D4A56">
        <w:t xml:space="preserve">Afinal, as </w:t>
      </w:r>
      <w:r w:rsidR="00006362">
        <w:t xml:space="preserve">diferenças entre os dois anti-semitismos eram demasiado fundas para sustentar </w:t>
      </w:r>
      <w:r w:rsidR="00E44F95">
        <w:t xml:space="preserve">uma iniciativa </w:t>
      </w:r>
      <w:r w:rsidR="00460773">
        <w:t xml:space="preserve">redactorial comum, apesar de as ideias de Evola </w:t>
      </w:r>
      <w:r w:rsidR="00690BFC">
        <w:t xml:space="preserve">terem </w:t>
      </w:r>
      <w:r w:rsidR="00460773">
        <w:t>pod</w:t>
      </w:r>
      <w:r w:rsidR="00690BFC">
        <w:t>ido</w:t>
      </w:r>
      <w:r w:rsidR="00460773">
        <w:t xml:space="preserve"> oferecer um </w:t>
      </w:r>
      <w:r w:rsidR="00777B18">
        <w:t xml:space="preserve">certo </w:t>
      </w:r>
      <w:r w:rsidR="00460773">
        <w:t xml:space="preserve">terreno de conciliação. </w:t>
      </w:r>
      <w:r w:rsidR="0074358A">
        <w:t xml:space="preserve">Por um lado, o facto de Evola </w:t>
      </w:r>
      <w:r w:rsidR="00777B18">
        <w:t xml:space="preserve">se situar na proximidade política </w:t>
      </w:r>
      <w:r w:rsidR="0074358A">
        <w:t xml:space="preserve">de </w:t>
      </w:r>
      <w:r w:rsidR="0045653A">
        <w:t xml:space="preserve">Giuseppe </w:t>
      </w:r>
      <w:r w:rsidR="0074358A">
        <w:t>Bottai, mas especialmente de Preziosi e Farinacci</w:t>
      </w:r>
      <w:r w:rsidR="0074358A">
        <w:rPr>
          <w:rStyle w:val="Refdenotaderodap"/>
        </w:rPr>
        <w:footnoteReference w:id="120"/>
      </w:r>
      <w:r w:rsidR="0074358A">
        <w:t xml:space="preserve">, constituiria decerto uma garantia para os mais determinados anti-semitas. </w:t>
      </w:r>
      <w:r w:rsidR="00690BFC">
        <w:t xml:space="preserve">Por outro lado, nos </w:t>
      </w:r>
      <w:r w:rsidR="00222FF9">
        <w:t xml:space="preserve">termos do seu tradicionalismo </w:t>
      </w:r>
      <w:r w:rsidR="005F5972">
        <w:t xml:space="preserve">de raiz </w:t>
      </w:r>
      <w:r w:rsidR="00AA13C4">
        <w:t>esotérica</w:t>
      </w:r>
      <w:r w:rsidR="00222FF9">
        <w:t xml:space="preserve">, </w:t>
      </w:r>
      <w:r w:rsidR="00BD1C10">
        <w:t>ele</w:t>
      </w:r>
      <w:r w:rsidR="00222FF9">
        <w:t xml:space="preserve"> defendia uma noção </w:t>
      </w:r>
      <w:r w:rsidR="00DF18A2">
        <w:t>transcendente e</w:t>
      </w:r>
      <w:r w:rsidR="00222FF9">
        <w:t xml:space="preserve"> espiritual da raça, como de tudo o mais</w:t>
      </w:r>
      <w:r w:rsidR="00BD2E00">
        <w:rPr>
          <w:rStyle w:val="Refdenotaderodap"/>
        </w:rPr>
        <w:footnoteReference w:id="121"/>
      </w:r>
      <w:r w:rsidR="00222FF9">
        <w:t xml:space="preserve">, o que poderia </w:t>
      </w:r>
      <w:r w:rsidR="00F352AA">
        <w:t xml:space="preserve">corresponder à </w:t>
      </w:r>
      <w:r w:rsidR="00222FF9">
        <w:t xml:space="preserve">circularidade entre cultura e biologia que </w:t>
      </w:r>
      <w:r w:rsidR="005F5972">
        <w:t>car</w:t>
      </w:r>
      <w:r w:rsidR="00BD2E00">
        <w:t>a</w:t>
      </w:r>
      <w:r w:rsidR="005F5972">
        <w:t>cteriz</w:t>
      </w:r>
      <w:r w:rsidR="0045653A">
        <w:t>ou</w:t>
      </w:r>
      <w:r w:rsidR="005F5972">
        <w:t xml:space="preserve"> o racismo hitleriano</w:t>
      </w:r>
      <w:r w:rsidR="00DB6FEA">
        <w:t>,</w:t>
      </w:r>
      <w:r w:rsidR="005F5972">
        <w:t xml:space="preserve"> </w:t>
      </w:r>
      <w:r w:rsidR="00DB6FEA">
        <w:t xml:space="preserve">embora para Evola se tratasse mais de uma hierarquia do que de uma circularidade. Com efeito, </w:t>
      </w:r>
      <w:r w:rsidR="008E69A4">
        <w:t>n</w:t>
      </w:r>
      <w:r w:rsidR="00DB6FEA">
        <w:t xml:space="preserve">um artigo </w:t>
      </w:r>
      <w:r w:rsidR="008E69A4">
        <w:t xml:space="preserve">publicado em </w:t>
      </w:r>
      <w:r w:rsidR="00DB6FEA">
        <w:t xml:space="preserve">1939 </w:t>
      </w:r>
      <w:r w:rsidR="00E512E6">
        <w:t xml:space="preserve">no jornal dirigido por Farinacci, </w:t>
      </w:r>
      <w:r w:rsidR="008E69A4">
        <w:t xml:space="preserve">ele </w:t>
      </w:r>
      <w:r w:rsidR="00DB6FEA">
        <w:t>distinguiu o racismo de primeiro grau, «limitado à esfera biológica e antropológica», o racismo de segundo grau, em que a raça é considerada «como uma realidade da alma, do carácter e do modo de vida», e o racismo de terceiro grau, a «raça enquanto visão do mundo e raça do espírito»</w:t>
      </w:r>
      <w:r w:rsidR="00C841C8">
        <w:t xml:space="preserve">. O racismo de primeiro grau seria a base </w:t>
      </w:r>
      <w:r w:rsidR="00A3377A">
        <w:t xml:space="preserve">física </w:t>
      </w:r>
      <w:r w:rsidR="00FF4371">
        <w:t xml:space="preserve">a partir da qual se deveria ir mais </w:t>
      </w:r>
      <w:r w:rsidR="00A3377A">
        <w:t>alto</w:t>
      </w:r>
      <w:r w:rsidR="00FF4371">
        <w:t xml:space="preserve"> na criação de uma </w:t>
      </w:r>
      <w:r w:rsidR="00F446CB">
        <w:t>«</w:t>
      </w:r>
      <w:r w:rsidR="00FF4371">
        <w:t>elite</w:t>
      </w:r>
      <w:r w:rsidR="00F633F4">
        <w:t xml:space="preserve"> </w:t>
      </w:r>
      <w:r w:rsidR="00F446CB">
        <w:t xml:space="preserve">racial-espiritual», a verdadeira elite </w:t>
      </w:r>
      <w:r w:rsidR="00F633F4">
        <w:t>dirigente</w:t>
      </w:r>
      <w:r w:rsidR="00AA52C1">
        <w:t xml:space="preserve">, como </w:t>
      </w:r>
      <w:r w:rsidR="002F2642">
        <w:t>uma</w:t>
      </w:r>
      <w:r w:rsidR="00AA52C1">
        <w:t xml:space="preserve"> antiga orde</w:t>
      </w:r>
      <w:r w:rsidR="002F2642">
        <w:t>m</w:t>
      </w:r>
      <w:r w:rsidR="00AA52C1">
        <w:t xml:space="preserve"> militar</w:t>
      </w:r>
      <w:r w:rsidR="00E512E6">
        <w:rPr>
          <w:rStyle w:val="Refdenotaderodap"/>
        </w:rPr>
        <w:footnoteReference w:id="122"/>
      </w:r>
      <w:r w:rsidR="00DB6FEA">
        <w:t xml:space="preserve">. </w:t>
      </w:r>
      <w:r w:rsidR="00E512E6">
        <w:t xml:space="preserve">Mas </w:t>
      </w:r>
      <w:r w:rsidR="00E512E6" w:rsidRPr="00CB2F7D">
        <w:t xml:space="preserve">quando </w:t>
      </w:r>
      <w:r w:rsidR="00CB2F7D" w:rsidRPr="00CB2F7D">
        <w:t>Evola escreveu</w:t>
      </w:r>
      <w:r w:rsidR="0036678D">
        <w:t>,</w:t>
      </w:r>
      <w:r w:rsidR="00CB2F7D" w:rsidRPr="00CB2F7D">
        <w:t xml:space="preserve"> </w:t>
      </w:r>
      <w:r w:rsidR="0036678D">
        <w:t xml:space="preserve">numa obra de 1943, </w:t>
      </w:r>
      <w:r w:rsidR="00CB2F7D" w:rsidRPr="00CB2F7D">
        <w:t>que «a doutrina racial fascista entende as correlações entre raça e espírito na base do princípio</w:t>
      </w:r>
      <w:r w:rsidR="00777B18">
        <w:t>,</w:t>
      </w:r>
      <w:r w:rsidR="00CB2F7D" w:rsidRPr="00CB2F7D">
        <w:t xml:space="preserve"> já mencionado</w:t>
      </w:r>
      <w:r w:rsidR="00777B18">
        <w:t>,</w:t>
      </w:r>
      <w:r w:rsidR="00CB2F7D" w:rsidRPr="00CB2F7D">
        <w:t xml:space="preserve"> de </w:t>
      </w:r>
      <w:r w:rsidR="00CB2F7D">
        <w:t xml:space="preserve">que </w:t>
      </w:r>
      <w:r w:rsidR="00CB2F7D" w:rsidRPr="005437BF">
        <w:rPr>
          <w:i/>
        </w:rPr>
        <w:t>o exterior é uma função do interior, a forma física é símbolo, instrumento e meio de expressão de uma forma espiritual</w:t>
      </w:r>
      <w:r w:rsidR="00CB2F7D">
        <w:t>»</w:t>
      </w:r>
      <w:r w:rsidR="001B7257">
        <w:rPr>
          <w:rStyle w:val="Refdenotaderodap"/>
        </w:rPr>
        <w:footnoteReference w:id="123"/>
      </w:r>
      <w:r w:rsidR="00CB2F7D">
        <w:t xml:space="preserve">, ele não se distanciou muito </w:t>
      </w:r>
      <w:r w:rsidR="001970E4">
        <w:t xml:space="preserve">do que o </w:t>
      </w:r>
      <w:r w:rsidR="00E36F99">
        <w:t>filósofo</w:t>
      </w:r>
      <w:r w:rsidR="001970E4">
        <w:t xml:space="preserve"> do nacional-socialismo, Rosenberg, havia </w:t>
      </w:r>
      <w:r w:rsidR="00777B18">
        <w:t>anunciado</w:t>
      </w:r>
      <w:r w:rsidR="001970E4">
        <w:t xml:space="preserve"> em 1930 no prefácio à primeira edição da sua obra m</w:t>
      </w:r>
      <w:r w:rsidR="00953E5F">
        <w:t>ai</w:t>
      </w:r>
      <w:r w:rsidR="001970E4">
        <w:t xml:space="preserve">s conhecida: </w:t>
      </w:r>
      <w:r w:rsidR="001970E4" w:rsidRPr="003E305A">
        <w:t>«</w:t>
      </w:r>
      <w:r w:rsidR="00C22299" w:rsidRPr="003E305A">
        <w:t xml:space="preserve">O </w:t>
      </w:r>
      <w:r w:rsidR="001970E4" w:rsidRPr="003E305A">
        <w:t xml:space="preserve">espírito </w:t>
      </w:r>
      <w:r w:rsidR="001970E4" w:rsidRPr="003E305A">
        <w:lastRenderedPageBreak/>
        <w:t xml:space="preserve">representa a raça vista </w:t>
      </w:r>
      <w:r w:rsidR="001970E4">
        <w:t xml:space="preserve">a partir </w:t>
      </w:r>
      <w:r w:rsidR="001970E4" w:rsidRPr="003E305A">
        <w:t xml:space="preserve">de dentro. </w:t>
      </w:r>
      <w:r w:rsidR="001970E4" w:rsidRPr="003612E2">
        <w:t>Reciprocamente, a raça é o exterior de um espírito»</w:t>
      </w:r>
      <w:r w:rsidR="001970E4">
        <w:rPr>
          <w:rStyle w:val="Refdenotaderodap"/>
        </w:rPr>
        <w:footnoteReference w:id="124"/>
      </w:r>
      <w:r w:rsidR="001970E4">
        <w:t xml:space="preserve">. </w:t>
      </w:r>
      <w:r w:rsidR="005D1E19">
        <w:t xml:space="preserve">A diferença é que Evola entendia como uma expressão de sentido único aquilo que Rosenberg e </w:t>
      </w:r>
      <w:r w:rsidR="00E36F99">
        <w:t xml:space="preserve">os outros hitlerianos </w:t>
      </w:r>
      <w:r w:rsidR="005D1E19">
        <w:t xml:space="preserve">consideravam como uma circularidade. </w:t>
      </w:r>
      <w:r w:rsidR="00E512E6">
        <w:t xml:space="preserve">Houve ainda </w:t>
      </w:r>
      <w:r w:rsidR="00E36F99">
        <w:t>um</w:t>
      </w:r>
      <w:r w:rsidR="00C22299">
        <w:t xml:space="preserve"> ponto de encontro </w:t>
      </w:r>
      <w:r w:rsidR="00E067EF">
        <w:t xml:space="preserve">mais próximo </w:t>
      </w:r>
      <w:r w:rsidR="005F5972">
        <w:t>e</w:t>
      </w:r>
      <w:r w:rsidR="00C22299">
        <w:t xml:space="preserve"> </w:t>
      </w:r>
      <w:r w:rsidR="00BD1C10">
        <w:t>Evola</w:t>
      </w:r>
      <w:r w:rsidR="005F5972">
        <w:t xml:space="preserve"> </w:t>
      </w:r>
      <w:r w:rsidR="000A352E">
        <w:t>sofr</w:t>
      </w:r>
      <w:r w:rsidR="007B5E9C">
        <w:t>eu</w:t>
      </w:r>
      <w:r w:rsidR="000A352E">
        <w:t xml:space="preserve"> a influência </w:t>
      </w:r>
      <w:r w:rsidR="00E067EF">
        <w:t xml:space="preserve">do espiritualismo racial </w:t>
      </w:r>
      <w:r w:rsidR="000A352E">
        <w:t xml:space="preserve">de </w:t>
      </w:r>
      <w:r w:rsidR="00350FD5" w:rsidRPr="003E305A">
        <w:t>Ludwig Ferdinand Clauss</w:t>
      </w:r>
      <w:r w:rsidR="00BD2E00">
        <w:rPr>
          <w:rStyle w:val="Refdenotaderodap"/>
        </w:rPr>
        <w:footnoteReference w:id="125"/>
      </w:r>
      <w:r w:rsidR="000A352E">
        <w:t xml:space="preserve">, que, </w:t>
      </w:r>
      <w:r w:rsidR="00BD2E00">
        <w:t>embora acabasse por ser expulso do NSDAP em 1943, nunca deix</w:t>
      </w:r>
      <w:r w:rsidR="007B5E9C">
        <w:t>ar</w:t>
      </w:r>
      <w:r w:rsidR="00953E5F">
        <w:t>i</w:t>
      </w:r>
      <w:r w:rsidR="007B5E9C">
        <w:t>a</w:t>
      </w:r>
      <w:r w:rsidR="00BD2E00">
        <w:t xml:space="preserve"> de gozar de um considerável prestígio nas instâncias cimeiras dos SS</w:t>
      </w:r>
      <w:r w:rsidR="00BD2E00">
        <w:rPr>
          <w:rStyle w:val="Refdenotaderodap"/>
        </w:rPr>
        <w:footnoteReference w:id="126"/>
      </w:r>
      <w:r w:rsidR="00BD2E00">
        <w:t xml:space="preserve">. </w:t>
      </w:r>
      <w:r w:rsidR="00690BFC" w:rsidRPr="00E01C6B">
        <w:t xml:space="preserve">Além disso, </w:t>
      </w:r>
      <w:r w:rsidR="00E01C6B" w:rsidRPr="00E01C6B">
        <w:t>a noção de um Estado dirigido por uma Ordem, como o Terceiro Reich</w:t>
      </w:r>
      <w:r w:rsidR="00E01C6B">
        <w:t xml:space="preserve"> tendia a ser dirigido pelos SS, atraía Evola. </w:t>
      </w:r>
      <w:r w:rsidR="00E01C6B" w:rsidRPr="00E01C6B">
        <w:t xml:space="preserve">«Inclinamo-nos para a opinião», escreveu ele em 1938, «de que podemos ver na </w:t>
      </w:r>
      <w:r w:rsidR="00E01C6B">
        <w:t>“</w:t>
      </w:r>
      <w:r w:rsidR="00E01C6B" w:rsidRPr="00E01C6B">
        <w:t>Mil</w:t>
      </w:r>
      <w:r w:rsidR="00E01C6B">
        <w:t xml:space="preserve">ícia Negra” </w:t>
      </w:r>
      <w:r w:rsidR="000441E4">
        <w:t>o núcleo de uma Ordem no mais elevado sentido da tradição»</w:t>
      </w:r>
      <w:r w:rsidR="00D61E38">
        <w:rPr>
          <w:rStyle w:val="Refdenotaderodap"/>
        </w:rPr>
        <w:footnoteReference w:id="127"/>
      </w:r>
      <w:r w:rsidR="000441E4">
        <w:t xml:space="preserve">. </w:t>
      </w:r>
    </w:p>
    <w:p w:rsidR="00751A22" w:rsidRPr="004033B7" w:rsidRDefault="004C1D32" w:rsidP="00751A22">
      <w:pPr>
        <w:tabs>
          <w:tab w:val="left" w:pos="720"/>
          <w:tab w:val="left" w:pos="3312"/>
        </w:tabs>
      </w:pPr>
      <w:r>
        <w:t>Era</w:t>
      </w:r>
      <w:r w:rsidR="00150382">
        <w:t>m</w:t>
      </w:r>
      <w:r>
        <w:t xml:space="preserve"> outras as objecções que </w:t>
      </w:r>
      <w:r w:rsidR="00CD6561">
        <w:t>o Reichsführer</w:t>
      </w:r>
      <w:r w:rsidR="005E7D58">
        <w:t>-SS</w:t>
      </w:r>
      <w:r w:rsidR="00CD6561">
        <w:t xml:space="preserve"> </w:t>
      </w:r>
      <w:r>
        <w:t xml:space="preserve">Himmler e os seus próximos </w:t>
      </w:r>
      <w:r w:rsidR="00ED6CD8">
        <w:t>faziam a Evola</w:t>
      </w:r>
      <w:r>
        <w:t xml:space="preserve">, considerando-o </w:t>
      </w:r>
      <w:r w:rsidR="00D115C5">
        <w:t>afecto a</w:t>
      </w:r>
      <w:r>
        <w:t>os defen</w:t>
      </w:r>
      <w:r w:rsidR="00150382">
        <w:t>s</w:t>
      </w:r>
      <w:r>
        <w:t xml:space="preserve">ores da Revolução Conservadora e oposto </w:t>
      </w:r>
      <w:r w:rsidR="00150382">
        <w:t xml:space="preserve">ao plebeísmo inspirador de toda a política do </w:t>
      </w:r>
      <w:r w:rsidR="000C144E">
        <w:t xml:space="preserve">fascismo italiano e do </w:t>
      </w:r>
      <w:r w:rsidR="00150382">
        <w:t>Terceiro Reich</w:t>
      </w:r>
      <w:r w:rsidR="00CD6561">
        <w:rPr>
          <w:rStyle w:val="Refdenotaderodap"/>
        </w:rPr>
        <w:footnoteReference w:id="128"/>
      </w:r>
      <w:r w:rsidR="000C144E">
        <w:t>.</w:t>
      </w:r>
      <w:r w:rsidR="00150382">
        <w:t xml:space="preserve"> </w:t>
      </w:r>
      <w:r w:rsidR="000C144E" w:rsidRPr="00693F8F">
        <w:t xml:space="preserve">Com efeito, já num ensaio publicado em 1930 Evola proclamara que </w:t>
      </w:r>
      <w:r w:rsidR="00316AD6" w:rsidRPr="00693F8F">
        <w:t>«para nós, os de propensão aristocrática, para nós, os f</w:t>
      </w:r>
      <w:r w:rsidR="003F2D90" w:rsidRPr="00693F8F">
        <w:t>i</w:t>
      </w:r>
      <w:r w:rsidR="00316AD6" w:rsidRPr="00693F8F">
        <w:t xml:space="preserve">rmes </w:t>
      </w:r>
      <w:r w:rsidR="003F2D90" w:rsidRPr="00693F8F">
        <w:t xml:space="preserve">adversários </w:t>
      </w:r>
      <w:r w:rsidR="00316AD6" w:rsidRPr="00693F8F">
        <w:t xml:space="preserve">de uma política plebeia, </w:t>
      </w:r>
      <w:r w:rsidR="003F2D90" w:rsidRPr="00693F8F">
        <w:t>[...] o fascismo não é suficiente</w:t>
      </w:r>
      <w:r w:rsidR="000C144E" w:rsidRPr="00693F8F">
        <w:t>»</w:t>
      </w:r>
      <w:r w:rsidR="000C144E">
        <w:rPr>
          <w:rStyle w:val="Refdenotaderodap"/>
        </w:rPr>
        <w:footnoteReference w:id="129"/>
      </w:r>
      <w:r w:rsidR="000C144E" w:rsidRPr="000C144E">
        <w:t xml:space="preserve">. </w:t>
      </w:r>
      <w:r w:rsidR="00F34D59">
        <w:t xml:space="preserve">Por isso me parece mais exacto definir Evola como um </w:t>
      </w:r>
      <w:r w:rsidR="00FB1B39">
        <w:rPr>
          <w:i/>
        </w:rPr>
        <w:t>meta</w:t>
      </w:r>
      <w:r w:rsidR="00F34D59" w:rsidRPr="00413233">
        <w:rPr>
          <w:i/>
        </w:rPr>
        <w:t>fascista</w:t>
      </w:r>
      <w:r w:rsidR="00F34D59">
        <w:t xml:space="preserve">. </w:t>
      </w:r>
      <w:r w:rsidR="00223B81">
        <w:t xml:space="preserve">Era </w:t>
      </w:r>
      <w:r w:rsidR="003A37FE">
        <w:t>d</w:t>
      </w:r>
      <w:r w:rsidR="00513D22">
        <w:t xml:space="preserve">as </w:t>
      </w:r>
      <w:r w:rsidR="00E36F99">
        <w:t xml:space="preserve">suas </w:t>
      </w:r>
      <w:r w:rsidR="00513D22">
        <w:t xml:space="preserve">inclinações aristocráticas que as altas instância dos SS </w:t>
      </w:r>
      <w:r w:rsidR="003A37FE">
        <w:t>des</w:t>
      </w:r>
      <w:r w:rsidR="00513D22">
        <w:t xml:space="preserve">confiavam e não </w:t>
      </w:r>
      <w:r w:rsidR="003A37FE">
        <w:t>d</w:t>
      </w:r>
      <w:r w:rsidR="00513D22">
        <w:t xml:space="preserve">as suas </w:t>
      </w:r>
      <w:r w:rsidR="00666839">
        <w:t xml:space="preserve">noções </w:t>
      </w:r>
      <w:r w:rsidR="00513D22">
        <w:t xml:space="preserve">raciais, porque </w:t>
      </w:r>
      <w:r w:rsidR="00666839">
        <w:t xml:space="preserve">alguns meios dirigentes daquela milícia </w:t>
      </w:r>
      <w:r w:rsidR="00513D22">
        <w:t xml:space="preserve">o </w:t>
      </w:r>
      <w:r w:rsidR="00150382">
        <w:t>encarrega</w:t>
      </w:r>
      <w:r w:rsidR="00513D22">
        <w:t>ram</w:t>
      </w:r>
      <w:r w:rsidR="00150382">
        <w:t xml:space="preserve"> </w:t>
      </w:r>
      <w:r w:rsidR="008D1F4B">
        <w:t xml:space="preserve">de </w:t>
      </w:r>
      <w:r w:rsidR="00666839">
        <w:t xml:space="preserve">escrever </w:t>
      </w:r>
      <w:r w:rsidR="008D1F4B">
        <w:t xml:space="preserve">uma </w:t>
      </w:r>
      <w:r w:rsidR="00666839" w:rsidRPr="00666839">
        <w:rPr>
          <w:i/>
        </w:rPr>
        <w:t xml:space="preserve">História Secreta </w:t>
      </w:r>
      <w:r w:rsidR="008D1F4B" w:rsidRPr="00666839">
        <w:rPr>
          <w:i/>
        </w:rPr>
        <w:t xml:space="preserve">das </w:t>
      </w:r>
      <w:r w:rsidR="00666839" w:rsidRPr="00666839">
        <w:rPr>
          <w:i/>
        </w:rPr>
        <w:t>Sociedades Secretas</w:t>
      </w:r>
      <w:r w:rsidR="00666839">
        <w:rPr>
          <w:i/>
        </w:rPr>
        <w:t>,</w:t>
      </w:r>
      <w:r w:rsidR="00666839">
        <w:t xml:space="preserve"> permitindo-lhe o acesso a arquivos confiscado</w:t>
      </w:r>
      <w:r w:rsidR="00223B81">
        <w:t>s</w:t>
      </w:r>
      <w:r w:rsidR="006E6ED3">
        <w:rPr>
          <w:rStyle w:val="Refdenotaderodap"/>
        </w:rPr>
        <w:footnoteReference w:id="130"/>
      </w:r>
      <w:r w:rsidR="008D1F4B">
        <w:t xml:space="preserve">, </w:t>
      </w:r>
      <w:r w:rsidR="00666839">
        <w:t xml:space="preserve">um projecto </w:t>
      </w:r>
      <w:r w:rsidR="008D1F4B">
        <w:t xml:space="preserve">que o colapso militar veio interromper, como interrompeu tudo o mais. </w:t>
      </w:r>
      <w:r w:rsidR="00E30D54" w:rsidRPr="004033B7">
        <w:t xml:space="preserve">Depois </w:t>
      </w:r>
      <w:r w:rsidR="00751A22" w:rsidRPr="004033B7">
        <w:t>da guerra Evola acusou de «democratizante» a concepção abrangente</w:t>
      </w:r>
      <w:r w:rsidR="00FA66EB">
        <w:t xml:space="preserve"> do racismo</w:t>
      </w:r>
      <w:r w:rsidR="00751A22" w:rsidRPr="004033B7">
        <w:t xml:space="preserve">, que ao mencionar a «raça italiana» confundia uma raça com a nação. «[...] falar de “defesa da raça” nestes termos era limitar-se a dar um vago tom biologizante e étnico à posição nacionalista [...]». </w:t>
      </w:r>
      <w:r w:rsidR="00223B81">
        <w:t xml:space="preserve">Afinal, </w:t>
      </w:r>
      <w:r w:rsidR="00223B81" w:rsidRPr="004033B7">
        <w:t xml:space="preserve">o </w:t>
      </w:r>
      <w:r w:rsidR="00751A22" w:rsidRPr="004033B7">
        <w:t xml:space="preserve">modelo proposto por Evola, que atribui o carácter de raça somente </w:t>
      </w:r>
      <w:r w:rsidR="00751A22">
        <w:t>à</w:t>
      </w:r>
      <w:r w:rsidR="00751A22" w:rsidRPr="004033B7">
        <w:t xml:space="preserve"> elite da nação, excluindo o povo e opondo a «raça» à «massa», é o que melhor corresponde à </w:t>
      </w:r>
      <w:r w:rsidR="00FA66EB">
        <w:t xml:space="preserve">personificação da </w:t>
      </w:r>
      <w:r w:rsidR="00751A22" w:rsidRPr="004033B7">
        <w:t xml:space="preserve">doutrina hitleriana </w:t>
      </w:r>
      <w:r w:rsidR="00FA66EB">
        <w:t>pel</w:t>
      </w:r>
      <w:r w:rsidR="00751A22" w:rsidRPr="004033B7">
        <w:t>os SS</w:t>
      </w:r>
      <w:r w:rsidR="00751A22" w:rsidRPr="004033B7">
        <w:rPr>
          <w:rStyle w:val="Refdenotaderodap"/>
        </w:rPr>
        <w:footnoteReference w:id="131"/>
      </w:r>
      <w:r w:rsidR="00751A22" w:rsidRPr="004033B7">
        <w:t xml:space="preserve">. A distinção entre as duas versões do racismo ajuda a explicar que a aplicação das medidas anti-semitas em Itália tivesse deixado insatisfeitos os </w:t>
      </w:r>
      <w:r w:rsidR="003A37FE">
        <w:t>nacionais-socialistas</w:t>
      </w:r>
      <w:r w:rsidR="00751A22" w:rsidRPr="004033B7">
        <w:t xml:space="preserve">. </w:t>
      </w:r>
    </w:p>
    <w:p w:rsidR="00751A22" w:rsidRPr="004033B7" w:rsidRDefault="00751A22" w:rsidP="00751A22">
      <w:pPr>
        <w:tabs>
          <w:tab w:val="left" w:pos="720"/>
          <w:tab w:val="left" w:pos="3312"/>
        </w:tabs>
      </w:pPr>
      <w:r w:rsidRPr="004033B7">
        <w:lastRenderedPageBreak/>
        <w:t>Uma reputada intelectual judia sustentou que a legislação anti-semita italiana previa um tal número de excepções que a sua eficácia prática seria diminuta</w:t>
      </w:r>
      <w:r w:rsidRPr="004033B7">
        <w:rPr>
          <w:rStyle w:val="Refdenotaderodap"/>
        </w:rPr>
        <w:footnoteReference w:id="132"/>
      </w:r>
      <w:r w:rsidR="002038E3">
        <w:t>.</w:t>
      </w:r>
      <w:r w:rsidRPr="004033B7">
        <w:t xml:space="preserve"> </w:t>
      </w:r>
      <w:r w:rsidR="002038E3" w:rsidRPr="004033B7">
        <w:t xml:space="preserve">Talvez </w:t>
      </w:r>
      <w:r w:rsidRPr="004033B7">
        <w:t>não seja muito elucidativo saber que os judeus ricos escaparam pelas malhas da le</w:t>
      </w:r>
      <w:r w:rsidR="002D2DDA">
        <w:t>i</w:t>
      </w:r>
      <w:r w:rsidRPr="004033B7">
        <w:t>. Em Setembro de 1938 o governador do Banco de Itália enviou uma circular aos directores das filiais estipulando que não fosse violado o segredo bancário relativamente aos depósitos e movimentos financeiros efectuados por judeus, e acabou por não ser promulgada uma disposição que pretendia impedir os judeus de controlar mais de um terço das acções das empresas</w:t>
      </w:r>
      <w:r w:rsidRPr="004033B7">
        <w:rPr>
          <w:rStyle w:val="Refdenotaderodap"/>
        </w:rPr>
        <w:footnoteReference w:id="133"/>
      </w:r>
      <w:r w:rsidRPr="004033B7">
        <w:t xml:space="preserve">. Casos como estes não se deveram ao facto de os beneficiários serem judeus, mas ao de serem ricos, e portanto estas excepções não se distinguem de tantas outras. </w:t>
      </w:r>
      <w:r w:rsidR="00DC5ABA">
        <w:t xml:space="preserve">Talvez pelo mesmo motivo Mussolini </w:t>
      </w:r>
      <w:r w:rsidR="00DC5ABA" w:rsidRPr="004033B7">
        <w:t>uso</w:t>
      </w:r>
      <w:r w:rsidR="00DC5ABA">
        <w:t>u</w:t>
      </w:r>
      <w:r w:rsidR="00DC5ABA" w:rsidRPr="004033B7">
        <w:t xml:space="preserve"> os canais diplomáticos para convencer os governantes do Reich a permitirem o exílio de Freud</w:t>
      </w:r>
      <w:r w:rsidR="00DC5ABA">
        <w:rPr>
          <w:rStyle w:val="Refdenotaderodap"/>
        </w:rPr>
        <w:footnoteReference w:id="134"/>
      </w:r>
      <w:r w:rsidR="00DC5ABA">
        <w:t xml:space="preserve">. </w:t>
      </w:r>
    </w:p>
    <w:p w:rsidR="00751A22" w:rsidRPr="004033B7" w:rsidRDefault="00751A22" w:rsidP="00751A22">
      <w:pPr>
        <w:tabs>
          <w:tab w:val="left" w:pos="720"/>
          <w:tab w:val="left" w:pos="3312"/>
        </w:tabs>
      </w:pPr>
      <w:r w:rsidRPr="004033B7">
        <w:t xml:space="preserve">Todavia, as conclusões são diferentes ao sabermos que, malgrado as pressões do Reich, os funcionários do Estado italiano e </w:t>
      </w:r>
      <w:r>
        <w:t>mesmo</w:t>
      </w:r>
      <w:r w:rsidRPr="004033B7">
        <w:t xml:space="preserve"> uma grande parte dos membros do Partido Nacional Fascista se esforçaram por não pôr em prática a nova legislação anti-semita ou por </w:t>
      </w:r>
      <w:r w:rsidR="002D2DDA">
        <w:t xml:space="preserve">lhe </w:t>
      </w:r>
      <w:r w:rsidRPr="004033B7">
        <w:t>moderar o rigor</w:t>
      </w:r>
      <w:r w:rsidRPr="004033B7">
        <w:rPr>
          <w:rStyle w:val="Refdenotaderodap"/>
        </w:rPr>
        <w:footnoteReference w:id="135"/>
      </w:r>
      <w:r w:rsidRPr="004033B7">
        <w:t>. Depois de iniciadas as medidas contra os judeus estrangeiros, as autoridades italianas fecharam os olhos à sua permanência no país, e isto sucedeu até em 1940 com judeus fugidos do Reich, mesmo depois da entrada da Itália na guerra mundial</w:t>
      </w:r>
      <w:r w:rsidRPr="004033B7">
        <w:rPr>
          <w:rStyle w:val="Refdenotaderodap"/>
        </w:rPr>
        <w:footnoteReference w:id="136"/>
      </w:r>
      <w:r w:rsidRPr="004033B7">
        <w:t>. A generalização deste tipo de atitudes fez com que um grande número de judeus procurasse guarida nos territórios detidos pela Itália. Após a derrota da França, os judeus sentiam-se mai</w:t>
      </w:r>
      <w:r>
        <w:t>s</w:t>
      </w:r>
      <w:r w:rsidRPr="004033B7">
        <w:t xml:space="preserve"> segur</w:t>
      </w:r>
      <w:r>
        <w:t>os</w:t>
      </w:r>
      <w:r w:rsidRPr="004033B7">
        <w:t xml:space="preserve"> na pequena área ocupada pelas tropas italianas do que na parte do país que estava sob o controlo de Vichy, e com razão, porque o governo de Mussolini preveniu as autoridades francesas de que não lhes permitiria deportar os judeus estrangeiros refugiados na sua zona de ocupação e tomou repetidamente medidas para impor esta decisão</w:t>
      </w:r>
      <w:r w:rsidR="00CE6EE7">
        <w:t>.</w:t>
      </w:r>
      <w:r w:rsidRPr="004033B7">
        <w:t xml:space="preserve"> </w:t>
      </w:r>
      <w:r w:rsidR="00CE6EE7" w:rsidRPr="004033B7">
        <w:t xml:space="preserve">Ao </w:t>
      </w:r>
      <w:r w:rsidRPr="004033B7">
        <w:t xml:space="preserve">todo, cerca de cinquenta mil judeus asilaram-se na zona italiana, sendo afinal salvos pelos ocupantes que, ao verem-se obrigados a ceder o território aos </w:t>
      </w:r>
      <w:r w:rsidR="00CE6EE7">
        <w:t>alemães</w:t>
      </w:r>
      <w:r w:rsidRPr="004033B7">
        <w:t>, destruíram o registo da população judaica e deixaram</w:t>
      </w:r>
      <w:r w:rsidR="006D4CE2">
        <w:t>-na</w:t>
      </w:r>
      <w:r w:rsidRPr="004033B7">
        <w:t xml:space="preserve"> escapar para outros lugares</w:t>
      </w:r>
      <w:r w:rsidRPr="004033B7">
        <w:rPr>
          <w:rStyle w:val="Refdenotaderodap"/>
        </w:rPr>
        <w:footnoteReference w:id="137"/>
      </w:r>
      <w:r w:rsidRPr="004033B7">
        <w:t xml:space="preserve">. E a partir de 1940 os judeus que fugiam da Tunísia francesa </w:t>
      </w:r>
      <w:r>
        <w:t xml:space="preserve">tiveram </w:t>
      </w:r>
      <w:r w:rsidRPr="004033B7">
        <w:t xml:space="preserve">a </w:t>
      </w:r>
      <w:r w:rsidRPr="004033B7">
        <w:lastRenderedPageBreak/>
        <w:t>entrada facilitada na Líbia italiana</w:t>
      </w:r>
      <w:r w:rsidRPr="004033B7">
        <w:rPr>
          <w:rStyle w:val="Refdenotaderodap"/>
        </w:rPr>
        <w:footnoteReference w:id="138"/>
      </w:r>
      <w:r w:rsidRPr="004033B7">
        <w:t xml:space="preserve">. </w:t>
      </w:r>
      <w:r w:rsidR="00CE6EE7" w:rsidRPr="004033B7">
        <w:t xml:space="preserve">O </w:t>
      </w:r>
      <w:r w:rsidRPr="004033B7">
        <w:t xml:space="preserve">representante do Reich na França ocupada </w:t>
      </w:r>
      <w:r w:rsidR="00CE6EE7">
        <w:t xml:space="preserve">chegou até a </w:t>
      </w:r>
      <w:r>
        <w:t>protest</w:t>
      </w:r>
      <w:r w:rsidR="00CE6EE7">
        <w:t>ar</w:t>
      </w:r>
      <w:r>
        <w:t xml:space="preserve"> </w:t>
      </w:r>
      <w:r w:rsidRPr="004033B7">
        <w:t xml:space="preserve">pelo facto de a Itália proteger da polícia francesa os cinco mil judeus italianos residentes na Tunísia, mas as autoridades de Roma não cederam às </w:t>
      </w:r>
      <w:r w:rsidR="00CE6EE7">
        <w:t xml:space="preserve">suas </w:t>
      </w:r>
      <w:r w:rsidRPr="004033B7">
        <w:t>pressões</w:t>
      </w:r>
      <w:r w:rsidRPr="004033B7">
        <w:rPr>
          <w:rStyle w:val="Refdenotaderodap"/>
        </w:rPr>
        <w:footnoteReference w:id="139"/>
      </w:r>
      <w:r w:rsidRPr="004033B7">
        <w:t>. Também a Albânia, que pouco antes do começo da guerra havia sido anexada à coroa italiana, acolheu várias centenas de judeus vindos da Bulgária e da Jugoslávia</w:t>
      </w:r>
      <w:r w:rsidRPr="004033B7">
        <w:rPr>
          <w:rStyle w:val="Refdenotaderodap"/>
        </w:rPr>
        <w:footnoteReference w:id="140"/>
      </w:r>
      <w:r w:rsidR="00F366DB">
        <w:t>, e só cerca de cinquenta foram entregues aos alemães</w:t>
      </w:r>
      <w:r w:rsidR="00F366DB">
        <w:rPr>
          <w:rStyle w:val="Refdenotaderodap"/>
        </w:rPr>
        <w:footnoteReference w:id="141"/>
      </w:r>
      <w:r w:rsidRPr="004033B7">
        <w:t xml:space="preserve">. Do mesmo modo, os judeus depararam com condições de sobrevivência mais fáceis </w:t>
      </w:r>
      <w:r w:rsidR="002C4501">
        <w:t>na</w:t>
      </w:r>
      <w:r w:rsidRPr="004033B7">
        <w:t xml:space="preserve"> porção da Jugoslávia anexada pela Itália e muitos encontraram </w:t>
      </w:r>
      <w:r w:rsidR="002C4501">
        <w:t>ali</w:t>
      </w:r>
      <w:r w:rsidRPr="004033B7">
        <w:t xml:space="preserve"> refúgio. Um general de impecável currículo fascista recusou-se a entregá-los, apesar dos insistentes pedidos das autoridades germânicas, e quando Mussolini se viu obrigado a desistir desta efémera conquista as tropas italianas retiraram levando consigo os judeus e deixaram-nos permanecer em Fiume. O próprio Duce</w:t>
      </w:r>
      <w:r w:rsidR="00AB7DD8">
        <w:t xml:space="preserve"> </w:t>
      </w:r>
      <w:r w:rsidRPr="004033B7">
        <w:t>interveio discretamente para aconselhar os seus chefes militares a não darem os refugiados aos nacionais-socialistas</w:t>
      </w:r>
      <w:r w:rsidRPr="004033B7">
        <w:rPr>
          <w:rStyle w:val="Refdenotaderodap"/>
        </w:rPr>
        <w:footnoteReference w:id="142"/>
      </w:r>
      <w:r w:rsidRPr="004033B7">
        <w:t xml:space="preserve">. Os judeus beneficiaram também de uma recepção favorável na parte da Grécia ocupada pelo exército italiano, que os protegeu do anti-semitismo local e se negou a abandoná-los aos agentes do Reich, aceitando </w:t>
      </w:r>
      <w:r>
        <w:t>até</w:t>
      </w:r>
      <w:r w:rsidRPr="004033B7">
        <w:t xml:space="preserve"> aqueles que </w:t>
      </w:r>
      <w:r w:rsidR="002C4501">
        <w:t>fugiam</w:t>
      </w:r>
      <w:r w:rsidRPr="004033B7">
        <w:t xml:space="preserve"> da zona controlada pela Wehrmacht</w:t>
      </w:r>
      <w:r w:rsidRPr="004033B7">
        <w:rPr>
          <w:rStyle w:val="Refdenotaderodap"/>
        </w:rPr>
        <w:footnoteReference w:id="143"/>
      </w:r>
      <w:r w:rsidRPr="004033B7">
        <w:t xml:space="preserve">. Chegou-se a um ponto tal que na Galícia polaca guerrilhas formadas por grupos de judeus evadidos dos </w:t>
      </w:r>
      <w:r w:rsidRPr="004033B7">
        <w:rPr>
          <w:i/>
        </w:rPr>
        <w:t>ghettos</w:t>
      </w:r>
      <w:r w:rsidRPr="004033B7">
        <w:t xml:space="preserve"> conseguiram que certas unidades militares italianas </w:t>
      </w:r>
      <w:r>
        <w:t xml:space="preserve">vindas </w:t>
      </w:r>
      <w:r w:rsidRPr="004033B7">
        <w:t>da frente russa lhes dessem ou vendessem armas</w:t>
      </w:r>
      <w:r w:rsidRPr="004033B7">
        <w:rPr>
          <w:rStyle w:val="Refdenotaderodap"/>
        </w:rPr>
        <w:footnoteReference w:id="144"/>
      </w:r>
      <w:r w:rsidRPr="004033B7">
        <w:t>. Além disso, um especialista admit</w:t>
      </w:r>
      <w:r>
        <w:t>iu</w:t>
      </w:r>
      <w:r w:rsidRPr="004033B7">
        <w:t xml:space="preserve"> a hipótese de as pressões italianas terem contribuído para que o governo eslovaco tratasse inicialmente os judeus de maneira menos cruel </w:t>
      </w:r>
      <w:r w:rsidRPr="004033B7">
        <w:lastRenderedPageBreak/>
        <w:t xml:space="preserve">do que os </w:t>
      </w:r>
      <w:r w:rsidR="00CE6EE7">
        <w:t xml:space="preserve">nacionais-socialistas </w:t>
      </w:r>
      <w:r w:rsidRPr="004033B7">
        <w:t>pretendiam</w:t>
      </w:r>
      <w:r w:rsidRPr="004033B7">
        <w:rPr>
          <w:rStyle w:val="Refdenotaderodap"/>
        </w:rPr>
        <w:footnoteReference w:id="145"/>
      </w:r>
      <w:r w:rsidRPr="004033B7">
        <w:t xml:space="preserve">. </w:t>
      </w:r>
      <w:r w:rsidR="007A4857">
        <w:t xml:space="preserve">Tudo somado, </w:t>
      </w:r>
      <w:r w:rsidR="00BD48F3">
        <w:t>em Itália sobreviveram 83% dos judeus, uma taxa praticamente sem equivalente n</w:t>
      </w:r>
      <w:r w:rsidR="00CE6EE7">
        <w:t>o resto d</w:t>
      </w:r>
      <w:r w:rsidR="00BD48F3">
        <w:t>a Europa dominada pelo Eixo</w:t>
      </w:r>
      <w:r w:rsidR="00BD48F3">
        <w:rPr>
          <w:rStyle w:val="Refdenotaderodap"/>
        </w:rPr>
        <w:footnoteReference w:id="146"/>
      </w:r>
      <w:r w:rsidR="00CE6EE7">
        <w:t xml:space="preserve">. </w:t>
      </w:r>
    </w:p>
    <w:p w:rsidR="00751A22" w:rsidRPr="004033B7" w:rsidRDefault="00751A22" w:rsidP="00751A22">
      <w:pPr>
        <w:tabs>
          <w:tab w:val="left" w:pos="720"/>
          <w:tab w:val="left" w:pos="3312"/>
        </w:tabs>
      </w:pPr>
      <w:r w:rsidRPr="004033B7">
        <w:t xml:space="preserve">O carácter artificial da República Social, mero instrumento de colaboração com o exército germânico ocupante, torna-se claro desde início quando sabemos que após o afastamento do Duce na reunião do Grande Conselho de 24 para 25 de Julho de 1943, e enquanto ele esteve preso, foi sobretudo o grupo dos fascistas anti-semitas mais estreitamente ligados ao </w:t>
      </w:r>
      <w:r w:rsidR="00CE6EE7">
        <w:t>nacional-socialismo</w:t>
      </w:r>
      <w:r w:rsidRPr="004033B7">
        <w:t xml:space="preserve"> </w:t>
      </w:r>
      <w:r w:rsidR="00CE6EE7">
        <w:t>—</w:t>
      </w:r>
      <w:r w:rsidRPr="004033B7">
        <w:t xml:space="preserve"> Farinacci, Preziosi e alguns outros, rafeiros </w:t>
      </w:r>
      <w:r w:rsidR="00CE6EE7">
        <w:t>—</w:t>
      </w:r>
      <w:r w:rsidRPr="004033B7">
        <w:t xml:space="preserve"> quem, a partir de um temporário exílio no Reich, formou um fictício governo provisório e lançou os primeiros apelos para a reconstituição do partido</w:t>
      </w:r>
      <w:r w:rsidRPr="004033B7">
        <w:rPr>
          <w:rStyle w:val="Refdenotaderodap"/>
        </w:rPr>
        <w:footnoteReference w:id="147"/>
      </w:r>
      <w:r w:rsidRPr="004033B7">
        <w:t>. Parece que o Führer ficou com má opinião acerca das capacidades políticas de Farinacci, dizendo os boatos da época que, pelo contrário, confiava em Preziosi</w:t>
      </w:r>
      <w:r w:rsidRPr="004033B7">
        <w:rPr>
          <w:rStyle w:val="Refdenotaderodap"/>
        </w:rPr>
        <w:footnoteReference w:id="148"/>
      </w:r>
      <w:r w:rsidRPr="004033B7">
        <w:t>. Talvez contribuísse para isso o facto de o jornal de Preziosi ter publicado em 1922, a coberto de um pseudónimo, um artigo anti-semita de Hitler, quando este era ainda um obscuro e provinciano aspirante a vedeta</w:t>
      </w:r>
      <w:r w:rsidRPr="004033B7">
        <w:rPr>
          <w:rStyle w:val="Refdenotaderodap"/>
        </w:rPr>
        <w:footnoteReference w:id="149"/>
      </w:r>
      <w:r w:rsidRPr="004033B7">
        <w:t xml:space="preserve">. A ser assim, mais significativas se tornam as intrigas urdidas por Preziosi junto das autoridades </w:t>
      </w:r>
      <w:r w:rsidR="00CE6EE7">
        <w:t>naciona</w:t>
      </w:r>
      <w:r w:rsidR="00587B0B">
        <w:t>l</w:t>
      </w:r>
      <w:r w:rsidR="00CE6EE7">
        <w:t>-socialistas</w:t>
      </w:r>
      <w:r w:rsidRPr="004033B7">
        <w:t>, logo desde Outubro de 1943, acusando os governantes de Salò e o próprio Duce de não tomarem medidas suficientemente enérgicas contra os judeus</w:t>
      </w:r>
      <w:r w:rsidRPr="004033B7">
        <w:rPr>
          <w:rStyle w:val="Refdenotaderodap"/>
        </w:rPr>
        <w:footnoteReference w:id="150"/>
      </w:r>
      <w:r w:rsidRPr="004033B7">
        <w:t>. Perante as pressões germânicas e a ascensão da ala anti-semita, o perfil do novo fascismo italiano perd</w:t>
      </w:r>
      <w:r w:rsidR="00CB015A">
        <w:t>eu</w:t>
      </w:r>
      <w:r w:rsidRPr="004033B7">
        <w:t xml:space="preserve"> </w:t>
      </w:r>
      <w:r w:rsidR="00705C12">
        <w:t>progressivamente</w:t>
      </w:r>
      <w:r w:rsidRPr="004033B7">
        <w:t xml:space="preserve"> as características que o haviam distinguido do nacional-socialismo. O manifesto adoptado pelo congresso fascista de Verona, em Novembro de 1943, proclamou: «Os membros da raça judaica são estrangeiros. Durante esta guerra eles pertencem a uma nacionalidade inimiga»</w:t>
      </w:r>
      <w:r w:rsidRPr="004033B7">
        <w:rPr>
          <w:rStyle w:val="Refdenotaderodap"/>
        </w:rPr>
        <w:footnoteReference w:id="151"/>
      </w:r>
      <w:r w:rsidRPr="004033B7">
        <w:t>. Depois disso a República Social seguiu uma orientação consistentemente hostil aos judeus e participou na sua chacina</w:t>
      </w:r>
      <w:r w:rsidRPr="004033B7">
        <w:rPr>
          <w:rStyle w:val="Refdenotaderodap"/>
        </w:rPr>
        <w:footnoteReference w:id="152"/>
      </w:r>
      <w:r w:rsidRPr="004033B7">
        <w:t>, ficando entregue ao fanático Preziosi a chefia da Direcção-Geral da Demografia e da Raça</w:t>
      </w:r>
      <w:r w:rsidRPr="004033B7">
        <w:rPr>
          <w:rStyle w:val="Refdenotaderodap"/>
        </w:rPr>
        <w:footnoteReference w:id="153"/>
      </w:r>
      <w:r w:rsidRPr="004033B7">
        <w:t xml:space="preserve">. </w:t>
      </w:r>
      <w:r>
        <w:t xml:space="preserve">Contudo, </w:t>
      </w:r>
      <w:r w:rsidRPr="00F52049">
        <w:t>a atitude adoptada por muitas autoridades permitiu a numerosos judeus escapar às novas medidas anti-semitas</w:t>
      </w:r>
      <w:r>
        <w:rPr>
          <w:rStyle w:val="Refdenotaderodap"/>
        </w:rPr>
        <w:footnoteReference w:id="154"/>
      </w:r>
      <w:r>
        <w:t>,</w:t>
      </w:r>
      <w:r w:rsidRPr="00F52049">
        <w:t xml:space="preserve"> </w:t>
      </w:r>
      <w:r>
        <w:t xml:space="preserve">a ponto de Preziosi se queixar num artigo em </w:t>
      </w:r>
      <w:r w:rsidRPr="004D516C">
        <w:rPr>
          <w:i/>
        </w:rPr>
        <w:t>La Vita Italiana</w:t>
      </w:r>
      <w:r>
        <w:t xml:space="preserve"> de que a República </w:t>
      </w:r>
      <w:r>
        <w:lastRenderedPageBreak/>
        <w:t>Social estava nas mãos da franco-maçonaria, agente do judaísmo</w:t>
      </w:r>
      <w:r>
        <w:rPr>
          <w:rStyle w:val="Refdenotaderodap"/>
        </w:rPr>
        <w:footnoteReference w:id="155"/>
      </w:r>
      <w:r>
        <w:t xml:space="preserve">. O fascismo italiano deixara de ser filo-semita, mas sem se converter integralmente ao anti-semitismo. </w:t>
      </w:r>
    </w:p>
    <w:p w:rsidR="00751A22" w:rsidRPr="004033B7" w:rsidRDefault="00751A22" w:rsidP="00FD6C3A">
      <w:pPr>
        <w:keepNext/>
        <w:tabs>
          <w:tab w:val="left" w:pos="720"/>
          <w:tab w:val="left" w:pos="3312"/>
        </w:tabs>
        <w:spacing w:before="720" w:after="360"/>
        <w:ind w:firstLine="0"/>
        <w:jc w:val="center"/>
        <w:rPr>
          <w:b/>
          <w:sz w:val="28"/>
        </w:rPr>
      </w:pPr>
      <w:r>
        <w:rPr>
          <w:b/>
          <w:sz w:val="28"/>
        </w:rPr>
        <w:t>3</w:t>
      </w:r>
      <w:r w:rsidRPr="004033B7">
        <w:rPr>
          <w:b/>
          <w:sz w:val="28"/>
        </w:rPr>
        <w:t xml:space="preserve">. </w:t>
      </w:r>
      <w:r>
        <w:rPr>
          <w:b/>
          <w:sz w:val="28"/>
        </w:rPr>
        <w:t>Península Ibérica</w:t>
      </w:r>
      <w:r w:rsidRPr="004033B7">
        <w:rPr>
          <w:b/>
          <w:sz w:val="28"/>
        </w:rPr>
        <w:t xml:space="preserve">: </w:t>
      </w:r>
      <w:r>
        <w:rPr>
          <w:b/>
          <w:sz w:val="28"/>
        </w:rPr>
        <w:t xml:space="preserve">Dois </w:t>
      </w:r>
      <w:r w:rsidRPr="004033B7">
        <w:rPr>
          <w:b/>
          <w:sz w:val="28"/>
        </w:rPr>
        <w:t>fascismo</w:t>
      </w:r>
      <w:r>
        <w:rPr>
          <w:b/>
          <w:sz w:val="28"/>
        </w:rPr>
        <w:t>s</w:t>
      </w:r>
      <w:r w:rsidRPr="004033B7">
        <w:rPr>
          <w:b/>
          <w:sz w:val="28"/>
        </w:rPr>
        <w:t xml:space="preserve"> filo-semita</w:t>
      </w:r>
      <w:r>
        <w:rPr>
          <w:b/>
          <w:sz w:val="28"/>
        </w:rPr>
        <w:t>s</w:t>
      </w:r>
    </w:p>
    <w:p w:rsidR="00751A22" w:rsidRPr="004033B7" w:rsidRDefault="00751A22" w:rsidP="00751A22">
      <w:pPr>
        <w:tabs>
          <w:tab w:val="left" w:pos="720"/>
          <w:tab w:val="left" w:pos="3312"/>
        </w:tabs>
      </w:pPr>
      <w:r w:rsidRPr="004033B7">
        <w:t xml:space="preserve">Mariano Rodríguez Vázquez, conhecido por Marianet, depois de desempenhar as funções de secretário do Comité Regional da CNT da Catalunha foi secretário do Comité Nacional a partir de Novembro de 1936, até morrer acidentalmente em Junho de 1939, já no exílio em França. Estava longe de ser um personagem insignificante, pois em Setembro de 1936 </w:t>
      </w:r>
      <w:r>
        <w:t>fora</w:t>
      </w:r>
      <w:r w:rsidR="00DE6839">
        <w:t>m</w:t>
      </w:r>
      <w:r>
        <w:t xml:space="preserve"> </w:t>
      </w:r>
      <w:r w:rsidRPr="004033B7">
        <w:t>consideravelmente reforça</w:t>
      </w:r>
      <w:r>
        <w:t>d</w:t>
      </w:r>
      <w:r w:rsidRPr="004033B7">
        <w:t>a</w:t>
      </w:r>
      <w:r w:rsidR="00DE6839">
        <w:t>s</w:t>
      </w:r>
      <w:r w:rsidRPr="004033B7">
        <w:t xml:space="preserve"> a autoridade </w:t>
      </w:r>
      <w:r>
        <w:t>d</w:t>
      </w:r>
      <w:r w:rsidRPr="004033B7">
        <w:t xml:space="preserve">o Comité Nacional e a sua autonomia de decisão. </w:t>
      </w:r>
      <w:r w:rsidRPr="005E18CA">
        <w:t xml:space="preserve">Depois de lhe chamar «um magnífico militante», </w:t>
      </w:r>
      <w:r>
        <w:t xml:space="preserve">Cipriano Mera </w:t>
      </w:r>
      <w:r w:rsidRPr="005E18CA">
        <w:t>coment</w:t>
      </w:r>
      <w:r>
        <w:t>ou</w:t>
      </w:r>
      <w:r w:rsidRPr="005E18CA">
        <w:t xml:space="preserve"> que ele «levou consigo para a sepultura bastantes segredos do período da nossa guerra»</w:t>
      </w:r>
      <w:r>
        <w:rPr>
          <w:rStyle w:val="Refdenotaderodap"/>
        </w:rPr>
        <w:footnoteReference w:id="156"/>
      </w:r>
      <w:r w:rsidRPr="005E18CA">
        <w:t>.</w:t>
      </w:r>
      <w:r>
        <w:t xml:space="preserve"> Pois foi </w:t>
      </w:r>
      <w:r w:rsidR="00125358">
        <w:t>este dirigente anarquista</w:t>
      </w:r>
      <w:r>
        <w:t>,</w:t>
      </w:r>
      <w:r w:rsidRPr="004033B7">
        <w:t xml:space="preserve"> ocupando um cargo dotado de significativos poderes e grandes responsabilidades, </w:t>
      </w:r>
      <w:r>
        <w:t xml:space="preserve">quem </w:t>
      </w:r>
      <w:r w:rsidRPr="004033B7">
        <w:t xml:space="preserve">escreveu em Maio de 1938: «Em Espanha existiam duas potências económicas, a dos judeus e a dos jesuítas. A dos judeus era quase toda formada por capital estrangeiro. A dos jesuítas surgia na maior parte dos casos como capital nacional». O assunto tinha actualidade porque Franco acabara de promulgar, a 3 de Maio, um decreto autorizando o regresso dos jesuítas. Era perfeitamente natural que os anarco-sindicalistas se opusessem a todas as Ordens religiosas, os inimigos de sempre, mas pode parecer estranho que, em nome da sua organização, o secretário nacional da CNT recusasse </w:t>
      </w:r>
      <w:r w:rsidR="00125358">
        <w:t>uma</w:t>
      </w:r>
      <w:r w:rsidRPr="004033B7">
        <w:t xml:space="preserve"> política destinada a promover o regresso dos judeus. «É necessário deixar bem claro que nós não podemos apelar e envidar esforços para a abolição do velho edicto que ordena a expulsão dos judeus de Espanha, nem para abrir as portas do país a todos os que aqui quiserem vir estabelecer-se. Não podemos fazer isso porque seria indubitavelmente uma das decisões mais contra-revolucionárias que poderíamos adoptar. Sabemos perfeitamente que de imediato se estabeleceria aqui um capitalismo de enorme importância, renascendo assim, e por este motivo, os velhos sistemas de exploração [...] À margem desta questão de princípio, pode ser feito todo o trabalho de atracção, de propaganda e de divulgação que se quiser nos meios sefarditas, se bem que tenhamos de concordar que nenhum judeu é fascista»</w:t>
      </w:r>
      <w:r w:rsidRPr="004033B7">
        <w:rPr>
          <w:rStyle w:val="Refdenotaderodap"/>
        </w:rPr>
        <w:footnoteReference w:id="157"/>
      </w:r>
      <w:r w:rsidRPr="004033B7">
        <w:t xml:space="preserve">. A que se refere este documento, que a um leitor de hoje pode parecer extraordinário? Quem pretendia então reintroduzir os judeus em Espanha? </w:t>
      </w:r>
    </w:p>
    <w:p w:rsidR="00751A22" w:rsidRPr="004033B7" w:rsidRDefault="00751A22" w:rsidP="00751A22">
      <w:pPr>
        <w:tabs>
          <w:tab w:val="left" w:pos="720"/>
          <w:tab w:val="left" w:pos="3312"/>
        </w:tabs>
      </w:pPr>
      <w:r w:rsidRPr="004033B7">
        <w:lastRenderedPageBreak/>
        <w:t xml:space="preserve">Nunca houve fascismo sem uma frustração imperialista, e se a debilidade militar impedia a conquista de novos territórios restava o recurso ao expansionismo cultural. </w:t>
      </w:r>
      <w:r>
        <w:t xml:space="preserve">Como </w:t>
      </w:r>
      <w:r w:rsidRPr="004033B7">
        <w:t xml:space="preserve">a Espanha perdera no final do século XIX os últimos despojos de um império moribundo, </w:t>
      </w:r>
      <w:r w:rsidRPr="00456370">
        <w:t>os meios oficiais inicia</w:t>
      </w:r>
      <w:r>
        <w:t>ram</w:t>
      </w:r>
      <w:r w:rsidRPr="00456370">
        <w:t xml:space="preserve"> uma orientação pró-judaica, passando a apresentar como promotores da língua e da civilização hispânicas os sefarditas que há vários séculos tinham sido obrigados a abandonar a península</w:t>
      </w:r>
      <w:r>
        <w:t xml:space="preserve">. Também </w:t>
      </w:r>
      <w:r w:rsidRPr="004033B7">
        <w:t xml:space="preserve">o jovem fascismo espanhol </w:t>
      </w:r>
      <w:r>
        <w:t xml:space="preserve">se </w:t>
      </w:r>
      <w:r w:rsidRPr="004033B7">
        <w:t>idealiz</w:t>
      </w:r>
      <w:r>
        <w:t>ou</w:t>
      </w:r>
      <w:r w:rsidRPr="004033B7">
        <w:t xml:space="preserve"> como um centro de emanação civilizacional </w:t>
      </w:r>
      <w:r>
        <w:t xml:space="preserve">e </w:t>
      </w:r>
      <w:r w:rsidRPr="004033B7">
        <w:t xml:space="preserve">neste sentido foi muito activa </w:t>
      </w:r>
      <w:r w:rsidRPr="004033B7">
        <w:rPr>
          <w:i/>
        </w:rPr>
        <w:t>La Gaceta Literaria,</w:t>
      </w:r>
      <w:r w:rsidRPr="004033B7">
        <w:t xml:space="preserve"> dirigida por Ernesto Giménez Caballero</w:t>
      </w:r>
      <w:r w:rsidRPr="004033B7">
        <w:rPr>
          <w:rStyle w:val="Refdenotaderodap"/>
        </w:rPr>
        <w:footnoteReference w:id="158"/>
      </w:r>
      <w:r w:rsidRPr="004033B7">
        <w:t xml:space="preserve">. Em 1929, precisamente no mesmo ano em que introduziu </w:t>
      </w:r>
      <w:r>
        <w:t xml:space="preserve">em Espanha </w:t>
      </w:r>
      <w:r w:rsidRPr="004033B7">
        <w:t>a ideologia mussoliniana, Giménez Caballero partiu com o apoio do governo fascizante do general Primo de Rivera para uma missão destinada a restabelecer os laços com as comunidades sefarditas dos Balcãs, da Turquia e da Itália e continuou em seguida a promover as relações culturais com os judeus de origem ibérica disseminados pelo mundo</w:t>
      </w:r>
      <w:r w:rsidRPr="004033B7">
        <w:rPr>
          <w:rStyle w:val="Refdenotaderodap"/>
        </w:rPr>
        <w:footnoteReference w:id="159"/>
      </w:r>
      <w:r w:rsidRPr="004033B7">
        <w:t xml:space="preserve">. </w:t>
      </w:r>
    </w:p>
    <w:p w:rsidR="00751A22" w:rsidRPr="004033B7" w:rsidRDefault="00751A22" w:rsidP="00751A22">
      <w:pPr>
        <w:tabs>
          <w:tab w:val="left" w:pos="720"/>
          <w:tab w:val="left" w:pos="3312"/>
        </w:tabs>
      </w:pPr>
      <w:r w:rsidRPr="004033B7">
        <w:t>Entre os demais fascistas de renome o anti-semitismo era raro antes da guerra civil, manifestado apenas por Onésimo Redondo, para cuja formação ideológica fora decisiva a influência do nacional-socialismo alemão</w:t>
      </w:r>
      <w:r w:rsidRPr="004033B7">
        <w:rPr>
          <w:rStyle w:val="Refdenotaderodap"/>
        </w:rPr>
        <w:footnoteReference w:id="160"/>
      </w:r>
      <w:r w:rsidRPr="004033B7">
        <w:t xml:space="preserve">. Depois, quando os militares e as armas </w:t>
      </w:r>
      <w:r w:rsidR="007C284B">
        <w:t xml:space="preserve">do </w:t>
      </w:r>
      <w:r w:rsidR="00AC77BE">
        <w:t xml:space="preserve">Terceiro </w:t>
      </w:r>
      <w:r w:rsidR="007C284B">
        <w:t xml:space="preserve">Reich </w:t>
      </w:r>
      <w:r w:rsidRPr="004033B7">
        <w:t>se revelaram cruciais para as esperanças de vitória nacionalistas, a hostilidade aos judeus foi difundida pela propaganda falangista, para ser abandonada quando deixaram de precisar d</w:t>
      </w:r>
      <w:r w:rsidR="00AC77BE">
        <w:t>esse</w:t>
      </w:r>
      <w:r w:rsidRPr="004033B7">
        <w:t xml:space="preserve"> apoio</w:t>
      </w:r>
      <w:r w:rsidRPr="004033B7">
        <w:rPr>
          <w:rStyle w:val="Refdenotaderodap"/>
        </w:rPr>
        <w:footnoteReference w:id="161"/>
      </w:r>
      <w:r w:rsidRPr="004033B7">
        <w:t>. O anti-semitismo fora um mero expediente, indispensável para congraçar um aliado poderoso, e nem sequer impediu que vários judeus fascistas italianos se oferecessem como voluntários para combater do lado franquista durante a guerra civil</w:t>
      </w:r>
      <w:r w:rsidRPr="004033B7">
        <w:rPr>
          <w:rStyle w:val="Refdenotaderodap"/>
        </w:rPr>
        <w:footnoteReference w:id="162"/>
      </w:r>
      <w:r w:rsidRPr="004033B7">
        <w:t xml:space="preserve">. </w:t>
      </w:r>
    </w:p>
    <w:p w:rsidR="00751A22" w:rsidRPr="004033B7" w:rsidRDefault="00751A22" w:rsidP="00751A22">
      <w:pPr>
        <w:tabs>
          <w:tab w:val="left" w:pos="720"/>
          <w:tab w:val="left" w:pos="3312"/>
        </w:tabs>
      </w:pPr>
      <w:r w:rsidRPr="004033B7">
        <w:t>Liquidada a última resistência republicana, Franco retomou as tentativas de hegemonização dos meios sefarditas no estrangeiro</w:t>
      </w:r>
      <w:r w:rsidRPr="004033B7">
        <w:rPr>
          <w:rStyle w:val="Refdenotaderodap"/>
        </w:rPr>
        <w:footnoteReference w:id="163"/>
      </w:r>
      <w:r w:rsidR="00221E41">
        <w:t>,</w:t>
      </w:r>
      <w:r w:rsidRPr="004033B7">
        <w:t xml:space="preserve"> </w:t>
      </w:r>
      <w:r w:rsidR="00221E41">
        <w:t xml:space="preserve">o que teve repercussões directas quando os </w:t>
      </w:r>
      <w:r w:rsidR="00FE2821">
        <w:t xml:space="preserve">hitlerianos </w:t>
      </w:r>
      <w:r w:rsidR="00221E41">
        <w:t>encetaram o programa de genocídio. Logo em 17 de Outubro de 1941 o governo de Madrid sugeriu ao governo do Reich que fossem enviados para Marrocos dois mil judeus de nacionalidade espanhola detidos em Paris no</w:t>
      </w:r>
      <w:r w:rsidR="00803027">
        <w:t>s</w:t>
      </w:r>
      <w:r w:rsidR="00221E41">
        <w:t xml:space="preserve"> </w:t>
      </w:r>
      <w:r w:rsidR="00803027">
        <w:t xml:space="preserve">meses </w:t>
      </w:r>
      <w:r w:rsidR="00221E41">
        <w:t>anterior</w:t>
      </w:r>
      <w:r w:rsidR="00803027">
        <w:t>es</w:t>
      </w:r>
      <w:r w:rsidR="00221E41">
        <w:t xml:space="preserve">, mas Heydrich deu ordem para que a proposta fosse recusada com o argumento de que o governo espanhol </w:t>
      </w:r>
      <w:r w:rsidR="00933FF1">
        <w:t xml:space="preserve">poderia deixar </w:t>
      </w:r>
      <w:r w:rsidR="00933FF1">
        <w:lastRenderedPageBreak/>
        <w:t>esses judeus escaparem-se</w:t>
      </w:r>
      <w:r w:rsidR="00933FF1">
        <w:rPr>
          <w:rStyle w:val="Refdenotaderodap"/>
        </w:rPr>
        <w:footnoteReference w:id="164"/>
      </w:r>
      <w:r w:rsidR="00933FF1">
        <w:t xml:space="preserve">. As iniciativas de Franco tiveram mais resultado noutros casos. </w:t>
      </w:r>
      <w:r w:rsidRPr="004033B7">
        <w:t>Entre os judeus de Salónica, por exemplo, contavam-se cerca de seis centenas com a nacionalidade espanhola</w:t>
      </w:r>
      <w:r w:rsidR="00933FF1">
        <w:t>,</w:t>
      </w:r>
      <w:r w:rsidRPr="004033B7">
        <w:t xml:space="preserve"> e </w:t>
      </w:r>
      <w:r w:rsidR="00933FF1">
        <w:t xml:space="preserve">aliás </w:t>
      </w:r>
      <w:r w:rsidRPr="004033B7">
        <w:t>foram os membros mais ricos desta comunidade quem financiou a inauguração de uma secção da Falange, em Abril de 1943</w:t>
      </w:r>
      <w:r w:rsidRPr="004033B7">
        <w:rPr>
          <w:rStyle w:val="Refdenotaderodap"/>
        </w:rPr>
        <w:footnoteReference w:id="165"/>
      </w:r>
      <w:r w:rsidRPr="004033B7">
        <w:t xml:space="preserve">. Compreende-se, assim, que quando os ocupantes </w:t>
      </w:r>
      <w:r w:rsidR="00AC77BE">
        <w:t>germânicos</w:t>
      </w:r>
      <w:r w:rsidRPr="004033B7">
        <w:t xml:space="preserve"> decretaram a aniquilação de todos os judeus da Grécia, os representantes diplomáticos de </w:t>
      </w:r>
      <w:r w:rsidR="00933FF1">
        <w:t>Madrid</w:t>
      </w:r>
      <w:r w:rsidRPr="004033B7">
        <w:t xml:space="preserve"> tivessem encetado negociações para conseguir que os judeus espanhóis fossem internados em condições relativamente favoráveis num campo de concentração onde não existiam instalações de extermínio, salvando a vida de mais de metade</w:t>
      </w:r>
      <w:r w:rsidRPr="004033B7">
        <w:rPr>
          <w:rStyle w:val="Refdenotaderodap"/>
        </w:rPr>
        <w:footnoteReference w:id="166"/>
      </w:r>
      <w:r w:rsidRPr="004033B7">
        <w:t>. E quando a Wehrmacht e os SS ocuparam a Hungria em Março de 1944, o governo de Madrid contou-se entre os que intercederam junto às novas autoridades magiares em defesa da comunidade judaica, ameaçada de extermínio imediato</w:t>
      </w:r>
      <w:r w:rsidRPr="004033B7">
        <w:rPr>
          <w:rStyle w:val="Refdenotaderodap"/>
        </w:rPr>
        <w:footnoteReference w:id="167"/>
      </w:r>
      <w:r w:rsidRPr="004033B7">
        <w:t>. Aliás, durante aqueles anos terríveis houve judeus a encontrar refúgio em Espanha</w:t>
      </w:r>
      <w:r w:rsidRPr="004033B7">
        <w:rPr>
          <w:rStyle w:val="Refdenotaderodap"/>
        </w:rPr>
        <w:footnoteReference w:id="168"/>
      </w:r>
      <w:r w:rsidRPr="004033B7">
        <w:t>, e no final de 1943 ou nos primeiros meses de 1944 Franco permitiu a abertura de campos de abrigo temporário para os acolher</w:t>
      </w:r>
      <w:r w:rsidRPr="004033B7">
        <w:rPr>
          <w:rStyle w:val="Refdenotaderodap"/>
        </w:rPr>
        <w:footnoteReference w:id="169"/>
      </w:r>
      <w:r w:rsidRPr="004033B7">
        <w:t>. Não espanta que ao comunicarem aos Aliados, na Primavera de 1944, o plano de trocar por dez mil camiões a vida de um milhão de judeus, os SS tivessem mencionado a Espanha como o país que haveria de receber inicialmente esta massa humana</w:t>
      </w:r>
      <w:r w:rsidRPr="004033B7">
        <w:rPr>
          <w:rStyle w:val="Refdenotaderodap"/>
        </w:rPr>
        <w:footnoteReference w:id="170"/>
      </w:r>
      <w:r w:rsidRPr="004033B7">
        <w:t xml:space="preserve">. </w:t>
      </w:r>
      <w:r>
        <w:t xml:space="preserve">Por um lado </w:t>
      </w:r>
      <w:r w:rsidRPr="004033B7">
        <w:t xml:space="preserve">tratava-se de uma nação neutral e com a qual </w:t>
      </w:r>
      <w:r w:rsidR="00AC292E">
        <w:t xml:space="preserve">o Terceiro Reich </w:t>
      </w:r>
      <w:r w:rsidRPr="004033B7">
        <w:t xml:space="preserve">mantinha boas relações, </w:t>
      </w:r>
      <w:r>
        <w:t xml:space="preserve">por outro lado contava </w:t>
      </w:r>
      <w:r w:rsidRPr="004033B7">
        <w:t xml:space="preserve">o filo-semitismo do regime franquista. </w:t>
      </w:r>
      <w:r w:rsidRPr="00C52412">
        <w:t>Não foi uma das menos portentosas circunvoluções deste labirinto sanguinário que ao mesmo tempo qu</w:t>
      </w:r>
      <w:r w:rsidR="00AC292E">
        <w:t>e em Espanha os fascistas surgisse</w:t>
      </w:r>
      <w:r w:rsidRPr="00C52412">
        <w:t>m como protectores dos judeus e promotores da cultura sefardita, entre os dirigentes máximos dos sindicatos anarquistas se tivesse manifestado o anti-semitismo.</w:t>
      </w:r>
      <w:r>
        <w:t xml:space="preserve"> </w:t>
      </w:r>
    </w:p>
    <w:p w:rsidR="00751A22" w:rsidRPr="004033B7" w:rsidRDefault="00751A22" w:rsidP="00751A22">
      <w:pPr>
        <w:tabs>
          <w:tab w:val="left" w:pos="720"/>
          <w:tab w:val="left" w:pos="3312"/>
        </w:tabs>
      </w:pPr>
      <w:r w:rsidRPr="004033B7">
        <w:lastRenderedPageBreak/>
        <w:t>Note-se ainda que em Portugal, na primeira metade da década de 1930, os nacionais-sindicalistas conduzidos por Rolão Preto, que representaram um malogrado ensaio de fascismo radical, muito próximo do nacional-sindicalismo espanhol, se opuseram igualmente ao anti-semitismo em voga em certas esferas e pronunciaram-se contra os preconceitos rácicos</w:t>
      </w:r>
      <w:r w:rsidRPr="004033B7">
        <w:rPr>
          <w:rStyle w:val="Refdenotaderodap"/>
        </w:rPr>
        <w:footnoteReference w:id="171"/>
      </w:r>
      <w:r w:rsidRPr="004033B7">
        <w:t>. Distanciaram-se assim do profeta do Integralismo Lusitano, António Sardinha, profundamente racista e hostil aos judeus, e que encontrara na obra de Sorel a identificação entre plutocracia e judaísmo</w:t>
      </w:r>
      <w:r w:rsidRPr="004033B7">
        <w:rPr>
          <w:rStyle w:val="Refdenotaderodap"/>
        </w:rPr>
        <w:footnoteReference w:id="172"/>
      </w:r>
      <w:r w:rsidRPr="004033B7">
        <w:t xml:space="preserve">. </w:t>
      </w:r>
      <w:r>
        <w:t xml:space="preserve">«Não há em Portugal um problema judaico», declarou o jornal de Rolão Preto poucos meses depois de Hitler ter ocupado a </w:t>
      </w:r>
      <w:r w:rsidR="000A7A62">
        <w:t>Chancelaria</w:t>
      </w:r>
      <w:r>
        <w:t>. «Porque na defesa da raça teve já, é certo, esse problema que resolveu, de resto como hoje o resolve a Alemanha hitlerista»</w:t>
      </w:r>
      <w:r>
        <w:rPr>
          <w:rStyle w:val="Refdenotaderodap"/>
        </w:rPr>
        <w:footnoteReference w:id="173"/>
      </w:r>
      <w:r>
        <w:t xml:space="preserve">. E assim os nacionais-sindicalistas portugueses puderam apresentar-se como precursores dos </w:t>
      </w:r>
      <w:r w:rsidR="008F7C96">
        <w:t xml:space="preserve">nacionais-socialistas germânicos </w:t>
      </w:r>
      <w:r>
        <w:t xml:space="preserve">e ao mesmo tempo prescindirem de uma actuação anti-semita. </w:t>
      </w:r>
    </w:p>
    <w:p w:rsidR="00CB4AF8" w:rsidRDefault="00751A22" w:rsidP="00751A22">
      <w:pPr>
        <w:tabs>
          <w:tab w:val="left" w:pos="720"/>
          <w:tab w:val="left" w:pos="3312"/>
        </w:tabs>
      </w:pPr>
      <w:r w:rsidRPr="004033B7">
        <w:t xml:space="preserve">Se a hostilidade aos judeus não se disseminou </w:t>
      </w:r>
      <w:r w:rsidR="00281020">
        <w:t>entre os</w:t>
      </w:r>
      <w:r w:rsidRPr="004033B7">
        <w:t xml:space="preserve"> fascistas radicais portugueses, menos ainda </w:t>
      </w:r>
      <w:r>
        <w:t>prevaleceu</w:t>
      </w:r>
      <w:r w:rsidRPr="004033B7">
        <w:t xml:space="preserve"> </w:t>
      </w:r>
      <w:r>
        <w:t xml:space="preserve">entre </w:t>
      </w:r>
      <w:r w:rsidRPr="004033B7">
        <w:t>os fascistas conservadores que moldaram e conduziram o Estado Novo</w:t>
      </w:r>
      <w:r w:rsidR="00E44CF5">
        <w:t xml:space="preserve">. Até 1939, a desconfiança que as autoridades políticas e policiais do salazarismo manifestaram para com os judeus </w:t>
      </w:r>
      <w:r w:rsidR="00281020">
        <w:t>polacos</w:t>
      </w:r>
      <w:r w:rsidR="002E7F21">
        <w:t>,</w:t>
      </w:r>
      <w:r w:rsidR="00281020">
        <w:t xml:space="preserve"> alemães </w:t>
      </w:r>
      <w:r w:rsidR="002E7F21">
        <w:t xml:space="preserve">e austríacos </w:t>
      </w:r>
      <w:r w:rsidR="00E44CF5">
        <w:t xml:space="preserve">candidatos à imigração não foi diferente da manifestada para com os restantes polacos e os russos apátridas. Tratava-se, por um lado, de evitar a entrada de pessoas de quem se suspeitava politicamente ou a quem </w:t>
      </w:r>
      <w:r w:rsidR="00281020">
        <w:t xml:space="preserve">era </w:t>
      </w:r>
      <w:r w:rsidR="00E44CF5">
        <w:t>atribuí</w:t>
      </w:r>
      <w:r w:rsidR="00281020">
        <w:t>d</w:t>
      </w:r>
      <w:r w:rsidR="00E44CF5">
        <w:t xml:space="preserve">a a prática generalizada de crimes e, por outro lado, de </w:t>
      </w:r>
      <w:r w:rsidR="00281020">
        <w:t xml:space="preserve">proteger </w:t>
      </w:r>
      <w:r w:rsidR="002F3CD6">
        <w:t xml:space="preserve">a mão-de-obra portuguesa </w:t>
      </w:r>
      <w:r w:rsidR="00281020">
        <w:t>da concorrência estrangeira</w:t>
      </w:r>
      <w:r w:rsidR="00281020">
        <w:rPr>
          <w:rStyle w:val="Refdenotaderodap"/>
        </w:rPr>
        <w:footnoteReference w:id="174"/>
      </w:r>
      <w:r w:rsidR="00C1257C">
        <w:t xml:space="preserve">, medidas restritivas que não se diferenciaram das aplicadas </w:t>
      </w:r>
      <w:r w:rsidR="001E7445">
        <w:t xml:space="preserve">então </w:t>
      </w:r>
      <w:r w:rsidR="00C1257C">
        <w:t>pelas democracias</w:t>
      </w:r>
      <w:r w:rsidR="00C1257C">
        <w:rPr>
          <w:rStyle w:val="Refdenotaderodap"/>
        </w:rPr>
        <w:footnoteReference w:id="175"/>
      </w:r>
      <w:r w:rsidR="00281020">
        <w:t xml:space="preserve">. </w:t>
      </w:r>
      <w:r w:rsidR="00CB4AF8">
        <w:t xml:space="preserve">O problema tornou-se especialmente agudo nas vésperas da guerra e uma historiadora observou que </w:t>
      </w:r>
      <w:r w:rsidR="005D357A">
        <w:t xml:space="preserve">nessa época </w:t>
      </w:r>
      <w:r w:rsidR="00CB4AF8">
        <w:t>a vigilância acrescida das autoridades administrativas salazaristas «não se pode identificar com qualquer tipo de preconceito anti-semita, mas antes com o receio [...] de uma irrupção maciça de refugiados»</w:t>
      </w:r>
      <w:r w:rsidR="00CB4AF8">
        <w:rPr>
          <w:rStyle w:val="Refdenotaderodap"/>
        </w:rPr>
        <w:footnoteReference w:id="176"/>
      </w:r>
      <w:r w:rsidR="00CB4AF8">
        <w:t xml:space="preserve">. </w:t>
      </w:r>
    </w:p>
    <w:p w:rsidR="00751A22" w:rsidRPr="004033B7" w:rsidRDefault="00CB4AF8" w:rsidP="00751A22">
      <w:pPr>
        <w:tabs>
          <w:tab w:val="left" w:pos="720"/>
          <w:tab w:val="left" w:pos="3312"/>
        </w:tabs>
      </w:pPr>
      <w:r>
        <w:t>Compreende-se a</w:t>
      </w:r>
      <w:r w:rsidR="001E7445">
        <w:t>s</w:t>
      </w:r>
      <w:r>
        <w:t xml:space="preserve">sim </w:t>
      </w:r>
      <w:r w:rsidR="00281020">
        <w:t xml:space="preserve">que durante a guerra o governo português tivesse seguido na Grécia uma orientação </w:t>
      </w:r>
      <w:r w:rsidR="00751A22" w:rsidRPr="004033B7">
        <w:t xml:space="preserve">similar à </w:t>
      </w:r>
      <w:r w:rsidR="00281020">
        <w:t>d</w:t>
      </w:r>
      <w:r w:rsidR="00751A22" w:rsidRPr="004033B7">
        <w:t xml:space="preserve">os representantes diplomáticos espanhóis. Uma parte da comunidade sefardita de Salónica era composta por cerca de quinhentas famílias de origem reconhecidamente portuguesa, a quem o governo de Lisboa, em 1913, por ocasião da guerra entre os países balcânicos e o Império Otomano, concedera títulos provisórios de nacionalidade. Poder-se-ia pensar que a intenção fora de as proteger de uma eventual repetição dos massacres </w:t>
      </w:r>
      <w:r w:rsidR="00751A22" w:rsidRPr="004033B7">
        <w:lastRenderedPageBreak/>
        <w:t xml:space="preserve">que as tropas gregas e búlgaras haviam praticado nos territórios ocupados, mas na realidade o governo do Partido Democrático parece ter tido o intuito de aproveitar a crise otomana para proceder a um ensaio de expansionismo cultural e prestígio diplomático, </w:t>
      </w:r>
      <w:r w:rsidR="00751A22">
        <w:t xml:space="preserve">adoptando uma estratégia semelhante à seguida mais tarde pela extrema-direita espanhola. </w:t>
      </w:r>
      <w:r w:rsidR="00751A22" w:rsidRPr="004033B7">
        <w:t>Em Fevereiro de 1913 o representante diplomático de Portugal em Istambul argument</w:t>
      </w:r>
      <w:r w:rsidR="00751A22">
        <w:t>ou</w:t>
      </w:r>
      <w:r w:rsidR="00751A22" w:rsidRPr="004033B7">
        <w:t>, n</w:t>
      </w:r>
      <w:r w:rsidR="00751A22">
        <w:t>um</w:t>
      </w:r>
      <w:r w:rsidR="00751A22" w:rsidRPr="004033B7">
        <w:t xml:space="preserve"> relatório envi</w:t>
      </w:r>
      <w:r w:rsidR="00751A22">
        <w:t>ado</w:t>
      </w:r>
      <w:r w:rsidR="00751A22" w:rsidRPr="004033B7">
        <w:t xml:space="preserve"> para o ministro dos Negócios Estrangeiros propondo a concessão da nacionalidade aos judeus de origem portuguesa residentes em Salónica: «O bom momento para Portugal reaver um pouco do seu antigo prestígio nesta parte do Oriente é agora. As circunstâncias são óptimas. Criada e assimilada assim a colónia portuguesa dos israelitas de Salónica, ela nos constituirá de pronto um núcleo de interesses nacionais grandemente considerável, sobretudo se atendermos ao futuro próximo de maior prosperidade que os acontecimentos da guerra abrem àquela já tão importante cidade». Embora esta orientação não tivesse continuidade nem fosse retomada posteriormente, aqueles títulos </w:t>
      </w:r>
      <w:r w:rsidR="00AC292E" w:rsidRPr="004033B7">
        <w:t xml:space="preserve">provisórios </w:t>
      </w:r>
      <w:r w:rsidR="00751A22" w:rsidRPr="004033B7">
        <w:t>de nacionalidade</w:t>
      </w:r>
      <w:r w:rsidR="00AC292E">
        <w:t xml:space="preserve"> nunca </w:t>
      </w:r>
      <w:r w:rsidR="00751A22" w:rsidRPr="004033B7">
        <w:t>foram cancelados, e em 1944, perante a ameaça iminente de se completar o genocídio dos judeus na Grécia, o governo de Salazar permitiu o repatriamento de cerca de trezentos desses singulares cidadãos portugueses</w:t>
      </w:r>
      <w:r w:rsidR="00751A22" w:rsidRPr="004033B7">
        <w:rPr>
          <w:rStyle w:val="Refdenotaderodap"/>
        </w:rPr>
        <w:footnoteReference w:id="177"/>
      </w:r>
      <w:r w:rsidR="00751A22" w:rsidRPr="004033B7">
        <w:t xml:space="preserve">. </w:t>
      </w:r>
      <w:r w:rsidR="00940F3E">
        <w:t xml:space="preserve">E </w:t>
      </w:r>
      <w:r w:rsidR="00FC7A38">
        <w:t xml:space="preserve">nos últimos meses </w:t>
      </w:r>
      <w:r w:rsidR="00940F3E">
        <w:t>desse ano</w:t>
      </w:r>
      <w:r w:rsidR="00FC7A38">
        <w:t xml:space="preserve"> o representante diplomático português em Budapeste, junto com três colegas de outros países, multiplicou-se em actividades que salvaram a vida a alguns milhares de judeus</w:t>
      </w:r>
      <w:r w:rsidR="00FC7A38">
        <w:rPr>
          <w:rStyle w:val="Refdenotaderodap"/>
        </w:rPr>
        <w:footnoteReference w:id="178"/>
      </w:r>
      <w:r w:rsidR="00FC7A38">
        <w:t xml:space="preserve">. </w:t>
      </w:r>
    </w:p>
    <w:p w:rsidR="00751A22" w:rsidRPr="00141ED7" w:rsidRDefault="00751A22" w:rsidP="00751A22">
      <w:pPr>
        <w:tabs>
          <w:tab w:val="left" w:pos="720"/>
          <w:tab w:val="left" w:pos="3312"/>
        </w:tabs>
      </w:pPr>
      <w:r w:rsidRPr="004033B7">
        <w:t xml:space="preserve">Tal como o caso italiano, o duplo exemplo ibérico mostra que a hostilidade aos judeus não se contou entre as características constitutivas do fascismo. </w:t>
      </w:r>
    </w:p>
    <w:p w:rsidR="00751A22" w:rsidRPr="004033B7" w:rsidRDefault="00751A22" w:rsidP="00FD6C3A">
      <w:pPr>
        <w:keepNext/>
        <w:spacing w:before="720" w:after="360"/>
        <w:ind w:firstLine="0"/>
        <w:jc w:val="center"/>
        <w:rPr>
          <w:b/>
          <w:sz w:val="28"/>
        </w:rPr>
      </w:pPr>
      <w:r>
        <w:rPr>
          <w:b/>
          <w:sz w:val="28"/>
        </w:rPr>
        <w:t>4</w:t>
      </w:r>
      <w:r w:rsidRPr="004033B7">
        <w:rPr>
          <w:b/>
          <w:sz w:val="28"/>
        </w:rPr>
        <w:t>. Sionismo filofascista e sionismo fascista</w:t>
      </w:r>
    </w:p>
    <w:p w:rsidR="00822435" w:rsidRDefault="00751A22" w:rsidP="00751A22">
      <w:r w:rsidRPr="004033B7">
        <w:t xml:space="preserve">A legitimidade do Estado de Israel assenta exclusivamente </w:t>
      </w:r>
      <w:r w:rsidR="00DA793A">
        <w:t>na tese de que</w:t>
      </w:r>
      <w:r w:rsidR="002B4F01">
        <w:t>,</w:t>
      </w:r>
      <w:r w:rsidR="00DA793A">
        <w:t xml:space="preserve"> </w:t>
      </w:r>
      <w:r w:rsidR="002B4F01">
        <w:t xml:space="preserve">sendo </w:t>
      </w:r>
      <w:r w:rsidR="00520E8D">
        <w:t xml:space="preserve">todos </w:t>
      </w:r>
      <w:r w:rsidR="00DA793A">
        <w:t xml:space="preserve">os judeus </w:t>
      </w:r>
      <w:r w:rsidR="002B4F01">
        <w:t xml:space="preserve">originários </w:t>
      </w:r>
      <w:r w:rsidR="00DA793A">
        <w:t>da Palestina</w:t>
      </w:r>
      <w:r w:rsidR="002B4F01">
        <w:t>,</w:t>
      </w:r>
      <w:r w:rsidR="00DA793A">
        <w:t xml:space="preserve"> seria </w:t>
      </w:r>
      <w:r w:rsidR="002B4F01">
        <w:t xml:space="preserve">a Palestina </w:t>
      </w:r>
      <w:r w:rsidR="00DA793A">
        <w:t xml:space="preserve">o </w:t>
      </w:r>
      <w:r w:rsidR="00822435">
        <w:t xml:space="preserve">seu </w:t>
      </w:r>
      <w:r w:rsidR="00DA793A">
        <w:t xml:space="preserve">refúgio </w:t>
      </w:r>
      <w:r w:rsidR="00CC1249">
        <w:t xml:space="preserve">natural </w:t>
      </w:r>
      <w:r w:rsidR="00822435">
        <w:t xml:space="preserve">aquando </w:t>
      </w:r>
      <w:r w:rsidR="00DA793A">
        <w:t xml:space="preserve">das perseguições. </w:t>
      </w:r>
      <w:r w:rsidR="00822435">
        <w:t xml:space="preserve">Ora, coligindo </w:t>
      </w:r>
      <w:r w:rsidR="004A74D0">
        <w:t>a analisando um</w:t>
      </w:r>
      <w:r w:rsidR="00285D45">
        <w:t xml:space="preserve"> grande número </w:t>
      </w:r>
      <w:r w:rsidR="004A74D0">
        <w:t xml:space="preserve">de provas arqueológicas e </w:t>
      </w:r>
      <w:r w:rsidR="00285D45">
        <w:t>documentais</w:t>
      </w:r>
      <w:r w:rsidR="004A74D0">
        <w:t xml:space="preserve">, um historiador israelita mostrou recentemente que </w:t>
      </w:r>
      <w:r w:rsidR="00520E8D">
        <w:t xml:space="preserve">o judaísmo enquanto entidade religiosa e cultural não deve confundir-se com os judeus enquanto noção étnica e que </w:t>
      </w:r>
      <w:r w:rsidR="00741009">
        <w:t xml:space="preserve">a expulsão e </w:t>
      </w:r>
      <w:r w:rsidR="0029772B">
        <w:t xml:space="preserve">o exílio </w:t>
      </w:r>
      <w:r w:rsidR="002869B8">
        <w:t>massiv</w:t>
      </w:r>
      <w:r w:rsidR="0029772B">
        <w:t xml:space="preserve">o dos judeus na época romana </w:t>
      </w:r>
      <w:r w:rsidR="004A74D0">
        <w:t>é um mito</w:t>
      </w:r>
      <w:r w:rsidR="0029772B">
        <w:t xml:space="preserve"> </w:t>
      </w:r>
      <w:r w:rsidR="00A06701">
        <w:t>de origem</w:t>
      </w:r>
      <w:r w:rsidR="0029772B">
        <w:t xml:space="preserve"> crist</w:t>
      </w:r>
      <w:r w:rsidR="00A06701">
        <w:t>ã</w:t>
      </w:r>
      <w:r w:rsidR="0029772B">
        <w:t xml:space="preserve"> e anti-semita, incorporado depois na tradição judaica</w:t>
      </w:r>
      <w:r w:rsidR="00574D79">
        <w:t xml:space="preserve">, que </w:t>
      </w:r>
      <w:r w:rsidR="00822435">
        <w:t xml:space="preserve">durante séculos </w:t>
      </w:r>
      <w:r w:rsidR="00574D79">
        <w:t xml:space="preserve">lhe conferiu uma acepção </w:t>
      </w:r>
      <w:r w:rsidR="00574D79">
        <w:lastRenderedPageBreak/>
        <w:t>metafísica e não geográfica</w:t>
      </w:r>
      <w:r w:rsidR="002B4F01">
        <w:t xml:space="preserve">. </w:t>
      </w:r>
      <w:r w:rsidR="006C56AE">
        <w:t xml:space="preserve">A </w:t>
      </w:r>
      <w:r w:rsidR="002B4F01">
        <w:t>população islamizada que habitava na Palestina quando os primeiros sionistas para lá migraram</w:t>
      </w:r>
      <w:r w:rsidR="008427DC">
        <w:t>,</w:t>
      </w:r>
      <w:r w:rsidR="002B4F01">
        <w:t xml:space="preserve"> </w:t>
      </w:r>
      <w:r w:rsidR="006C56AE">
        <w:t xml:space="preserve">concluiu este historiador, </w:t>
      </w:r>
      <w:r w:rsidR="008427DC">
        <w:t xml:space="preserve">em vez de ser invasora, </w:t>
      </w:r>
      <w:r w:rsidR="002B4F01">
        <w:t>era fundamentalmente a continuadora da antiga população judaica</w:t>
      </w:r>
      <w:r w:rsidR="00822435">
        <w:rPr>
          <w:rStyle w:val="Refdenotaderodap"/>
        </w:rPr>
        <w:footnoteReference w:id="179"/>
      </w:r>
      <w:r w:rsidR="0029772B">
        <w:t>.</w:t>
      </w:r>
      <w:r w:rsidR="004A74D0">
        <w:t xml:space="preserve"> Resta a </w:t>
      </w:r>
      <w:r w:rsidR="0029772B">
        <w:t xml:space="preserve">noção </w:t>
      </w:r>
      <w:r w:rsidR="004A74D0">
        <w:t>da Palestina como refúgio</w:t>
      </w:r>
      <w:r w:rsidR="00822435">
        <w:t>,</w:t>
      </w:r>
      <w:r w:rsidR="004A74D0">
        <w:t xml:space="preserve"> </w:t>
      </w:r>
      <w:r w:rsidR="00822435">
        <w:t xml:space="preserve">pois </w:t>
      </w:r>
      <w:r w:rsidR="00822435" w:rsidRPr="004033B7">
        <w:t xml:space="preserve">se </w:t>
      </w:r>
      <w:r w:rsidRPr="004033B7">
        <w:t>Israel não constituí</w:t>
      </w:r>
      <w:r w:rsidR="00A5675A">
        <w:t>sse</w:t>
      </w:r>
      <w:r w:rsidRPr="004033B7">
        <w:t xml:space="preserve"> um lugar de asilo, a sua formação teria representado uma mera espoliação da população </w:t>
      </w:r>
      <w:r w:rsidR="00E63D8D">
        <w:t>islamizada</w:t>
      </w:r>
      <w:r w:rsidRPr="004033B7">
        <w:t xml:space="preserve"> que ocupava </w:t>
      </w:r>
      <w:r w:rsidR="00CC7CD3">
        <w:t>multi</w:t>
      </w:r>
      <w:r w:rsidRPr="004033B7">
        <w:t xml:space="preserve">milenariamente aquele território e pouco a pouco se viu roubada dos seus campos, da sua água de rega, das suas cidades, até da sua cidadania. Em que medida é válida a tese do refúgio? </w:t>
      </w:r>
    </w:p>
    <w:p w:rsidR="00D3194F" w:rsidRDefault="00D3194F" w:rsidP="00D3194F">
      <w:pPr>
        <w:keepNext/>
        <w:spacing w:before="240" w:after="120"/>
        <w:ind w:firstLine="0"/>
        <w:jc w:val="center"/>
      </w:pPr>
      <w:r>
        <w:rPr>
          <w:b/>
          <w:sz w:val="28"/>
          <w:szCs w:val="28"/>
        </w:rPr>
        <w:t>1</w:t>
      </w:r>
    </w:p>
    <w:p w:rsidR="00751A22" w:rsidRPr="004033B7" w:rsidRDefault="00751A22" w:rsidP="00751A22">
      <w:r w:rsidRPr="004033B7">
        <w:t>As autoridades britânicas na Palestina fixavam anualmente o número máximo de imigrantes permitido, e era a Agência Judaica, suprema autoridade sionista na região, quem repartia os certificados de imigração entre os judeus dos vários países. Ora, durante a década de 1930 só 22% dos certificados foram concedidos a judeus alemães, precisamente os que mais necessitariam de ser protegidos</w:t>
      </w:r>
      <w:r w:rsidRPr="0051531B">
        <w:rPr>
          <w:vertAlign w:val="superscript"/>
        </w:rPr>
        <w:footnoteReference w:id="180"/>
      </w:r>
      <w:r w:rsidRPr="004033B7">
        <w:t xml:space="preserve">. </w:t>
      </w:r>
      <w:r w:rsidR="00A276A4">
        <w:t>Adoptando outra perspectiva</w:t>
      </w:r>
      <w:r w:rsidR="000F32B9">
        <w:t xml:space="preserve"> estatística</w:t>
      </w:r>
      <w:r w:rsidR="00A276A4">
        <w:t>, durante o período do Ha’avara, o acordo de transferência que vigorou desde Agosto de 1933 até ao começo da guerra mundial</w:t>
      </w:r>
      <w:r w:rsidR="001A2E42">
        <w:t xml:space="preserve"> e que analisarei adiante</w:t>
      </w:r>
      <w:r w:rsidR="00A276A4">
        <w:t>, só 1/4 do</w:t>
      </w:r>
      <w:r w:rsidR="005B3C36">
        <w:t>s</w:t>
      </w:r>
      <w:r w:rsidR="00A276A4">
        <w:t xml:space="preserve"> judeus saídos da Alemanha foi para a Palestina</w:t>
      </w:r>
      <w:r w:rsidR="00A276A4">
        <w:rPr>
          <w:rStyle w:val="Refdenotaderodap"/>
        </w:rPr>
        <w:footnoteReference w:id="181"/>
      </w:r>
      <w:r w:rsidR="00A276A4">
        <w:t xml:space="preserve">. </w:t>
      </w:r>
      <w:r w:rsidR="000257E2">
        <w:t xml:space="preserve">Mais cruelmente ainda, em 1943, quando o genocídio atingia o auge, o </w:t>
      </w:r>
      <w:r w:rsidR="00B24910">
        <w:t>comité executivo sionista</w:t>
      </w:r>
      <w:r w:rsidR="000257E2">
        <w:t xml:space="preserve">, reunido em Jerusalém para </w:t>
      </w:r>
      <w:r w:rsidR="00B24910">
        <w:t xml:space="preserve">deliberar sobre </w:t>
      </w:r>
      <w:r w:rsidR="000257E2">
        <w:t xml:space="preserve">o orçamento anual, destinou 250 mil libras palestinianas para os novos estabelecimentos de colonização, outro tanto para o fomento agrícola, somas igualmente vastas </w:t>
      </w:r>
      <w:r w:rsidR="00B24910">
        <w:t>para irrigação</w:t>
      </w:r>
      <w:r w:rsidR="00D84DB1">
        <w:t>,</w:t>
      </w:r>
      <w:r w:rsidR="00B24910">
        <w:t xml:space="preserve"> </w:t>
      </w:r>
      <w:r w:rsidR="00122245">
        <w:t>mas</w:t>
      </w:r>
      <w:r w:rsidR="00B24910">
        <w:t xml:space="preserve"> para actividades de socorro aos judeus na Europa </w:t>
      </w:r>
      <w:r w:rsidR="00122245">
        <w:t xml:space="preserve">foram </w:t>
      </w:r>
      <w:r w:rsidR="00B24910">
        <w:t>umas modestas 15 mil libras</w:t>
      </w:r>
      <w:r w:rsidR="00B24910">
        <w:rPr>
          <w:rStyle w:val="Refdenotaderodap"/>
        </w:rPr>
        <w:footnoteReference w:id="182"/>
      </w:r>
      <w:r w:rsidR="00B24910">
        <w:t xml:space="preserve">. </w:t>
      </w:r>
      <w:r w:rsidR="00122245" w:rsidRPr="004033B7">
        <w:t xml:space="preserve">A </w:t>
      </w:r>
      <w:r w:rsidRPr="004033B7">
        <w:t>compreensão deste problema</w:t>
      </w:r>
      <w:r w:rsidR="00122245">
        <w:t>, porém,</w:t>
      </w:r>
      <w:r w:rsidRPr="004033B7">
        <w:t xml:space="preserve"> não se satisfaz com detalhes</w:t>
      </w:r>
      <w:r w:rsidR="00B24910">
        <w:t>,</w:t>
      </w:r>
      <w:r w:rsidRPr="004033B7">
        <w:t xml:space="preserve"> </w:t>
      </w:r>
      <w:r w:rsidR="00B24910">
        <w:t xml:space="preserve">mesmo tão esclarecedores como os que acabei de mencionar, </w:t>
      </w:r>
      <w:r w:rsidRPr="004033B7">
        <w:t xml:space="preserve">e </w:t>
      </w:r>
      <w:r w:rsidR="00122245">
        <w:t xml:space="preserve">deve </w:t>
      </w:r>
      <w:r w:rsidRPr="004033B7">
        <w:t>inseri</w:t>
      </w:r>
      <w:r w:rsidR="00122245">
        <w:t>r-se</w:t>
      </w:r>
      <w:r w:rsidRPr="004033B7">
        <w:t xml:space="preserve"> num</w:t>
      </w:r>
      <w:r w:rsidR="00071F42">
        <w:t xml:space="preserve"> quadro </w:t>
      </w:r>
      <w:r w:rsidRPr="004033B7">
        <w:t>ampl</w:t>
      </w:r>
      <w:r w:rsidR="00071F42">
        <w:t>o</w:t>
      </w:r>
      <w:r w:rsidRPr="004033B7">
        <w:t xml:space="preserve">. Pressuposta na tese da Palestina como lugar de asilo está a identificação do semitismo, que é sinónimo da globalidade do judaísmo, com o sionismo, que é uma corrente política partidária da implantação de uma soberania judaica no Levante. </w:t>
      </w:r>
      <w:r w:rsidR="00122245">
        <w:t xml:space="preserve">Ora, </w:t>
      </w:r>
      <w:r w:rsidRPr="004033B7">
        <w:t xml:space="preserve">a história das décadas de 1920 e 1930 mostrou de maneira trágica, tantas vezes macabra, que o sionismo jamais se confundiu com os interesses globais do judaísmo, estando </w:t>
      </w:r>
      <w:r>
        <w:t>até</w:t>
      </w:r>
      <w:r w:rsidRPr="004033B7">
        <w:t xml:space="preserve"> em oposição a eles. </w:t>
      </w:r>
      <w:r w:rsidR="00ED3FCA">
        <w:t xml:space="preserve">Estes problemas </w:t>
      </w:r>
      <w:r w:rsidRPr="004033B7">
        <w:t>só pode</w:t>
      </w:r>
      <w:r w:rsidR="00ED3FCA">
        <w:t>m</w:t>
      </w:r>
      <w:r w:rsidRPr="004033B7">
        <w:t xml:space="preserve"> ser analisad</w:t>
      </w:r>
      <w:r w:rsidR="00ED3FCA">
        <w:t>os</w:t>
      </w:r>
      <w:r w:rsidRPr="004033B7">
        <w:t xml:space="preserve"> criticamente se começarmos por distinguir semitismo e sionismo. </w:t>
      </w:r>
    </w:p>
    <w:p w:rsidR="00751A22" w:rsidRPr="004033B7" w:rsidRDefault="00751A22" w:rsidP="00751A22">
      <w:r w:rsidRPr="004033B7">
        <w:lastRenderedPageBreak/>
        <w:t>Entre os judeus espalhados pelo mundo apenas uma percentagem muito reduzida se dizia sionista ou manifestava qualquer apreço pelas organizações sionistas. Fora já esta a situação quando Theodor Herzl lançou o movimento, na transição do século XIX para o século XX, e tanto na Áustria e na Alemanha como na França, na Grã-Bretanha e nos Estados Unidos ele praticamente não conseguira mobilizar intelectuais de prestígio</w:t>
      </w:r>
      <w:r w:rsidRPr="004033B7">
        <w:rPr>
          <w:rStyle w:val="Refdenotaderodap"/>
        </w:rPr>
        <w:footnoteReference w:id="183"/>
      </w:r>
      <w:r w:rsidRPr="004033B7">
        <w:t xml:space="preserve">. </w:t>
      </w:r>
      <w:r w:rsidR="0082110C">
        <w:t>Quando começou a primeira guerra mundial os sionistas representavam menos de dois por cento dos judeus alemães e entre os judeus franceses a percentagem era menor ainda</w:t>
      </w:r>
      <w:r w:rsidR="0082110C">
        <w:rPr>
          <w:rStyle w:val="Refdenotaderodap"/>
        </w:rPr>
        <w:footnoteReference w:id="184"/>
      </w:r>
      <w:r w:rsidR="0082110C">
        <w:t xml:space="preserve">. </w:t>
      </w:r>
      <w:r w:rsidRPr="004033B7">
        <w:t xml:space="preserve">Na sua esmagadora maioria os judeus eram assimilacionistas, desejosos de se integrar nos respectivos países, e para eles a religião e certas especificidades culturais de modo </w:t>
      </w:r>
      <w:r w:rsidR="000A19DA">
        <w:t>nenhum</w:t>
      </w:r>
      <w:r w:rsidRPr="004033B7">
        <w:t xml:space="preserve"> impossibilitavam a plena participação na sociedade que os rodeava. </w:t>
      </w:r>
      <w:r w:rsidR="00016315">
        <w:t xml:space="preserve">Isto é tanto mais compreensível quanto admitirmos, </w:t>
      </w:r>
      <w:r w:rsidR="00012759">
        <w:t>de acordo com um estudo recente, que a disseminação da religião judaica se deve</w:t>
      </w:r>
      <w:r w:rsidR="00700DF8">
        <w:t>ra</w:t>
      </w:r>
      <w:r w:rsidR="00012759">
        <w:t xml:space="preserve"> ao proselitismo e não a migrações étnicas </w:t>
      </w:r>
      <w:r w:rsidR="002869B8">
        <w:t>massiv</w:t>
      </w:r>
      <w:r w:rsidR="00BA0A16">
        <w:t xml:space="preserve">as </w:t>
      </w:r>
      <w:r w:rsidR="00012759">
        <w:t xml:space="preserve">e que, por conseguinte, o judaísmo enquanto entidade religiosa e cultural não derivava de nenhuma </w:t>
      </w:r>
      <w:r w:rsidR="007B6917">
        <w:t xml:space="preserve">especificidade </w:t>
      </w:r>
      <w:r w:rsidR="00700DF8">
        <w:t>rácica</w:t>
      </w:r>
      <w:r w:rsidR="00146704">
        <w:rPr>
          <w:rStyle w:val="Refdenotaderodap"/>
        </w:rPr>
        <w:footnoteReference w:id="185"/>
      </w:r>
      <w:r w:rsidR="007B6917">
        <w:t xml:space="preserve">. </w:t>
      </w:r>
      <w:r w:rsidR="000A19DA">
        <w:t>«Desde a sua emancipação os judeus haviam-se tornado bons patriotas em todos os países ocidentais», escreveu um ensaísta que atravessou este problema. «Mas em lado nenhum esse patriotismo judaico tinha traços tão fervorosos e profundamente emotivos como na Alemanha»</w:t>
      </w:r>
      <w:r w:rsidR="000A19DA">
        <w:rPr>
          <w:rStyle w:val="Refdenotaderodap"/>
        </w:rPr>
        <w:footnoteReference w:id="186"/>
      </w:r>
      <w:r w:rsidR="000A19DA">
        <w:t xml:space="preserve">. </w:t>
      </w:r>
      <w:r>
        <w:t>Uma grande maioria dos judeus alemães exibia um patriotismo nas raias do chauvinismo, e os judeus austríacos, em vez de se apresentarem como uma das nacionalidades do império, consideravam-se parte integrante da população alemã</w:t>
      </w:r>
      <w:r>
        <w:rPr>
          <w:rStyle w:val="Refdenotaderodap"/>
        </w:rPr>
        <w:footnoteReference w:id="187"/>
      </w:r>
      <w:r>
        <w:t xml:space="preserve">. </w:t>
      </w:r>
      <w:r w:rsidRPr="004033B7">
        <w:t>Nas vésperas da primeira guerra mundial os sionistas estavam marginalizados politicamente no interior das suas próprias comunidades, mesmo no leste da Europa, apesar de serem aí especialmente violentos os sentimentos anti-semitas de uma parte da população</w:t>
      </w:r>
      <w:r w:rsidRPr="004033B7">
        <w:rPr>
          <w:rStyle w:val="Refdenotaderodap"/>
        </w:rPr>
        <w:footnoteReference w:id="188"/>
      </w:r>
      <w:r w:rsidRPr="004033B7">
        <w:t>, e o isolamento continuou, de um e outro lado do Atlântico, ao longo da década de 1920</w:t>
      </w:r>
      <w:r w:rsidRPr="004033B7">
        <w:rPr>
          <w:rStyle w:val="Refdenotaderodap"/>
        </w:rPr>
        <w:footnoteReference w:id="189"/>
      </w:r>
      <w:r w:rsidRPr="004033B7">
        <w:t xml:space="preserve">. Na Polónia, onde a hostilidade aos judeus assumiu grandes proporções e que parece ter sido o país europeu onde o sionismo mais se desenvolveu, até à segunda guerra mundial a maior organização política judaica foi o Bund, </w:t>
      </w:r>
      <w:r w:rsidRPr="004033B7">
        <w:lastRenderedPageBreak/>
        <w:t>partidário da igualdade de direitos, socialista e activamente oposto aos sionistas</w:t>
      </w:r>
      <w:r w:rsidRPr="004033B7">
        <w:rPr>
          <w:rStyle w:val="Refdenotaderodap"/>
        </w:rPr>
        <w:footnoteReference w:id="190"/>
      </w:r>
      <w:r w:rsidRPr="004033B7">
        <w:t xml:space="preserve">. Comentando o facto de em 1942 ser cada vez mais frequente o emprego do polaco em vez do </w:t>
      </w:r>
      <w:r w:rsidRPr="004033B7">
        <w:rPr>
          <w:i/>
        </w:rPr>
        <w:t>yiddish</w:t>
      </w:r>
      <w:r w:rsidRPr="004033B7">
        <w:t xml:space="preserve"> nas ruas do </w:t>
      </w:r>
      <w:r w:rsidRPr="004033B7">
        <w:rPr>
          <w:i/>
        </w:rPr>
        <w:t>ghetto</w:t>
      </w:r>
      <w:r w:rsidRPr="004033B7">
        <w:t xml:space="preserve"> de Varsóvia, </w:t>
      </w:r>
      <w:r w:rsidR="00C87B6B" w:rsidRPr="009738BB">
        <w:t>Emmanuel Ringelblum</w:t>
      </w:r>
      <w:r w:rsidR="00C87B6B">
        <w:t>,</w:t>
      </w:r>
      <w:r w:rsidR="00C87B6B" w:rsidRPr="009738BB">
        <w:t xml:space="preserve"> </w:t>
      </w:r>
      <w:r w:rsidRPr="004033B7">
        <w:t>especialmente bem colocado para apreciar a situação</w:t>
      </w:r>
      <w:r w:rsidR="00C87B6B">
        <w:t>,</w:t>
      </w:r>
      <w:r w:rsidRPr="004033B7">
        <w:t xml:space="preserve"> observou que o movimento de assimilação linguística fora já muito forte antes da guerra</w:t>
      </w:r>
      <w:r w:rsidRPr="004033B7">
        <w:rPr>
          <w:rStyle w:val="Refdenotaderodap"/>
        </w:rPr>
        <w:footnoteReference w:id="191"/>
      </w:r>
      <w:r w:rsidRPr="004033B7">
        <w:t>. Também nos meios judaicos da Itália fascista apenas uma minoria expressava simpatia pelo sionismo, a tal ponto que de 1926 até 1938 só uma centena e meia de judeus italianos emigrou para a Palestina</w:t>
      </w:r>
      <w:r w:rsidRPr="004033B7">
        <w:rPr>
          <w:rStyle w:val="Refdenotaderodap"/>
        </w:rPr>
        <w:footnoteReference w:id="192"/>
      </w:r>
      <w:r w:rsidRPr="004033B7">
        <w:t xml:space="preserve">. </w:t>
      </w:r>
      <w:r w:rsidR="000A19DA">
        <w:t xml:space="preserve">Na Alemanha, </w:t>
      </w:r>
      <w:r w:rsidR="000A19DA" w:rsidRPr="004033B7">
        <w:t xml:space="preserve">durante </w:t>
      </w:r>
      <w:r w:rsidRPr="004033B7">
        <w:t>a república de Weimar os assimilacionistas contar</w:t>
      </w:r>
      <w:r w:rsidR="00DE0D98">
        <w:t>a</w:t>
      </w:r>
      <w:r w:rsidRPr="004033B7">
        <w:t>m com noventa e cinco por cento dos membros das organizações judaicas</w:t>
      </w:r>
      <w:r w:rsidRPr="004033B7">
        <w:rPr>
          <w:rStyle w:val="Refdenotaderodap"/>
        </w:rPr>
        <w:footnoteReference w:id="193"/>
      </w:r>
      <w:r w:rsidR="003A1033">
        <w:t>,</w:t>
      </w:r>
      <w:r w:rsidRPr="004033B7">
        <w:t xml:space="preserve"> </w:t>
      </w:r>
      <w:r w:rsidR="003A1033">
        <w:t>o que se compreende ao sabermos qu</w:t>
      </w:r>
      <w:r w:rsidRPr="004033B7">
        <w:t>e na primeira metade da década de 1920 mais de quarenta por cento dos casamentos em que um dos noivos era judeu tinham como outro participante um não-judeu</w:t>
      </w:r>
      <w:r w:rsidRPr="004033B7">
        <w:rPr>
          <w:rStyle w:val="Refdenotaderodap"/>
        </w:rPr>
        <w:footnoteReference w:id="194"/>
      </w:r>
      <w:r w:rsidR="003A1033">
        <w:t xml:space="preserve"> e </w:t>
      </w:r>
      <w:r w:rsidR="00983B74">
        <w:t xml:space="preserve">em 1933 </w:t>
      </w:r>
      <w:r w:rsidR="003A1033">
        <w:t>só vinte por cento dos judeus alemães usavam trajos distintivos</w:t>
      </w:r>
      <w:r w:rsidR="003A1033">
        <w:rPr>
          <w:rStyle w:val="Refdenotaderodap"/>
        </w:rPr>
        <w:footnoteReference w:id="195"/>
      </w:r>
      <w:r w:rsidRPr="004033B7">
        <w:t>. Mesmo as vitórias eleitorais alcançadas pelos nacionais-socialistas não impediram que nas vésperas da nomeação de Hitler para o posto de chanceler os sionistas estivessem reduzidos na Alemanha, como nos demais países, a uma fracção diminuta da população judaica, um ou dois por cento segundo os seus próprios cálculos</w:t>
      </w:r>
      <w:r w:rsidRPr="004033B7">
        <w:rPr>
          <w:rStyle w:val="Refdenotaderodap"/>
        </w:rPr>
        <w:footnoteReference w:id="196"/>
      </w:r>
      <w:r w:rsidRPr="004033B7">
        <w:t>. Finalmente, um relatório interno dos SS apresentado a Himmler na Primavera de 1934 constat</w:t>
      </w:r>
      <w:r>
        <w:t>ou</w:t>
      </w:r>
      <w:r w:rsidRPr="004033B7">
        <w:t xml:space="preserve"> que a maioria dos judeus alemães se mantinha favorável ao assimilacionismo</w:t>
      </w:r>
      <w:r w:rsidRPr="004033B7">
        <w:rPr>
          <w:rStyle w:val="Refdenotaderodap"/>
        </w:rPr>
        <w:footnoteReference w:id="197"/>
      </w:r>
      <w:r w:rsidR="00A93BF5">
        <w:t xml:space="preserve"> e outro relatório apresentado em </w:t>
      </w:r>
      <w:r w:rsidR="00BC68C9">
        <w:t xml:space="preserve">Janeiro de </w:t>
      </w:r>
      <w:r w:rsidR="00A93BF5">
        <w:t>1938 indicou que nesse ano e no ano anterior se notara um recrudescimento da tendência assimilacionista</w:t>
      </w:r>
      <w:r w:rsidR="00A93BF5">
        <w:rPr>
          <w:rStyle w:val="Refdenotaderodap"/>
        </w:rPr>
        <w:footnoteReference w:id="198"/>
      </w:r>
      <w:r w:rsidRPr="004033B7">
        <w:t>. Eram muito poucos os que se entusiasmavam com a ideia da restauração do antigo Israel, e em termos práticos o sionismo aparecia como uma utopia irrealizável, decerto nada atraente para pessoas nascidas e criadas em cidades europeias e dedicadas a profissões urbanas, que achavam um absurdo desconforto a conversão em agricultores, para mais em terras áridas</w:t>
      </w:r>
      <w:r w:rsidRPr="004033B7">
        <w:rPr>
          <w:rStyle w:val="Refdenotaderodap"/>
        </w:rPr>
        <w:footnoteReference w:id="199"/>
      </w:r>
      <w:r w:rsidRPr="004033B7">
        <w:t xml:space="preserve">. </w:t>
      </w:r>
    </w:p>
    <w:p w:rsidR="00751A22" w:rsidRPr="004033B7" w:rsidRDefault="00751A22" w:rsidP="00751A22">
      <w:r w:rsidRPr="004033B7">
        <w:lastRenderedPageBreak/>
        <w:t xml:space="preserve">Naquela situação de isolamento político o sionismo considerava os assimilacionistas como o principal inimigo e via com bons olhos tudo </w:t>
      </w:r>
      <w:r w:rsidR="00C31D5A">
        <w:t>—</w:t>
      </w:r>
      <w:r w:rsidRPr="004033B7">
        <w:t xml:space="preserve"> perseguições e mesmo ocasionais massacres </w:t>
      </w:r>
      <w:r w:rsidR="00C31D5A">
        <w:t>—</w:t>
      </w:r>
      <w:r w:rsidRPr="004033B7">
        <w:t xml:space="preserve"> o que afastasse os judeus das sociedades onde viviam. No livro fundador do movimento sionista, Herzl defendera que bastava uma presença substancial de judeus para suscitar necessariamente reacções anti-semitas, o que deixava como única alternativa a cisão e o estabelecimento dos perseguidos num território autónomo</w:t>
      </w:r>
      <w:r w:rsidRPr="004033B7">
        <w:rPr>
          <w:rStyle w:val="Refdenotaderodap"/>
        </w:rPr>
        <w:footnoteReference w:id="200"/>
      </w:r>
      <w:r w:rsidRPr="004033B7">
        <w:t xml:space="preserve">. </w:t>
      </w:r>
      <w:r>
        <w:t xml:space="preserve">E </w:t>
      </w:r>
      <w:r w:rsidRPr="008967A4">
        <w:t xml:space="preserve">Chaim Weizmann, que ocupou as mais altas responsabilidades na Organização Sionista Mundial e </w:t>
      </w:r>
      <w:r>
        <w:t>seria</w:t>
      </w:r>
      <w:r w:rsidRPr="008967A4">
        <w:t xml:space="preserve"> o primeiro presidente do Estado de Israel, declarou em 1912 ao público berlinense que «se quer evitar perturbações internas, cada país só pode absorver um número limitado de judeus. E a Alemanha tem já demasiados judeus»</w:t>
      </w:r>
      <w:r w:rsidRPr="008967A4">
        <w:rPr>
          <w:vertAlign w:val="superscript"/>
        </w:rPr>
        <w:footnoteReference w:id="201"/>
      </w:r>
      <w:r w:rsidRPr="008967A4">
        <w:t xml:space="preserve">. </w:t>
      </w:r>
      <w:r w:rsidR="004C4CF2">
        <w:t xml:space="preserve">Era </w:t>
      </w:r>
      <w:r w:rsidR="004C4CF2" w:rsidRPr="004033B7">
        <w:t xml:space="preserve">esta </w:t>
      </w:r>
      <w:r w:rsidRPr="004033B7">
        <w:t>a doutrina básica do sionismo, cujos dirigentes encontravam no racismo dos outros povos a condição indispensável para se tornarem, eles também, governantes de um povo próprio. Por isso desde muito cedo o</w:t>
      </w:r>
      <w:r w:rsidR="004C4CF2">
        <w:t xml:space="preserve"> movimento </w:t>
      </w:r>
      <w:r w:rsidRPr="004033B7">
        <w:t>sionista procur</w:t>
      </w:r>
      <w:r w:rsidR="004C4CF2">
        <w:t>ou</w:t>
      </w:r>
      <w:r w:rsidRPr="004033B7">
        <w:t xml:space="preserve"> estabelecer acordos com governos hostis aos judeus e convencê-los de que ambos </w:t>
      </w:r>
      <w:r w:rsidR="00C31D5A">
        <w:t>convergiam</w:t>
      </w:r>
      <w:r w:rsidRPr="004033B7">
        <w:t xml:space="preserve"> </w:t>
      </w:r>
      <w:r w:rsidR="00C31D5A">
        <w:t>n</w:t>
      </w:r>
      <w:r w:rsidRPr="004033B7">
        <w:t>o mesmo objectivo imediato</w:t>
      </w:r>
      <w:r w:rsidRPr="004033B7">
        <w:rPr>
          <w:rStyle w:val="Refdenotaderodap"/>
        </w:rPr>
        <w:footnoteReference w:id="202"/>
      </w:r>
      <w:r w:rsidRPr="004033B7">
        <w:t>. Se os anti-semitas queriam desembaraçar-se dos compatriotas judaicos e os sionistas pretendiam aumentar o número de judeus na Palestina, por</w:t>
      </w:r>
      <w:r w:rsidR="00C31D5A">
        <w:t xml:space="preserve"> </w:t>
      </w:r>
      <w:r w:rsidRPr="004033B7">
        <w:t xml:space="preserve">que não unirem os esforços? </w:t>
      </w:r>
    </w:p>
    <w:p w:rsidR="00751A22" w:rsidRDefault="00751A22" w:rsidP="00751A22">
      <w:r w:rsidRPr="004033B7">
        <w:t>Durante a guerra civil na Rússia, a notória antipatia que o chefe nacionalista ucraniano Symon Petlyura manifestava pelos judeus não impediu o seu governo de contar inicialmente com a participação de um sionista no lugar apropriado de ministro para as Questões Judaicas. Ele foi levado a demitir-se perante a ampliação das chacinas, que deixaram talvez trezentos mil judeus mortos, mas entretanto um membro do Executivo Sionista ucraniano partira para o estrangeiro com o objectivo de mobilizar os seus correligionários dos outros países em apoio ao regime antibolchevista de Petlyura</w:t>
      </w:r>
      <w:r w:rsidRPr="004033B7">
        <w:rPr>
          <w:rStyle w:val="Refdenotaderodap"/>
        </w:rPr>
        <w:footnoteReference w:id="203"/>
      </w:r>
      <w:r w:rsidRPr="004033B7">
        <w:t xml:space="preserve">. A experiência reproduziu-se em meados de 1921, quando Petlyura, apoiado pelo governo polaco e confiante no financiamento do governo francês, preparava uma expedição contra o regime </w:t>
      </w:r>
      <w:r w:rsidR="00C32D89">
        <w:t>soviético</w:t>
      </w:r>
      <w:r w:rsidRPr="004033B7">
        <w:t xml:space="preserve">. Para evitar a péssima reputação que lhe haviam valido os </w:t>
      </w:r>
      <w:r w:rsidRPr="004033B7">
        <w:rPr>
          <w:i/>
        </w:rPr>
        <w:t>pogroms,</w:t>
      </w:r>
      <w:r w:rsidRPr="004033B7">
        <w:t xml:space="preserve"> ele propôs a Vladimir Jabotinsky, membro do Executivo Sionista, que organizasse uma polícia judaica destinada a acompanhar as tropas nacionalistas ucranianas, impedindo a repetição dos morticínios. Afinal o apoio francês acabou por não se materializar, mas se tivesse alcançado resultados práticos aquele acordo colocaria os judeus da Ucrânia sob </w:t>
      </w:r>
      <w:r w:rsidRPr="004033B7">
        <w:lastRenderedPageBreak/>
        <w:t xml:space="preserve">o controlo de uma milícia sionista, ao mesmo tempo que o país ficaria governado por nacionalistas partidários da expulsão dos judeus. Jabotinsky contava, em suma, com o anti-semitismo de Petlyura para arrebanhar emigrantes </w:t>
      </w:r>
      <w:r w:rsidR="00C32D89">
        <w:t xml:space="preserve">rumo </w:t>
      </w:r>
      <w:r w:rsidRPr="004033B7">
        <w:t xml:space="preserve">à Palestina. A colaboração foi demasiado escandalosa para </w:t>
      </w:r>
      <w:r w:rsidR="00C32D89">
        <w:t xml:space="preserve">não suscitar </w:t>
      </w:r>
      <w:r w:rsidRPr="004033B7">
        <w:t xml:space="preserve">objecções </w:t>
      </w:r>
      <w:r w:rsidR="00C32D89">
        <w:t xml:space="preserve">de </w:t>
      </w:r>
      <w:r w:rsidRPr="004033B7">
        <w:t>outros dirigentes sionistas, e em 1923, no próprio dia em que devia comparecer perante uma comissão de inquérito, Jabotinsky demitiu-se do Executivo e iniciou a constituição de uma tendência fascista no interior do sionismo</w:t>
      </w:r>
      <w:r w:rsidRPr="004033B7">
        <w:rPr>
          <w:rStyle w:val="Refdenotaderodap"/>
        </w:rPr>
        <w:footnoteReference w:id="204"/>
      </w:r>
      <w:r w:rsidRPr="004033B7">
        <w:t xml:space="preserve">. </w:t>
      </w:r>
    </w:p>
    <w:p w:rsidR="00751A22" w:rsidRPr="004033B7" w:rsidRDefault="00751A22" w:rsidP="00751A22">
      <w:r w:rsidRPr="004033B7">
        <w:t xml:space="preserve">Quinze anos depois </w:t>
      </w:r>
      <w:r w:rsidRPr="00966A95">
        <w:t xml:space="preserve">Jabotinsky </w:t>
      </w:r>
      <w:r w:rsidRPr="004033B7">
        <w:t>procedeu a uma experiência idêntica à que havia ensaiado com Petlyura, e para provocar o êxodo dos judeus da Polónia iniciou o que o seu próprio movimento, a Nova Organização Sionista, classific</w:t>
      </w:r>
      <w:r>
        <w:t>ou</w:t>
      </w:r>
      <w:r w:rsidRPr="004033B7">
        <w:t xml:space="preserve"> como «uma aliança» com o governo militar polaco, ultra-reaccionário e profundamente anti-semita</w:t>
      </w:r>
      <w:r w:rsidRPr="004033B7">
        <w:rPr>
          <w:rStyle w:val="Refdenotaderodap"/>
        </w:rPr>
        <w:footnoteReference w:id="205"/>
      </w:r>
      <w:r w:rsidRPr="004033B7">
        <w:t>. A tal ponto que em 1939 o ministro dos Negócios Estrangeiros polaco, que era na verdade a figura preponderante do regime, recebeu através de um intermediário uma curiosa missiva</w:t>
      </w:r>
      <w:r w:rsidR="000E229F">
        <w:t>:</w:t>
      </w:r>
      <w:r w:rsidRPr="004033B7">
        <w:t xml:space="preserve"> «Em nome da Nova Organização Sionista [...] proponho-lhe que peça à Grã-Bretanha a transferência do mandato sobre a Palestina e transforme praticamente a Palestina numa colónia polaca. Todos os judeus indesejáveis na Polónia poderiam então ser transportados para lá, o que causaria um grande alívio ao seu país, e a economia polaca receberia a contribuição de uma colónia próspera e em desenvolvimento»</w:t>
      </w:r>
      <w:r w:rsidRPr="004033B7">
        <w:rPr>
          <w:rStyle w:val="Refdenotaderodap"/>
        </w:rPr>
        <w:footnoteReference w:id="206"/>
      </w:r>
      <w:r w:rsidRPr="004033B7">
        <w:t>. Simultaneamente, o exército polaco instru</w:t>
      </w:r>
      <w:r>
        <w:t>iu</w:t>
      </w:r>
      <w:r w:rsidRPr="004033B7">
        <w:t xml:space="preserve"> em técnicas de sabotagem e insurreição vinte e cinco partidários de Jabotinsky e fornec</w:t>
      </w:r>
      <w:r>
        <w:t>eu</w:t>
      </w:r>
      <w:r w:rsidRPr="004033B7">
        <w:t>-lhes armas suficientes para dez mil pessoas</w:t>
      </w:r>
      <w:r w:rsidRPr="004033B7">
        <w:rPr>
          <w:rStyle w:val="Refdenotaderodap"/>
        </w:rPr>
        <w:footnoteReference w:id="207"/>
      </w:r>
      <w:r w:rsidRPr="004033B7">
        <w:t>. Jabotinsky era um fascista, rodeado de elementos ainda mais extremistas do que ele, mas a corrente sionista maioritária, de impecáveis credenciais democráticas, pescava nas mesmas águas. Em 1937, numa audiência que concedeu a Chaim Weizmann, presidente da Organização Sionista Mundial, o ministro dos Negócios Estrangeiros polaco prometeu-lhe que, no caso de os britânicos procederem à partilha da Palestina, ele se esforçaria por obter para os judeus um território o mais vasto possível, de maneira a poder expulsá-los em massa</w:t>
      </w:r>
      <w:r w:rsidR="00C31D5A">
        <w:t xml:space="preserve"> para lá</w:t>
      </w:r>
      <w:r w:rsidRPr="004033B7">
        <w:t xml:space="preserve">. Ao mesmo tempo, e </w:t>
      </w:r>
      <w:r w:rsidR="00BD78F6">
        <w:t xml:space="preserve">a coberto de grande </w:t>
      </w:r>
      <w:r w:rsidRPr="004033B7">
        <w:t>discrição, alguns instrutores da milícia ilegal da Agência Judaica foram autorizados a fixar-se na Polónia para comprar armas e dar treino militar a judeus que emigrariam depois para a Palestina</w:t>
      </w:r>
      <w:r w:rsidRPr="004033B7">
        <w:rPr>
          <w:rStyle w:val="Refdenotaderodap"/>
        </w:rPr>
        <w:footnoteReference w:id="208"/>
      </w:r>
      <w:r w:rsidRPr="004033B7">
        <w:t xml:space="preserve">. </w:t>
      </w:r>
    </w:p>
    <w:p w:rsidR="00751A22" w:rsidRPr="004033B7" w:rsidRDefault="00751A22" w:rsidP="00751A22">
      <w:r w:rsidRPr="004033B7">
        <w:lastRenderedPageBreak/>
        <w:t xml:space="preserve">O recurso dos sionistas aos preconceitos anti-semitas para através deles estimularem o afluxo de imigrantes à Palestina era um dos sintomas da posição ambígua em que se encontravam na política internacional. Por um lado, dependiam da protecção da Grã-Bretanha, que os usava como um dos seus muitos peões numa vasta estratégia imperialista. Mas o governo de Londres tinha de respeitar igualmente as susceptibilidades dos árabes. No período entre as duas guerras mundiais a principal preocupação das autoridades britânicas no Levante </w:t>
      </w:r>
      <w:r>
        <w:t xml:space="preserve">consistia em </w:t>
      </w:r>
      <w:r w:rsidRPr="004033B7">
        <w:t>manter o equilíbrio entre as comunidades judaica e muçulmana, e para is</w:t>
      </w:r>
      <w:r w:rsidR="00825496">
        <w:t>t</w:t>
      </w:r>
      <w:r w:rsidRPr="004033B7">
        <w:t xml:space="preserve">o tornava-se necessário impedir que os judeus afluíssem à Palestina num ritmo excessivo e que a Agência Judaica assumisse demasiada autonomia. Para aumentar a margem de manobra de que dispunha, de maneira a exercer uma certa pressão sobre o governo de Londres, embora sem jamais romper com ele, a Organização Sionista tentou obter o apoio de outras potências. E quem senão Mussolini prosseguia no Mediterrâneo interesses sistematicamente contrários aos dos </w:t>
      </w:r>
      <w:r w:rsidR="00825496">
        <w:t>britânicos</w:t>
      </w:r>
      <w:r w:rsidRPr="004033B7">
        <w:t>? É certo que o fascismo italiano procurava estimular também o nacionalismo árabe contra os colonizadores britânicos e franceses, conduzindo neste sentido campanhas radiofónicas ou subsidiando o mufti de Jerusalém</w:t>
      </w:r>
      <w:r w:rsidRPr="004033B7">
        <w:rPr>
          <w:rStyle w:val="Refdenotaderodap"/>
        </w:rPr>
        <w:footnoteReference w:id="209"/>
      </w:r>
      <w:r w:rsidRPr="004033B7">
        <w:t>, e o próprio Duce se apresentou um dia como «amigo e protector do Islame»</w:t>
      </w:r>
      <w:r w:rsidRPr="004033B7">
        <w:rPr>
          <w:rStyle w:val="Refdenotaderodap"/>
        </w:rPr>
        <w:footnoteReference w:id="210"/>
      </w:r>
      <w:r w:rsidRPr="004033B7">
        <w:t>. Mas na época ninguém considerava que uma política favorável aos árabes fosse obrigatoriamente antagónica de uma atitude de simpatia para com os judeus. Era precisamente conjugando as duas orientações que a Grã-Bretanha exercia o mandato na Palestina, e Mussolini queria conjugá-las também, mas à sua maneira, apoiando-se nas forças antibritânicas de uma e outra comunidade</w:t>
      </w:r>
      <w:r w:rsidRPr="004033B7">
        <w:rPr>
          <w:rStyle w:val="Refdenotaderodap"/>
        </w:rPr>
        <w:footnoteReference w:id="211"/>
      </w:r>
      <w:r w:rsidRPr="004033B7">
        <w:t>. Por isso Mussolini podia propor aos dirigentes sionistas os seus bons ofícios enquanto medianeiro nas relações com os árabes</w:t>
      </w:r>
      <w:r w:rsidRPr="004033B7">
        <w:rPr>
          <w:rStyle w:val="Refdenotaderodap"/>
        </w:rPr>
        <w:footnoteReference w:id="212"/>
      </w:r>
      <w:r w:rsidRPr="004033B7">
        <w:t xml:space="preserve">. A carta islâmica e a carta judaica serviam, em suma, para o mesmo jogo imperialista no Mediterrâneo, usadas ambas pelas potências rivais. Hoje, ao defrontarem-se com críticas à sua actuação passada </w:t>
      </w:r>
      <w:r w:rsidR="00975662">
        <w:t>e</w:t>
      </w:r>
      <w:r w:rsidRPr="004033B7">
        <w:t xml:space="preserve"> presente, os sionistas costumam replicar acusando os adversários de anti-semitismo, quando não pretendem que o mero facto de alguém ser anti-sionista revela simpatia</w:t>
      </w:r>
      <w:r>
        <w:t>s</w:t>
      </w:r>
      <w:r w:rsidRPr="004033B7">
        <w:t xml:space="preserve"> pelo fascismo. Mas, na realidade, foi o sionismo que chegou a acordo com alguns dos piores governos anti-semitas e se esforçou por manter relações estreitas com o chefe do fascismo</w:t>
      </w:r>
      <w:r w:rsidRPr="004033B7">
        <w:rPr>
          <w:rStyle w:val="Refdenotaderodap"/>
        </w:rPr>
        <w:footnoteReference w:id="213"/>
      </w:r>
      <w:r w:rsidRPr="004033B7">
        <w:t xml:space="preserve">. </w:t>
      </w:r>
    </w:p>
    <w:p w:rsidR="00751A22" w:rsidRDefault="00751A22" w:rsidP="00751A22">
      <w:r w:rsidRPr="004033B7">
        <w:lastRenderedPageBreak/>
        <w:t xml:space="preserve">A ameaça representada pela eventual constituição de um Estado judaico na Palestina foi um dos temas da campanha anti-semita desencadeada em Itália com a publicação do livro de Paolo Orano, e ao longo das páginas da réplica assinada por Abramo Levi vemos judeus e não judeus repetirem em todos os tons que o sionismo era incompatível com o fascismo, porque o fascismo consubstanciava os interesses imperiais italianos, enquanto um Estado israelita só poderia reforçar as aspirações da Grã-Bretanha a exercer a hegemonia no Mediterrâneo. Em termos fascistas o raciocínio parece irrefutável e na primeira audiência que concedeu a representantes do sionismo, em Dezembro de 1922, pouco depois de ter alcançado o poder, Mussolini declarou-lhes que considerava </w:t>
      </w:r>
      <w:r>
        <w:t xml:space="preserve">aquele </w:t>
      </w:r>
      <w:r w:rsidRPr="004033B7">
        <w:t>movimento como um instrumento da política de Londres</w:t>
      </w:r>
      <w:r w:rsidRPr="004033B7">
        <w:rPr>
          <w:rStyle w:val="Refdenotaderodap"/>
        </w:rPr>
        <w:footnoteReference w:id="214"/>
      </w:r>
      <w:r w:rsidRPr="004033B7">
        <w:t xml:space="preserve">. Chaim Weizmann, presidente da Organização Sionista Mundial, visitou Mussolini pela primeira vez em Janeiro de 1923, sem conseguir alterar-lhe a posição relativamente ao estabelecimento judaico </w:t>
      </w:r>
      <w:r w:rsidR="00825496">
        <w:t>n</w:t>
      </w:r>
      <w:r w:rsidRPr="004033B7">
        <w:t>a Palestina. No entanto, a atitude do Duce mudou, e em 1926, ao receber de novo Weizmann, deixou-o convencido de que já não se opunha ao projecto sionista e ajudaria a implantar uma soberania judaica na Palestina desde que ela não se mostrasse dependente da influência britânica</w:t>
      </w:r>
      <w:r w:rsidRPr="004033B7">
        <w:rPr>
          <w:rStyle w:val="Refdenotaderodap"/>
        </w:rPr>
        <w:footnoteReference w:id="215"/>
      </w:r>
      <w:r w:rsidRPr="004033B7">
        <w:t>. Um especialista observ</w:t>
      </w:r>
      <w:r>
        <w:t>ou</w:t>
      </w:r>
      <w:r w:rsidRPr="004033B7">
        <w:t xml:space="preserve"> que «o sionismo italiano e o sionismo internacional eram para Mussolini dois problemas distintos, um de política interna e o outro de política externa». Enquanto ditador de um Estado totalitário, o Duce podia desconfiar de um movimento que, como o sionismo, defendia afinal outra pátria; mas enquanto chefe de um país com vocação imperialista no Mediterrâneo, ele descobriu em 1926 que podia utilizar o sionismo para criar dificuldades à Grã-Bretanha</w:t>
      </w:r>
      <w:r w:rsidRPr="004033B7">
        <w:rPr>
          <w:rStyle w:val="Refdenotaderodap"/>
        </w:rPr>
        <w:footnoteReference w:id="216"/>
      </w:r>
      <w:r w:rsidRPr="004033B7">
        <w:t>. A partir de então os principais dirigentes sionistas mantiveram contactos regulares com Roma e a imprensa sionista mundial expressou o seu apreço pelo regime fascista</w:t>
      </w:r>
      <w:r w:rsidRPr="004033B7">
        <w:rPr>
          <w:rStyle w:val="Refdenotaderodap"/>
        </w:rPr>
        <w:footnoteReference w:id="217"/>
      </w:r>
      <w:r w:rsidRPr="004033B7">
        <w:t>. Em 1933, numa época em que Weizmann abandonara a chefia da Organização Sionista Mundial, Mussolini recebeu o novo chefe do órgão supremo do sionismo, o que não o impediu de se encontrar com Weizmann dois meses depois, mantendo uma conversa de que se desconhece o conteúdo global</w:t>
      </w:r>
      <w:r w:rsidRPr="004033B7">
        <w:rPr>
          <w:rStyle w:val="Refdenotaderodap"/>
        </w:rPr>
        <w:footnoteReference w:id="218"/>
      </w:r>
      <w:r w:rsidRPr="004033B7">
        <w:t>. No ano seguinte Weizmann foi o</w:t>
      </w:r>
      <w:r w:rsidR="00825496">
        <w:t>utra vez acolhido por Mussolini</w:t>
      </w:r>
      <w:r w:rsidRPr="004033B7">
        <w:t xml:space="preserve"> e os jornais italianos deram grande publicidade ao encontro. Nesta ocasião o Duce prometeu apoio ao dirigente sionista e, afirmando que Jerusalém não podia tornar-se uma capital árabe, declarou-se favorável à criação de um Estado judeu na Palestina, com a condição de não estar na dependência da Grã-Bretanha. Em contrapartida, Weizmann, que era um universitário e investigador na área da química orgânica, parece que de muito mérito, </w:t>
      </w:r>
      <w:r w:rsidRPr="004033B7">
        <w:lastRenderedPageBreak/>
        <w:t xml:space="preserve">ofereceu a Mussolini os seus préstimos para desenvolver uma indústria química e farmacêutica na Itália, tornando o país independente da Alemanha nestes ramos. Mas embora prometesse recrutar pessoal especializado e mobilizar investimentos, </w:t>
      </w:r>
      <w:r>
        <w:t xml:space="preserve">na prática </w:t>
      </w:r>
      <w:r w:rsidRPr="004033B7">
        <w:t>nada resultou</w:t>
      </w:r>
      <w:r w:rsidRPr="004033B7">
        <w:rPr>
          <w:rStyle w:val="Refdenotaderodap"/>
        </w:rPr>
        <w:footnoteReference w:id="219"/>
      </w:r>
      <w:r w:rsidRPr="004033B7">
        <w:t xml:space="preserve">. </w:t>
      </w:r>
      <w:r>
        <w:t xml:space="preserve">Para entender este projecto é necessário recordar que </w:t>
      </w:r>
      <w:r w:rsidRPr="005303E0">
        <w:t xml:space="preserve">Giuseppe Belluzzo, ministro da Economia Nacional </w:t>
      </w:r>
      <w:r>
        <w:t>n</w:t>
      </w:r>
      <w:r w:rsidRPr="005303E0">
        <w:t>a segunda metade da década de 1920, defend</w:t>
      </w:r>
      <w:r>
        <w:t>er</w:t>
      </w:r>
      <w:r w:rsidRPr="005303E0">
        <w:t xml:space="preserve">a </w:t>
      </w:r>
      <w:r>
        <w:t>um</w:t>
      </w:r>
      <w:r w:rsidRPr="005303E0">
        <w:t xml:space="preserve">a intervenção governamental </w:t>
      </w:r>
      <w:r>
        <w:t xml:space="preserve">na </w:t>
      </w:r>
      <w:r w:rsidRPr="005303E0">
        <w:t xml:space="preserve">economia </w:t>
      </w:r>
      <w:r>
        <w:t xml:space="preserve">que retirasse à </w:t>
      </w:r>
      <w:r w:rsidRPr="005303E0">
        <w:t xml:space="preserve">siderurgia o primeiro lugar e </w:t>
      </w:r>
      <w:r w:rsidR="005E6C4D">
        <w:t>desse prioridade à</w:t>
      </w:r>
      <w:r w:rsidRPr="005303E0">
        <w:t xml:space="preserve"> indústria química, </w:t>
      </w:r>
      <w:r w:rsidR="005E6C4D">
        <w:t xml:space="preserve">para </w:t>
      </w:r>
      <w:r w:rsidRPr="005303E0">
        <w:t>que a importação de matérias-primas fosse substituída pela produção nacional de materiais sintéticos</w:t>
      </w:r>
      <w:r w:rsidRPr="004A46EC">
        <w:rPr>
          <w:vertAlign w:val="superscript"/>
        </w:rPr>
        <w:footnoteReference w:id="220"/>
      </w:r>
      <w:r w:rsidRPr="005303E0">
        <w:t xml:space="preserve">. </w:t>
      </w:r>
      <w:r>
        <w:t xml:space="preserve">Ora, </w:t>
      </w:r>
      <w:r w:rsidRPr="005303E0">
        <w:t xml:space="preserve">alguns </w:t>
      </w:r>
      <w:r>
        <w:t>elementos</w:t>
      </w:r>
      <w:r w:rsidRPr="005303E0">
        <w:t xml:space="preserve"> dest</w:t>
      </w:r>
      <w:r>
        <w:t xml:space="preserve">a estratégia </w:t>
      </w:r>
      <w:r w:rsidRPr="005303E0">
        <w:t>autárcic</w:t>
      </w:r>
      <w:r>
        <w:t>a</w:t>
      </w:r>
      <w:r w:rsidRPr="005303E0">
        <w:t xml:space="preserve"> </w:t>
      </w:r>
      <w:r>
        <w:t xml:space="preserve">foram realizados </w:t>
      </w:r>
      <w:r w:rsidRPr="005303E0">
        <w:t xml:space="preserve">na década </w:t>
      </w:r>
      <w:r>
        <w:t>de 1930</w:t>
      </w:r>
      <w:r w:rsidRPr="005303E0">
        <w:t xml:space="preserve">, </w:t>
      </w:r>
      <w:r>
        <w:t xml:space="preserve">precisamente quando </w:t>
      </w:r>
      <w:r w:rsidRPr="004A46EC">
        <w:t xml:space="preserve">Weizmann </w:t>
      </w:r>
      <w:r>
        <w:t xml:space="preserve">propôs </w:t>
      </w:r>
      <w:r w:rsidR="00825496">
        <w:t xml:space="preserve">a sua </w:t>
      </w:r>
      <w:r>
        <w:t>contribui</w:t>
      </w:r>
      <w:r w:rsidR="00825496">
        <w:t>ção</w:t>
      </w:r>
      <w:r>
        <w:t xml:space="preserve">. </w:t>
      </w:r>
    </w:p>
    <w:p w:rsidR="00751A22" w:rsidRPr="004033B7" w:rsidRDefault="00751A22" w:rsidP="00751A22">
      <w:r w:rsidRPr="004033B7">
        <w:t xml:space="preserve">A evolução das posições do Duce a respeito do estabelecimento dos judeus na Palestina foi tanto mais notável quanto Weizmann chefiava a facção pró-britânica </w:t>
      </w:r>
      <w:r w:rsidR="00C56A25">
        <w:t>—</w:t>
      </w:r>
      <w:r w:rsidRPr="004033B7">
        <w:t xml:space="preserve"> ou menos antibritânica </w:t>
      </w:r>
      <w:r w:rsidR="00C56A25">
        <w:t>—</w:t>
      </w:r>
      <w:r w:rsidRPr="004033B7">
        <w:t xml:space="preserve"> do sionismo, e o fascismo italiano parecia simpatizar sobretudo com uma tendência de oposição. Com efeito, numa das contribuições recolhidas no livro de Abramo Levi pretendia-se que o objectivo dos sionistas italianos era </w:t>
      </w:r>
      <w:r w:rsidR="00A32A15" w:rsidRPr="004033B7">
        <w:t xml:space="preserve">pôr em causa os interesses britânicos no Levante e </w:t>
      </w:r>
      <w:r w:rsidRPr="004033B7">
        <w:t xml:space="preserve">atacar o socialismo difundido nas comunidades judaicas. </w:t>
      </w:r>
      <w:r w:rsidR="005E6C4D" w:rsidRPr="004033B7">
        <w:t xml:space="preserve">Na </w:t>
      </w:r>
      <w:r w:rsidRPr="004033B7">
        <w:t xml:space="preserve">Itália o sionismo seria «um meio de orientar os judeus em direcção ao fascismo, combatendo </w:t>
      </w:r>
      <w:r w:rsidR="00DA4E4E">
        <w:t>por</w:t>
      </w:r>
      <w:r w:rsidRPr="004033B7">
        <w:t xml:space="preserve"> todos os meios o bolchevismo». E o autor do artigo recordou que o próprio Duce recebera repetidamente a visita de judeus estrangeiros que se destacavam à frente desta tendência sionista mussoliniana e anti-inglesa</w:t>
      </w:r>
      <w:r w:rsidRPr="004033B7">
        <w:rPr>
          <w:rStyle w:val="Refdenotaderodap"/>
        </w:rPr>
        <w:footnoteReference w:id="221"/>
      </w:r>
      <w:r w:rsidRPr="004033B7">
        <w:t>. Leio também noutro artigo antologiado por Levi e assinado pelo principal responsável de uma das organizações sionistas existentes em Itália: «É inegável que certas esferas oficiais do movimento sionista demonstram uma simpatia excessiva pelas tendências socialistas, como demonstram aliás uma submissão exagerada aos desejos e imposições britânicos. Em sentido contrário, porém, existe uma corrente que conquistou uma vasta implantação entre as massas judaicas e se manifestou, primeiro, enquanto oposição nacional no interior da Organização Sionista e, em seguida, constituindo uma Nova Organização Sionista, com uma orientação claramente anti-socialista e anti-inglesa». E o autor esclarec</w:t>
      </w:r>
      <w:r>
        <w:t>eu</w:t>
      </w:r>
      <w:r w:rsidRPr="004033B7">
        <w:t xml:space="preserve"> que os membros desta nova corrente «foram várias vezes honrados por amigos e adversários com o epíteto de “fascistas”, por serem defensores intransigentes de uma pura organização nacional corporativa, com absoluta abolição da luta de classes»</w:t>
      </w:r>
      <w:r w:rsidRPr="004033B7">
        <w:rPr>
          <w:rStyle w:val="Refdenotaderodap"/>
        </w:rPr>
        <w:footnoteReference w:id="222"/>
      </w:r>
      <w:r w:rsidRPr="004033B7">
        <w:t xml:space="preserve">. Não houve apenas um fascismo filo-semita, então, e um sionismo filofascista, mas igualmente um sionismo fascista? Com </w:t>
      </w:r>
      <w:r w:rsidR="00C56A25">
        <w:t>aqueles</w:t>
      </w:r>
      <w:r w:rsidRPr="004033B7">
        <w:t xml:space="preserve"> dois artigos </w:t>
      </w:r>
      <w:r w:rsidRPr="004033B7">
        <w:lastRenderedPageBreak/>
        <w:t xml:space="preserve">levantamos a ponta de um véu muito denso, que reveste o apoio dado pelo fascismo italiano a uma ala minoritária do sionismo. </w:t>
      </w:r>
    </w:p>
    <w:p w:rsidR="0082401E" w:rsidRDefault="0082401E" w:rsidP="0082401E">
      <w:pPr>
        <w:keepNext/>
        <w:spacing w:before="240" w:after="120"/>
        <w:ind w:firstLine="0"/>
        <w:jc w:val="center"/>
      </w:pPr>
      <w:r>
        <w:rPr>
          <w:b/>
          <w:sz w:val="28"/>
          <w:szCs w:val="28"/>
        </w:rPr>
        <w:t>2</w:t>
      </w:r>
    </w:p>
    <w:p w:rsidR="00751A22" w:rsidRPr="004033B7" w:rsidRDefault="00751A22" w:rsidP="00751A22">
      <w:r w:rsidRPr="004033B7">
        <w:t>Relatando a sua juventude num dos bairros judeus de São Paulo, a voz póstuma de Maurício Tragtenberg lembr</w:t>
      </w:r>
      <w:r>
        <w:t>ou</w:t>
      </w:r>
      <w:r w:rsidRPr="004033B7">
        <w:t xml:space="preserve"> que os «movimentos juvenis, sionistas, [...] iam da direita à esquerda. Por exemplo, conheci um jovem que era sionista e fascista, era um judeu italiano [...]»</w:t>
      </w:r>
      <w:r w:rsidRPr="004033B7">
        <w:rPr>
          <w:rStyle w:val="Refdenotaderodap"/>
        </w:rPr>
        <w:footnoteReference w:id="223"/>
      </w:r>
      <w:r w:rsidRPr="004033B7">
        <w:t xml:space="preserve">. Recordo, como se estivesse a vivê-lo neste momento, o meu último encontro com o Maurício. Acabáramos de almoçar. Ele estava já com o braço direito imobilizado e o olho esquerdo cego, e no crânio, que a quimioterapia deixara calvo, um penso ocultava um tubo através do qual lhe injectavam periodicamente um líquido destinado a preservar do cancro as células do cérebro. Eu falava-lhe do que lera acerca dos conluios entre o fascismo e uma ala do sionismo. «Não foi só isso», acrescentou Maurício na sua voz de sempre, lenta e nasalada. «Não foi só isso. Os grupos terroristas da extrema-direita sionista recebiam armas dos italianos, que os treinavam na Líbia». Se ele, judeu capaz de reflectir sobre as suas origens sem se enlear no sionismo e marxista que escapava ao lugar-comum das ortodoxias, não se atemorizava com as implicações dos factos, compreende-se que fosse capaz de conservar uma espécie de distância intelectual perante a doença, remetendo-a aos únicos domínios que lhe são próprios, e libertasse a atenção para outras questões, mais urgentes, porque mantidas desde há muito sem resolução. A coragem é simplesmente o uso da razão no momento do perigo. Por isso Maurício podia continuar, assim mesmo, com o corpo conquistado pelo cancro, a discorrer pausadamente sobre as verdadeiras tensões da história. Seguir-se-iam inevitavelmente os detalhes dados pela sua prodigiosa memória, as referências bibliográficas, os livros procurados nas estantes e abertos sobre uma mesa. Mas o telefone tocou e a conversa tomou depois rumos diferentes. Só ao fim da tarde, no avião que me levava de São Paulo para outra cidade, eu me lembrei da questão que ficara em suspenso, mas tinha a certeza de que não voltaria a ver o Maurício. </w:t>
      </w:r>
    </w:p>
    <w:p w:rsidR="00751A22" w:rsidRPr="004033B7" w:rsidRDefault="00751A22" w:rsidP="00751A22">
      <w:r w:rsidRPr="004033B7">
        <w:t xml:space="preserve">No Executivo Sionista foi Vladimir Jabotinsky quem encabeçou a oposição da direita radical à presidência de Chaim Weizmann, moderado e conciliador. Jabotinsky foi-se autonomizando progressivamente do Executivo, demitindo-se em 1923, dois anos depois de ter sido eleito para esse órgão, e lançou em 1925 a Organização Revisionista Sionista, que </w:t>
      </w:r>
      <w:r w:rsidRPr="00E35B5E">
        <w:t xml:space="preserve">converteu </w:t>
      </w:r>
      <w:r w:rsidRPr="004033B7">
        <w:t xml:space="preserve">mais tarde em União Mundial do Movimento Revisionista, enquanto tendência interna do sionismo. No Congresso Sionista Mundial de 1931 os revisionistas contaram com 25% dos </w:t>
      </w:r>
      <w:r w:rsidRPr="004033B7">
        <w:lastRenderedPageBreak/>
        <w:t xml:space="preserve">delegados, constituindo a terceira maior tendência, o que, se os define como uma minoria, mostra também que de modo </w:t>
      </w:r>
      <w:r w:rsidR="0052615B">
        <w:t>nenhum</w:t>
      </w:r>
      <w:r w:rsidRPr="004033B7">
        <w:t xml:space="preserve"> podiam ser subestimados e possuíam uma efectiva capacidade de pressão. No congresso seguinte, em 1933, apesar de divididos internamente eles obtiveram cerca de 20% dos delegados</w:t>
      </w:r>
      <w:r>
        <w:t xml:space="preserve"> </w:t>
      </w:r>
      <w:r w:rsidRPr="00E35B5E">
        <w:t xml:space="preserve">e </w:t>
      </w:r>
      <w:r>
        <w:t xml:space="preserve">continuaram a </w:t>
      </w:r>
      <w:r w:rsidRPr="004033B7">
        <w:t xml:space="preserve">formar a terceira maior tendência. </w:t>
      </w:r>
      <w:r>
        <w:t xml:space="preserve">Na sequência deste congresso </w:t>
      </w:r>
      <w:r w:rsidRPr="004033B7">
        <w:t>abandona</w:t>
      </w:r>
      <w:r>
        <w:t>ram</w:t>
      </w:r>
      <w:r w:rsidRPr="004033B7">
        <w:t xml:space="preserve"> a Organização Sionista </w:t>
      </w:r>
      <w:r w:rsidRPr="00E35B5E">
        <w:t>e funda</w:t>
      </w:r>
      <w:r>
        <w:t xml:space="preserve">ram em 1935 </w:t>
      </w:r>
      <w:r w:rsidRPr="00E35B5E">
        <w:t>a Nova Organização Sionista</w:t>
      </w:r>
      <w:r>
        <w:t>,</w:t>
      </w:r>
      <w:r w:rsidRPr="00E35B5E">
        <w:t xml:space="preserve"> </w:t>
      </w:r>
      <w:r w:rsidRPr="004033B7">
        <w:t>continu</w:t>
      </w:r>
      <w:r>
        <w:t xml:space="preserve">ando no entanto </w:t>
      </w:r>
      <w:r w:rsidRPr="004033B7">
        <w:t xml:space="preserve">a ser correntemente </w:t>
      </w:r>
      <w:r>
        <w:t xml:space="preserve">designados como </w:t>
      </w:r>
      <w:r w:rsidR="00364AAA">
        <w:t>R</w:t>
      </w:r>
      <w:r w:rsidRPr="004033B7">
        <w:t>evisionistas</w:t>
      </w:r>
      <w:r w:rsidRPr="004033B7">
        <w:rPr>
          <w:rStyle w:val="Refdenotaderodap"/>
        </w:rPr>
        <w:footnoteReference w:id="224"/>
      </w:r>
      <w:r w:rsidRPr="004033B7">
        <w:t xml:space="preserve">. </w:t>
      </w:r>
    </w:p>
    <w:p w:rsidR="00751A22" w:rsidRPr="004033B7" w:rsidRDefault="00751A22" w:rsidP="00751A22">
      <w:r w:rsidRPr="00FD0596">
        <w:t xml:space="preserve">A convicção de que o revisionismo era um fascismo foi </w:t>
      </w:r>
      <w:r w:rsidR="00F56667">
        <w:t xml:space="preserve">comum </w:t>
      </w:r>
      <w:r w:rsidRPr="00FD0596">
        <w:t>na época</w:t>
      </w:r>
      <w:r w:rsidRPr="00FD0596">
        <w:rPr>
          <w:vertAlign w:val="superscript"/>
        </w:rPr>
        <w:footnoteReference w:id="225"/>
      </w:r>
      <w:r w:rsidRPr="00FD0596">
        <w:t xml:space="preserve"> </w:t>
      </w:r>
      <w:r>
        <w:t xml:space="preserve">e </w:t>
      </w:r>
      <w:r w:rsidRPr="004033B7">
        <w:t xml:space="preserve">parece-me inútil investigar se no seu íntimo Jabotinsky era fascista ou se procurava apenas usar o fascismo em benefício próprio, porque os efeitos seriam os mesmos e não há dúvida </w:t>
      </w:r>
      <w:r>
        <w:t xml:space="preserve">de </w:t>
      </w:r>
      <w:r w:rsidRPr="004033B7">
        <w:t>que os seus seguidores eram fascistas confirmados</w:t>
      </w:r>
      <w:r w:rsidRPr="004033B7">
        <w:rPr>
          <w:rStyle w:val="Refdenotaderodap"/>
        </w:rPr>
        <w:footnoteReference w:id="226"/>
      </w:r>
      <w:r w:rsidRPr="004033B7">
        <w:t>. Wolfgang von Weisl, director financeiro da Nova Organização Sionista, declarou numa entrevista em 1936 que «ainda que houvesse diversas opiniões entre os revisionistas, em geral eles simpatizavam com o fascismo» e que «ele pessoalmente era um apoiante do fascismo»</w:t>
      </w:r>
      <w:r w:rsidRPr="004033B7">
        <w:rPr>
          <w:rStyle w:val="Refdenotaderodap"/>
        </w:rPr>
        <w:footnoteReference w:id="227"/>
      </w:r>
      <w:r w:rsidRPr="004033B7">
        <w:t xml:space="preserve">. «Vladimir Hitler» era como o sionista socialista </w:t>
      </w:r>
      <w:r w:rsidR="002428D1" w:rsidRPr="004033B7">
        <w:t xml:space="preserve">David </w:t>
      </w:r>
      <w:r w:rsidRPr="004033B7">
        <w:t>Ben-Gurion designava com frequência Vladimir Jabotinsky</w:t>
      </w:r>
      <w:r w:rsidRPr="004033B7">
        <w:rPr>
          <w:rStyle w:val="Refdenotaderodap"/>
        </w:rPr>
        <w:footnoteReference w:id="228"/>
      </w:r>
      <w:r w:rsidRPr="004033B7">
        <w:t xml:space="preserve">, e mesmo que se pretenda explicar o insulto pelo ardor da polémica, o certo é que Mussolini, </w:t>
      </w:r>
      <w:r w:rsidR="00F56667">
        <w:t xml:space="preserve">o maior </w:t>
      </w:r>
      <w:r w:rsidRPr="004033B7">
        <w:t xml:space="preserve">especialista na </w:t>
      </w:r>
      <w:r w:rsidRPr="004033B7">
        <w:lastRenderedPageBreak/>
        <w:t>matéria, classificou Jabotinsky como «fascista» durante uma conversa que teve em 1935 com alguém que seria em breve o mais alto dignitário da sinagoga romana</w:t>
      </w:r>
      <w:r w:rsidRPr="004033B7">
        <w:rPr>
          <w:rStyle w:val="Refdenotaderodap"/>
        </w:rPr>
        <w:footnoteReference w:id="229"/>
      </w:r>
      <w:r w:rsidRPr="004033B7">
        <w:t xml:space="preserve">. </w:t>
      </w:r>
    </w:p>
    <w:p w:rsidR="00751A22" w:rsidRPr="004033B7" w:rsidRDefault="00751A22" w:rsidP="00751A22">
      <w:r w:rsidRPr="004033B7">
        <w:t>Opondo-se à luta de classes, ao socialismo e à planificação, Jabotinsky defendia a instauração de uma ordem económica e social assente numa câmara corporativa e na arbitragem dos conflitos laborais pelo Estado</w:t>
      </w:r>
      <w:r w:rsidRPr="004033B7">
        <w:rPr>
          <w:rStyle w:val="Refdenotaderodap"/>
        </w:rPr>
        <w:footnoteReference w:id="230"/>
      </w:r>
      <w:r w:rsidRPr="004033B7">
        <w:t>. Os seus adeptos jovens estavam enquadrados numa milícia, a Betar, inaugurada em 1923 e profundamente militarizada tanto na estrutura como na ideologia</w:t>
      </w:r>
      <w:r w:rsidRPr="004033B7">
        <w:rPr>
          <w:rStyle w:val="Refdenotaderodap"/>
        </w:rPr>
        <w:footnoteReference w:id="231"/>
      </w:r>
      <w:r w:rsidRPr="004033B7">
        <w:t>. A partir do momento em que Jabotinsky se separou da Organização Sionista, foram estes jovens a constituir o seu principal apoio político</w:t>
      </w:r>
      <w:r w:rsidRPr="004033B7">
        <w:rPr>
          <w:rStyle w:val="Refdenotaderodap"/>
        </w:rPr>
        <w:footnoteReference w:id="232"/>
      </w:r>
      <w:r w:rsidRPr="004033B7">
        <w:t>. Quanto ao apoio social, o revisionismo encontrou-o nos pequenos e médios patrões que começavam a emergir entre os judeus estabelecidos na Palestina</w:t>
      </w:r>
      <w:r w:rsidRPr="004033B7">
        <w:rPr>
          <w:rStyle w:val="Refdenotaderodap"/>
        </w:rPr>
        <w:footnoteReference w:id="233"/>
      </w:r>
      <w:r w:rsidRPr="004033B7">
        <w:t xml:space="preserve">, e </w:t>
      </w:r>
      <w:r>
        <w:t xml:space="preserve">decerto </w:t>
      </w:r>
      <w:r w:rsidRPr="004033B7">
        <w:t>lhes serviu os interesses, pois a Betar pôs-se várias vezes à disposição dos capitalistas judaicos para furar as greves convocadas pelos sindicatos sionistas. Como todas as suas congéneres, esta milícia especializara-se no espancamento de sindicalistas de esquerda e socialistas, até que em Outubro de 1934 mil e quinhentos militantes trabalhistas atacaram a sua sede e deixaram várias dezenas feridos, dando-lhe uma definitiva lição de prudência</w:t>
      </w:r>
      <w:r w:rsidRPr="004033B7">
        <w:rPr>
          <w:rStyle w:val="Refdenotaderodap"/>
        </w:rPr>
        <w:footnoteReference w:id="234"/>
      </w:r>
      <w:r w:rsidRPr="004033B7">
        <w:t>. Entretanto os revisionistas haviam fundado, no início da década de 1930, uma Federação Nacional do Trabalho, com a qual pretendiam aplicar os princípios de um sindicalismo anti-socialista e partidário da colaboração entre classes, mas os seus sete mil membros, comparados com os sessenta mil filiados da central sindical socialista, mostram a reduzida simpatia que um tal programa encontrava junto dos trabalhadores</w:t>
      </w:r>
      <w:r w:rsidRPr="004033B7">
        <w:rPr>
          <w:rStyle w:val="Refdenotaderodap"/>
        </w:rPr>
        <w:footnoteReference w:id="235"/>
      </w:r>
      <w:r w:rsidRPr="004033B7">
        <w:t xml:space="preserve">. </w:t>
      </w:r>
    </w:p>
    <w:p w:rsidR="00751A22" w:rsidRPr="004033B7" w:rsidRDefault="00751A22" w:rsidP="00751A22">
      <w:r w:rsidRPr="004033B7">
        <w:t>Jabotinsky propunha uma versão extrema do sionismo, convertendo-o de uma modalidade de nacionalismo num verdadeiro racismo e afirmando que a singularidade de uma raça é o fundamento da sua aspiração a constituir-se num Estado</w:t>
      </w:r>
      <w:r w:rsidRPr="004033B7">
        <w:rPr>
          <w:rStyle w:val="Refdenotaderodap"/>
        </w:rPr>
        <w:footnoteReference w:id="236"/>
      </w:r>
      <w:r w:rsidRPr="004033B7">
        <w:t>. Era secundário para os revisionistas que o futuro Estado judaico obtivesse a independência ou estivesse incluído na comunidade britânica</w:t>
      </w:r>
      <w:r>
        <w:t>.</w:t>
      </w:r>
      <w:r w:rsidRPr="004033B7">
        <w:t xml:space="preserve"> </w:t>
      </w:r>
      <w:r>
        <w:t xml:space="preserve">O que </w:t>
      </w:r>
      <w:r w:rsidRPr="004033B7">
        <w:t xml:space="preserve">acima de tudo lhes interessava </w:t>
      </w:r>
      <w:r>
        <w:t xml:space="preserve">era </w:t>
      </w:r>
      <w:r w:rsidRPr="004033B7">
        <w:t xml:space="preserve">que a maioria da população da Palestina e da Transjordânia fosse composta por judeus. Os mais violentos e ousados criaram em 1931 uma organização terrorista clandestina, dedicada às acções armadas contra os árabes e os britânicos, que adoptou depois o nome de Irgun Z’vai Le’umi e cujos membros provinham na </w:t>
      </w:r>
      <w:r w:rsidRPr="004033B7">
        <w:lastRenderedPageBreak/>
        <w:t>maior parte da Betar</w:t>
      </w:r>
      <w:r w:rsidRPr="004033B7">
        <w:rPr>
          <w:rStyle w:val="Refdenotaderodap"/>
        </w:rPr>
        <w:footnoteReference w:id="237"/>
      </w:r>
      <w:r w:rsidRPr="004033B7">
        <w:t>. E como uma estratégia que acarretava inevitavelmente a guerra com os árabes nunca contaria com o aval da Grã-Bretanha, porque destruía o equilíbrio em que se sustentava o imperialismo britânico na região</w:t>
      </w:r>
      <w:r w:rsidRPr="004033B7">
        <w:rPr>
          <w:rStyle w:val="Refdenotaderodap"/>
        </w:rPr>
        <w:footnoteReference w:id="238"/>
      </w:r>
      <w:r w:rsidRPr="004033B7">
        <w:t>, era necessário buscar a tutela de outra potência. Tanto na ordem interna como no quadro internacional Jabotinsky e os seus adeptos tinham todas as razões para olhar com simpatia o Duce</w:t>
      </w:r>
      <w:r w:rsidRPr="004033B7">
        <w:rPr>
          <w:rStyle w:val="Refdenotaderodap"/>
        </w:rPr>
        <w:footnoteReference w:id="239"/>
      </w:r>
      <w:r w:rsidRPr="004033B7">
        <w:t xml:space="preserve"> </w:t>
      </w:r>
      <w:r w:rsidR="00227B09">
        <w:t xml:space="preserve">e em 1932 </w:t>
      </w:r>
      <w:r w:rsidR="00227B09" w:rsidRPr="00B20432">
        <w:t xml:space="preserve">Jabotinsky </w:t>
      </w:r>
      <w:r w:rsidR="00227B09">
        <w:t xml:space="preserve">propôs </w:t>
      </w:r>
      <w:r w:rsidR="00227B09" w:rsidRPr="00B20432">
        <w:t>que o mandato sobre a Palestina fosse transferido para a It</w:t>
      </w:r>
      <w:r w:rsidR="00227B09">
        <w:t>ália</w:t>
      </w:r>
      <w:r w:rsidR="00227B09">
        <w:rPr>
          <w:rStyle w:val="Refdenotaderodap"/>
        </w:rPr>
        <w:footnoteReference w:id="240"/>
      </w:r>
      <w:r w:rsidR="00227B09">
        <w:t xml:space="preserve">. </w:t>
      </w:r>
    </w:p>
    <w:p w:rsidR="00751A22" w:rsidRPr="004033B7" w:rsidRDefault="00751A22" w:rsidP="00751A22">
      <w:r w:rsidRPr="004033B7">
        <w:t>Embora os revisionistas italianos tivessem começado a organizar</w:t>
      </w:r>
      <w:r>
        <w:t>-</w:t>
      </w:r>
      <w:r w:rsidRPr="004033B7">
        <w:t>se autonomamente em 1925-1926, só em 1930 passaram a dispor de um órgão de imprensa próprio e só em 1934 estabeleceram relações significativas com as autoridades fascistas</w:t>
      </w:r>
      <w:r w:rsidRPr="004033B7">
        <w:rPr>
          <w:rStyle w:val="Refdenotaderodap"/>
        </w:rPr>
        <w:footnoteReference w:id="241"/>
      </w:r>
      <w:r w:rsidR="000359C1">
        <w:t>.</w:t>
      </w:r>
      <w:r w:rsidRPr="004033B7">
        <w:t xml:space="preserve"> </w:t>
      </w:r>
      <w:r w:rsidR="000359C1">
        <w:t xml:space="preserve">Mas </w:t>
      </w:r>
      <w:r w:rsidRPr="004033B7">
        <w:t xml:space="preserve">recuperaram o tempo perdido e a partir do final </w:t>
      </w:r>
      <w:r w:rsidR="004439C1">
        <w:t xml:space="preserve">desse ano </w:t>
      </w:r>
      <w:r w:rsidRPr="004033B7">
        <w:t xml:space="preserve">a academia naval dirigida pelo PNF em Civitavecchia, não longe de Roma, passou a habilitar </w:t>
      </w:r>
      <w:r w:rsidR="00E063E1">
        <w:t xml:space="preserve">os </w:t>
      </w:r>
      <w:r w:rsidRPr="004033B7">
        <w:t>membros da Betar, que participaram nos mesmos cursos dos seus colegas italianos e alcançaram até o que para eles era sem dúvida a honra de desfilar perante o Duce. Ao todo foram formados cento e trinta e quatro cadetes judeus, e só a promulgação das leis raciais, em 1938, pôs termo a tão interessante colaboração</w:t>
      </w:r>
      <w:r w:rsidRPr="004033B7">
        <w:rPr>
          <w:rStyle w:val="Refdenotaderodap"/>
        </w:rPr>
        <w:footnoteReference w:id="242"/>
      </w:r>
      <w:r w:rsidRPr="004033B7">
        <w:t>. Jabotinsky procurara levar a experiência mais longe e pedira autorização para constituir em Itália uma escola de instrutores onde os jovens revisionistas recebessem preparação militar</w:t>
      </w:r>
      <w:r w:rsidRPr="004033B7">
        <w:rPr>
          <w:rStyle w:val="Refdenotaderodap"/>
        </w:rPr>
        <w:footnoteReference w:id="243"/>
      </w:r>
      <w:r w:rsidRPr="004033B7">
        <w:t>. Apesar de não o ter conseguido, é impossível subestimar a importância da formação dos cadetes, que integraram as primeiras unidades do que viria a ser a marinha de guerra israelita, fundada afinal graças a Mussolini</w:t>
      </w:r>
      <w:r w:rsidRPr="004033B7">
        <w:rPr>
          <w:rStyle w:val="Refdenotaderodap"/>
        </w:rPr>
        <w:footnoteReference w:id="244"/>
      </w:r>
      <w:r w:rsidRPr="004033B7">
        <w:t xml:space="preserve">. </w:t>
      </w:r>
    </w:p>
    <w:p w:rsidR="0082401E" w:rsidRDefault="0082401E" w:rsidP="0082401E">
      <w:pPr>
        <w:keepNext/>
        <w:spacing w:before="240" w:after="120"/>
        <w:ind w:firstLine="0"/>
        <w:jc w:val="center"/>
      </w:pPr>
      <w:r>
        <w:rPr>
          <w:b/>
          <w:sz w:val="28"/>
          <w:szCs w:val="28"/>
        </w:rPr>
        <w:t>3</w:t>
      </w:r>
    </w:p>
    <w:p w:rsidR="00751A22" w:rsidRPr="004033B7" w:rsidRDefault="00751A22" w:rsidP="00751A22">
      <w:r w:rsidRPr="004033B7">
        <w:t xml:space="preserve">Fosse ela justificada por motivos de mero oportunismo ou invocasse convicções ideológicas arraigadas, a simpatia que o sionismo manifestou pelo fascismo atingiu uma dimensão cruelmente macabra no caso do nacional-socialismo. Durante a república de Weimar os sionistas alemães haviam </w:t>
      </w:r>
      <w:r w:rsidR="00235CF8">
        <w:t>adoptado</w:t>
      </w:r>
      <w:r w:rsidRPr="004033B7">
        <w:t xml:space="preserve"> uma atitude passiva perante a ascensão d</w:t>
      </w:r>
      <w:r w:rsidR="002428D1">
        <w:t>e</w:t>
      </w:r>
      <w:r w:rsidRPr="004033B7">
        <w:t xml:space="preserve"> </w:t>
      </w:r>
      <w:r w:rsidR="002428D1">
        <w:t>Hitler</w:t>
      </w:r>
      <w:r w:rsidRPr="004033B7">
        <w:t>, considerando a hostilidade aos judeus tão lógica como a sua própria recusa em se integrarem na sociedade germânica</w:t>
      </w:r>
      <w:r w:rsidRPr="004033B7">
        <w:rPr>
          <w:rStyle w:val="Refdenotaderodap"/>
        </w:rPr>
        <w:footnoteReference w:id="245"/>
      </w:r>
      <w:r w:rsidRPr="004033B7">
        <w:t xml:space="preserve">. Para eles a solução do problema consistia na emigração para a Palestina e não no combate ao anti-semitismo no país onde tinham nascido, e desde 1933 até </w:t>
      </w:r>
      <w:r w:rsidRPr="004033B7">
        <w:lastRenderedPageBreak/>
        <w:t>ao começo da segunda guerra mundial foram muito poucos os sionistas a participar na resistência clandestina</w:t>
      </w:r>
      <w:r w:rsidRPr="004033B7">
        <w:rPr>
          <w:rStyle w:val="Refdenotaderodap"/>
        </w:rPr>
        <w:footnoteReference w:id="246"/>
      </w:r>
      <w:r w:rsidRPr="004033B7">
        <w:t>. Aliás, figuras eminentes do sionismo germânico expressaram publicamente a opinião de que a chegada de Hitler ao poder era proveitosa para os judeus porque comprometia definitivamente os assimilacionistas, obrigava todos os judeus a juntarem-se numa entidade única e reforçava a noção de identidade racial do judaísmo</w:t>
      </w:r>
      <w:r w:rsidRPr="004033B7">
        <w:rPr>
          <w:rStyle w:val="Refdenotaderodap"/>
        </w:rPr>
        <w:footnoteReference w:id="247"/>
      </w:r>
      <w:r w:rsidRPr="004033B7">
        <w:t>. Uma intelectual judia recordou que «naquele tempo era um facto da vida corrente que só os sionistas tinham possibilidade de negociar com as autoridades alemãs, pela simples razão de que a sua principal rival, a Associação Central dos Cidadãos Alemães de Confissão Judaica, à qual pertenciam então noventa e cinco por cento dos membros de organizações judaicas na Alemanha, especificava nos estatutos que o seu primeiro objectivo era a “luta contra o anti-semitismo”. De um dia para o outro, ela havia-se convertido, por definição, numa organização “inimiga do Estado” [...] Nos primeiros anos, a subida de Hitler ao poder foi vista pelos sionistas principalmente como “a derrota decisiva do assimilacionismo”»</w:t>
      </w:r>
      <w:r w:rsidRPr="004033B7">
        <w:rPr>
          <w:rStyle w:val="Refdenotaderodap"/>
        </w:rPr>
        <w:footnoteReference w:id="248"/>
      </w:r>
      <w:r w:rsidRPr="004033B7">
        <w:t xml:space="preserve">. Ilegalizados os ideais de integração, calcula-se que a tiragem do semanário sionista alemão, que oscilara entre os cinco mil e os sete mil exemplares, tivesse subido para cerca de quarenta mil nos primeiros meses do novo regime; e apesar do empobrecimento que as perseguições causaram aos judeus do Reich, as colectas de fundos realizadas pelo movimento sionista renderam </w:t>
      </w:r>
      <w:r w:rsidR="0049199E" w:rsidRPr="004033B7">
        <w:t xml:space="preserve">em 1935-1936 </w:t>
      </w:r>
      <w:r w:rsidRPr="004033B7">
        <w:t>o triplo do que haviam rendido em 1931-1932</w:t>
      </w:r>
      <w:r w:rsidRPr="004033B7">
        <w:rPr>
          <w:rStyle w:val="Refdenotaderodap"/>
        </w:rPr>
        <w:footnoteReference w:id="249"/>
      </w:r>
      <w:r w:rsidRPr="004033B7">
        <w:t xml:space="preserve">. </w:t>
      </w:r>
    </w:p>
    <w:p w:rsidR="00751A22" w:rsidRPr="004033B7" w:rsidRDefault="00751A22" w:rsidP="00751A22">
      <w:r w:rsidRPr="004033B7">
        <w:t xml:space="preserve">A Organização Sionista alemã via no anti-semitismo activo dos </w:t>
      </w:r>
      <w:r w:rsidR="002428D1">
        <w:t>nacionais-socialistas</w:t>
      </w:r>
      <w:r w:rsidRPr="004033B7">
        <w:t xml:space="preserve"> uma oportunidade preciosa de aumentar o fluxo da emigração para a Palestina e os dirigentes do sionismo mundial aprovaram esta orientação, muitas vezes contra os protestos de activistas de base, como </w:t>
      </w:r>
      <w:r w:rsidR="00653AA5">
        <w:t>os que ocorreram</w:t>
      </w:r>
      <w:r w:rsidRPr="004033B7">
        <w:t xml:space="preserve"> na própria Palestina</w:t>
      </w:r>
      <w:r w:rsidRPr="004033B7">
        <w:rPr>
          <w:rStyle w:val="Refdenotaderodap"/>
        </w:rPr>
        <w:footnoteReference w:id="250"/>
      </w:r>
      <w:r w:rsidRPr="004033B7">
        <w:t>. Logo nos primeiros dias de Abril de 1933, mais de oito anos antes de as autoridades do Reich terem tornado obrigatório o porte da estrela amarela pela população judaica, já um artigo assinado pelo chefe de redacção do semanário sionista alemão apel</w:t>
      </w:r>
      <w:r>
        <w:t>ara</w:t>
      </w:r>
      <w:r w:rsidRPr="004033B7">
        <w:t xml:space="preserve"> para que os judeus toma</w:t>
      </w:r>
      <w:r>
        <w:t>ssem</w:t>
      </w:r>
      <w:r w:rsidRPr="004033B7">
        <w:t xml:space="preserve"> eles próprios esta iniciativa</w:t>
      </w:r>
      <w:r>
        <w:t>,</w:t>
      </w:r>
      <w:r w:rsidRPr="004033B7">
        <w:t xml:space="preserve"> mostra</w:t>
      </w:r>
      <w:r>
        <w:t>ndo</w:t>
      </w:r>
      <w:r w:rsidRPr="004033B7">
        <w:t xml:space="preserve"> a vontade de se excluírem da sociedade germânica</w:t>
      </w:r>
      <w:r w:rsidRPr="004033B7">
        <w:rPr>
          <w:rStyle w:val="Refdenotaderodap"/>
        </w:rPr>
        <w:footnoteReference w:id="251"/>
      </w:r>
      <w:r w:rsidRPr="004033B7">
        <w:t xml:space="preserve">. </w:t>
      </w:r>
      <w:r>
        <w:t xml:space="preserve">Para que progredisse </w:t>
      </w:r>
      <w:r w:rsidRPr="004033B7">
        <w:t xml:space="preserve">o estabelecimento na Palestina </w:t>
      </w:r>
      <w:r>
        <w:t xml:space="preserve">era indispensável </w:t>
      </w:r>
      <w:r w:rsidRPr="004033B7">
        <w:t xml:space="preserve">que os judeus da diáspora se sentissem renegados pelos países onde haviam nascido, e assim o mesmo processo que </w:t>
      </w:r>
      <w:r w:rsidR="002428D1">
        <w:t xml:space="preserve">haveria de </w:t>
      </w:r>
      <w:r w:rsidRPr="004033B7">
        <w:t>permiti</w:t>
      </w:r>
      <w:r w:rsidR="002428D1">
        <w:t>r</w:t>
      </w:r>
      <w:r w:rsidRPr="004033B7">
        <w:t xml:space="preserve"> aos hitlerianos a destruição </w:t>
      </w:r>
      <w:r>
        <w:t>gradual</w:t>
      </w:r>
      <w:r w:rsidRPr="004033B7">
        <w:t xml:space="preserve"> dos judeus possibilitou que os sionistas derrotassem os seus rivais </w:t>
      </w:r>
      <w:r w:rsidRPr="004033B7">
        <w:lastRenderedPageBreak/>
        <w:t>assimilacionistas. «Desde o início que a direcção sionista se recusara de facto a opor-se à ideologia de expulsão defendida pelos nazis», escreve</w:t>
      </w:r>
      <w:r>
        <w:t>u</w:t>
      </w:r>
      <w:r w:rsidRPr="004033B7">
        <w:t xml:space="preserve"> um historiador </w:t>
      </w:r>
      <w:r w:rsidR="002428D1">
        <w:t>hebraico</w:t>
      </w:r>
      <w:r w:rsidRPr="004033B7">
        <w:t>, acrescentando que esta atitude fornecia «uma indicação aos nazis de que os próprios judeus se dispunham a organizar a expulsão deles mesmos». A conclusão só podia ser uma</w:t>
      </w:r>
      <w:r w:rsidR="00674CF2">
        <w:t>.</w:t>
      </w:r>
      <w:r w:rsidRPr="004033B7">
        <w:t xml:space="preserve"> «Os dirigentes nazis [...] constataram com alegria o facto de os sionistas aceitarem a expulsão dos judeus»</w:t>
      </w:r>
      <w:r w:rsidRPr="004033B7">
        <w:rPr>
          <w:rStyle w:val="Refdenotaderodap"/>
        </w:rPr>
        <w:footnoteReference w:id="252"/>
      </w:r>
      <w:r w:rsidRPr="004033B7">
        <w:t xml:space="preserve">. </w:t>
      </w:r>
      <w:r w:rsidR="00C239E1" w:rsidRPr="004033B7">
        <w:t xml:space="preserve">Não </w:t>
      </w:r>
      <w:r w:rsidRPr="004033B7">
        <w:t xml:space="preserve">se tratava de uma expulsão qualquer, mas unicamente da concentração dos fugitivos na Palestina. Em Abril de 1933 o principal organismo internacional de ajuda judaica, partidário da integração dos judeus nas sociedades onde se encontravam, </w:t>
      </w:r>
      <w:r w:rsidR="00C239E1">
        <w:t xml:space="preserve">decidiu recolher </w:t>
      </w:r>
      <w:r w:rsidRPr="004033B7">
        <w:t>fundos destinad</w:t>
      </w:r>
      <w:r w:rsidR="00C239E1">
        <w:t>o</w:t>
      </w:r>
      <w:r w:rsidRPr="004033B7">
        <w:t>s a permitir que os seus correligionários alemães continuassem no Reich, e outra associação de ajuda entrou em contacto com governos de vários países da América do Sul para os convencer a receberem em massa os judeus fugitivos do Reich. O movimento sionista considerou estas duas iniciativas como uma enorme ameaça, pois o que o preocupava não era a salvação global dos judeus mas a implantação de um Estado viável na Palestina, sob o controlo sionista</w:t>
      </w:r>
      <w:r w:rsidRPr="004033B7">
        <w:rPr>
          <w:rStyle w:val="Refdenotaderodap"/>
        </w:rPr>
        <w:footnoteReference w:id="253"/>
      </w:r>
      <w:r w:rsidRPr="004033B7">
        <w:t xml:space="preserve">. Também em 1933 a Austrália e a Manchúria sob domínio nipónico anunciaram oficialmente a disposição de acolher milhares de famílias judaicas </w:t>
      </w:r>
      <w:r w:rsidR="00C239E1">
        <w:t>fugidas</w:t>
      </w:r>
      <w:r w:rsidRPr="004033B7">
        <w:t xml:space="preserve"> do Reich, mas a Organização Sionista recusou estas propostas. Não lhe interessava poupar as vidas dos correligionários se para isso fossem acolhidos por outras sociedades</w:t>
      </w:r>
      <w:r w:rsidRPr="004033B7">
        <w:rPr>
          <w:rStyle w:val="Refdenotaderodap"/>
        </w:rPr>
        <w:footnoteReference w:id="254"/>
      </w:r>
      <w:r w:rsidRPr="004033B7">
        <w:t xml:space="preserve">. No Inverno de 1939, vários meses depois de os </w:t>
      </w:r>
      <w:r w:rsidR="002428D1">
        <w:t>nacionais-socialistas</w:t>
      </w:r>
      <w:r w:rsidRPr="004033B7">
        <w:t xml:space="preserve"> terem começado a dar uma nova e mais terrível dimensão ao anti-semitismo, Ben-Gurion, ilustre personalidade do socialismo sionista, futuro primeiro-ministro do Estado de Israel praticamente sem interrupção desde 1948 até 1963, declarou numa sessão de porta fechada da Agência Judaica da Palestina: «Se eu soubesse que todas as crianças judias da Europa poderiam ser salvas através do seu estabelecimento na Grã-Bretanha e só metade poderia ser salva através do estabelecimento na Palestina, era a última solução que eu escolh</w:t>
      </w:r>
      <w:r w:rsidR="002428D1">
        <w:t>er</w:t>
      </w:r>
      <w:r w:rsidRPr="004033B7">
        <w:t>ia»</w:t>
      </w:r>
      <w:r w:rsidRPr="004033B7">
        <w:rPr>
          <w:rStyle w:val="Refdenotaderodap"/>
        </w:rPr>
        <w:footnoteReference w:id="255"/>
      </w:r>
      <w:r w:rsidRPr="004033B7">
        <w:t xml:space="preserve">. A lógica da implantação de uma soberania judaica na Palestina apresentava-se como o reverso da lógica nacional-socialista de perseguição dos judeus. </w:t>
      </w:r>
    </w:p>
    <w:p w:rsidR="00751A22" w:rsidRPr="004033B7" w:rsidRDefault="00751A22" w:rsidP="00751A22">
      <w:r w:rsidRPr="004033B7">
        <w:t xml:space="preserve">Esta convergência de interesses foi clara para alguns contemporâneos e encontramo-la estigmatizada ao longo do diário mantido por Victor Klemperer, professor universitário alemão de origem judaica. </w:t>
      </w:r>
      <w:r>
        <w:t xml:space="preserve">Ele </w:t>
      </w:r>
      <w:r w:rsidRPr="000061CF">
        <w:t xml:space="preserve">não poupava os sarcasmos </w:t>
      </w:r>
      <w:r>
        <w:t>ao</w:t>
      </w:r>
      <w:r w:rsidRPr="000061CF">
        <w:t xml:space="preserve"> menciona</w:t>
      </w:r>
      <w:r>
        <w:t>r</w:t>
      </w:r>
      <w:r w:rsidRPr="000061CF">
        <w:t xml:space="preserve"> a colonização </w:t>
      </w:r>
      <w:r>
        <w:t>sionista</w:t>
      </w:r>
      <w:r w:rsidRPr="000061CF">
        <w:t xml:space="preserve"> da Palestina</w:t>
      </w:r>
      <w:r>
        <w:t xml:space="preserve"> e numa página </w:t>
      </w:r>
      <w:r w:rsidRPr="00EF56D6">
        <w:t>de Outubro de 1933</w:t>
      </w:r>
      <w:r>
        <w:t xml:space="preserve"> exprimiu simpatia pela </w:t>
      </w:r>
      <w:r w:rsidRPr="00EF56D6">
        <w:t xml:space="preserve">revolta dos árabes </w:t>
      </w:r>
      <w:r>
        <w:t xml:space="preserve">palestinianos, </w:t>
      </w:r>
      <w:r w:rsidRPr="00EF56D6">
        <w:lastRenderedPageBreak/>
        <w:t>equipar</w:t>
      </w:r>
      <w:r>
        <w:t>ando</w:t>
      </w:r>
      <w:r w:rsidRPr="00EF56D6">
        <w:t xml:space="preserve"> o seu destino ao dos índios americanos</w:t>
      </w:r>
      <w:r>
        <w:rPr>
          <w:rStyle w:val="Refdenotaderodap"/>
        </w:rPr>
        <w:footnoteReference w:id="256"/>
      </w:r>
      <w:r w:rsidRPr="00EF56D6">
        <w:t xml:space="preserve">. </w:t>
      </w:r>
      <w:r w:rsidRPr="004033B7">
        <w:t xml:space="preserve">«Em que é que os sionistas se distinguem dos nazis?», exclamou </w:t>
      </w:r>
      <w:r>
        <w:t>Klemperer</w:t>
      </w:r>
      <w:r w:rsidRPr="004033B7">
        <w:t xml:space="preserve"> em 1936, e abriu o ano de 1939 com a afirmação de que o sionismo é «puro nazismo»</w:t>
      </w:r>
      <w:r w:rsidRPr="004033B7">
        <w:rPr>
          <w:rStyle w:val="Refdenotaderodap"/>
        </w:rPr>
        <w:footnoteReference w:id="257"/>
      </w:r>
      <w:r w:rsidRPr="004033B7">
        <w:t xml:space="preserve">. </w:t>
      </w:r>
      <w:r w:rsidRPr="00BB1E63">
        <w:t xml:space="preserve">«Não existe </w:t>
      </w:r>
      <w:r w:rsidR="00C201A9">
        <w:t>nenhuma</w:t>
      </w:r>
      <w:r w:rsidRPr="00BB1E63">
        <w:t xml:space="preserve"> questão judaica na Alemanha ou na Europa ocidental», </w:t>
      </w:r>
      <w:r>
        <w:t>escreveu ele</w:t>
      </w:r>
      <w:r w:rsidRPr="00BB1E63">
        <w:t xml:space="preserve"> </w:t>
      </w:r>
      <w:r>
        <w:t>passados poucos dias</w:t>
      </w:r>
      <w:r w:rsidRPr="00BB1E63">
        <w:t xml:space="preserve">. «Quem quer que diga o contrário está só a aceitar e reforçar as teses falsas do NSDAP e a servir a sua causa». </w:t>
      </w:r>
      <w:r>
        <w:t xml:space="preserve">Klemperer </w:t>
      </w:r>
      <w:r w:rsidRPr="00BB1E63">
        <w:t xml:space="preserve">invocou o elevado número de casamentos entre judeus e não judeus como prova de que os judeus haviam sido inteiramente assimilados pela sociedade alemã e acrescentou que o ambiente de fricções no qual os judeus puderam ver-se envolvidos antes da chegada de Hitler à </w:t>
      </w:r>
      <w:r w:rsidR="000A7A62" w:rsidRPr="00BB1E63">
        <w:t xml:space="preserve">Chancelaria </w:t>
      </w:r>
      <w:r w:rsidRPr="00BB1E63">
        <w:t>não fora mais grave do que as hostilidades que opunham protestantes e católicos ou pru</w:t>
      </w:r>
      <w:r>
        <w:t>s</w:t>
      </w:r>
      <w:r w:rsidRPr="00BB1E63">
        <w:t>sianos e bávaros. «Existe uma única solução para a questão judaica na Alemanha e na Europa ocidental: a derrota daqueles que a inventaram. […] A causa sionista, tanto a pura como a religiosa, interessa apenas a fanáticos e não diz respeito à maioria […]»</w:t>
      </w:r>
      <w:r w:rsidRPr="00BB1E63">
        <w:rPr>
          <w:vertAlign w:val="superscript"/>
        </w:rPr>
        <w:footnoteReference w:id="258"/>
      </w:r>
      <w:r w:rsidRPr="00BB1E63">
        <w:t>.</w:t>
      </w:r>
      <w:r>
        <w:t xml:space="preserve"> </w:t>
      </w:r>
      <w:r w:rsidRPr="004033B7">
        <w:t>Em meados de 1940, Klemperer voltou a estabelecer a igualdade entre sionismo e hitlerismo</w:t>
      </w:r>
      <w:r w:rsidRPr="004033B7">
        <w:rPr>
          <w:rStyle w:val="Refdenotaderodap"/>
        </w:rPr>
        <w:footnoteReference w:id="259"/>
      </w:r>
      <w:r w:rsidRPr="004033B7">
        <w:t>. «Hitler é o mais importante promotor do sionismo […]», denunciou ele nos últimos dias de 1941</w:t>
      </w:r>
      <w:r w:rsidRPr="004033B7">
        <w:rPr>
          <w:rStyle w:val="Refdenotaderodap"/>
        </w:rPr>
        <w:footnoteReference w:id="260"/>
      </w:r>
      <w:r w:rsidRPr="004033B7">
        <w:t>. No ano seguinte, além de ter novamente equiparado os sionistas aos nacionais-socialistas</w:t>
      </w:r>
      <w:r w:rsidRPr="004033B7">
        <w:rPr>
          <w:rStyle w:val="Refdenotaderodap"/>
        </w:rPr>
        <w:footnoteReference w:id="261"/>
      </w:r>
      <w:r w:rsidRPr="004033B7">
        <w:t>, Klemperer observou a afinidade dos escritos políticos de Herzl com a doutrina hitleriana</w:t>
      </w:r>
      <w:r w:rsidRPr="004033B7">
        <w:rPr>
          <w:rStyle w:val="Refdenotaderodap"/>
        </w:rPr>
        <w:footnoteReference w:id="262"/>
      </w:r>
      <w:r w:rsidRPr="004033B7">
        <w:t>. «Só podemos resolver a questão judaica se nos libertarmos daqueles que a inventaram»</w:t>
      </w:r>
      <w:r>
        <w:t>, havia ele declarado no início de 1939</w:t>
      </w:r>
      <w:r w:rsidRPr="004033B7">
        <w:rPr>
          <w:rStyle w:val="Refdenotaderodap"/>
        </w:rPr>
        <w:footnoteReference w:id="263"/>
      </w:r>
      <w:r w:rsidRPr="004033B7">
        <w:t>. Mas is</w:t>
      </w:r>
      <w:r>
        <w:t>s</w:t>
      </w:r>
      <w:r w:rsidRPr="004033B7">
        <w:t xml:space="preserve">o sucedeu tarde demais. </w:t>
      </w:r>
    </w:p>
    <w:p w:rsidR="00751A22" w:rsidRPr="004033B7" w:rsidRDefault="00751A22" w:rsidP="00751A22">
      <w:r w:rsidRPr="004033B7">
        <w:t xml:space="preserve">Entretanto o </w:t>
      </w:r>
      <w:r w:rsidR="00C201A9">
        <w:t>nacional-socialismo</w:t>
      </w:r>
      <w:r w:rsidRPr="004033B7">
        <w:t xml:space="preserve"> encontrava entre os sionistas interlocutores cheios de boa vontade. Um historiador judeu resum</w:t>
      </w:r>
      <w:r>
        <w:t>iu</w:t>
      </w:r>
      <w:r w:rsidRPr="004033B7">
        <w:t xml:space="preserve"> lapidarmente a situação: «O sionismo havia-se tornado um instrumento dos anti-semitas»</w:t>
      </w:r>
      <w:r w:rsidRPr="004033B7">
        <w:rPr>
          <w:rStyle w:val="Refdenotaderodap"/>
        </w:rPr>
        <w:footnoteReference w:id="264"/>
      </w:r>
      <w:r w:rsidRPr="004033B7">
        <w:t xml:space="preserve">. Em Março de 1933 Göring obteve dos dirigentes das principais organizações judaicas alemãs o compromisso de que se esforçariam por desactivar os movimentos de protesto antinazis e o boicote aos bens alemães, que estavam a ser animados por judeus de outros países. Precipitando-se para aproveitar a oportunidade, os </w:t>
      </w:r>
      <w:r w:rsidRPr="004033B7">
        <w:lastRenderedPageBreak/>
        <w:t>sionistas encarregaram-se de então em diante de dirigir as pressões sobre os seus correligionários estrangeiros e tomaram repetidamente posição pública contra o boicote</w:t>
      </w:r>
      <w:r w:rsidRPr="004033B7">
        <w:rPr>
          <w:rStyle w:val="Refdenotaderodap"/>
        </w:rPr>
        <w:footnoteReference w:id="265"/>
      </w:r>
      <w:r w:rsidRPr="004033B7">
        <w:t xml:space="preserve">. Divulgado durante os primeiros meses do regime </w:t>
      </w:r>
      <w:r w:rsidR="00C201A9">
        <w:t>hitleriano</w:t>
      </w:r>
      <w:r w:rsidRPr="004033B7">
        <w:t>, um manifesto dos sionistas alemães não deix</w:t>
      </w:r>
      <w:r>
        <w:t>ou</w:t>
      </w:r>
      <w:r w:rsidRPr="004033B7">
        <w:t xml:space="preserve"> dúvidas sobre o que pensavam</w:t>
      </w:r>
      <w:r w:rsidR="007E2D05">
        <w:t>:</w:t>
      </w:r>
      <w:r w:rsidRPr="004033B7">
        <w:t xml:space="preserve"> «O facto de reconhecermos a existência de uma nacionalidade judaica proporciona o estabelecimento de relações claras e sinceras com o povo alemão e com as suas realidades nacionais e raciais. Precisamente porque não pretendemos falsificar estes factores fundamentais e porque também nós somos contra os casamentos mistos e a favor da manutenção da pureza da colectividade judaica [...] Assim, um judaísmo consciente de si próprio, tal como o descrevemos, e em cujo nome falamos, pode encontrar lugar na estrutura do Estado alemão, porque não sofre de impedimentos internos e está livre do ressentimento que os judeus assimilados necessariamente sentem pelo facto de pertencerem ao judaísmo, à raça e ao passado judaico [...] O sionismo espera ser capaz de obter a colaboração, para os seus objectivos práticos, mesmo de um governo fundamentalmente hostil aos judeus [...]»</w:t>
      </w:r>
      <w:r w:rsidRPr="004033B7">
        <w:rPr>
          <w:rStyle w:val="Refdenotaderodap"/>
        </w:rPr>
        <w:footnoteReference w:id="266"/>
      </w:r>
      <w:r w:rsidRPr="004033B7">
        <w:t xml:space="preserve">. Esta última frase devia, na verdade, ser lida ao contrário, e em nome de tais «objectivos práticos», ou seja, a evacuação em massa dos judeus para a Palestina, foram os sionistas alemães quem se dispôs a colaborar com o mais anti-semita dos regimes. </w:t>
      </w:r>
    </w:p>
    <w:p w:rsidR="00751A22" w:rsidRPr="004033B7" w:rsidRDefault="00751A22" w:rsidP="00751A22">
      <w:r w:rsidRPr="004033B7">
        <w:t xml:space="preserve">O sionismo foi a componente do judaísmo menos vitimada pelo racismo hitleriano. Os discursos e as publicações </w:t>
      </w:r>
      <w:r w:rsidR="0042565F">
        <w:t>nacional-socialistas</w:t>
      </w:r>
      <w:r w:rsidRPr="004033B7">
        <w:t xml:space="preserve"> continuaram a obedecer aos rancores de sempre, atacando todos os judeus sem distinção, mas na prática os procedimentos foram subtis e criou-se uma situação de que os sionistas saíram privilegiados, mesmo em termos legais. O facto de a esmagadora maioria dos judeus alemães estar integrada socialmente no país, dificultando a aplicação das medidas anti-semitas</w:t>
      </w:r>
      <w:r w:rsidRPr="004033B7">
        <w:rPr>
          <w:rStyle w:val="Refdenotaderodap"/>
        </w:rPr>
        <w:footnoteReference w:id="267"/>
      </w:r>
      <w:r w:rsidRPr="004033B7">
        <w:t>, convert</w:t>
      </w:r>
      <w:r>
        <w:t>eu</w:t>
      </w:r>
      <w:r w:rsidRPr="004033B7">
        <w:t xml:space="preserve"> os assimilacionistas nos principais inimigos; e os sionistas, que pretendiam destacar os judeus do resto da população, aparec</w:t>
      </w:r>
      <w:r>
        <w:t>er</w:t>
      </w:r>
      <w:r w:rsidRPr="004033B7">
        <w:t>am como um auxiliar precioso</w:t>
      </w:r>
      <w:r>
        <w:t xml:space="preserve"> e</w:t>
      </w:r>
      <w:r w:rsidRPr="004033B7">
        <w:t xml:space="preserve"> recebe</w:t>
      </w:r>
      <w:r>
        <w:t>ram</w:t>
      </w:r>
      <w:r w:rsidRPr="004033B7">
        <w:t xml:space="preserve"> os cargos dirigentes na nova instituição destinada a enquadrar os judeus do Reich</w:t>
      </w:r>
      <w:r w:rsidRPr="004033B7">
        <w:rPr>
          <w:rStyle w:val="Refdenotaderodap"/>
        </w:rPr>
        <w:footnoteReference w:id="268"/>
      </w:r>
      <w:r w:rsidRPr="004033B7">
        <w:t>. Em 1934 e 1935 os SS e a Gestapo tomaram iniciativas destinadas a favorecer os sionistas relativamente aos assimilacionistas e os sionistas revisionistas relativamente aos maioritários</w:t>
      </w:r>
      <w:r w:rsidRPr="004033B7">
        <w:rPr>
          <w:rStyle w:val="Refdenotaderodap"/>
        </w:rPr>
        <w:footnoteReference w:id="269"/>
      </w:r>
      <w:r w:rsidRPr="004033B7">
        <w:t xml:space="preserve">. </w:t>
      </w:r>
      <w:r w:rsidR="00EC71CA">
        <w:t xml:space="preserve">«Os judeus na Alemanha dividem-se em dois grupos», lê-se num artigo do </w:t>
      </w:r>
      <w:r w:rsidR="00E8511C">
        <w:t>semanário</w:t>
      </w:r>
      <w:r w:rsidR="00EC71CA">
        <w:t xml:space="preserve"> dos SS em Maio de 1935; «os sionistas e os </w:t>
      </w:r>
      <w:r w:rsidR="00573503">
        <w:t>favoráveis à</w:t>
      </w:r>
      <w:r w:rsidR="00EC71CA">
        <w:t xml:space="preserve"> assimilação. Os sionistas </w:t>
      </w:r>
      <w:r w:rsidR="00573503">
        <w:t xml:space="preserve">seguem </w:t>
      </w:r>
      <w:r w:rsidR="00EC71CA">
        <w:t xml:space="preserve">uma </w:t>
      </w:r>
      <w:r w:rsidR="00573503">
        <w:t>atitude</w:t>
      </w:r>
      <w:r w:rsidR="00EC71CA">
        <w:t xml:space="preserve"> estritamente </w:t>
      </w:r>
      <w:r w:rsidR="004F0A1C">
        <w:t>racial</w:t>
      </w:r>
      <w:r w:rsidR="00EC71CA">
        <w:t xml:space="preserve"> e ao emigrarem para a </w:t>
      </w:r>
      <w:r w:rsidR="00EC71CA">
        <w:lastRenderedPageBreak/>
        <w:t>Palestina ajuda</w:t>
      </w:r>
      <w:r w:rsidR="00573503">
        <w:t>m</w:t>
      </w:r>
      <w:r w:rsidR="00EC71CA">
        <w:t xml:space="preserve"> </w:t>
      </w:r>
      <w:r w:rsidR="00573503">
        <w:t>a</w:t>
      </w:r>
      <w:r w:rsidR="00EC71CA">
        <w:t xml:space="preserve"> constru</w:t>
      </w:r>
      <w:r w:rsidR="00573503">
        <w:t>ir</w:t>
      </w:r>
      <w:r w:rsidR="00EC71CA">
        <w:t xml:space="preserve"> o seu próprio Estado judaico. </w:t>
      </w:r>
      <w:r w:rsidR="009025EA">
        <w:t xml:space="preserve">Os judeus partidários da assimilação renegam a sua raça e insistem na lealdade à Alemanha ou </w:t>
      </w:r>
      <w:r w:rsidR="0093033B">
        <w:t>alegam</w:t>
      </w:r>
      <w:r w:rsidR="009025EA">
        <w:t xml:space="preserve"> ser cristãos, devido a terem recebido o baptismo, com o objectivo de derrubar os princípios nacional-socialistas»</w:t>
      </w:r>
      <w:r w:rsidR="00DD4104">
        <w:rPr>
          <w:rStyle w:val="Refdenotaderodap"/>
        </w:rPr>
        <w:footnoteReference w:id="270"/>
      </w:r>
      <w:r w:rsidR="009025EA">
        <w:t xml:space="preserve">. </w:t>
      </w:r>
      <w:r w:rsidR="0045590E">
        <w:t>E assim o racismo dos SS convergi</w:t>
      </w:r>
      <w:r w:rsidR="00932DC4">
        <w:t>u</w:t>
      </w:r>
      <w:r w:rsidR="0045590E">
        <w:t xml:space="preserve"> com o racismo dos sionistas. </w:t>
      </w:r>
      <w:r w:rsidRPr="004033B7">
        <w:t>A expressão simbólica desta perversa aliança encontra-se no artigo 4º da Lei para a Protecção do Sangue Alemão e da Honra Alemã, incluída no conjunto jurídico que fixou a base legal do racismo nacional-socialista, autorizando uma única bandeira além das que ostentavam a suástica, precisamente a bandeira azul e branca dos sionistas, ornamentada com a estrela de David, que todos os judeus receberam o direito de desfraldar</w:t>
      </w:r>
      <w:r w:rsidRPr="004033B7">
        <w:rPr>
          <w:rStyle w:val="Refdenotaderodap"/>
        </w:rPr>
        <w:footnoteReference w:id="271"/>
      </w:r>
      <w:r w:rsidRPr="004033B7">
        <w:t>. A grande parte das medidas anti-semitas concentrou-se nos assimilacionistas da Central-Verein, enquanto o movimento sionista pôde manter a sede aberta até Novembro de 1938 e, apesar das restrições impostas à sua actividade, recebeu em 1935 autorização para vestir com uniformes próprios os membros da organização juvenil, assim como a imprensa sionista, apesar das proibições que várias vezes a atingiram, foi a única em todo o Reich a ficar isenta da obrigação de conformidade com a doutrina nacional-socialista</w:t>
      </w:r>
      <w:r w:rsidRPr="004033B7">
        <w:rPr>
          <w:rStyle w:val="Refdenotaderodap"/>
        </w:rPr>
        <w:footnoteReference w:id="272"/>
      </w:r>
      <w:r w:rsidRPr="004033B7">
        <w:t xml:space="preserve">. Além de estimularem as comunidades judaicas existentes nas principais cidades a usar a língua hebraica, </w:t>
      </w:r>
      <w:r w:rsidR="003D3D93">
        <w:t>as autoridades</w:t>
      </w:r>
      <w:r w:rsidRPr="004033B7">
        <w:t>, durante os primeiros anos do novo regime, incentivaram-nas a realizar festivais religiosos, culturais e desportivos, sob a égide do movimento sionista e contando com a presença benévola de funcionários da Gestapo</w:t>
      </w:r>
      <w:r w:rsidRPr="004033B7">
        <w:rPr>
          <w:rStyle w:val="Refdenotaderodap"/>
        </w:rPr>
        <w:footnoteReference w:id="273"/>
      </w:r>
      <w:r w:rsidRPr="004033B7">
        <w:t xml:space="preserve">. </w:t>
      </w:r>
      <w:r w:rsidR="00B96FB8">
        <w:t>Este estímulo ao sionismo verificou-se ainda em Setembro de 1939, quando as autoridades proibiram uma associação cultural judaica de representar uma peça cujo conteúdo foi considerado assimilacionista</w:t>
      </w:r>
      <w:r w:rsidR="00B96FB8">
        <w:rPr>
          <w:rStyle w:val="Refdenotaderodap"/>
        </w:rPr>
        <w:footnoteReference w:id="274"/>
      </w:r>
      <w:r w:rsidR="00B96FB8">
        <w:t xml:space="preserve">. Afinal, </w:t>
      </w:r>
      <w:r w:rsidR="00B96FB8" w:rsidRPr="004033B7">
        <w:t xml:space="preserve">um </w:t>
      </w:r>
      <w:r w:rsidRPr="004033B7">
        <w:t xml:space="preserve">cartaz afixado nas universidades em Abril de 1933 </w:t>
      </w:r>
      <w:r w:rsidR="00B96FB8">
        <w:t xml:space="preserve">havia </w:t>
      </w:r>
      <w:r w:rsidR="00587FBD">
        <w:t xml:space="preserve">já </w:t>
      </w:r>
      <w:r w:rsidR="00B96FB8">
        <w:t>resumido</w:t>
      </w:r>
      <w:r w:rsidRPr="004033B7">
        <w:t xml:space="preserve"> esta orientação ao proclamar: «Quando o Judeu escreve em alemão, ele está a mentir»</w:t>
      </w:r>
      <w:r w:rsidRPr="004033B7">
        <w:rPr>
          <w:rStyle w:val="Refdenotaderodap"/>
        </w:rPr>
        <w:footnoteReference w:id="275"/>
      </w:r>
      <w:r w:rsidRPr="004033B7">
        <w:t xml:space="preserve">. Dando continuidade às teses do romantismo, que haviam </w:t>
      </w:r>
      <w:r>
        <w:t xml:space="preserve">assimilado </w:t>
      </w:r>
      <w:r w:rsidRPr="004033B7">
        <w:t xml:space="preserve">o espírito de um povo </w:t>
      </w:r>
      <w:r>
        <w:t xml:space="preserve">à </w:t>
      </w:r>
      <w:r w:rsidRPr="004033B7">
        <w:t xml:space="preserve">sua língua, o regime </w:t>
      </w:r>
      <w:r w:rsidR="0042565F">
        <w:t>nacional-socialista</w:t>
      </w:r>
      <w:r w:rsidRPr="004033B7">
        <w:t xml:space="preserve"> pretendia que só em hebreu os judeus podiam falar verdade. E assim o desenvolvimento artificial de uma cultura hebraica no interior do Reich servia tanto aos </w:t>
      </w:r>
      <w:r w:rsidR="0042565F">
        <w:t>hitlerianos</w:t>
      </w:r>
      <w:r w:rsidRPr="004033B7">
        <w:t xml:space="preserve"> como aos sionistas para demonstrar, cada um com os seus objectivos próprios, que os judeus eram um povo estrangeiro, sem lugar entre os germanos. </w:t>
      </w:r>
    </w:p>
    <w:p w:rsidR="00751A22" w:rsidRPr="004033B7" w:rsidRDefault="00751A22" w:rsidP="00751A22">
      <w:r w:rsidRPr="004033B7">
        <w:lastRenderedPageBreak/>
        <w:t xml:space="preserve">Antes de </w:t>
      </w:r>
      <w:r>
        <w:t xml:space="preserve">encetarem a </w:t>
      </w:r>
      <w:r w:rsidRPr="004033B7">
        <w:t xml:space="preserve">«solução final» e chacinarem sistematicamente os judeus, os dirigentes </w:t>
      </w:r>
      <w:r w:rsidR="007B7164">
        <w:t>nacional-socialistas</w:t>
      </w:r>
      <w:r w:rsidRPr="004033B7">
        <w:t xml:space="preserve"> prosseguiram uma política dupla, por um lado reduzindo progressivamente os direitos cívicos e profissionais dos judeus e confinando-os </w:t>
      </w:r>
      <w:r w:rsidR="007B7164">
        <w:t>mais tarde</w:t>
      </w:r>
      <w:r w:rsidRPr="004033B7">
        <w:t xml:space="preserve"> em campos de concentração</w:t>
      </w:r>
      <w:r w:rsidR="00EA6508">
        <w:t>,</w:t>
      </w:r>
      <w:r w:rsidRPr="004033B7">
        <w:t xml:space="preserve"> e por outro lado estimulando a sua fixação na Palestina. Da estreita colaboração entre os dirigentes sionistas e o departamento SS especializado nestes assuntos resultou a criação de uma rede de emigração, que continuou a funcionar mesmo depois do início da guerra</w:t>
      </w:r>
      <w:r w:rsidRPr="004033B7">
        <w:rPr>
          <w:rStyle w:val="Refdenotaderodap"/>
        </w:rPr>
        <w:footnoteReference w:id="276"/>
      </w:r>
      <w:r w:rsidRPr="004033B7">
        <w:t xml:space="preserve">. As autoridades judaicas da Palestina </w:t>
      </w:r>
      <w:r w:rsidR="00335ECA">
        <w:t>enviavam</w:t>
      </w:r>
      <w:r w:rsidRPr="004033B7">
        <w:t xml:space="preserve"> regularmente emissários para contactar os SS ou directamente a Gestapo </w:t>
      </w:r>
      <w:r w:rsidR="00335ECA">
        <w:t xml:space="preserve">com o objectivo de </w:t>
      </w:r>
      <w:r w:rsidRPr="004033B7">
        <w:t>aumentar o fluxo de emigrantes</w:t>
      </w:r>
      <w:r w:rsidRPr="004033B7">
        <w:rPr>
          <w:rStyle w:val="Refdenotaderodap"/>
        </w:rPr>
        <w:footnoteReference w:id="277"/>
      </w:r>
      <w:r w:rsidRPr="004033B7">
        <w:t>. Estes agentes de recrutamento sionistas foram por vezes autorizados a visitar os campos de concentração e a escolher entre os detidos aqueles que preferiam expedir para a Palestina, homens de negócios, gente provida de capitais, e jovens também, uma força de trabalho vigorosa</w:t>
      </w:r>
      <w:r w:rsidRPr="004033B7">
        <w:rPr>
          <w:rStyle w:val="Refdenotaderodap"/>
        </w:rPr>
        <w:footnoteReference w:id="278"/>
      </w:r>
      <w:r w:rsidRPr="004033B7">
        <w:t>. Para os sionistas, escreveu uma judia, «e antes de se ter iniciado o programa de extermínio, o inimigo principal não era constituído por quem tornava a vida impossível aos judeus nos países de origem, na Alemanha ou na Áustria, mas por quem impedia o acesso à nova pátria. Este inimigo era sem dúvida a Grã-Bretanha, não a Alemanha»</w:t>
      </w:r>
      <w:r w:rsidRPr="004033B7">
        <w:rPr>
          <w:rStyle w:val="Refdenotaderodap"/>
        </w:rPr>
        <w:footnoteReference w:id="279"/>
      </w:r>
      <w:r w:rsidRPr="004033B7">
        <w:t>. O aparente empenho dos nacionais-socialistas no êxito dos colonatos judaicos chegou ao ponto de os SS</w:t>
      </w:r>
      <w:r w:rsidR="005E4015">
        <w:t>,</w:t>
      </w:r>
      <w:r w:rsidRPr="004033B7">
        <w:t xml:space="preserve"> </w:t>
      </w:r>
      <w:r w:rsidR="005E4015">
        <w:t xml:space="preserve">com a colaboração do </w:t>
      </w:r>
      <w:r w:rsidR="005E4015" w:rsidRPr="002C33F6">
        <w:t>Führer dos Camponeses do Reich e ministro dos Abastecimentos e da Agricultura</w:t>
      </w:r>
      <w:r w:rsidR="005E4015">
        <w:t xml:space="preserve">, </w:t>
      </w:r>
      <w:r w:rsidRPr="004033B7">
        <w:t>criarem algumas fazendas experimentais, onde os candidatos à emigração aprenderam técnicas agrícolas modernas que lhes permitiram depois cultivar com produtividade as terras tomadas aos árabes</w:t>
      </w:r>
      <w:r w:rsidRPr="004033B7">
        <w:rPr>
          <w:rStyle w:val="Refdenotaderodap"/>
        </w:rPr>
        <w:footnoteReference w:id="280"/>
      </w:r>
      <w:r w:rsidRPr="004033B7">
        <w:t xml:space="preserve">. </w:t>
      </w:r>
      <w:r w:rsidR="00A1778A">
        <w:t xml:space="preserve">Nem a </w:t>
      </w:r>
      <w:r w:rsidR="002E111A">
        <w:t xml:space="preserve">guerra pôs termo a </w:t>
      </w:r>
      <w:r w:rsidR="00A1778A">
        <w:t xml:space="preserve">tais </w:t>
      </w:r>
      <w:r w:rsidR="00247B47">
        <w:t>i</w:t>
      </w:r>
      <w:r w:rsidR="002E111A">
        <w:t>niciativas, porque uma d</w:t>
      </w:r>
      <w:r w:rsidR="00A1778A">
        <w:t>ess</w:t>
      </w:r>
      <w:r w:rsidR="002E111A">
        <w:t>as fazendas</w:t>
      </w:r>
      <w:r w:rsidR="00DB78DD">
        <w:t>, situada na proximidade de Berlim, foi criada em 1939 e durou até Maio de 1942, quando os seus oitenta agricultores sionistas foram enviados para um campo de extermínio</w:t>
      </w:r>
      <w:r w:rsidR="00DB78DD">
        <w:rPr>
          <w:rStyle w:val="Refdenotaderodap"/>
        </w:rPr>
        <w:footnoteReference w:id="281"/>
      </w:r>
      <w:r w:rsidR="00DB78DD">
        <w:t xml:space="preserve">. </w:t>
      </w:r>
    </w:p>
    <w:p w:rsidR="00DC7478" w:rsidRDefault="00751A22" w:rsidP="00751A22">
      <w:r w:rsidRPr="004033B7">
        <w:t xml:space="preserve">As relações eram tão íntimas que em Abril de 1933 o barão von Mildenstein, perito </w:t>
      </w:r>
      <w:r w:rsidR="00D86B45">
        <w:t xml:space="preserve">SS </w:t>
      </w:r>
      <w:r w:rsidR="00353AA1">
        <w:t xml:space="preserve">das </w:t>
      </w:r>
      <w:r w:rsidRPr="004033B7">
        <w:t xml:space="preserve">questões judaicas, partiu para a Palestina a convite da Organização Sionista Mundial e com expressa autorização do NSDAP. Passeando-se por Tel Aviv e visitando os colonatos, von Mildenstein ficou </w:t>
      </w:r>
      <w:r>
        <w:t>a tal ponto</w:t>
      </w:r>
      <w:r w:rsidRPr="004033B7">
        <w:t xml:space="preserve"> interessado que no ano seguinte publicou no jornal dirigido por Goebbels uma série de reportagens sobre a sua viagem. Chegou mesmo a ser cunhada uma medalha em comemoração do acontecimento, com a cruz suástica gravada numa face e </w:t>
      </w:r>
      <w:r w:rsidRPr="004033B7">
        <w:lastRenderedPageBreak/>
        <w:t>mostrando na outra a estrela de David</w:t>
      </w:r>
      <w:r w:rsidRPr="004033B7">
        <w:rPr>
          <w:rStyle w:val="Refdenotaderodap"/>
        </w:rPr>
        <w:footnoteReference w:id="282"/>
      </w:r>
      <w:r w:rsidRPr="004033B7">
        <w:t xml:space="preserve">. </w:t>
      </w:r>
      <w:r w:rsidR="003714A9">
        <w:t xml:space="preserve">Se esta experiência não fosse considerada positiva, </w:t>
      </w:r>
      <w:r w:rsidR="003714A9" w:rsidRPr="004033B7">
        <w:t>von Mildenstein</w:t>
      </w:r>
      <w:r w:rsidR="003714A9">
        <w:t xml:space="preserve"> não teria sido encarregado em 1934 de chefiar o Departamento de Questões Judaicas</w:t>
      </w:r>
      <w:r w:rsidR="009D4700">
        <w:t xml:space="preserve"> do SD</w:t>
      </w:r>
      <w:r w:rsidR="0079029F">
        <w:rPr>
          <w:rStyle w:val="Refdenotaderodap"/>
        </w:rPr>
        <w:footnoteReference w:id="283"/>
      </w:r>
      <w:r w:rsidR="003714A9">
        <w:t xml:space="preserve">. </w:t>
      </w:r>
      <w:r w:rsidR="008759D8">
        <w:t xml:space="preserve">Em sentido inverso, mas com finalidade convergente, o sociólogo sionista Arthur Ruppin </w:t>
      </w:r>
      <w:r w:rsidR="00B04558">
        <w:t xml:space="preserve">— </w:t>
      </w:r>
      <w:r w:rsidR="008C5A6D">
        <w:t xml:space="preserve">que além de ser </w:t>
      </w:r>
      <w:r w:rsidR="00B04558">
        <w:t xml:space="preserve">professor na Universidade de Jerusalém se encarregava da compra de terras na Palestina por conta da Agência Judaica, à qual presidiu desde 1933 até 1935 — </w:t>
      </w:r>
      <w:r w:rsidR="00141F24">
        <w:t xml:space="preserve">visitou o Reich para se </w:t>
      </w:r>
      <w:r w:rsidR="001852CB">
        <w:t xml:space="preserve">encontrar com Hans Günther, um dos principais </w:t>
      </w:r>
      <w:r w:rsidR="00202010">
        <w:t>ideólogos</w:t>
      </w:r>
      <w:r w:rsidR="001852CB">
        <w:t xml:space="preserve"> do racismo nacional-socialista, </w:t>
      </w:r>
      <w:r w:rsidR="00CE1C0D">
        <w:t xml:space="preserve">e </w:t>
      </w:r>
      <w:r w:rsidR="00141F24">
        <w:t xml:space="preserve">manteve </w:t>
      </w:r>
      <w:r w:rsidR="00CE1C0D">
        <w:t>até Setembro de 1939 relações com o meio eugenista alemão</w:t>
      </w:r>
      <w:r w:rsidR="00A805EF">
        <w:rPr>
          <w:rStyle w:val="Refdenotaderodap"/>
        </w:rPr>
        <w:footnoteReference w:id="284"/>
      </w:r>
      <w:r w:rsidR="00CE1C0D">
        <w:t xml:space="preserve">. </w:t>
      </w:r>
      <w:r w:rsidR="00DC7478">
        <w:t xml:space="preserve">Talvez fossem </w:t>
      </w:r>
      <w:r w:rsidR="00FF0E08">
        <w:t xml:space="preserve">ainda </w:t>
      </w:r>
      <w:r w:rsidR="00DC7478">
        <w:t xml:space="preserve">mais importantes os contactos </w:t>
      </w:r>
      <w:r w:rsidR="00763F30">
        <w:t xml:space="preserve">tecidos </w:t>
      </w:r>
      <w:r w:rsidR="00DC7478">
        <w:t>por profissionais da discrição</w:t>
      </w:r>
      <w:r w:rsidR="00763F30">
        <w:t xml:space="preserve">, como </w:t>
      </w:r>
      <w:r w:rsidR="00DD2CF0" w:rsidRPr="00DD2CF0">
        <w:t xml:space="preserve">Feivel Polkes, </w:t>
      </w:r>
      <w:r w:rsidR="00763F30">
        <w:t>um dos comandantes da organização paramilitar sionista</w:t>
      </w:r>
      <w:r w:rsidR="00DD2CF0">
        <w:t>,</w:t>
      </w:r>
      <w:r w:rsidR="00763F30">
        <w:t xml:space="preserve"> </w:t>
      </w:r>
      <w:r w:rsidR="00DD2CF0">
        <w:t xml:space="preserve">que já na </w:t>
      </w:r>
      <w:r w:rsidR="00763F30">
        <w:t>Palestina</w:t>
      </w:r>
      <w:r w:rsidR="00DD2CF0">
        <w:t xml:space="preserve"> </w:t>
      </w:r>
      <w:r w:rsidR="006F497B">
        <w:t>estabelecera</w:t>
      </w:r>
      <w:r w:rsidR="00DD2CF0">
        <w:t xml:space="preserve"> relações com a rede de espionagem </w:t>
      </w:r>
      <w:r w:rsidR="006F497B">
        <w:t>nacional-socialista</w:t>
      </w:r>
      <w:r w:rsidR="00DD2CF0">
        <w:t xml:space="preserve"> e </w:t>
      </w:r>
      <w:r w:rsidR="00763F30">
        <w:t>visitou Berlim em Fevereiro e Março de 1937 para conversaç</w:t>
      </w:r>
      <w:r w:rsidR="00DD2CF0">
        <w:t>ões com agentes do SD</w:t>
      </w:r>
      <w:r w:rsidR="004E4DDA">
        <w:t>.</w:t>
      </w:r>
      <w:r w:rsidR="00DD2CF0">
        <w:t xml:space="preserve"> </w:t>
      </w:r>
      <w:r w:rsidR="00005061">
        <w:t xml:space="preserve">Polkes </w:t>
      </w:r>
      <w:r w:rsidR="00100246">
        <w:t>prometeu-lhes cooperação</w:t>
      </w:r>
      <w:r w:rsidR="00794F59">
        <w:t>,</w:t>
      </w:r>
      <w:r w:rsidR="00100246">
        <w:t xml:space="preserve"> </w:t>
      </w:r>
      <w:r w:rsidR="00794F59">
        <w:t xml:space="preserve">incluindo </w:t>
      </w:r>
      <w:r w:rsidR="00100246">
        <w:t>o fornecimento de informações, com a condição de o Terceiro Reich acelerar a partida dos judeus para a Palestina</w:t>
      </w:r>
      <w:r w:rsidR="00F54883">
        <w:rPr>
          <w:rStyle w:val="Refdenotaderodap"/>
        </w:rPr>
        <w:footnoteReference w:id="285"/>
      </w:r>
      <w:r w:rsidR="00100246">
        <w:t xml:space="preserve">. </w:t>
      </w:r>
      <w:r w:rsidR="004E4DDA">
        <w:t>No final daquele ano outros dois agentes sionistas deslocaram-se da Palestina a Berlim, e um terceiro a Viena</w:t>
      </w:r>
      <w:r w:rsidR="00717350">
        <w:t xml:space="preserve"> no Verão de 1938</w:t>
      </w:r>
      <w:r w:rsidR="004E4DDA">
        <w:t>, com o objectivo de organizar a emigração judaica para a Palestina através de canais ilegais, sem o conhecimento das autoridades britânicas</w:t>
      </w:r>
      <w:r w:rsidR="004E4DDA">
        <w:rPr>
          <w:rStyle w:val="Refdenotaderodap"/>
        </w:rPr>
        <w:footnoteReference w:id="286"/>
      </w:r>
      <w:r w:rsidR="004E4DDA">
        <w:t xml:space="preserve">. </w:t>
      </w:r>
    </w:p>
    <w:p w:rsidR="000309B5" w:rsidRDefault="00751A22" w:rsidP="00751A22">
      <w:r w:rsidRPr="004033B7">
        <w:t xml:space="preserve">É curioso verificar que foi do Ministério dos Negócios Estrangeiros, durante o período em que não estava ainda controlado pelos fiéis incondicionais de Hitler, que partiram algumas resistências à política de colaboração com os sionistas, e em meados de 1937 o ministro von Neurath fez circular entre o corpo diplomático germânico sediado no Médio Oriente um </w:t>
      </w:r>
      <w:r w:rsidR="00F70A80">
        <w:t>relatório</w:t>
      </w:r>
      <w:r w:rsidRPr="004033B7">
        <w:t xml:space="preserve"> onde afirmava que o estabelecimento de um órgão soberano judaico na Palestina seria contrário aos interesses do Reich porque, além de não conseguir absorver todos os judeus espalhados pelo mundo, exerceria para o judaísmo funções semelhantes àquelas que o Vaticano desempenhava para os católicos e o Kremlin para os comunistas</w:t>
      </w:r>
      <w:r w:rsidRPr="004033B7">
        <w:rPr>
          <w:rStyle w:val="Refdenotaderodap"/>
        </w:rPr>
        <w:footnoteReference w:id="287"/>
      </w:r>
      <w:r w:rsidRPr="004033B7">
        <w:t>. Por muito extraordinário que isto hoje nos possa parecer, enquanto os diplomatas profissionais adoptavam uma posição intransigente a respeito do sionismo, a atitude conciliatória cabia aos SS, a instituição mais fanaticamente racista</w:t>
      </w:r>
      <w:r w:rsidR="00146F6D">
        <w:rPr>
          <w:rStyle w:val="Refdenotaderodap"/>
        </w:rPr>
        <w:footnoteReference w:id="288"/>
      </w:r>
      <w:r w:rsidRPr="004033B7">
        <w:t xml:space="preserve">. </w:t>
      </w:r>
      <w:r>
        <w:t xml:space="preserve">A complementaridade de ambos os racismos explica o paradoxo. </w:t>
      </w:r>
      <w:r w:rsidRPr="004033B7">
        <w:t xml:space="preserve">Nas palavras de um historiador judeu, «em 1934 os SS haviam-se tornado os elementos do partido </w:t>
      </w:r>
      <w:r w:rsidRPr="004033B7">
        <w:lastRenderedPageBreak/>
        <w:t>nazi mais favoráveis aos sionistas»</w:t>
      </w:r>
      <w:r w:rsidRPr="004033B7">
        <w:rPr>
          <w:rStyle w:val="Refdenotaderodap"/>
        </w:rPr>
        <w:footnoteReference w:id="289"/>
      </w:r>
      <w:r w:rsidRPr="004033B7">
        <w:t xml:space="preserve">. </w:t>
      </w:r>
      <w:r w:rsidR="00886738">
        <w:t xml:space="preserve">Finalmente, o próprio Führer resolveu o </w:t>
      </w:r>
      <w:r w:rsidR="00146F6D">
        <w:t>diferendo em Janeiro de 1938, determinando que continuasse a apoiar-se o sionismo na Palestina</w:t>
      </w:r>
      <w:r w:rsidR="00146F6D">
        <w:rPr>
          <w:rStyle w:val="Refdenotaderodap"/>
        </w:rPr>
        <w:footnoteReference w:id="290"/>
      </w:r>
      <w:r w:rsidR="00146F6D">
        <w:t xml:space="preserve">. </w:t>
      </w:r>
    </w:p>
    <w:p w:rsidR="00751A22" w:rsidRPr="004033B7" w:rsidRDefault="00751A22" w:rsidP="00751A22">
      <w:r w:rsidRPr="004033B7">
        <w:t xml:space="preserve">A visita de von Mildenstein teve uma segunda versão quatro anos </w:t>
      </w:r>
      <w:r>
        <w:t>depois</w:t>
      </w:r>
      <w:r w:rsidRPr="004033B7">
        <w:t xml:space="preserve">, quando o seu antigo subordinado Adolf Eichmann, promovido entretanto a especialista SS das questões judaicas e encarregado de organizar a emigração de judeus </w:t>
      </w:r>
      <w:r w:rsidR="006F497B">
        <w:t>—</w:t>
      </w:r>
      <w:r w:rsidR="00205A4D">
        <w:t xml:space="preserve"> </w:t>
      </w:r>
      <w:r w:rsidRPr="004033B7">
        <w:t xml:space="preserve">mais tarde o seu extermínio </w:t>
      </w:r>
      <w:r w:rsidR="006F497B">
        <w:t>—</w:t>
      </w:r>
      <w:r w:rsidRPr="004033B7">
        <w:t xml:space="preserve"> foi convidado </w:t>
      </w:r>
      <w:r w:rsidR="00135872">
        <w:t xml:space="preserve">por </w:t>
      </w:r>
      <w:r w:rsidR="00135872" w:rsidRPr="00DD2CF0">
        <w:t>Feivel Polkes</w:t>
      </w:r>
      <w:r w:rsidR="00135872" w:rsidRPr="004033B7">
        <w:t xml:space="preserve"> </w:t>
      </w:r>
      <w:r w:rsidRPr="004033B7">
        <w:t>a visitar a Palestina e conhecer os colonatos</w:t>
      </w:r>
      <w:r w:rsidR="00353AA1">
        <w:t xml:space="preserve">, juntamente com o </w:t>
      </w:r>
      <w:r w:rsidR="006851FB">
        <w:t xml:space="preserve">SS-Oberscharführer Herbert Hagen, </w:t>
      </w:r>
      <w:r w:rsidR="00353AA1">
        <w:t>novo chefe do Departamento de Questões Judaicas do SD</w:t>
      </w:r>
      <w:r w:rsidRPr="004033B7">
        <w:t xml:space="preserve">. </w:t>
      </w:r>
      <w:r w:rsidR="006F497B" w:rsidRPr="004033B7">
        <w:t xml:space="preserve">Chegados </w:t>
      </w:r>
      <w:r w:rsidRPr="004033B7">
        <w:t xml:space="preserve">a Haifa, </w:t>
      </w:r>
      <w:r w:rsidR="006F497B">
        <w:t xml:space="preserve">porém, </w:t>
      </w:r>
      <w:r w:rsidRPr="004033B7">
        <w:t xml:space="preserve">Eichmann e </w:t>
      </w:r>
      <w:r w:rsidR="000838D5">
        <w:t xml:space="preserve">Hagen </w:t>
      </w:r>
      <w:r w:rsidRPr="004033B7">
        <w:t>não conseguiram obter visto</w:t>
      </w:r>
      <w:r w:rsidR="00205A4D">
        <w:t>s</w:t>
      </w:r>
      <w:r w:rsidRPr="004033B7">
        <w:t xml:space="preserve"> de entrada das autoridades britânicas e viram-se obrigados a retroceder para o Egipto, onde tiveram várias reuniões com </w:t>
      </w:r>
      <w:r w:rsidR="00973C6F" w:rsidRPr="00973C6F">
        <w:t>Polkes</w:t>
      </w:r>
      <w:r w:rsidRPr="004033B7">
        <w:t xml:space="preserve">. De acordo com o relatório apresentado pelos dois membros dos SS, o agente sionista comunicara-lhes o apreço dos nacionalistas judeus pela política nacional-socialista, que favorecia a emigração para a Palestina, e decerto em sinal de gratidão prestara-lhes informações acerca </w:t>
      </w:r>
      <w:r w:rsidR="00973C6F">
        <w:t>das relações estabel</w:t>
      </w:r>
      <w:r w:rsidR="006D2594">
        <w:t>e</w:t>
      </w:r>
      <w:r w:rsidR="00973C6F">
        <w:t>cidas entre o nacionalismo árabe e o</w:t>
      </w:r>
      <w:r w:rsidR="006615E7">
        <w:t xml:space="preserve"> regime </w:t>
      </w:r>
      <w:r w:rsidR="00973C6F">
        <w:t xml:space="preserve">soviético bem como acerca </w:t>
      </w:r>
      <w:r w:rsidRPr="004033B7">
        <w:t>da actividade clandestina dos comunistas, incluindo os comunistas alemães</w:t>
      </w:r>
      <w:r w:rsidRPr="004033B7">
        <w:rPr>
          <w:rStyle w:val="Refdenotaderodap"/>
        </w:rPr>
        <w:footnoteReference w:id="291"/>
      </w:r>
      <w:r w:rsidRPr="004033B7">
        <w:t>. Duas décadas e meia mais tarde, depois de uma viagem menos amena, o perito SS do problema judeu visitaria finalmente Israel, mas para ser aí julgado e enforcado</w:t>
      </w:r>
      <w:r w:rsidR="00205A4D">
        <w:rPr>
          <w:rStyle w:val="Refdenotaderodap"/>
        </w:rPr>
        <w:footnoteReference w:id="292"/>
      </w:r>
      <w:r w:rsidRPr="004033B7">
        <w:t>. Ele manifestara, entretanto, um tão elevado apreço por Theodor Herzl, o fundador do sionismo, que parece ter presenciado discretamente as comemorações do trigésimo quinto aniversário da sua morte, pouco meses antes do início da guerra</w:t>
      </w:r>
      <w:r w:rsidRPr="004033B7">
        <w:rPr>
          <w:rStyle w:val="Refdenotaderodap"/>
        </w:rPr>
        <w:footnoteReference w:id="293"/>
      </w:r>
      <w:r w:rsidRPr="004033B7">
        <w:t>. Aliás, em Outubro de 1940, quando na Polónia ocupada estava já em curso a perseguição sistemática dos judeus, as autoridades naciona</w:t>
      </w:r>
      <w:r w:rsidR="00315D14">
        <w:t>l</w:t>
      </w:r>
      <w:r w:rsidRPr="004033B7">
        <w:t xml:space="preserve">-socialistas permitiram a realização no </w:t>
      </w:r>
      <w:r w:rsidRPr="004033B7">
        <w:rPr>
          <w:i/>
        </w:rPr>
        <w:t>ghetto</w:t>
      </w:r>
      <w:r w:rsidRPr="004033B7">
        <w:t xml:space="preserve"> de Kutno de cerimónias em homenagem à memória não só de Herzl mas de Jabotinsky também</w:t>
      </w:r>
      <w:r w:rsidRPr="004033B7">
        <w:rPr>
          <w:rStyle w:val="Refdenotaderodap"/>
        </w:rPr>
        <w:footnoteReference w:id="294"/>
      </w:r>
      <w:r w:rsidRPr="004033B7">
        <w:t>, apesar de o chefe do fascismo sionista ter declarado no ano anterior a sua adesão à causa britânica</w:t>
      </w:r>
      <w:r w:rsidRPr="004033B7">
        <w:rPr>
          <w:rStyle w:val="Refdenotaderodap"/>
        </w:rPr>
        <w:footnoteReference w:id="295"/>
      </w:r>
      <w:r w:rsidRPr="004033B7">
        <w:t xml:space="preserve">. </w:t>
      </w:r>
    </w:p>
    <w:p w:rsidR="00B938EC" w:rsidRDefault="00751A22" w:rsidP="00751A22">
      <w:r w:rsidRPr="004033B7">
        <w:t xml:space="preserve">Esta política de cooperação atingiu desde cedo uma expressão muito elaborada na Ha’avara, nome dado correntemente a uma instituição, ou conjunto de instituições, resultante do acordo comercial e financeiro que </w:t>
      </w:r>
      <w:r w:rsidR="000E707C">
        <w:t xml:space="preserve">os dirigentes </w:t>
      </w:r>
      <w:r w:rsidRPr="004033B7">
        <w:t xml:space="preserve">sionistas </w:t>
      </w:r>
      <w:r w:rsidR="006D2594">
        <w:t>firmaram</w:t>
      </w:r>
      <w:r w:rsidRPr="004033B7">
        <w:t xml:space="preserve"> em Agosto de 1933 com o </w:t>
      </w:r>
      <w:r w:rsidRPr="004033B7">
        <w:lastRenderedPageBreak/>
        <w:t xml:space="preserve">Ministério da Economia do Reich e o Ministério dos Negócios Estrangeiros para permitir a transferência de fundos pelos judeus alemães que desejassem fixar-se na Palestina. </w:t>
      </w:r>
      <w:r w:rsidR="00BF0726">
        <w:t xml:space="preserve">Este acordo teve um precedente </w:t>
      </w:r>
      <w:r w:rsidR="000E707C">
        <w:t>três meses antes</w:t>
      </w:r>
      <w:r w:rsidR="00BF0726">
        <w:t xml:space="preserve">, quando </w:t>
      </w:r>
      <w:r w:rsidR="00B82689">
        <w:t>um</w:t>
      </w:r>
      <w:r w:rsidR="00BF0726">
        <w:t xml:space="preserve">a empresa </w:t>
      </w:r>
      <w:r w:rsidR="00B82689">
        <w:t xml:space="preserve">sionista </w:t>
      </w:r>
      <w:r w:rsidR="008B0AD9">
        <w:t xml:space="preserve">de produção e comercialização de citrinos </w:t>
      </w:r>
      <w:r w:rsidR="00735430">
        <w:t xml:space="preserve">propôs ao Ministério da Economia do Reich a compra de artigos alemães, que seriam pagos pelos fundos detidos nas contas bancárias de emigrantes judeus, os quais, ao chegarem à Palestina, receberiam o valor equivalente em propriedade </w:t>
      </w:r>
      <w:r w:rsidR="00543277">
        <w:t>imobiliária</w:t>
      </w:r>
      <w:r w:rsidR="00735430">
        <w:t xml:space="preserve">. </w:t>
      </w:r>
      <w:r w:rsidR="00543277">
        <w:t xml:space="preserve">O mesmo método, sistematizado e ampliado, </w:t>
      </w:r>
      <w:r w:rsidR="00BF0726">
        <w:t xml:space="preserve">inspirou a </w:t>
      </w:r>
      <w:r w:rsidR="00BF0726" w:rsidRPr="004033B7">
        <w:t>Ha’avara</w:t>
      </w:r>
      <w:r w:rsidR="00BF0726">
        <w:t xml:space="preserve">, que </w:t>
      </w:r>
      <w:r w:rsidR="00543277">
        <w:t xml:space="preserve">se manteve </w:t>
      </w:r>
      <w:r w:rsidRPr="004033B7">
        <w:t>em vigor até ao começo da guerra mundial</w:t>
      </w:r>
      <w:r w:rsidR="00543277">
        <w:t>.</w:t>
      </w:r>
      <w:r w:rsidRPr="004033B7">
        <w:t xml:space="preserve"> </w:t>
      </w:r>
      <w:r w:rsidR="00543277" w:rsidRPr="004033B7">
        <w:t xml:space="preserve">Simplificando </w:t>
      </w:r>
      <w:r w:rsidRPr="004033B7">
        <w:t>os termos</w:t>
      </w:r>
      <w:r w:rsidR="00543277">
        <w:t xml:space="preserve"> da </w:t>
      </w:r>
      <w:r w:rsidR="00543277" w:rsidRPr="004033B7">
        <w:t>Ha’avara</w:t>
      </w:r>
      <w:r w:rsidR="00543277">
        <w:t>,</w:t>
      </w:r>
      <w:r w:rsidR="00BF0726">
        <w:t xml:space="preserve"> </w:t>
      </w:r>
      <w:r w:rsidR="000E707C">
        <w:t xml:space="preserve">um judeu </w:t>
      </w:r>
      <w:r w:rsidR="00430C50">
        <w:t xml:space="preserve">candidato à </w:t>
      </w:r>
      <w:r w:rsidR="000E707C">
        <w:t>emigra</w:t>
      </w:r>
      <w:r w:rsidR="00430C50">
        <w:t>ção</w:t>
      </w:r>
      <w:r w:rsidR="000E707C">
        <w:t xml:space="preserve"> para a Palestina </w:t>
      </w:r>
      <w:r w:rsidRPr="004033B7">
        <w:t>deposita</w:t>
      </w:r>
      <w:r w:rsidR="00304438">
        <w:t>va</w:t>
      </w:r>
      <w:r w:rsidRPr="004033B7">
        <w:t xml:space="preserve"> uma soma em marcos num banco </w:t>
      </w:r>
      <w:r w:rsidR="000E707C">
        <w:t>no Reich</w:t>
      </w:r>
      <w:r w:rsidRPr="004033B7">
        <w:t xml:space="preserve">, em conta bloqueada; em seguida assinava um contrato com um exportador alemão para enviar mercadorias para o estrangeiro, geralmente para a Palestina, embora </w:t>
      </w:r>
      <w:r w:rsidR="006D2594">
        <w:t xml:space="preserve">os </w:t>
      </w:r>
      <w:r w:rsidR="006D2594" w:rsidRPr="004033B7">
        <w:t xml:space="preserve">destinos </w:t>
      </w:r>
      <w:r w:rsidRPr="004033B7">
        <w:t xml:space="preserve">pudessem também </w:t>
      </w:r>
      <w:r w:rsidR="001417B6">
        <w:t>s</w:t>
      </w:r>
      <w:r w:rsidRPr="004033B7">
        <w:t xml:space="preserve">er outros; o exportador alemão era pago em marcos, com o dinheiro existente na conta bloqueada; a Agência Judaica da Palestina encarregava-se da venda das mercadorias exportadas; e uma vez desembarcado na Palestina o recém-chegado recebia em libras esterlinas o produto dessa venda, que lhe era entregue pela Agência Judaica. Sob o ponto de vista técnico a Ha’avara, próxima dos sistemas de </w:t>
      </w:r>
      <w:r w:rsidRPr="004033B7">
        <w:rPr>
          <w:i/>
        </w:rPr>
        <w:t>clearing,</w:t>
      </w:r>
      <w:r w:rsidRPr="004033B7">
        <w:t xml:space="preserve"> integrava-se nas manipulações monetárias e no controlo cambial que acompanharam a bilateralização do comércio externo na Europa central e oriental durante aquela década de profunda crise económica. A diferença provinha do facto de neste caso um dos artigos de exportação ser uma massa humana. As autoridades </w:t>
      </w:r>
      <w:r w:rsidR="00B938EC">
        <w:t>do Reich</w:t>
      </w:r>
      <w:r w:rsidRPr="004033B7">
        <w:t xml:space="preserve"> impunham condições especialmente desfavoráveis aos emigrantes e a economia germânica beneficiava com o fluxo das exportações. Mas, por seu lado, os judeus, pelo menos aqueles que tinham fortuna suficiente para participar na Ha’avara, reduziam as perdas acarretadas pelo abandono do país, que eram </w:t>
      </w:r>
      <w:r w:rsidR="00B938EC">
        <w:t xml:space="preserve">entre </w:t>
      </w:r>
      <w:r w:rsidRPr="004033B7">
        <w:t xml:space="preserve">três </w:t>
      </w:r>
      <w:r w:rsidR="00B938EC">
        <w:t xml:space="preserve">e </w:t>
      </w:r>
      <w:r w:rsidRPr="004033B7">
        <w:t xml:space="preserve">cinco vezes mais elevadas quando a emigração ocorria fora deste sistema. Ao mesmo tempo, os imigrantes viam-se detentores de investimentos bastante apreciáveis no novo lugar de residência. </w:t>
      </w:r>
    </w:p>
    <w:p w:rsidR="00751A22" w:rsidRPr="004033B7" w:rsidRDefault="00B938EC" w:rsidP="00751A22">
      <w:r w:rsidRPr="004033B7">
        <w:t xml:space="preserve">É </w:t>
      </w:r>
      <w:r w:rsidR="00751A22" w:rsidRPr="004033B7">
        <w:t xml:space="preserve">necessário discriminar as consequências da Ha’avara. Quanto aos haveres da comunidade judaica alemã, globalmente considerados, os efeitos não foram muito significativos, porque o acordo estabelecia para cada emigrante um limite de cinquenta mil marcos, correspondentes a vinte mil dólares ou quatro mil libras, o que o tornava pouco </w:t>
      </w:r>
      <w:r w:rsidR="00163F0E">
        <w:t>atraente</w:t>
      </w:r>
      <w:r w:rsidR="00751A22" w:rsidRPr="004033B7">
        <w:t xml:space="preserve"> para os possuidores das maiores fortunas. Assim, enquanto a emigração dos judeus alemães canalizou seiscentos e cinquenta milhões de dólares para os Estados Unidos e sessenta milhões para o Reino Unido, além de somas igualmente substanciais para outros países, em direcção à Palestina a Ha’avara teria apenas transferido, desde os finais de 1933 até 1941, cerca de trinta milhões de dólares e, segundo certos cálculos, talvez tivessem afluído mais setenta milhões </w:t>
      </w:r>
      <w:r w:rsidR="00751A22" w:rsidRPr="004033B7">
        <w:lastRenderedPageBreak/>
        <w:t xml:space="preserve">graças a outros acordos comerciais com o Reich e outros mecanismos bancários internacionais suscitados indirectamente pela Ha’avara. Qualquer que tivesse sido o montante absoluto das transferências, todavia, os seus efeitos foram muitíssimo consideráveis sob o ponto de vista da economia judaica na Palestina. Cerca de 60% dos investimentos totais realizados na Palestina entre Agosto de 1933 e Setembro de 1939 resultaram de transferências executadas no âmbito do acordo, sendo estes capitais aplicados sobretudo nos ramos da metalurgia, do têxtil e da indústria química, mas também em fábricas de cimento, de fertilizantes e de instrumentos agrícolas. Foi assim que nasceram algumas das maiores empresas industriais do futuro Estado de Israel. Num território pobre e numa comunidade </w:t>
      </w:r>
      <w:r w:rsidR="005B34FE">
        <w:t xml:space="preserve">pouco numerosa </w:t>
      </w:r>
      <w:r w:rsidR="00751A22" w:rsidRPr="004033B7">
        <w:t xml:space="preserve">estas somas eram muito </w:t>
      </w:r>
      <w:r w:rsidR="00163F0E">
        <w:t>apreciáveis</w:t>
      </w:r>
      <w:r w:rsidR="00751A22" w:rsidRPr="004033B7">
        <w:t xml:space="preserve"> e asseguraram grande prosperidade à Palestina num período em que todo o mundo, excepto a União Soviética, sofria uma prolongada depressão económica. Convertid</w:t>
      </w:r>
      <w:r w:rsidR="00751A22">
        <w:t>a</w:t>
      </w:r>
      <w:r w:rsidR="00751A22" w:rsidRPr="004033B7">
        <w:t xml:space="preserve"> numa importante instituição bancária e comercial, </w:t>
      </w:r>
      <w:r w:rsidRPr="004033B7">
        <w:t xml:space="preserve">a Ha’avara empregava </w:t>
      </w:r>
      <w:r w:rsidR="00751A22" w:rsidRPr="004033B7">
        <w:t>no auge da actividade um pessoal técnico de cento e trinta e sete pessoas nos seus escritórios de Jerusalém</w:t>
      </w:r>
      <w:r w:rsidR="00751A22" w:rsidRPr="004033B7">
        <w:rPr>
          <w:rStyle w:val="Refdenotaderodap"/>
        </w:rPr>
        <w:footnoteReference w:id="296"/>
      </w:r>
      <w:r w:rsidR="00751A22" w:rsidRPr="004033B7">
        <w:t xml:space="preserve">. </w:t>
      </w:r>
      <w:r w:rsidR="003F6671">
        <w:t xml:space="preserve">Wilhelm Stuckart, secretário de Estado </w:t>
      </w:r>
      <w:r w:rsidR="00640EAD">
        <w:t>n</w:t>
      </w:r>
      <w:r w:rsidR="003F6671">
        <w:t>o Ministério do Interior do Reich</w:t>
      </w:r>
      <w:r w:rsidR="00DF1952">
        <w:t>,</w:t>
      </w:r>
      <w:r w:rsidR="003F6671">
        <w:t xml:space="preserve"> que passados alguns anos desempenharia um papel importante </w:t>
      </w:r>
      <w:r w:rsidR="00126521">
        <w:t xml:space="preserve">no genocídio dos judeus, declarou num memorando de 17 de Dezembro de 1937 que «não há dúvida de que Ha’avara contribuiu </w:t>
      </w:r>
      <w:r w:rsidR="00793A57">
        <w:t>muitíssimo</w:t>
      </w:r>
      <w:r w:rsidR="00126521">
        <w:t xml:space="preserve"> para </w:t>
      </w:r>
      <w:r w:rsidR="00083FEA">
        <w:t>a</w:t>
      </w:r>
      <w:r w:rsidR="00793A57">
        <w:t xml:space="preserve"> </w:t>
      </w:r>
      <w:r w:rsidR="00083FEA">
        <w:t xml:space="preserve">edificação </w:t>
      </w:r>
      <w:r w:rsidR="00793A57">
        <w:t>fenomenalmente rápid</w:t>
      </w:r>
      <w:r w:rsidR="00083FEA">
        <w:t>a</w:t>
      </w:r>
      <w:r w:rsidR="00793A57">
        <w:t xml:space="preserve"> da Palestina»</w:t>
      </w:r>
      <w:r w:rsidR="00083FEA">
        <w:rPr>
          <w:rStyle w:val="Refdenotaderodap"/>
        </w:rPr>
        <w:footnoteReference w:id="297"/>
      </w:r>
      <w:r w:rsidR="00793A57">
        <w:t xml:space="preserve">. Como numa imagem simétrica, </w:t>
      </w:r>
      <w:r w:rsidR="00314E63" w:rsidRPr="004033B7">
        <w:t xml:space="preserve">depois </w:t>
      </w:r>
      <w:r w:rsidR="00751A22" w:rsidRPr="004033B7">
        <w:t>de analisar detalhadamente esta questão um historiador judeu concluiu que a Ha’avara foi indispensável para a constituição do futuro Estado de Israel</w:t>
      </w:r>
      <w:r w:rsidR="00751A22" w:rsidRPr="004033B7">
        <w:rPr>
          <w:rStyle w:val="Refdenotaderodap"/>
        </w:rPr>
        <w:footnoteReference w:id="298"/>
      </w:r>
      <w:r w:rsidR="00751A22" w:rsidRPr="004033B7">
        <w:t xml:space="preserve">. </w:t>
      </w:r>
    </w:p>
    <w:p w:rsidR="00751A22" w:rsidRPr="004033B7" w:rsidRDefault="00751A22" w:rsidP="00751A22">
      <w:r w:rsidRPr="004033B7">
        <w:t>E foi-o duplamente, porque quem podia recorrer aos mecanismos do acordo eram os ricos, ou pelo menos gente com certos bens, e não os pobres. Por outro lado, as autoridades britânicas na Palestina permitiam a entrada de quem trouxesse uma soma igual ou superior a mil libras, equivalente a cinco mil dólares, mesmo que estivesse preenchida a quota de imigração fixada para esse ano. Ora, já Theodor Herzl, na obra fundadora do movimento sionista, considerara que o processo de formação do Estado judaico só se encerraria quando conseguisse atrair as pessoas prósperas e, acima de tudo, as verdadeiramente ricas</w:t>
      </w:r>
      <w:r w:rsidRPr="004033B7">
        <w:rPr>
          <w:rStyle w:val="Refdenotaderodap"/>
        </w:rPr>
        <w:footnoteReference w:id="299"/>
      </w:r>
      <w:r w:rsidRPr="004033B7">
        <w:t xml:space="preserve">. Em Abril </w:t>
      </w:r>
      <w:r w:rsidRPr="004033B7">
        <w:lastRenderedPageBreak/>
        <w:t>de 1933 um dos participantes numa reunião executiva da Agência Judaica da Palestina preveni</w:t>
      </w:r>
      <w:r w:rsidR="00DC6AD0">
        <w:t>ra</w:t>
      </w:r>
      <w:r w:rsidRPr="004033B7">
        <w:t xml:space="preserve"> os seus colegas: «Corre-se o risco de os judeus alemães endinheirados irem para outros países e virem para aqui aqueles com falta de meios. Temos de encontrar uma solução para este problema»</w:t>
      </w:r>
      <w:r w:rsidRPr="004033B7">
        <w:rPr>
          <w:rStyle w:val="Refdenotaderodap"/>
        </w:rPr>
        <w:footnoteReference w:id="300"/>
      </w:r>
      <w:r w:rsidRPr="004033B7">
        <w:t>. E encontraram-na na Ha’avara. Enquanto os sionistas pobres marcavam passo</w:t>
      </w:r>
      <w:r w:rsidRPr="004033B7">
        <w:rPr>
          <w:rStyle w:val="Refdenotaderodap"/>
        </w:rPr>
        <w:footnoteReference w:id="301"/>
      </w:r>
      <w:r w:rsidRPr="004033B7">
        <w:t xml:space="preserve">, os mais ou menos ricos adiantavam-se, e </w:t>
      </w:r>
      <w:r w:rsidR="009053BD">
        <w:t xml:space="preserve">vinte mil </w:t>
      </w:r>
      <w:r w:rsidRPr="004033B7">
        <w:t>conseguiram estabelecer-se deste modo na Palestina</w:t>
      </w:r>
      <w:r w:rsidRPr="004033B7">
        <w:rPr>
          <w:rStyle w:val="Refdenotaderodap"/>
        </w:rPr>
        <w:footnoteReference w:id="302"/>
      </w:r>
      <w:r w:rsidRPr="004033B7">
        <w:t xml:space="preserve">. Em 24 de Agosto de 1933, no próprio dia em </w:t>
      </w:r>
      <w:r>
        <w:t xml:space="preserve">que </w:t>
      </w:r>
      <w:r w:rsidRPr="004033B7">
        <w:t xml:space="preserve">foram difundidos em todo o mundo os termos da Ha’avara, </w:t>
      </w:r>
      <w:r w:rsidR="003504AE">
        <w:t xml:space="preserve">o já nosso conhecido </w:t>
      </w:r>
      <w:r w:rsidRPr="004033B7">
        <w:t>Arthur Ruppin, especialista da Organização Sionista em problemas de migração e um dos membros da delegação que assinara o acordo de transferência, declarou no Congresso Sionista Mundial, reunido em Praga: «O número de judeus alemães que pode ser aceite na Palestina depende do capital que tragam consigo e das verbas que o judaísmo mundial contribua para este fim»</w:t>
      </w:r>
      <w:r w:rsidRPr="004033B7">
        <w:rPr>
          <w:rStyle w:val="Refdenotaderodap"/>
        </w:rPr>
        <w:footnoteReference w:id="303"/>
      </w:r>
      <w:r w:rsidRPr="004033B7">
        <w:t xml:space="preserve">. Não se tratava de salvar pessoas mas de importar capitais. </w:t>
      </w:r>
    </w:p>
    <w:p w:rsidR="00751A22" w:rsidRPr="004033B7" w:rsidRDefault="00751A22" w:rsidP="00751A22">
      <w:r w:rsidRPr="004033B7">
        <w:t xml:space="preserve">Alguns anos </w:t>
      </w:r>
      <w:r>
        <w:t xml:space="preserve">depois, </w:t>
      </w:r>
      <w:r w:rsidRPr="004033B7">
        <w:t>a</w:t>
      </w:r>
      <w:r w:rsidR="00DC6AD0">
        <w:t>quela</w:t>
      </w:r>
      <w:r w:rsidRPr="004033B7">
        <w:t xml:space="preserve"> hábil conversão das perseguições aos judeus em investimentos na Palestina adquiriu ainda maior amplitude com a criação da Agência Internacional de Comércio e Investimentos. Todas as somas enviadas a partir do estrangeiro com o objectivo de ajudar judeus residentes no Reich deixaram de ser entregues directamente aos destinatários e, através daquela Agência, passaram a ser creditadas a um departamento da Organização Sionista na Palestina, entrando então no quadro dos mecanismos estabelecidos pela Ha’avara. Deste modo mais de setenta mil doações, correspondentes a um</w:t>
      </w:r>
      <w:r w:rsidR="00DC6AD0">
        <w:t xml:space="preserve"> </w:t>
      </w:r>
      <w:r w:rsidRPr="004033B7">
        <w:t>total de quase novecentos mil dólares, em vez de serem empregues para aliviar os sofrimentos dos judeus perseguidos foram usadas para o desenvolvimento económico da Palestina judaica</w:t>
      </w:r>
      <w:r w:rsidRPr="004033B7">
        <w:rPr>
          <w:rStyle w:val="Refdenotaderodap"/>
        </w:rPr>
        <w:footnoteReference w:id="304"/>
      </w:r>
      <w:r w:rsidRPr="004033B7">
        <w:t xml:space="preserve">. </w:t>
      </w:r>
    </w:p>
    <w:p w:rsidR="00751A22" w:rsidRPr="004033B7" w:rsidRDefault="00751A22" w:rsidP="00751A22">
      <w:r w:rsidRPr="004033B7">
        <w:t>Interessados acima de tudo pela expansão tentacular da Ha’avara, os dirigentes sionistas assinaram um acordo semelhante com o governo polaco em Março de 1937</w:t>
      </w:r>
      <w:r w:rsidRPr="004033B7">
        <w:rPr>
          <w:rStyle w:val="Refdenotaderodap"/>
        </w:rPr>
        <w:footnoteReference w:id="305"/>
      </w:r>
      <w:r w:rsidRPr="004033B7">
        <w:t>, mas quando pretenderam ampliar o âmbito dos mecanismos de transferência entre o Reich e a Palestina e criar uma verdadeira instituição financeira, esta ansiosa boa vontade deparou com as reticências das autoridades naciona</w:t>
      </w:r>
      <w:r w:rsidR="00315D14">
        <w:t>l</w:t>
      </w:r>
      <w:r w:rsidRPr="004033B7">
        <w:t>-socialistas</w:t>
      </w:r>
      <w:r w:rsidRPr="004033B7">
        <w:rPr>
          <w:rStyle w:val="Refdenotaderodap"/>
        </w:rPr>
        <w:footnoteReference w:id="306"/>
      </w:r>
      <w:r w:rsidRPr="004033B7">
        <w:t xml:space="preserve">. Apesar de o acordo não ter ido tão longe </w:t>
      </w:r>
      <w:r w:rsidRPr="004033B7">
        <w:lastRenderedPageBreak/>
        <w:t xml:space="preserve">quanto os sionistas desejavam, chegara-se a uma situação paradoxal, pois ao mesmo tempo que judeus de vários países procuravam a todo o custo organizar o boicote dos produtos do Reich, a Organização Sionista Mundial violava as barreiras e a Palestina encontrava-se inundada de artigos </w:t>
      </w:r>
      <w:r w:rsidR="00CB2038">
        <w:t>germânicos</w:t>
      </w:r>
      <w:r w:rsidRPr="004033B7">
        <w:rPr>
          <w:rStyle w:val="Refdenotaderodap"/>
        </w:rPr>
        <w:footnoteReference w:id="307"/>
      </w:r>
      <w:r w:rsidRPr="004033B7">
        <w:t xml:space="preserve">. </w:t>
      </w:r>
      <w:r w:rsidR="00F430B7" w:rsidRPr="004033B7">
        <w:t>«Durante a década de 1930», escreve</w:t>
      </w:r>
      <w:r w:rsidR="00F430B7">
        <w:t>u</w:t>
      </w:r>
      <w:r w:rsidR="00F430B7" w:rsidRPr="004033B7">
        <w:t xml:space="preserve"> </w:t>
      </w:r>
      <w:r w:rsidR="00F430B7">
        <w:t>um académico judeu</w:t>
      </w:r>
      <w:r w:rsidR="00F430B7" w:rsidRPr="004033B7">
        <w:t>, «o movimento sionista deu a prioridade ao desenvolvimento económico da Palestina relativamente ao boicote das mercadorias alemãs»</w:t>
      </w:r>
      <w:r w:rsidR="00F430B7">
        <w:rPr>
          <w:rStyle w:val="Refdenotaderodap"/>
        </w:rPr>
        <w:footnoteReference w:id="308"/>
      </w:r>
      <w:r w:rsidR="00F430B7" w:rsidRPr="004033B7">
        <w:t>.</w:t>
      </w:r>
      <w:r w:rsidR="00F430B7">
        <w:t xml:space="preserve"> </w:t>
      </w:r>
      <w:r w:rsidR="008E5112" w:rsidRPr="004033B7">
        <w:t xml:space="preserve">A </w:t>
      </w:r>
      <w:r w:rsidR="00F430B7" w:rsidRPr="004033B7">
        <w:t xml:space="preserve">maior autoridade sobre o genocídio </w:t>
      </w:r>
      <w:r w:rsidR="00F430B7">
        <w:t xml:space="preserve">comentou que </w:t>
      </w:r>
      <w:r w:rsidRPr="004033B7">
        <w:t>«</w:t>
      </w:r>
      <w:r w:rsidR="00F430B7" w:rsidRPr="004033B7">
        <w:t>aparentemente</w:t>
      </w:r>
      <w:r w:rsidRPr="004033B7">
        <w:t>, as relações económicas entre a Alemanha nazi e a comunidade judaica da Palestina eram excelentes»</w:t>
      </w:r>
      <w:r w:rsidRPr="004033B7">
        <w:rPr>
          <w:rStyle w:val="Refdenotaderodap"/>
        </w:rPr>
        <w:footnoteReference w:id="309"/>
      </w:r>
      <w:r w:rsidRPr="004033B7">
        <w:t xml:space="preserve"> e outro historiador judeu, depois de analisar detalhadamente as conversações que levaram ao est</w:t>
      </w:r>
      <w:r>
        <w:t>abelecimento da Ha’avara, resumiu</w:t>
      </w:r>
      <w:r w:rsidRPr="004033B7">
        <w:t xml:space="preserve"> a situação</w:t>
      </w:r>
      <w:r w:rsidR="00F430B7">
        <w:t>:</w:t>
      </w:r>
      <w:r w:rsidRPr="004033B7">
        <w:t xml:space="preserve"> «Em breve os dirigentes sionistas compreenderam que o êxito económico da futura Palestina judaica estaria indissociavelmente ligado à sobrevivência da economia nazi»</w:t>
      </w:r>
      <w:r w:rsidRPr="004033B7">
        <w:rPr>
          <w:rStyle w:val="Refdenotaderodap"/>
        </w:rPr>
        <w:footnoteReference w:id="310"/>
      </w:r>
      <w:r w:rsidRPr="004033B7">
        <w:t>. Avaliadas em marcos, as exportações do Reich para a Palestina praticamente duplicaram entre 1933 e 1937</w:t>
      </w:r>
      <w:r w:rsidRPr="004033B7">
        <w:rPr>
          <w:rStyle w:val="Refdenotaderodap"/>
        </w:rPr>
        <w:footnoteReference w:id="311"/>
      </w:r>
      <w:r w:rsidRPr="004033B7">
        <w:t>, a tal ponto que o mercado local ficou saturado. A Organização Sionista fundou então uma casa comercial destinada a escoar produtos alemães para a Síria, o Iraque, o Egipto e outros países do Levante</w:t>
      </w:r>
      <w:r w:rsidRPr="004033B7">
        <w:rPr>
          <w:rStyle w:val="Refdenotaderodap"/>
        </w:rPr>
        <w:footnoteReference w:id="312"/>
      </w:r>
      <w:r w:rsidRPr="004033B7">
        <w:t xml:space="preserve"> e criou em 1936 outra firma com o intuito de vender </w:t>
      </w:r>
      <w:r w:rsidR="00B317D3">
        <w:t xml:space="preserve">esses </w:t>
      </w:r>
      <w:r w:rsidRPr="004033B7">
        <w:t>produtos na Grã-Bretanha; entretanto os judeus da Palestina fretavam em condições competitivas barcos alemães para exportar citrinos para a Bélgica e a Holanda</w:t>
      </w:r>
      <w:r w:rsidRPr="004033B7">
        <w:rPr>
          <w:rStyle w:val="Refdenotaderodap"/>
        </w:rPr>
        <w:footnoteReference w:id="313"/>
      </w:r>
      <w:r w:rsidRPr="004033B7">
        <w:t xml:space="preserve">. </w:t>
      </w:r>
    </w:p>
    <w:p w:rsidR="00751A22" w:rsidRPr="004033B7" w:rsidRDefault="00751A22" w:rsidP="00751A22">
      <w:r w:rsidRPr="004033B7">
        <w:t xml:space="preserve">As negociações que conduziram à Ha’avara e depois à sua implementação </w:t>
      </w:r>
      <w:r w:rsidR="00D01D4B">
        <w:t xml:space="preserve">provocaram </w:t>
      </w:r>
      <w:r w:rsidRPr="004033B7">
        <w:t xml:space="preserve">uma crise aguda no interior do sionismo, em que curiosamente as posições se inverteram. A iniciativa das conversações coubera a membros da ala maioritária, de </w:t>
      </w:r>
      <w:r w:rsidR="00377EE8">
        <w:t xml:space="preserve">tendência </w:t>
      </w:r>
      <w:r w:rsidRPr="004033B7">
        <w:t>democrática e libera</w:t>
      </w:r>
      <w:r w:rsidR="00377EE8">
        <w:t>l</w:t>
      </w:r>
      <w:r w:rsidRPr="004033B7">
        <w:t xml:space="preserve"> ou mesmo adepta de um socialismo moderado, e quem mais se opôs, além dos comunistas e socialistas de esquerda, foram os revisionistas, que </w:t>
      </w:r>
      <w:r w:rsidR="00377EE8">
        <w:t>já</w:t>
      </w:r>
      <w:r w:rsidRPr="004033B7">
        <w:t xml:space="preserve"> haviam sido os primeiros a declarar colectivamente um boicote às mercadorias alemãs</w:t>
      </w:r>
      <w:r w:rsidRPr="004033B7">
        <w:rPr>
          <w:rStyle w:val="Refdenotaderodap"/>
        </w:rPr>
        <w:footnoteReference w:id="314"/>
      </w:r>
      <w:r w:rsidRPr="004033B7">
        <w:t xml:space="preserve">. Não há grandes dúvidas de que os representantes de Jabotinsky na Palestina assassinaram, ou fizeram assassinar, o secretário político da Agência Judaica, um dos principais responsáveis pelas negociações com as autoridades do Reich e pela </w:t>
      </w:r>
      <w:r w:rsidR="00377EE8">
        <w:t>forma</w:t>
      </w:r>
      <w:r w:rsidRPr="004033B7">
        <w:t xml:space="preserve"> </w:t>
      </w:r>
      <w:r w:rsidR="00377EE8">
        <w:t xml:space="preserve">que os </w:t>
      </w:r>
      <w:r w:rsidRPr="004033B7">
        <w:t>mecanismos de transferência</w:t>
      </w:r>
      <w:r w:rsidR="00377EE8">
        <w:t xml:space="preserve"> viriam a adoptar</w:t>
      </w:r>
      <w:r w:rsidRPr="004033B7">
        <w:rPr>
          <w:rStyle w:val="Refdenotaderodap"/>
        </w:rPr>
        <w:footnoteReference w:id="315"/>
      </w:r>
      <w:r w:rsidRPr="004033B7">
        <w:t xml:space="preserve">. </w:t>
      </w:r>
      <w:r w:rsidRPr="004033B7">
        <w:lastRenderedPageBreak/>
        <w:t xml:space="preserve">Morte inútil, porque em nada impediu ou sequer atrasou a Ha’avara. É deveras extraordinário que os sionistas fascistas juntassem as suas vozes e as suas armas à extrema-esquerda para atacar os sionistas não fascistas por estes </w:t>
      </w:r>
      <w:r>
        <w:t>concluírem</w:t>
      </w:r>
      <w:r w:rsidRPr="004033B7">
        <w:t xml:space="preserve"> um acordo com os </w:t>
      </w:r>
      <w:r w:rsidR="00B22DFB">
        <w:t>fascistas alemães</w:t>
      </w:r>
      <w:r w:rsidRPr="004033B7">
        <w:rPr>
          <w:rStyle w:val="Refdenotaderodap"/>
        </w:rPr>
        <w:footnoteReference w:id="316"/>
      </w:r>
      <w:r w:rsidRPr="004033B7">
        <w:t xml:space="preserve">. Reciprocamente, no Congresso Sionista Mundial de Agosto e Setembro de 1933, iniciado poucos dias após a assinatura da Ha’avara, a facção maioritária, adepta da democracia e do socialismo moderado, esforçou-se por impedir quaisquer ataques </w:t>
      </w:r>
      <w:r w:rsidR="00B22DFB">
        <w:t xml:space="preserve">ao Terceiro Reich </w:t>
      </w:r>
      <w:r w:rsidRPr="004033B7">
        <w:t>e quaisquer apelos ao boicote e concentrou as energias no combate aos revisonistas, acusando-os de serem hitlerianos</w:t>
      </w:r>
      <w:r w:rsidRPr="004033B7">
        <w:rPr>
          <w:rStyle w:val="Refdenotaderodap"/>
        </w:rPr>
        <w:footnoteReference w:id="317"/>
      </w:r>
      <w:r w:rsidRPr="004033B7">
        <w:t xml:space="preserve">. </w:t>
      </w:r>
    </w:p>
    <w:p w:rsidR="00751A22" w:rsidRPr="004033B7" w:rsidRDefault="00751A22" w:rsidP="00751A22">
      <w:r w:rsidRPr="004033B7">
        <w:t xml:space="preserve">Decerto os judeus </w:t>
      </w:r>
      <w:r w:rsidR="00721B48">
        <w:t>do Reich</w:t>
      </w:r>
      <w:r w:rsidRPr="004033B7">
        <w:t xml:space="preserve"> pagaram, e muito caro, pelo privilégio de emigrar. Pagaram com dinheiro, </w:t>
      </w:r>
      <w:r w:rsidR="00721B48">
        <w:t>e o</w:t>
      </w:r>
      <w:r w:rsidRPr="004033B7">
        <w:t>s SS exigiam que os membros mais ricos da comunidade judaica custeassem não só a sua emigração como ainda a dos correligionários pobres, o que permitiu organizar rentavelmente uma expulsão em massa</w:t>
      </w:r>
      <w:r w:rsidRPr="004033B7">
        <w:rPr>
          <w:rStyle w:val="Refdenotaderodap"/>
        </w:rPr>
        <w:footnoteReference w:id="318"/>
      </w:r>
      <w:r w:rsidRPr="004033B7">
        <w:t xml:space="preserve">. </w:t>
      </w:r>
      <w:r w:rsidR="00721B48" w:rsidRPr="004033B7">
        <w:t xml:space="preserve">Pagaram </w:t>
      </w:r>
      <w:r w:rsidRPr="004033B7">
        <w:t xml:space="preserve">com a vida também, porque </w:t>
      </w:r>
      <w:r w:rsidR="00E5693D">
        <w:t xml:space="preserve">veio a verificar-se que </w:t>
      </w:r>
      <w:r w:rsidRPr="004033B7">
        <w:t xml:space="preserve">o envio </w:t>
      </w:r>
      <w:r w:rsidR="001161DA" w:rsidRPr="004033B7">
        <w:t xml:space="preserve">para campos de concentração </w:t>
      </w:r>
      <w:r w:rsidR="005379CF">
        <w:t xml:space="preserve">dos </w:t>
      </w:r>
      <w:r w:rsidR="00740AF9">
        <w:t xml:space="preserve">muitos </w:t>
      </w:r>
      <w:r w:rsidR="00721B48">
        <w:t xml:space="preserve">judeus </w:t>
      </w:r>
      <w:r w:rsidR="005379CF">
        <w:t xml:space="preserve">que restavam </w:t>
      </w:r>
      <w:r w:rsidRPr="004033B7">
        <w:t xml:space="preserve">serviu de moeda de troca para que </w:t>
      </w:r>
      <w:r w:rsidR="005379CF">
        <w:t xml:space="preserve">os outros </w:t>
      </w:r>
      <w:r w:rsidR="00E5693D">
        <w:t xml:space="preserve">tivessem </w:t>
      </w:r>
      <w:r w:rsidR="00370BDF">
        <w:t xml:space="preserve">antes </w:t>
      </w:r>
      <w:r w:rsidRPr="004033B7">
        <w:t>receb</w:t>
      </w:r>
      <w:r w:rsidR="00E5693D">
        <w:t>ido</w:t>
      </w:r>
      <w:r w:rsidRPr="004033B7">
        <w:t xml:space="preserve"> autorização </w:t>
      </w:r>
      <w:r w:rsidR="005379CF">
        <w:t>de</w:t>
      </w:r>
      <w:r w:rsidR="00370BDF">
        <w:t xml:space="preserve"> </w:t>
      </w:r>
      <w:r w:rsidRPr="004033B7">
        <w:t xml:space="preserve">partir. Nas palavras de uma intelectual judia, «a maioria dos judeus, que não havia sido seleccionada, ficou inevitavelmente confrontada com dois inimigos </w:t>
      </w:r>
      <w:r w:rsidR="0002316F">
        <w:t>—</w:t>
      </w:r>
      <w:r w:rsidRPr="004033B7">
        <w:t xml:space="preserve"> as autoridades nazis e as autoridades judaicas»</w:t>
      </w:r>
      <w:r w:rsidRPr="004033B7">
        <w:rPr>
          <w:rStyle w:val="Refdenotaderodap"/>
        </w:rPr>
        <w:footnoteReference w:id="319"/>
      </w:r>
      <w:r w:rsidRPr="004033B7">
        <w:t xml:space="preserve">. Ao ler o relato impiedoso daquela escritora fico tomado de vertigem, porque a minúcia burocrática com que eram prosseguidas as negociações entre os representantes sionistas e o departamento SS dedicado à questão judaica e a forma como regateavam quase </w:t>
      </w:r>
      <w:r w:rsidR="00721B48">
        <w:t xml:space="preserve">nos </w:t>
      </w:r>
      <w:r w:rsidRPr="004033B7">
        <w:t>faze</w:t>
      </w:r>
      <w:r w:rsidR="00721B48">
        <w:t>m</w:t>
      </w:r>
      <w:r w:rsidRPr="004033B7">
        <w:t xml:space="preserve"> esquecer que não se tratava de um vulgar negócio de gado, mas da condenação de um grande número de pessoas não só à morte mas, o que é bem pior, a indizíveis sofrimentos, para que um pequeno número fosse reforçar o prestígio dos grupos políticos que pretendiam fundar um novo Estado. </w:t>
      </w:r>
      <w:r w:rsidR="00E5693D">
        <w:t xml:space="preserve">Foi muita a </w:t>
      </w:r>
      <w:r w:rsidRPr="004033B7">
        <w:t xml:space="preserve">ansiedade de um lado em desembaraçar-se de toda essa gente e </w:t>
      </w:r>
      <w:r w:rsidR="00E5693D">
        <w:t xml:space="preserve">muita a </w:t>
      </w:r>
      <w:r w:rsidRPr="004033B7">
        <w:t xml:space="preserve"> avidez do outro lado em se apoderar </w:t>
      </w:r>
      <w:r w:rsidR="0002316F">
        <w:t xml:space="preserve">de alguma </w:t>
      </w:r>
      <w:r w:rsidRPr="004033B7">
        <w:t xml:space="preserve">dela. </w:t>
      </w:r>
    </w:p>
    <w:p w:rsidR="008C0672" w:rsidRDefault="008C0672" w:rsidP="008C0672">
      <w:pPr>
        <w:keepNext/>
        <w:spacing w:before="240" w:after="120"/>
        <w:ind w:firstLine="0"/>
        <w:jc w:val="center"/>
      </w:pPr>
      <w:r>
        <w:rPr>
          <w:b/>
          <w:sz w:val="28"/>
          <w:szCs w:val="28"/>
        </w:rPr>
        <w:t>4</w:t>
      </w:r>
    </w:p>
    <w:p w:rsidR="001F71FE" w:rsidRDefault="00751A22" w:rsidP="00751A22">
      <w:r w:rsidRPr="004033B7">
        <w:t xml:space="preserve">As medidas cada vez mais drásticas que as autoridades </w:t>
      </w:r>
      <w:r w:rsidR="00513101">
        <w:t>naciona</w:t>
      </w:r>
      <w:r w:rsidR="00C4747C">
        <w:t>l</w:t>
      </w:r>
      <w:r w:rsidR="00513101">
        <w:t>-socialistas</w:t>
      </w:r>
      <w:r w:rsidRPr="004033B7">
        <w:t xml:space="preserve"> tomaram contra os judeus, e mesmo a decisão última do genocídio, só puderam ser aplicadas na prática porque os judeus </w:t>
      </w:r>
      <w:r w:rsidR="00703118">
        <w:t>iam sendo</w:t>
      </w:r>
      <w:r w:rsidRPr="004033B7">
        <w:t xml:space="preserve"> sucessivamente divididos em dois grupos, um poupado e o outro sacrificado, e os que uma vez haviam sido beneficiados eram depois cindidos em dois grupos, e assim de novo, até que nenhum restasse. </w:t>
      </w:r>
      <w:r w:rsidR="00BD35BA">
        <w:t xml:space="preserve">Se Hitler tinha, como escreveu um biógrafo, «a arte de </w:t>
      </w:r>
      <w:r w:rsidR="00BD35BA">
        <w:lastRenderedPageBreak/>
        <w:t>contrapor uma esperança a cada medo que suscitava»</w:t>
      </w:r>
      <w:r w:rsidR="00BD35BA">
        <w:rPr>
          <w:rStyle w:val="Refdenotaderodap"/>
        </w:rPr>
        <w:footnoteReference w:id="320"/>
      </w:r>
      <w:r w:rsidR="00BD35BA">
        <w:t xml:space="preserve">, talvez </w:t>
      </w:r>
      <w:r w:rsidR="006A53E7">
        <w:t xml:space="preserve">fosse </w:t>
      </w:r>
      <w:r w:rsidR="00BD35BA">
        <w:t xml:space="preserve">na aniquilação dos judeus que este talento melhor se revelou. </w:t>
      </w:r>
      <w:r w:rsidRPr="004033B7">
        <w:t xml:space="preserve">Mas </w:t>
      </w:r>
      <w:r w:rsidR="00C4747C">
        <w:t xml:space="preserve">o critério constante que presidiu </w:t>
      </w:r>
      <w:r w:rsidR="00BD35BA">
        <w:t xml:space="preserve">àquelas </w:t>
      </w:r>
      <w:r w:rsidR="00C4747C">
        <w:t xml:space="preserve">divisões </w:t>
      </w:r>
      <w:r w:rsidR="0062705A">
        <w:t>consecutivas</w:t>
      </w:r>
      <w:r w:rsidR="00C4747C">
        <w:t xml:space="preserve"> </w:t>
      </w:r>
      <w:r w:rsidRPr="004033B7">
        <w:t xml:space="preserve">foi a </w:t>
      </w:r>
      <w:r w:rsidR="00C4747C">
        <w:t xml:space="preserve">distinção </w:t>
      </w:r>
      <w:r w:rsidRPr="004033B7">
        <w:t>entre a massa dos judeus e uma elite sionista</w:t>
      </w:r>
      <w:r w:rsidR="00C4747C">
        <w:t>,</w:t>
      </w:r>
      <w:r w:rsidRPr="004033B7">
        <w:t xml:space="preserve"> </w:t>
      </w:r>
      <w:r w:rsidR="00C4747C">
        <w:t xml:space="preserve">e os </w:t>
      </w:r>
      <w:r w:rsidR="00C72964">
        <w:t xml:space="preserve">SS </w:t>
      </w:r>
      <w:r w:rsidR="00C4747C">
        <w:t xml:space="preserve">encontraram sempre uma elite para </w:t>
      </w:r>
      <w:r w:rsidRPr="004033B7">
        <w:t>colabor</w:t>
      </w:r>
      <w:r w:rsidR="00C4747C">
        <w:t>ar</w:t>
      </w:r>
      <w:r w:rsidRPr="004033B7">
        <w:t xml:space="preserve"> com </w:t>
      </w:r>
      <w:r w:rsidR="00C4747C">
        <w:t>eles</w:t>
      </w:r>
      <w:r w:rsidRPr="004033B7">
        <w:t xml:space="preserve"> em todos os estádios do processo, até ao fim</w:t>
      </w:r>
      <w:r w:rsidRPr="004033B7">
        <w:rPr>
          <w:rStyle w:val="Refdenotaderodap"/>
        </w:rPr>
        <w:footnoteReference w:id="321"/>
      </w:r>
      <w:r w:rsidRPr="004033B7">
        <w:t xml:space="preserve">. </w:t>
      </w:r>
      <w:r w:rsidR="00F740D6">
        <w:t>Como observou um jornalista judeu holandês no diário que manteve no campo de trânsito de Westerbork, o regime nacional-socialista «usou judeus para apanhar judeus e entregar judeus e policiar judeus»</w:t>
      </w:r>
      <w:r w:rsidR="00F740D6">
        <w:rPr>
          <w:rStyle w:val="Refdenotaderodap"/>
        </w:rPr>
        <w:footnoteReference w:id="322"/>
      </w:r>
      <w:r w:rsidR="00F740D6">
        <w:t xml:space="preserve">. </w:t>
      </w:r>
      <w:r w:rsidRPr="004033B7">
        <w:t xml:space="preserve">É desta maneira, e apenas desta maneira, que </w:t>
      </w:r>
      <w:r>
        <w:t xml:space="preserve">se explica </w:t>
      </w:r>
      <w:r w:rsidRPr="004033B7">
        <w:t xml:space="preserve">a facilidade com que </w:t>
      </w:r>
      <w:r w:rsidR="00F740D6" w:rsidRPr="004033B7">
        <w:t xml:space="preserve">os judeus </w:t>
      </w:r>
      <w:r w:rsidR="00F740D6">
        <w:t xml:space="preserve">foram </w:t>
      </w:r>
      <w:r w:rsidRPr="004033B7">
        <w:t>progressivamente exclu</w:t>
      </w:r>
      <w:r w:rsidR="00696005">
        <w:t>í</w:t>
      </w:r>
      <w:r w:rsidRPr="004033B7">
        <w:t>do</w:t>
      </w:r>
      <w:r w:rsidR="00F740D6">
        <w:t>s</w:t>
      </w:r>
      <w:r w:rsidRPr="004033B7">
        <w:t xml:space="preserve"> da vida profissional e </w:t>
      </w:r>
      <w:r w:rsidR="00370BDF">
        <w:t xml:space="preserve">depois </w:t>
      </w:r>
      <w:r w:rsidRPr="004033B7">
        <w:t>aprisiona</w:t>
      </w:r>
      <w:r w:rsidR="00F740D6">
        <w:t>dos</w:t>
      </w:r>
      <w:r w:rsidRPr="004033B7">
        <w:t xml:space="preserve"> sempre em maior número, obrig</w:t>
      </w:r>
      <w:r w:rsidR="00F740D6">
        <w:t>ados</w:t>
      </w:r>
      <w:r w:rsidRPr="004033B7">
        <w:t xml:space="preserve"> a formar brigadas de trabalho em que morriam de exaustão </w:t>
      </w:r>
      <w:r w:rsidR="00696005">
        <w:t xml:space="preserve">e afinal </w:t>
      </w:r>
      <w:r w:rsidR="00F740D6">
        <w:t>exterminados</w:t>
      </w:r>
      <w:r w:rsidRPr="004033B7">
        <w:t xml:space="preserve">. </w:t>
      </w:r>
    </w:p>
    <w:p w:rsidR="00B75278" w:rsidRDefault="00751A22" w:rsidP="00751A22">
      <w:r w:rsidRPr="004033B7">
        <w:t xml:space="preserve">Logo nos primeiros </w:t>
      </w:r>
      <w:r w:rsidR="00135872">
        <w:t>meses</w:t>
      </w:r>
      <w:r w:rsidRPr="004033B7">
        <w:t xml:space="preserve"> do </w:t>
      </w:r>
      <w:r w:rsidR="00C72964">
        <w:t>Terceiro Reich</w:t>
      </w:r>
      <w:r w:rsidRPr="004033B7">
        <w:t xml:space="preserve"> os sionistas tomaram a iniciativa de </w:t>
      </w:r>
      <w:r w:rsidR="006906DC">
        <w:t>federar</w:t>
      </w:r>
      <w:r w:rsidRPr="004033B7">
        <w:t xml:space="preserve"> numa instituição única, a Reichsvertretung der Juden in Deutschland, as organizações das comunidades judaicas, que até então haviam mantido em cada cidade uma existência autónoma. A justificação apresentada para esta medida foi a conveniência de iniciar um «debate aberto» e uma «polémica digna» com as novas autoridades acerca da questão judaica</w:t>
      </w:r>
      <w:r w:rsidRPr="004033B7">
        <w:rPr>
          <w:rStyle w:val="Refdenotaderodap"/>
        </w:rPr>
        <w:footnoteReference w:id="323"/>
      </w:r>
      <w:r w:rsidRPr="004033B7">
        <w:t>. A obsessão sionista de chegar a um entendimento com os anti-semitas criou a armadilha que serviu para aprisionar todos os judeus</w:t>
      </w:r>
      <w:r w:rsidR="006906DC">
        <w:t>.</w:t>
      </w:r>
      <w:r w:rsidRPr="004033B7">
        <w:t xml:space="preserve"> </w:t>
      </w:r>
      <w:r w:rsidR="007833B5">
        <w:t xml:space="preserve">No início de 1939 os próprios dirigentes sionistas, invocando razões de eficácia, </w:t>
      </w:r>
      <w:r w:rsidR="006906DC">
        <w:t>d</w:t>
      </w:r>
      <w:r w:rsidR="001471DB">
        <w:t>e</w:t>
      </w:r>
      <w:r w:rsidR="006906DC">
        <w:t xml:space="preserve">cidiram </w:t>
      </w:r>
      <w:r w:rsidR="007833B5">
        <w:t xml:space="preserve">converter </w:t>
      </w:r>
      <w:r w:rsidR="007833B5" w:rsidRPr="004033B7">
        <w:t>a Reichsvertretung</w:t>
      </w:r>
      <w:r w:rsidR="007833B5">
        <w:t xml:space="preserve"> n</w:t>
      </w:r>
      <w:r w:rsidR="007833B5" w:rsidRPr="004033B7">
        <w:t>uma Reichsvereinigung</w:t>
      </w:r>
      <w:r w:rsidR="007833B5">
        <w:t>, ou seja, transform</w:t>
      </w:r>
      <w:r w:rsidR="00533725">
        <w:t xml:space="preserve">aram-na </w:t>
      </w:r>
      <w:r w:rsidR="007833B5">
        <w:t xml:space="preserve">de </w:t>
      </w:r>
      <w:r w:rsidR="007833B5" w:rsidRPr="004033B7">
        <w:t xml:space="preserve">uma Representação </w:t>
      </w:r>
      <w:r w:rsidR="006906DC">
        <w:t xml:space="preserve">de carácter federativo </w:t>
      </w:r>
      <w:r w:rsidR="007833B5" w:rsidRPr="004033B7">
        <w:t>numa Associação</w:t>
      </w:r>
      <w:r w:rsidR="006906DC">
        <w:t xml:space="preserve"> centralizada</w:t>
      </w:r>
      <w:r w:rsidR="007833B5" w:rsidRPr="004033B7">
        <w:t xml:space="preserve">, </w:t>
      </w:r>
      <w:r w:rsidR="006906DC">
        <w:t xml:space="preserve">o que permitiu à Gestapo exercer um controlo mais estrito. </w:t>
      </w:r>
      <w:r w:rsidR="00B75278">
        <w:t xml:space="preserve">Poucos meses depois, </w:t>
      </w:r>
      <w:r w:rsidR="006061E9">
        <w:t xml:space="preserve">em Outubro, </w:t>
      </w:r>
      <w:r w:rsidR="00B75278">
        <w:t xml:space="preserve">começada </w:t>
      </w:r>
      <w:r w:rsidR="00AB50FD">
        <w:t xml:space="preserve">a guerra, </w:t>
      </w:r>
      <w:r w:rsidR="00AB50FD" w:rsidRPr="004033B7">
        <w:t xml:space="preserve">uma </w:t>
      </w:r>
      <w:r w:rsidRPr="004033B7">
        <w:t>ordem administrativa determinou que tanto no Reich como nos territórios ocupados militarmente as comunidades judaicas estabelecessem Conselhos</w:t>
      </w:r>
      <w:r>
        <w:t>, Judenräte</w:t>
      </w:r>
      <w:r w:rsidRPr="004033B7">
        <w:rPr>
          <w:rStyle w:val="Refdenotaderodap"/>
        </w:rPr>
        <w:footnoteReference w:id="324"/>
      </w:r>
      <w:r w:rsidR="00B75278">
        <w:t>.</w:t>
      </w:r>
      <w:r w:rsidRPr="004033B7">
        <w:t xml:space="preserve"> </w:t>
      </w:r>
      <w:r w:rsidR="00E477A2">
        <w:t xml:space="preserve">«Para todos os efeitos», observou um historiador referindo-se à </w:t>
      </w:r>
      <w:r w:rsidR="00B75278">
        <w:t xml:space="preserve">recém-criada </w:t>
      </w:r>
      <w:r w:rsidR="00E477A2" w:rsidRPr="004033B7">
        <w:t>Reichsvereinigung der Juden in Deutschland</w:t>
      </w:r>
      <w:r w:rsidR="00E477A2">
        <w:t>, «tratava-se de um Conselho Judaico à escala nacional»</w:t>
      </w:r>
      <w:r w:rsidR="00E477A2">
        <w:rPr>
          <w:rStyle w:val="Refdenotaderodap"/>
        </w:rPr>
        <w:footnoteReference w:id="325"/>
      </w:r>
      <w:r w:rsidR="00E477A2">
        <w:t xml:space="preserve">. </w:t>
      </w:r>
      <w:r w:rsidR="00B75278">
        <w:t xml:space="preserve">Nesta </w:t>
      </w:r>
      <w:r w:rsidR="00B75278" w:rsidRPr="004033B7">
        <w:t xml:space="preserve">Reichsvereinigung os </w:t>
      </w:r>
      <w:r w:rsidR="00E477A2">
        <w:t>nacionais-socialistas</w:t>
      </w:r>
      <w:r w:rsidR="00E477A2" w:rsidRPr="004033B7">
        <w:t xml:space="preserve"> passaram a ter ao seu dispor o mecanismo que </w:t>
      </w:r>
      <w:r w:rsidR="00E477A2">
        <w:t xml:space="preserve">os auxiliaria </w:t>
      </w:r>
      <w:r w:rsidR="00E477A2" w:rsidRPr="004033B7">
        <w:t xml:space="preserve">a implementar </w:t>
      </w:r>
      <w:r w:rsidR="00E477A2">
        <w:t xml:space="preserve">a </w:t>
      </w:r>
      <w:r w:rsidR="00E477A2" w:rsidRPr="004033B7">
        <w:t>«solução final»</w:t>
      </w:r>
      <w:r w:rsidR="00C5197F">
        <w:t xml:space="preserve"> sobre os judeus do Reich</w:t>
      </w:r>
      <w:r w:rsidR="00E477A2" w:rsidRPr="004033B7">
        <w:t xml:space="preserve">. Por um lado, </w:t>
      </w:r>
      <w:r w:rsidR="00C5197F">
        <w:t xml:space="preserve">a </w:t>
      </w:r>
      <w:r w:rsidR="00C5197F" w:rsidRPr="004033B7">
        <w:t>Reichsvereinigung</w:t>
      </w:r>
      <w:r w:rsidR="00E477A2" w:rsidRPr="004033B7">
        <w:t xml:space="preserve"> prosseguiu as antigas funções, administrando as escolas judaicas e </w:t>
      </w:r>
      <w:r w:rsidR="00E477A2" w:rsidRPr="004033B7">
        <w:lastRenderedPageBreak/>
        <w:t xml:space="preserve">exercendo a benemerência em benefício dos correligionários pobres. Por outro lado, porém, os </w:t>
      </w:r>
      <w:r w:rsidR="00B75278">
        <w:t xml:space="preserve">seus </w:t>
      </w:r>
      <w:r w:rsidR="00E477A2" w:rsidRPr="004033B7">
        <w:t xml:space="preserve">arquivos e os funcionários ficaram de um momento para o outro ao serviço directo das autoridades. Em 1941, quando começou a deportação </w:t>
      </w:r>
      <w:r w:rsidR="00E477A2">
        <w:t>massiv</w:t>
      </w:r>
      <w:r w:rsidR="00E477A2" w:rsidRPr="004033B7">
        <w:t xml:space="preserve">a para os campos de concentração, os funcionários da Reichsvereinigung que até então haviam tratado da emigração dos seus correligionários encarregaram-se de estabelecer as listas dos que seriam deportados e de notificá-los desta decisão, enquanto os funcionários da secção de estatística mantinham a Gestapo ao corrente das alterações demográficas das comunidades judaicas. </w:t>
      </w:r>
    </w:p>
    <w:p w:rsidR="003F07DD" w:rsidRDefault="00B75278" w:rsidP="00751A22">
      <w:r>
        <w:t xml:space="preserve">Por todo o lado os </w:t>
      </w:r>
      <w:r w:rsidR="00751A22" w:rsidRPr="004033B7">
        <w:t xml:space="preserve">chefes </w:t>
      </w:r>
      <w:r>
        <w:t xml:space="preserve">dos </w:t>
      </w:r>
      <w:r w:rsidRPr="004033B7">
        <w:t xml:space="preserve">Conselhos Judaicos </w:t>
      </w:r>
      <w:r w:rsidR="00751A22" w:rsidRPr="004033B7">
        <w:t>receberam poderes cada vez mais absolutos, passando com frequência a comportar-se como verdadeiros autocratas</w:t>
      </w:r>
      <w:r w:rsidR="00992EA1">
        <w:rPr>
          <w:rStyle w:val="Refdenotaderodap"/>
        </w:rPr>
        <w:footnoteReference w:id="326"/>
      </w:r>
      <w:r w:rsidR="00751A22" w:rsidRPr="004033B7">
        <w:t xml:space="preserve">. «O </w:t>
      </w:r>
      <w:r w:rsidR="00751A22" w:rsidRPr="004033B7">
        <w:rPr>
          <w:i/>
        </w:rPr>
        <w:t>Führerprinzip</w:t>
      </w:r>
      <w:r w:rsidR="00751A22" w:rsidRPr="004033B7">
        <w:t xml:space="preserve"> atrai alguns judeus», comentou em Outubro de 1940 </w:t>
      </w:r>
      <w:r w:rsidR="004131D4">
        <w:t xml:space="preserve">o </w:t>
      </w:r>
      <w:r w:rsidR="004131D4" w:rsidRPr="004033B7">
        <w:t>historiador judeu Emmanuel Ringelblum</w:t>
      </w:r>
      <w:r w:rsidR="004131D4">
        <w:t>,</w:t>
      </w:r>
      <w:r w:rsidR="004131D4" w:rsidRPr="004033B7">
        <w:t xml:space="preserve"> </w:t>
      </w:r>
      <w:r w:rsidR="00751A22" w:rsidRPr="004033B7">
        <w:t>e seis meses depois ele acus</w:t>
      </w:r>
      <w:r w:rsidR="00751A22">
        <w:t>ou</w:t>
      </w:r>
      <w:r w:rsidR="00751A22" w:rsidRPr="004033B7">
        <w:t xml:space="preserve"> o Conselho do </w:t>
      </w:r>
      <w:r w:rsidR="00751A22" w:rsidRPr="004033B7">
        <w:rPr>
          <w:i/>
        </w:rPr>
        <w:t>ghetto</w:t>
      </w:r>
      <w:r w:rsidR="00751A22" w:rsidRPr="004033B7">
        <w:t xml:space="preserve"> de Varsóvia de ter procedido à «adopção integral do </w:t>
      </w:r>
      <w:r w:rsidR="00751A22" w:rsidRPr="004033B7">
        <w:rPr>
          <w:i/>
        </w:rPr>
        <w:t>Führerprinzip</w:t>
      </w:r>
      <w:r w:rsidR="00751A22" w:rsidRPr="004033B7">
        <w:t>»</w:t>
      </w:r>
      <w:r w:rsidR="00751A22" w:rsidRPr="004033B7">
        <w:rPr>
          <w:rStyle w:val="Refdenotaderodap"/>
        </w:rPr>
        <w:footnoteReference w:id="327"/>
      </w:r>
      <w:r w:rsidR="00751A22" w:rsidRPr="004033B7">
        <w:t xml:space="preserve">. </w:t>
      </w:r>
      <w:r w:rsidR="00A502B2">
        <w:t>Aliás,</w:t>
      </w:r>
      <w:r w:rsidR="00751A22" w:rsidRPr="004033B7">
        <w:t xml:space="preserve"> se os membros </w:t>
      </w:r>
      <w:r>
        <w:t>desses</w:t>
      </w:r>
      <w:r w:rsidR="00751A22" w:rsidRPr="004033B7">
        <w:t xml:space="preserve"> Conselhos imita</w:t>
      </w:r>
      <w:r w:rsidR="00751A22">
        <w:t>vam</w:t>
      </w:r>
      <w:r w:rsidR="00751A22" w:rsidRPr="004033B7">
        <w:t xml:space="preserve"> o estilo dos potentados </w:t>
      </w:r>
      <w:r w:rsidR="008F7C96">
        <w:t xml:space="preserve">nacional-socialistas </w:t>
      </w:r>
      <w:r w:rsidR="00751A22" w:rsidRPr="004033B7">
        <w:t>era talvez porque também os dirigentes revisionistas haviam estimado as maneiras militares e se tinham feito acompanhar por milícias uniformizadas. As autoridades naciona</w:t>
      </w:r>
      <w:r w:rsidR="00315D14">
        <w:t>l</w:t>
      </w:r>
      <w:r w:rsidR="00751A22" w:rsidRPr="004033B7">
        <w:t xml:space="preserve">-socialistas estipulavam os números globais dos judeus que deviam formar as brigadas de trabalho gratuito e dos que se destinavam a ser enviados para os campos de concentração, assim como mais tarde determinavam quantos deviam ser incluídos em cada etapa sucessiva do programa de extermínio. Mas eram os Conselhos Judaicos quem distribuía aos seus correligionários a estrela amarela; eram eles quem organizava o recrutamento para o trabalho forçado; eram eles quem detalhava as listas nominais dos judeus que deviam ser internados nos campos e que posteriormente seguiam para a morte colectiva; eram eles quem registava com minúcia os haveres das vítimas, </w:t>
      </w:r>
      <w:r w:rsidR="00751A22">
        <w:t>facilitando a</w:t>
      </w:r>
      <w:r w:rsidR="00751A22" w:rsidRPr="004033B7">
        <w:t xml:space="preserve">os serviços competentes do Reich o sequestro e </w:t>
      </w:r>
      <w:r w:rsidR="00751A22">
        <w:t>a</w:t>
      </w:r>
      <w:r w:rsidR="00751A22" w:rsidRPr="004033B7">
        <w:t xml:space="preserve"> expropriação</w:t>
      </w:r>
      <w:r w:rsidR="00DF77D7">
        <w:t>.</w:t>
      </w:r>
      <w:r w:rsidR="00751A22" w:rsidRPr="004033B7">
        <w:t xml:space="preserve"> </w:t>
      </w:r>
      <w:r w:rsidR="00DF77D7">
        <w:t xml:space="preserve">Depois de considerar, referindo-se </w:t>
      </w:r>
      <w:r w:rsidR="00CE59AC">
        <w:t>ao Governo-Geral</w:t>
      </w:r>
      <w:r w:rsidR="00DF77D7">
        <w:t xml:space="preserve">, que «o Conselho Judaico (Judenrat) era o mais </w:t>
      </w:r>
      <w:r w:rsidR="000E5143">
        <w:t>eficaz</w:t>
      </w:r>
      <w:r w:rsidR="00DF77D7">
        <w:t xml:space="preserve"> instrumento de controlo germânico sobre a população judaica», um historiador </w:t>
      </w:r>
      <w:r w:rsidR="0014446E">
        <w:t xml:space="preserve">israelita </w:t>
      </w:r>
      <w:r w:rsidR="00DF77D7">
        <w:t>acrescentou que os recenseamentos foram a sua actividade mais nociva</w:t>
      </w:r>
      <w:r w:rsidR="00DF77D7">
        <w:rPr>
          <w:rStyle w:val="Refdenotaderodap"/>
        </w:rPr>
        <w:footnoteReference w:id="328"/>
      </w:r>
      <w:r w:rsidR="00DF77D7">
        <w:t xml:space="preserve">. </w:t>
      </w:r>
      <w:r w:rsidR="00A502B2" w:rsidRPr="004033B7">
        <w:t>Observa</w:t>
      </w:r>
      <w:r w:rsidR="00A502B2">
        <w:t>ndo</w:t>
      </w:r>
      <w:r w:rsidR="00A502B2" w:rsidRPr="004033B7">
        <w:t xml:space="preserve"> que teria sido possível aos Conselhos Judaicos, em vez de consentirem numa colaboração infame, deixarem as autoridades naciona</w:t>
      </w:r>
      <w:r w:rsidR="00A502B2">
        <w:t>l</w:t>
      </w:r>
      <w:r w:rsidR="00A502B2" w:rsidRPr="004033B7">
        <w:t>-socialistas seleccionar as vítimas, um judeu que dedicou a vida à perseguição dos responsáveis pelo genocídio conclui</w:t>
      </w:r>
      <w:r w:rsidR="00A502B2">
        <w:t>u</w:t>
      </w:r>
      <w:r w:rsidR="00A502B2" w:rsidRPr="004033B7">
        <w:t xml:space="preserve"> desoladamente: «No entanto, só em casos excepcionais os Conselhos Judaicos preferiram o suicídio à colaboração»</w:t>
      </w:r>
      <w:r w:rsidR="00A502B2" w:rsidRPr="004033B7">
        <w:rPr>
          <w:rStyle w:val="Refdenotaderodap"/>
        </w:rPr>
        <w:footnoteReference w:id="329"/>
      </w:r>
      <w:r w:rsidR="00A502B2" w:rsidRPr="004033B7">
        <w:t>.</w:t>
      </w:r>
      <w:r w:rsidR="00A502B2">
        <w:t xml:space="preserve"> </w:t>
      </w:r>
    </w:p>
    <w:p w:rsidR="00751A22" w:rsidRPr="004033B7" w:rsidRDefault="003F07DD" w:rsidP="00751A22">
      <w:r>
        <w:lastRenderedPageBreak/>
        <w:t xml:space="preserve">O </w:t>
      </w:r>
      <w:r w:rsidR="0062071A">
        <w:t xml:space="preserve">conjunto </w:t>
      </w:r>
      <w:r>
        <w:t>de</w:t>
      </w:r>
      <w:r w:rsidR="0062071A">
        <w:t xml:space="preserve"> funções</w:t>
      </w:r>
      <w:r>
        <w:t xml:space="preserve"> que assumiam</w:t>
      </w:r>
      <w:r w:rsidR="0062071A">
        <w:t xml:space="preserve">, e sem dúvida o carácter venal e o clientelismo que os caracterizavam, </w:t>
      </w:r>
      <w:r w:rsidR="00B71DEA">
        <w:t xml:space="preserve">levaram os Conselhos a empregar uma numerosíssima burocracia, cerca de seis mil pessoas </w:t>
      </w:r>
      <w:r w:rsidR="004E36E4">
        <w:t xml:space="preserve">repartidas por uma variedade de departamentos </w:t>
      </w:r>
      <w:r w:rsidR="00B71DEA">
        <w:t xml:space="preserve">em meados de 1941 </w:t>
      </w:r>
      <w:r w:rsidR="0021422E">
        <w:t>no caso do Conselho de Varsóvia</w:t>
      </w:r>
      <w:r w:rsidR="002F2E76">
        <w:rPr>
          <w:rStyle w:val="Refdenotaderodap"/>
        </w:rPr>
        <w:footnoteReference w:id="330"/>
      </w:r>
      <w:r w:rsidR="0021422E">
        <w:t>, que além dis</w:t>
      </w:r>
      <w:r w:rsidR="00014285">
        <w:t>t</w:t>
      </w:r>
      <w:r w:rsidR="0021422E">
        <w:t xml:space="preserve">o dispunha </w:t>
      </w:r>
      <w:r w:rsidR="00FD4EB4">
        <w:t xml:space="preserve">no </w:t>
      </w:r>
      <w:r w:rsidR="00FD4EB4" w:rsidRPr="00D21F64">
        <w:rPr>
          <w:i/>
        </w:rPr>
        <w:t>ghetto</w:t>
      </w:r>
      <w:r w:rsidR="00FD4EB4">
        <w:t xml:space="preserve"> </w:t>
      </w:r>
      <w:r w:rsidR="0021422E">
        <w:t xml:space="preserve">de </w:t>
      </w:r>
      <w:r w:rsidR="001F3253" w:rsidRPr="004033B7">
        <w:t xml:space="preserve">uma poderosa e tentacular </w:t>
      </w:r>
      <w:r w:rsidR="0021422E">
        <w:t xml:space="preserve">Polícia Judaica </w:t>
      </w:r>
      <w:r w:rsidR="00FD4EB4">
        <w:t>com dois mil membros</w:t>
      </w:r>
      <w:r w:rsidR="00FD4EB4">
        <w:rPr>
          <w:rStyle w:val="Refdenotaderodap"/>
        </w:rPr>
        <w:footnoteReference w:id="331"/>
      </w:r>
      <w:r w:rsidR="00FD4EB4">
        <w:t xml:space="preserve">. </w:t>
      </w:r>
      <w:r w:rsidR="00170D71" w:rsidRPr="004033B7">
        <w:t>Criada</w:t>
      </w:r>
      <w:r w:rsidR="00170D71">
        <w:t>s</w:t>
      </w:r>
      <w:r w:rsidR="00170D71" w:rsidRPr="004033B7">
        <w:t xml:space="preserve"> </w:t>
      </w:r>
      <w:r w:rsidR="00751A22" w:rsidRPr="004033B7">
        <w:t>expressamente para o efeito</w:t>
      </w:r>
      <w:r w:rsidR="001F3253">
        <w:t xml:space="preserve"> e obedecendo tanto às ordens dos Conselhos Judaicos como dos ocupantes</w:t>
      </w:r>
      <w:r w:rsidR="00751A22" w:rsidRPr="004033B7">
        <w:t xml:space="preserve">, </w:t>
      </w:r>
      <w:r w:rsidR="001F3253">
        <w:t xml:space="preserve">estas Polícias </w:t>
      </w:r>
      <w:r w:rsidR="00014285">
        <w:t>auxiliaram</w:t>
      </w:r>
      <w:r w:rsidR="001F3253">
        <w:t xml:space="preserve"> na cobraça dos impostos e escolta</w:t>
      </w:r>
      <w:r w:rsidR="00014285">
        <w:t>r</w:t>
      </w:r>
      <w:r w:rsidR="001F3253">
        <w:t xml:space="preserve">am os seus correligionários nas brigadas de trabalho obrigatório, assim como </w:t>
      </w:r>
      <w:r w:rsidR="00751A22" w:rsidRPr="004033B7">
        <w:t>ajud</w:t>
      </w:r>
      <w:r w:rsidR="001F3253">
        <w:t>aram</w:t>
      </w:r>
      <w:r w:rsidR="00751A22" w:rsidRPr="004033B7">
        <w:t xml:space="preserve"> a deter muitas centenas de milhares de judeus e a encaminhá-los ordeiramente para as estações ferroviárias de onde partiam para os locais de aprisionamento </w:t>
      </w:r>
      <w:r w:rsidR="00751A22">
        <w:t>e</w:t>
      </w:r>
      <w:r w:rsidR="00751A22" w:rsidRPr="004033B7">
        <w:t xml:space="preserve"> para o destino fatal. </w:t>
      </w:r>
      <w:r w:rsidR="00AE0E34">
        <w:t xml:space="preserve">Chegou a suceder que no </w:t>
      </w:r>
      <w:r w:rsidR="00721967" w:rsidRPr="00721967">
        <w:rPr>
          <w:i/>
        </w:rPr>
        <w:t>ghetto</w:t>
      </w:r>
      <w:r w:rsidR="00721967">
        <w:t xml:space="preserve"> de Vilnius, em Outubro de 1942, a Polícia Judaica, comandad</w:t>
      </w:r>
      <w:r w:rsidR="00EB28DC">
        <w:t>a</w:t>
      </w:r>
      <w:r w:rsidR="00721967">
        <w:t xml:space="preserve"> por um sionista da facção de Jabotinsky, se encarregasse da liquidação de quatrocentos correligionários</w:t>
      </w:r>
      <w:r w:rsidR="00AE0E34">
        <w:t>, por ordem das autoridades nacional-socialistas</w:t>
      </w:r>
      <w:r w:rsidR="005E49B2">
        <w:t>, e tivesse procedido depois a outras execuções</w:t>
      </w:r>
      <w:r w:rsidR="00AE0E34">
        <w:rPr>
          <w:rStyle w:val="Refdenotaderodap"/>
        </w:rPr>
        <w:footnoteReference w:id="332"/>
      </w:r>
      <w:r w:rsidR="00AE0E34">
        <w:t>.</w:t>
      </w:r>
      <w:r w:rsidR="00721967">
        <w:t xml:space="preserve"> </w:t>
      </w:r>
      <w:r w:rsidR="00F8223C">
        <w:t>Parece que em Fevereiro de 1943 a Polícia Judaica de Salónica não se comportou muito melhor</w:t>
      </w:r>
      <w:r w:rsidR="00F8223C">
        <w:rPr>
          <w:rStyle w:val="Refdenotaderodap"/>
        </w:rPr>
        <w:footnoteReference w:id="333"/>
      </w:r>
      <w:r w:rsidR="00F8223C">
        <w:t xml:space="preserve">. </w:t>
      </w:r>
    </w:p>
    <w:p w:rsidR="00751A22" w:rsidRPr="004033B7" w:rsidRDefault="00751A22" w:rsidP="00751A22">
      <w:r w:rsidRPr="004033B7">
        <w:t xml:space="preserve">No final de 1939 o Conselho do </w:t>
      </w:r>
      <w:r w:rsidRPr="004033B7">
        <w:rPr>
          <w:i/>
        </w:rPr>
        <w:t>ghetto</w:t>
      </w:r>
      <w:r w:rsidRPr="004033B7">
        <w:t xml:space="preserve"> de Varsóvia antecipou-se às decisões dos ocupantes e ofereceu-se para arrebanhar entre os seus correligionários a mão-de-obra obrigada aos serviços de trabalho gratuito. Quando o historiador judeu Emmanuel Ringelblum começou a organizar a rede de testemunhas e informadores que lhe permitiu, com sacrifício da vida, deixar para a posteridade a narrativa das atrocidades praticadas </w:t>
      </w:r>
      <w:r w:rsidR="005D2CA4" w:rsidRPr="004033B7">
        <w:t xml:space="preserve">na Polónia </w:t>
      </w:r>
      <w:r w:rsidRPr="004033B7">
        <w:t xml:space="preserve">pelos </w:t>
      </w:r>
      <w:r w:rsidR="00AB50FD">
        <w:t>nacionais-socialistas</w:t>
      </w:r>
      <w:r w:rsidRPr="004033B7">
        <w:t>, uma das suas primeiras precauções foi manter</w:t>
      </w:r>
      <w:r>
        <w:t>-se</w:t>
      </w:r>
      <w:r w:rsidRPr="004033B7">
        <w:t xml:space="preserve"> afastado do Conselho Judaico de Varsóvia e de todos os que com ele cooperavam; e com razão, porque a Polícia Judaica prendeu e remeteu para os campos de extermínio os colaboradores do projecto que lhe caíram nas mãos</w:t>
      </w:r>
      <w:r w:rsidRPr="004033B7">
        <w:rPr>
          <w:rStyle w:val="Refdenotaderodap"/>
        </w:rPr>
        <w:footnoteReference w:id="334"/>
      </w:r>
      <w:r w:rsidRPr="004033B7">
        <w:t xml:space="preserve">. Por algum motivo o cântico </w:t>
      </w:r>
      <w:r>
        <w:t>deste</w:t>
      </w:r>
      <w:r w:rsidRPr="004033B7">
        <w:t xml:space="preserve"> </w:t>
      </w:r>
      <w:r w:rsidRPr="004033B7">
        <w:rPr>
          <w:i/>
        </w:rPr>
        <w:t>ghetto</w:t>
      </w:r>
      <w:r w:rsidRPr="00503426">
        <w:rPr>
          <w:i/>
        </w:rPr>
        <w:t>,</w:t>
      </w:r>
      <w:r w:rsidRPr="004033B7">
        <w:t xml:space="preserve"> composto no final de 1940, estigmatizava os membros do Conselho, acusando-os de serem piores do que os </w:t>
      </w:r>
      <w:r w:rsidR="00AB50FD">
        <w:t>nacionais-socialistas</w:t>
      </w:r>
      <w:r w:rsidRPr="004033B7">
        <w:rPr>
          <w:rStyle w:val="Refdenotaderodap"/>
        </w:rPr>
        <w:footnoteReference w:id="335"/>
      </w:r>
      <w:r w:rsidR="0014446E">
        <w:t>, e a hostilidade que lhe</w:t>
      </w:r>
      <w:r w:rsidR="00A0230B">
        <w:t>s</w:t>
      </w:r>
      <w:r w:rsidR="0014446E">
        <w:t xml:space="preserve"> votava a maioria da população, </w:t>
      </w:r>
      <w:r w:rsidR="00A0230B">
        <w:t>se já era perceptível no início, aumentou ao longo do tempo</w:t>
      </w:r>
      <w:r w:rsidR="00A0230B">
        <w:rPr>
          <w:rStyle w:val="Refdenotaderodap"/>
        </w:rPr>
        <w:footnoteReference w:id="336"/>
      </w:r>
      <w:r w:rsidR="00A0230B">
        <w:t xml:space="preserve">. </w:t>
      </w:r>
      <w:r w:rsidR="009339EC">
        <w:t xml:space="preserve">Quando </w:t>
      </w:r>
      <w:r w:rsidRPr="009E405F">
        <w:t xml:space="preserve">os </w:t>
      </w:r>
      <w:r>
        <w:t>sobreviventes</w:t>
      </w:r>
      <w:r w:rsidRPr="009E405F">
        <w:t xml:space="preserve"> mais radicais, ou simplesmente mais corajosos, decidiram pôr termo à maneira submissa como oitenta e cinco por cento dos habitantes </w:t>
      </w:r>
      <w:r>
        <w:t>d</w:t>
      </w:r>
      <w:r w:rsidRPr="009E405F">
        <w:t xml:space="preserve">o </w:t>
      </w:r>
      <w:r w:rsidRPr="009E405F">
        <w:rPr>
          <w:i/>
        </w:rPr>
        <w:t>ghetto</w:t>
      </w:r>
      <w:r w:rsidRPr="009E405F">
        <w:t xml:space="preserve"> haviam </w:t>
      </w:r>
      <w:r w:rsidRPr="009E405F">
        <w:lastRenderedPageBreak/>
        <w:t>morrido de fome e doença ou sido entregues aos seus carrascos, começaram por isolar politicamente a direcção sionista do Conselho</w:t>
      </w:r>
      <w:r w:rsidR="00BC2647">
        <w:t>,</w:t>
      </w:r>
      <w:r w:rsidRPr="009E405F">
        <w:t xml:space="preserve"> </w:t>
      </w:r>
      <w:r w:rsidR="00BC2647">
        <w:t xml:space="preserve">«os cavalheiros do Conselho Judaico, que sacrificaram todos os judeus de Varsóvia», como lhes havia chamado em 1942 o escritor </w:t>
      </w:r>
      <w:r w:rsidR="00BC7697">
        <w:t>judeu</w:t>
      </w:r>
      <w:r w:rsidR="00BC2647">
        <w:t xml:space="preserve"> Jehoshua Perle. </w:t>
      </w:r>
      <w:r w:rsidR="00E0432C">
        <w:t xml:space="preserve">Em </w:t>
      </w:r>
      <w:r w:rsidR="007C7E07">
        <w:t xml:space="preserve">Julho de 1942 </w:t>
      </w:r>
      <w:r w:rsidR="00E0432C">
        <w:t>forma</w:t>
      </w:r>
      <w:r w:rsidR="009339EC">
        <w:t>ra-se</w:t>
      </w:r>
      <w:r w:rsidR="00E0432C">
        <w:t xml:space="preserve"> </w:t>
      </w:r>
      <w:r w:rsidR="003B6AEB">
        <w:t xml:space="preserve">no </w:t>
      </w:r>
      <w:r w:rsidR="003B6AEB" w:rsidRPr="003B6AEB">
        <w:rPr>
          <w:i/>
        </w:rPr>
        <w:t>ghetto</w:t>
      </w:r>
      <w:r w:rsidR="003B6AEB">
        <w:t xml:space="preserve"> </w:t>
      </w:r>
      <w:r w:rsidR="00E0432C">
        <w:t>um</w:t>
      </w:r>
      <w:r w:rsidR="007C7E07">
        <w:t>a</w:t>
      </w:r>
      <w:r w:rsidR="00E0432C">
        <w:t xml:space="preserve"> </w:t>
      </w:r>
      <w:r w:rsidR="007C7E07">
        <w:t xml:space="preserve">Organização de Luta Judaica, </w:t>
      </w:r>
      <w:r w:rsidR="00E0432C">
        <w:t xml:space="preserve">reunindo </w:t>
      </w:r>
      <w:r w:rsidR="00D63E37">
        <w:t xml:space="preserve">cerca de duzentos membros, </w:t>
      </w:r>
      <w:r w:rsidR="00E0432C">
        <w:t xml:space="preserve">que conseguiu obter armas graças aos contactos com a resistência comunista polaca. </w:t>
      </w:r>
      <w:r w:rsidR="002C11B1">
        <w:t>A primeira acção de envergadura que plane</w:t>
      </w:r>
      <w:r w:rsidR="003B6AEB">
        <w:t>ou</w:t>
      </w:r>
      <w:r w:rsidR="002C11B1">
        <w:t xml:space="preserve"> foi o assassinato do chefe da Polícia Judaica, </w:t>
      </w:r>
      <w:r w:rsidR="00E70DE7">
        <w:t xml:space="preserve">o que por si só é significativo, </w:t>
      </w:r>
      <w:r w:rsidR="002C11B1">
        <w:t>mas não consegui</w:t>
      </w:r>
      <w:r w:rsidR="003B6AEB">
        <w:t>u</w:t>
      </w:r>
      <w:r w:rsidR="002C11B1">
        <w:t xml:space="preserve"> efectuá-l</w:t>
      </w:r>
      <w:r w:rsidR="00D63E37">
        <w:t>a</w:t>
      </w:r>
      <w:r w:rsidR="002C11B1">
        <w:t xml:space="preserve"> e pouco depois</w:t>
      </w:r>
      <w:r w:rsidR="00D63E37">
        <w:t>,</w:t>
      </w:r>
      <w:r w:rsidR="002C11B1">
        <w:t xml:space="preserve"> </w:t>
      </w:r>
      <w:r w:rsidR="00D63E37">
        <w:t xml:space="preserve">em Agosto e Setembro, </w:t>
      </w:r>
      <w:r w:rsidR="002F7832">
        <w:t>a repressão conduzida pelos SS quase dizimou o grupo</w:t>
      </w:r>
      <w:r w:rsidR="00E70DE7">
        <w:t xml:space="preserve">. Apesar </w:t>
      </w:r>
      <w:r w:rsidR="002F7832">
        <w:t>dis</w:t>
      </w:r>
      <w:r w:rsidR="003B6AEB">
        <w:t>t</w:t>
      </w:r>
      <w:r w:rsidR="002F7832">
        <w:t xml:space="preserve">o </w:t>
      </w:r>
      <w:r w:rsidR="00E70DE7">
        <w:t xml:space="preserve">a Organização de Luta </w:t>
      </w:r>
      <w:r w:rsidR="002F7832">
        <w:t>sobrevive</w:t>
      </w:r>
      <w:r w:rsidR="005D2CA4">
        <w:t>u</w:t>
      </w:r>
      <w:r w:rsidR="00E70DE7">
        <w:t xml:space="preserve"> e</w:t>
      </w:r>
      <w:r w:rsidR="002F7832">
        <w:t xml:space="preserve"> </w:t>
      </w:r>
      <w:r w:rsidR="00E70DE7">
        <w:t xml:space="preserve">em </w:t>
      </w:r>
      <w:r w:rsidR="0048460E">
        <w:t xml:space="preserve">Outubro </w:t>
      </w:r>
      <w:r w:rsidR="002F7832">
        <w:t xml:space="preserve">tomou a iniciativa de agrupar correntes de esquerda, </w:t>
      </w:r>
      <w:r w:rsidR="0048460E">
        <w:t xml:space="preserve">tanto </w:t>
      </w:r>
      <w:r w:rsidR="002F7832">
        <w:t xml:space="preserve">socialistas </w:t>
      </w:r>
      <w:r w:rsidR="0048460E">
        <w:t>como</w:t>
      </w:r>
      <w:r w:rsidR="002F7832">
        <w:t xml:space="preserve"> comunistas, </w:t>
      </w:r>
      <w:r w:rsidR="0048460E">
        <w:t xml:space="preserve">e ainda </w:t>
      </w:r>
      <w:r w:rsidR="002F7832">
        <w:t xml:space="preserve">as juventudes sionistas de centro e esquerda. </w:t>
      </w:r>
      <w:r w:rsidR="00125CD2">
        <w:t xml:space="preserve">Entretanto os </w:t>
      </w:r>
      <w:r w:rsidR="002F7832">
        <w:t>revisionistas</w:t>
      </w:r>
      <w:r w:rsidR="00A92116">
        <w:t>,</w:t>
      </w:r>
      <w:r w:rsidR="002F7832">
        <w:t xml:space="preserve"> </w:t>
      </w:r>
      <w:r w:rsidR="00A92116">
        <w:t xml:space="preserve">incluindo </w:t>
      </w:r>
      <w:r w:rsidR="002F7832">
        <w:t>a Betar</w:t>
      </w:r>
      <w:r w:rsidR="00A92116">
        <w:t>,</w:t>
      </w:r>
      <w:r w:rsidR="002F7832">
        <w:t xml:space="preserve"> </w:t>
      </w:r>
      <w:r w:rsidR="00A92116">
        <w:t>tinham</w:t>
      </w:r>
      <w:r w:rsidR="002F7832">
        <w:t xml:space="preserve"> já </w:t>
      </w:r>
      <w:r w:rsidR="00A92116">
        <w:t xml:space="preserve">formado uma organização </w:t>
      </w:r>
      <w:r w:rsidR="002F7832">
        <w:t>armada</w:t>
      </w:r>
      <w:r w:rsidR="00A92116">
        <w:t xml:space="preserve"> independente</w:t>
      </w:r>
      <w:r w:rsidR="002F7832">
        <w:t>, sem que amb</w:t>
      </w:r>
      <w:r w:rsidR="00125CD2">
        <w:t>a</w:t>
      </w:r>
      <w:r w:rsidR="002F7832">
        <w:t xml:space="preserve">s </w:t>
      </w:r>
      <w:r w:rsidR="00125CD2">
        <w:t>a</w:t>
      </w:r>
      <w:r w:rsidR="002F7832">
        <w:t xml:space="preserve">s </w:t>
      </w:r>
      <w:r w:rsidR="00125CD2">
        <w:t xml:space="preserve">partes </w:t>
      </w:r>
      <w:r w:rsidR="002F7832">
        <w:t xml:space="preserve">coordenassem as actividades. </w:t>
      </w:r>
      <w:r w:rsidR="00E70DE7">
        <w:t xml:space="preserve">Os acontecimentos precipitaram-se em </w:t>
      </w:r>
      <w:r w:rsidR="004A345A">
        <w:t>Janeiro de 1943</w:t>
      </w:r>
      <w:r w:rsidR="005D2CA4">
        <w:t>,</w:t>
      </w:r>
      <w:r w:rsidR="00C73B90">
        <w:t xml:space="preserve"> </w:t>
      </w:r>
      <w:r w:rsidR="005D2CA4">
        <w:t xml:space="preserve">quando ocorreram </w:t>
      </w:r>
      <w:r w:rsidR="004A345A">
        <w:t xml:space="preserve">escaramuças com os SS no interior do </w:t>
      </w:r>
      <w:r w:rsidR="004A345A" w:rsidRPr="00125CD2">
        <w:rPr>
          <w:i/>
        </w:rPr>
        <w:t>ghetto</w:t>
      </w:r>
      <w:r w:rsidR="00125CD2" w:rsidRPr="00125CD2">
        <w:rPr>
          <w:i/>
        </w:rPr>
        <w:t>,</w:t>
      </w:r>
      <w:r w:rsidR="004A345A">
        <w:t xml:space="preserve"> e em </w:t>
      </w:r>
      <w:r w:rsidR="00125CD2">
        <w:t xml:space="preserve">preparação do confronto final, que parecia próximo, </w:t>
      </w:r>
      <w:r w:rsidR="004A345A">
        <w:t xml:space="preserve">a Organização de Luta executou </w:t>
      </w:r>
      <w:r w:rsidR="00125CD2">
        <w:t xml:space="preserve">alguns </w:t>
      </w:r>
      <w:r w:rsidR="004A345A">
        <w:t>membros da Polícia Judaica e outros colaboracionistas</w:t>
      </w:r>
      <w:r w:rsidR="00125CD2">
        <w:t xml:space="preserve">, </w:t>
      </w:r>
      <w:r w:rsidR="00AC622B">
        <w:t xml:space="preserve">de maneira a enfraquecer o Conselho. </w:t>
      </w:r>
      <w:r w:rsidR="005D2CA4">
        <w:t xml:space="preserve">Perante a generalização do </w:t>
      </w:r>
      <w:r w:rsidR="00B3241D" w:rsidRPr="004033B7">
        <w:t xml:space="preserve">ódio </w:t>
      </w:r>
      <w:r w:rsidR="005D2CA4">
        <w:t>a</w:t>
      </w:r>
      <w:r w:rsidR="00AC622B" w:rsidRPr="004033B7">
        <w:t>os membros da Polícia Judaica</w:t>
      </w:r>
      <w:r w:rsidR="00B3241D">
        <w:t>,</w:t>
      </w:r>
      <w:r w:rsidR="00AC622B" w:rsidRPr="004033B7">
        <w:t xml:space="preserve"> alvo</w:t>
      </w:r>
      <w:r w:rsidR="00B3241D">
        <w:t>s</w:t>
      </w:r>
      <w:r w:rsidR="00AC622B" w:rsidRPr="004033B7">
        <w:t xml:space="preserve"> de numerosas agressões</w:t>
      </w:r>
      <w:r w:rsidR="00B3241D">
        <w:t>,</w:t>
      </w:r>
      <w:r w:rsidR="00AC622B" w:rsidRPr="004033B7">
        <w:t xml:space="preserve"> </w:t>
      </w:r>
      <w:r w:rsidR="00AC622B">
        <w:t xml:space="preserve">o Conselho tentou inverter a situação </w:t>
      </w:r>
      <w:r w:rsidR="00B3241D">
        <w:t xml:space="preserve">e </w:t>
      </w:r>
      <w:r w:rsidR="000968D3">
        <w:t>contact</w:t>
      </w:r>
      <w:r w:rsidR="00B3241D">
        <w:t>ou</w:t>
      </w:r>
      <w:r w:rsidR="000968D3">
        <w:t xml:space="preserve"> a resist</w:t>
      </w:r>
      <w:r w:rsidR="00125CD2">
        <w:t>ê</w:t>
      </w:r>
      <w:r w:rsidR="000968D3">
        <w:t xml:space="preserve">ncia polaca para denunciar a Organização de Luta como </w:t>
      </w:r>
      <w:r w:rsidR="00125CD2">
        <w:t xml:space="preserve">um grupo de </w:t>
      </w:r>
      <w:r w:rsidR="000968D3">
        <w:t xml:space="preserve">aventureiros sem base de apoio. </w:t>
      </w:r>
      <w:r w:rsidR="00125CD2">
        <w:t xml:space="preserve">Todas as peças do jogo estavam prontas. </w:t>
      </w:r>
      <w:r w:rsidR="00D62E65">
        <w:t>Em Abril</w:t>
      </w:r>
      <w:r w:rsidR="007532BD">
        <w:t xml:space="preserve"> </w:t>
      </w:r>
      <w:r w:rsidR="00D62E65">
        <w:t xml:space="preserve">os SS decidiram liquidar o que restava do </w:t>
      </w:r>
      <w:r w:rsidR="00D62E65" w:rsidRPr="00125CD2">
        <w:rPr>
          <w:i/>
        </w:rPr>
        <w:t>ghetto</w:t>
      </w:r>
      <w:r w:rsidR="007532BD">
        <w:rPr>
          <w:i/>
        </w:rPr>
        <w:t>,</w:t>
      </w:r>
      <w:r w:rsidR="00D62E65">
        <w:t xml:space="preserve"> </w:t>
      </w:r>
      <w:r w:rsidR="007532BD">
        <w:t xml:space="preserve">mas </w:t>
      </w:r>
      <w:r w:rsidR="00955505">
        <w:t xml:space="preserve">a Organização de Luta contra-atacou e </w:t>
      </w:r>
      <w:r w:rsidR="007E503C">
        <w:t xml:space="preserve">os revisionistas fizeram o mesmo separadamente. Os confrontos </w:t>
      </w:r>
      <w:r w:rsidR="00955505">
        <w:t xml:space="preserve">de rua duraram de 19 </w:t>
      </w:r>
      <w:r w:rsidR="009339EC">
        <w:t>a</w:t>
      </w:r>
      <w:r w:rsidR="00955505">
        <w:t xml:space="preserve"> 28 de Abril, </w:t>
      </w:r>
      <w:r w:rsidR="007532BD">
        <w:t xml:space="preserve">quando </w:t>
      </w:r>
      <w:r w:rsidR="00955505">
        <w:t>os combatentes tiveram de retirar para subterrâneos já preparados</w:t>
      </w:r>
      <w:r w:rsidR="009339EC">
        <w:t xml:space="preserve">, </w:t>
      </w:r>
      <w:r w:rsidR="00C73B90">
        <w:t>d</w:t>
      </w:r>
      <w:r w:rsidR="009339EC">
        <w:t>e onde continuaram a luta</w:t>
      </w:r>
      <w:r w:rsidR="007532BD">
        <w:t xml:space="preserve"> até ao fim</w:t>
      </w:r>
      <w:r w:rsidR="006C562F">
        <w:t>, e</w:t>
      </w:r>
      <w:r w:rsidR="00955505">
        <w:t xml:space="preserve"> </w:t>
      </w:r>
      <w:r w:rsidR="006C562F">
        <w:t xml:space="preserve">só </w:t>
      </w:r>
      <w:r w:rsidR="00955505">
        <w:t>em 16 de Maio os SS der</w:t>
      </w:r>
      <w:r w:rsidR="00F76CE3">
        <w:t>am a resistência por terminada</w:t>
      </w:r>
      <w:r w:rsidRPr="009E405F">
        <w:rPr>
          <w:vertAlign w:val="superscript"/>
        </w:rPr>
        <w:footnoteReference w:id="337"/>
      </w:r>
      <w:r w:rsidRPr="009E405F">
        <w:t xml:space="preserve">. </w:t>
      </w:r>
      <w:r w:rsidR="00F76CE3">
        <w:t>Fo</w:t>
      </w:r>
      <w:r w:rsidR="00A15F1D">
        <w:t>ra</w:t>
      </w:r>
      <w:r w:rsidR="00F76CE3">
        <w:t xml:space="preserve"> necessário destruir </w:t>
      </w:r>
      <w:r w:rsidRPr="009E405F">
        <w:t xml:space="preserve">a rede de repressão e clientelismo que havia assegurado aos chefes sionistas o controlo do </w:t>
      </w:r>
      <w:r w:rsidRPr="009E405F">
        <w:rPr>
          <w:i/>
        </w:rPr>
        <w:t>ghetto</w:t>
      </w:r>
      <w:r w:rsidRPr="009E405F">
        <w:t xml:space="preserve"> </w:t>
      </w:r>
      <w:r w:rsidRPr="00503426">
        <w:t xml:space="preserve">de Varsóvia </w:t>
      </w:r>
      <w:r w:rsidR="00A15F1D">
        <w:t xml:space="preserve">para </w:t>
      </w:r>
      <w:r w:rsidRPr="009E405F">
        <w:t xml:space="preserve">que a insurreição </w:t>
      </w:r>
      <w:r w:rsidR="00A15F1D">
        <w:t xml:space="preserve">pudesse </w:t>
      </w:r>
      <w:r w:rsidRPr="009E405F">
        <w:t xml:space="preserve">deflagrar. Estes homens e mulheres heróicos, que se revoltaram sem esperança de sobrevivência pessoal, apenas para mostrar que era possível resistir, ditaram na prática a sentença </w:t>
      </w:r>
      <w:r>
        <w:t xml:space="preserve">moral </w:t>
      </w:r>
      <w:r w:rsidRPr="009E405F">
        <w:t>dos Conselhos Judaicos e dos seus colaboradores.</w:t>
      </w:r>
      <w:r>
        <w:t xml:space="preserve"> </w:t>
      </w:r>
      <w:r w:rsidR="00955505">
        <w:t>O reverso desta lição encontramo-lo</w:t>
      </w:r>
      <w:r w:rsidR="006C562F">
        <w:t>,</w:t>
      </w:r>
      <w:r w:rsidR="00955505">
        <w:t xml:space="preserve"> por exemplo</w:t>
      </w:r>
      <w:r w:rsidR="006C562F">
        <w:t>,</w:t>
      </w:r>
      <w:r w:rsidR="00955505">
        <w:t xml:space="preserve"> no </w:t>
      </w:r>
      <w:r w:rsidR="00403F2E">
        <w:t xml:space="preserve">campo de concentração de Theresienstadt. </w:t>
      </w:r>
      <w:r w:rsidR="00187B0D">
        <w:t xml:space="preserve">No segundo semestre de 1944 a propaganda </w:t>
      </w:r>
      <w:r w:rsidR="005B795D">
        <w:t>nacional-socialista</w:t>
      </w:r>
      <w:r w:rsidR="00187B0D">
        <w:t xml:space="preserve"> decidiu fazer um filme apresentando</w:t>
      </w:r>
      <w:r w:rsidR="00B13687">
        <w:t>-o</w:t>
      </w:r>
      <w:r w:rsidR="00187B0D">
        <w:t xml:space="preserve"> como uma localidade modelar, com biblioteca e piscina, e mostrando </w:t>
      </w:r>
      <w:r w:rsidR="00187B0D">
        <w:lastRenderedPageBreak/>
        <w:t xml:space="preserve">os judeus a tomar chá e </w:t>
      </w:r>
      <w:r w:rsidR="00156A99">
        <w:t xml:space="preserve">comer </w:t>
      </w:r>
      <w:r w:rsidR="00187B0D">
        <w:t xml:space="preserve">bolinhos ou a dançar ou </w:t>
      </w:r>
      <w:r w:rsidR="00C470FA">
        <w:t xml:space="preserve">a trabalhar </w:t>
      </w:r>
      <w:r w:rsidR="00187B0D">
        <w:t xml:space="preserve">em oficinas asseadas. </w:t>
      </w:r>
      <w:r w:rsidR="00B03B30">
        <w:t xml:space="preserve">Da realização e do guião ficou encarregado o cineasta </w:t>
      </w:r>
      <w:r w:rsidR="005B795D">
        <w:t xml:space="preserve">e actor </w:t>
      </w:r>
      <w:r w:rsidR="00B03B30">
        <w:t xml:space="preserve">judeu Kurt Gerron, detido </w:t>
      </w:r>
      <w:r w:rsidR="00C470FA">
        <w:t xml:space="preserve">naquele campo, onde estavam igualmente detidos </w:t>
      </w:r>
      <w:r w:rsidR="00B03B30">
        <w:t xml:space="preserve">os outros figurantes. </w:t>
      </w:r>
      <w:r w:rsidR="00FC4153">
        <w:t xml:space="preserve">Cumprida a tarefa, </w:t>
      </w:r>
      <w:r w:rsidR="000E6620">
        <w:t xml:space="preserve">quase </w:t>
      </w:r>
      <w:r w:rsidR="00FC4153">
        <w:t xml:space="preserve">todos foram enviados para Auschwitz e </w:t>
      </w:r>
      <w:r w:rsidR="00F05715">
        <w:t>poucos</w:t>
      </w:r>
      <w:r w:rsidR="00FC4153">
        <w:t xml:space="preserve"> sobreviveram</w:t>
      </w:r>
      <w:r w:rsidR="008568AF">
        <w:rPr>
          <w:rStyle w:val="Refdenotaderodap"/>
        </w:rPr>
        <w:footnoteReference w:id="338"/>
      </w:r>
      <w:r w:rsidR="00FC4153">
        <w:t xml:space="preserve">. </w:t>
      </w:r>
    </w:p>
    <w:p w:rsidR="00751A22" w:rsidRPr="00591151" w:rsidRDefault="0082158B" w:rsidP="00751A22">
      <w:r>
        <w:t xml:space="preserve">O critério decisivo para avaliarmos a actuação dos Conselhos é a </w:t>
      </w:r>
      <w:r w:rsidR="00EF18BC">
        <w:t xml:space="preserve">hostilidade que a população judaica comum </w:t>
      </w:r>
      <w:r>
        <w:t xml:space="preserve">lhes </w:t>
      </w:r>
      <w:r w:rsidR="00EF18BC">
        <w:t xml:space="preserve">manifestou </w:t>
      </w:r>
      <w:r w:rsidR="000C5B8D">
        <w:t>desde o primeiro dia</w:t>
      </w:r>
      <w:r w:rsidR="00EF18BC">
        <w:t xml:space="preserve"> </w:t>
      </w:r>
      <w:r>
        <w:t>e que chegou a um paroxismo</w:t>
      </w:r>
      <w:r w:rsidR="00F379E6">
        <w:t xml:space="preserve"> </w:t>
      </w:r>
      <w:r w:rsidR="00A24D47">
        <w:t xml:space="preserve">em Julho de 1944, </w:t>
      </w:r>
      <w:r w:rsidR="00F379E6">
        <w:t xml:space="preserve">no comboio transportando várias centenas de judeus do campo de trabalho de Starachowice para Auschwitz, </w:t>
      </w:r>
      <w:r w:rsidR="00A24D47">
        <w:t xml:space="preserve">onde </w:t>
      </w:r>
      <w:r w:rsidR="00F379E6">
        <w:t>cerca de vinte membros do Conselho Judaico e da Polícia Judaica de Starachowice foram estrangulados pelos seus correligionários</w:t>
      </w:r>
      <w:r w:rsidR="00283F1B">
        <w:rPr>
          <w:rStyle w:val="Refdenotaderodap"/>
        </w:rPr>
        <w:footnoteReference w:id="339"/>
      </w:r>
      <w:r w:rsidR="00F379E6">
        <w:t xml:space="preserve">. </w:t>
      </w:r>
      <w:r w:rsidR="00E206A0">
        <w:t>Não</w:t>
      </w:r>
      <w:r w:rsidR="00751A22" w:rsidRPr="00591151">
        <w:t xml:space="preserve"> pode sequer invocar-se a desculpa de que os membros dos Conselhos nomeados pelas autoridades naciona</w:t>
      </w:r>
      <w:r w:rsidR="00315D14">
        <w:t>l</w:t>
      </w:r>
      <w:r w:rsidR="00751A22" w:rsidRPr="00591151">
        <w:t>-socialistas não sabiam ao certo o que se passava e só tarde demais se aperceberam das plenas consequências das suas ordens</w:t>
      </w:r>
      <w:r w:rsidR="00751A22" w:rsidRPr="00591151">
        <w:rPr>
          <w:vertAlign w:val="superscript"/>
        </w:rPr>
        <w:footnoteReference w:id="340"/>
      </w:r>
      <w:r w:rsidR="000C5B8D">
        <w:t>,</w:t>
      </w:r>
      <w:r w:rsidR="00751A22" w:rsidRPr="00591151">
        <w:t xml:space="preserve"> </w:t>
      </w:r>
      <w:r w:rsidR="000C5B8D">
        <w:t>porque a numerosa correspondência trocada entre judeus e as páginas de diários mostram que as notícias acerca do massacre se espalhavam rapidamente</w:t>
      </w:r>
      <w:r w:rsidR="000C5B8D">
        <w:rPr>
          <w:rStyle w:val="Refdenotaderodap"/>
        </w:rPr>
        <w:footnoteReference w:id="341"/>
      </w:r>
      <w:r w:rsidR="000C5B8D">
        <w:t xml:space="preserve">. </w:t>
      </w:r>
      <w:r w:rsidR="00C62755">
        <w:t xml:space="preserve">É significativo que </w:t>
      </w:r>
      <w:r w:rsidR="00A24D47">
        <w:t xml:space="preserve">o chefe do Ältestenrat de Theresienstadt e um membro proeminente da comunidade judaica de Praga, enviados por Eichmann a Amsterdão em Março de 1941 para ajudarem a estabelecer o Conselho Judaico da cidade, </w:t>
      </w:r>
      <w:r w:rsidR="00C22F8C">
        <w:t>tivesse</w:t>
      </w:r>
      <w:r w:rsidR="00A73E25">
        <w:t>m</w:t>
      </w:r>
      <w:r w:rsidR="00C22F8C">
        <w:t xml:space="preserve"> prevenido o chefe des</w:t>
      </w:r>
      <w:r w:rsidR="009E355F">
        <w:t>t</w:t>
      </w:r>
      <w:r w:rsidR="00C22F8C">
        <w:t xml:space="preserve">e Conselho do que estava a passar-se com as deportações para Leste, </w:t>
      </w:r>
      <w:r w:rsidR="00A24D47">
        <w:t xml:space="preserve">sem que </w:t>
      </w:r>
      <w:r w:rsidR="005A10D0">
        <w:t xml:space="preserve">o aviso </w:t>
      </w:r>
      <w:r w:rsidR="009E355F">
        <w:t>surti</w:t>
      </w:r>
      <w:r w:rsidR="00C62755">
        <w:t>sse</w:t>
      </w:r>
      <w:r w:rsidR="009E355F">
        <w:t xml:space="preserve"> </w:t>
      </w:r>
      <w:r w:rsidR="00C22F8C">
        <w:t>efeito</w:t>
      </w:r>
      <w:r w:rsidR="001C72DD">
        <w:t xml:space="preserve">. Em Outubro o Conselho de Amsterdão passou a ter autoridade sobre os judeus de todo o país e pouco depois começaram as deportações, por intermédio do Conselho, que </w:t>
      </w:r>
      <w:r w:rsidR="00E230BF">
        <w:t>ajudou meticulosamente a recensear os seus correligionários e os in</w:t>
      </w:r>
      <w:r w:rsidR="00617DED">
        <w:t>s</w:t>
      </w:r>
      <w:r w:rsidR="00E230BF">
        <w:t xml:space="preserve">truiu </w:t>
      </w:r>
      <w:r w:rsidR="001C72DD">
        <w:t>a apresentarem-se</w:t>
      </w:r>
      <w:r w:rsidR="005A10D0">
        <w:rPr>
          <w:rStyle w:val="Refdenotaderodap"/>
        </w:rPr>
        <w:footnoteReference w:id="342"/>
      </w:r>
      <w:r w:rsidR="005A10D0">
        <w:t>.</w:t>
      </w:r>
      <w:r w:rsidR="00C22F8C">
        <w:t xml:space="preserve"> </w:t>
      </w:r>
      <w:r w:rsidR="005A10D0">
        <w:t>Também se conhecem</w:t>
      </w:r>
      <w:r w:rsidR="00E729F4">
        <w:t xml:space="preserve"> cartas que em Dezembro de 1941 e no mês seguinte chegaram ao </w:t>
      </w:r>
      <w:r w:rsidR="00E729F4" w:rsidRPr="0075046A">
        <w:rPr>
          <w:i/>
        </w:rPr>
        <w:t>ghetto</w:t>
      </w:r>
      <w:r w:rsidR="00E729F4">
        <w:t xml:space="preserve"> de </w:t>
      </w:r>
      <w:r w:rsidR="0075046A">
        <w:t>Łó</w:t>
      </w:r>
      <w:r w:rsidR="00E729F4">
        <w:t>d</w:t>
      </w:r>
      <w:r w:rsidR="0075046A">
        <w:t>ź</w:t>
      </w:r>
      <w:r w:rsidR="00E729F4">
        <w:t>, dando notícia das liquidações massivas de judeus a que se estava a proceder em Che</w:t>
      </w:r>
      <w:r w:rsidR="0075046A">
        <w:t>ł</w:t>
      </w:r>
      <w:r w:rsidR="00E729F4">
        <w:t>mno</w:t>
      </w:r>
      <w:r w:rsidR="0075046A">
        <w:rPr>
          <w:rStyle w:val="Refdenotaderodap"/>
        </w:rPr>
        <w:footnoteReference w:id="343"/>
      </w:r>
      <w:r w:rsidR="00364B18">
        <w:t>, mas ist</w:t>
      </w:r>
      <w:r w:rsidR="00E729F4">
        <w:t xml:space="preserve">o não impediu que </w:t>
      </w:r>
      <w:r w:rsidR="0075046A">
        <w:t>a suprema autoridade j</w:t>
      </w:r>
      <w:r w:rsidR="007A7004">
        <w:t>udaic</w:t>
      </w:r>
      <w:r w:rsidR="0075046A">
        <w:t>a</w:t>
      </w:r>
      <w:r w:rsidR="007A7004">
        <w:t xml:space="preserve"> </w:t>
      </w:r>
      <w:r w:rsidR="0075046A">
        <w:t xml:space="preserve">do </w:t>
      </w:r>
      <w:r w:rsidR="0075046A" w:rsidRPr="0075046A">
        <w:rPr>
          <w:i/>
        </w:rPr>
        <w:t>ghetto</w:t>
      </w:r>
      <w:r w:rsidR="0075046A">
        <w:t xml:space="preserve"> </w:t>
      </w:r>
      <w:r w:rsidR="007A7004">
        <w:t xml:space="preserve">discursasse em Janeiro de 1942 para dizer que </w:t>
      </w:r>
      <w:r w:rsidR="006A0482">
        <w:t>eram falsos</w:t>
      </w:r>
      <w:r w:rsidR="00480C35">
        <w:t xml:space="preserve"> </w:t>
      </w:r>
      <w:r w:rsidR="00364B18">
        <w:t xml:space="preserve">boatos </w:t>
      </w:r>
      <w:r w:rsidR="00480C35">
        <w:t>e</w:t>
      </w:r>
      <w:r w:rsidR="006A0482">
        <w:t xml:space="preserve"> </w:t>
      </w:r>
      <w:r w:rsidR="00647E13">
        <w:t xml:space="preserve">que </w:t>
      </w:r>
      <w:r w:rsidR="006A0482">
        <w:t>se tratava de um programa de deportação devidamente coordenado com as autoridades nacional-socialistas</w:t>
      </w:r>
      <w:r w:rsidR="005C3208">
        <w:t>,</w:t>
      </w:r>
      <w:r w:rsidR="00480C35">
        <w:t xml:space="preserve"> apela</w:t>
      </w:r>
      <w:r w:rsidR="005C3208">
        <w:t>ndo</w:t>
      </w:r>
      <w:r w:rsidR="00480C35">
        <w:t xml:space="preserve"> finalmente para o cumprimento das ordens</w:t>
      </w:r>
      <w:r w:rsidR="006A0482">
        <w:t xml:space="preserve">. </w:t>
      </w:r>
      <w:r w:rsidR="00480C35">
        <w:t xml:space="preserve">«As autoridades estão cheias de </w:t>
      </w:r>
      <w:r w:rsidR="00FF6327">
        <w:t>apreço</w:t>
      </w:r>
      <w:r w:rsidR="00480C35">
        <w:t xml:space="preserve"> pelo trabalho que tem sido realizado no </w:t>
      </w:r>
      <w:r w:rsidR="00480C35" w:rsidRPr="0075046A">
        <w:rPr>
          <w:i/>
        </w:rPr>
        <w:t>ghetto</w:t>
      </w:r>
      <w:r w:rsidR="00480C35">
        <w:t xml:space="preserve">», disse ele, «e é devido a este trabalho que têm </w:t>
      </w:r>
      <w:r w:rsidR="00480C35">
        <w:lastRenderedPageBreak/>
        <w:t>confiança em mim»</w:t>
      </w:r>
      <w:r w:rsidR="0075046A">
        <w:rPr>
          <w:rStyle w:val="Refdenotaderodap"/>
        </w:rPr>
        <w:footnoteReference w:id="344"/>
      </w:r>
      <w:r w:rsidR="00480C35">
        <w:t xml:space="preserve">. </w:t>
      </w:r>
      <w:r w:rsidR="00E729F4">
        <w:t xml:space="preserve">Mais </w:t>
      </w:r>
      <w:r w:rsidR="001C6366">
        <w:t>esclarecedor</w:t>
      </w:r>
      <w:r w:rsidR="00E729F4">
        <w:t xml:space="preserve"> ainda é o </w:t>
      </w:r>
      <w:r w:rsidR="001C6366">
        <w:t xml:space="preserve">exemplo </w:t>
      </w:r>
      <w:r w:rsidR="00E729F4">
        <w:t xml:space="preserve">húngaro. </w:t>
      </w:r>
      <w:r w:rsidR="00751A22" w:rsidRPr="008E492B">
        <w:t xml:space="preserve">Nos territórios jugoslavos e soviéticos que estavam a seu cargo o exército magiar não auxiliou os alemães </w:t>
      </w:r>
      <w:r w:rsidR="00751A22">
        <w:t>nas medidas anti-semitas</w:t>
      </w:r>
      <w:r w:rsidR="00751A22" w:rsidRPr="008E492B">
        <w:t xml:space="preserve">, </w:t>
      </w:r>
      <w:r w:rsidR="00751A22">
        <w:t xml:space="preserve">e além disso </w:t>
      </w:r>
      <w:r w:rsidR="00751A22" w:rsidRPr="00591151">
        <w:t>centenas de milhares de judeus oriundos da Europa ocupada pelas tropas germânicas refugiaram-se na Hungria, onde em geral a comunidade judaica não fora perseguida, excepto em 1941, durante o governo de Bárdossy</w:t>
      </w:r>
      <w:r w:rsidR="00751A22" w:rsidRPr="008E492B">
        <w:rPr>
          <w:vertAlign w:val="superscript"/>
        </w:rPr>
        <w:footnoteReference w:id="345"/>
      </w:r>
      <w:r w:rsidR="00751A22" w:rsidRPr="00591151">
        <w:t>. Era, portanto, inevitável que os judeus magiares conhecessem os horrores que sucediam nos outros países, e quando Hitler, em Março de 1944, descontente com o caminho que estava a ser tomado pelo regente Horthy, ordenou a ocupação da Hungria pela Wehrmacht e pelos SS, ninguém podia ignorar a ameaça iminente</w:t>
      </w:r>
      <w:r w:rsidR="00183AD9">
        <w:rPr>
          <w:rStyle w:val="Refdenotaderodap"/>
        </w:rPr>
        <w:footnoteReference w:id="346"/>
      </w:r>
      <w:r w:rsidR="00751A22" w:rsidRPr="00591151">
        <w:t>. Aliás, representantes estrangeiros activos na Hungria durante esse período aconselharam insistentemente os dirigentes sionistas locais a destruir a documentação das comunidades judaicas, evitar novos registos e prevenir os seus correligionários para não usarem a estrela amarela, mas estes avisos não foram levados em consideração</w:t>
      </w:r>
      <w:r w:rsidR="00751A22" w:rsidRPr="00591151">
        <w:rPr>
          <w:vertAlign w:val="superscript"/>
        </w:rPr>
        <w:footnoteReference w:id="347"/>
      </w:r>
      <w:r w:rsidR="00751A22" w:rsidRPr="00591151">
        <w:t xml:space="preserve">. Não se tratou de ignorância, mas de deliberada colaboração. Os chefes sionistas húngaros, aqueles que conseguiram sobreviver, reconheceriam mais tarde que estavam ao corrente do programa de </w:t>
      </w:r>
      <w:r w:rsidR="00751A22" w:rsidRPr="00591151">
        <w:lastRenderedPageBreak/>
        <w:t xml:space="preserve">extermínio, mas isto não os impediu de cooperar com as autoridades </w:t>
      </w:r>
      <w:r w:rsidR="005B795D">
        <w:t>nacional-socialistas</w:t>
      </w:r>
      <w:r w:rsidR="00751A22" w:rsidRPr="00591151">
        <w:t xml:space="preserve"> desde o</w:t>
      </w:r>
      <w:r w:rsidR="00E73AF9">
        <w:t xml:space="preserve"> começo </w:t>
      </w:r>
      <w:r w:rsidR="00751A22" w:rsidRPr="00591151">
        <w:t xml:space="preserve">da ocupação, </w:t>
      </w:r>
      <w:r w:rsidR="00E73AF9">
        <w:t xml:space="preserve">já que uma das primeiras medidas tomadas foi o estabelecimento de um Conselho Judaico. </w:t>
      </w:r>
      <w:r w:rsidR="00E73AF9" w:rsidRPr="00591151">
        <w:t xml:space="preserve">Os </w:t>
      </w:r>
      <w:r w:rsidR="00751A22" w:rsidRPr="00591151">
        <w:t>representantes do Reich preferiram uma vez mais negociar com os sionistas e autorizaram-nos inclusivamente a visitar campos de concentração</w:t>
      </w:r>
      <w:r w:rsidR="00751A22" w:rsidRPr="00591151">
        <w:rPr>
          <w:vertAlign w:val="superscript"/>
        </w:rPr>
        <w:footnoteReference w:id="348"/>
      </w:r>
      <w:r w:rsidR="00751A22" w:rsidRPr="00591151">
        <w:t xml:space="preserve">. </w:t>
      </w:r>
      <w:r w:rsidR="00403924">
        <w:t>Por seu lado, o Conselho estimulou a passividade e a subserviência dos correligionários</w:t>
      </w:r>
      <w:r w:rsidR="00737173">
        <w:rPr>
          <w:rStyle w:val="Refdenotaderodap"/>
        </w:rPr>
        <w:footnoteReference w:id="349"/>
      </w:r>
      <w:r w:rsidR="00403924">
        <w:t xml:space="preserve"> e </w:t>
      </w:r>
      <w:r w:rsidR="00403924" w:rsidRPr="00591151">
        <w:t xml:space="preserve">no </w:t>
      </w:r>
      <w:r w:rsidR="00751A22" w:rsidRPr="00591151">
        <w:t>manifesto que endereçou à comunidade judaica foi ao ponto de advertir: «Logo que recebam ordens do Conselho Central, todas as pessoas têm o dever de se apresentar no lugar e à hora indicados»</w:t>
      </w:r>
      <w:r w:rsidR="00751A22" w:rsidRPr="00591151">
        <w:rPr>
          <w:vertAlign w:val="superscript"/>
        </w:rPr>
        <w:footnoteReference w:id="350"/>
      </w:r>
      <w:r w:rsidR="00751A22" w:rsidRPr="00591151">
        <w:t xml:space="preserve">. Esta metódica pontualidade permitiu aos SS recuperarem na Hungria o tempo perdido. </w:t>
      </w:r>
    </w:p>
    <w:p w:rsidR="00751A22" w:rsidRPr="00591151" w:rsidRDefault="00751A22" w:rsidP="00751A22">
      <w:r w:rsidRPr="00591151">
        <w:t xml:space="preserve">Foi então que Rudolf Kastner, vice-presidente da organização sionista magiar, chegou a um acordo com </w:t>
      </w:r>
      <w:r w:rsidR="009A3273">
        <w:t xml:space="preserve">o SS-Obersturmbannführer Adolf </w:t>
      </w:r>
      <w:r w:rsidRPr="00591151">
        <w:t>Eichmann</w:t>
      </w:r>
      <w:r w:rsidR="009A3273">
        <w:t>, encarregado de superintender o genocídio</w:t>
      </w:r>
      <w:r w:rsidRPr="00591151">
        <w:t xml:space="preserve">. A troco da autorização de emigração </w:t>
      </w:r>
      <w:r w:rsidR="00FF2E23" w:rsidRPr="00591151">
        <w:t xml:space="preserve">para a Palestina </w:t>
      </w:r>
      <w:r w:rsidRPr="00591151">
        <w:t xml:space="preserve">de um pequeno número de judeus, os sionistas fariam o possível por que os restantes judeus não resistissem à deportação e contribuiriam para manter a ordem nos campos de trânsito, onde estavam a ser reunidas centenas de milhares de pessoas que deveriam seguir posteriormente para a morte em Auschwitz. O preço era elevado, pois o acordo estipulava que de setecentos e cinquenta mil judeus condenados ao extermínio se salvariam apenas mil e seiscentos, mas não é menos certo que os SS deixaram os sionistas seleccionar o </w:t>
      </w:r>
      <w:r>
        <w:t>«</w:t>
      </w:r>
      <w:r w:rsidRPr="00591151">
        <w:t>material humano</w:t>
      </w:r>
      <w:r>
        <w:t>»</w:t>
      </w:r>
      <w:r w:rsidRPr="00591151">
        <w:t xml:space="preserve"> que lhes convinha para a fundação do novo Estado</w:t>
      </w:r>
      <w:r w:rsidRPr="00591151">
        <w:rPr>
          <w:vertAlign w:val="superscript"/>
        </w:rPr>
        <w:footnoteReference w:id="351"/>
      </w:r>
      <w:r w:rsidRPr="00591151">
        <w:t>. Numa entrevista publicada década e meia mais tarde, Eichmann explicou os critérios adoptados por Kastner</w:t>
      </w:r>
      <w:r w:rsidR="009A3273">
        <w:t>:</w:t>
      </w:r>
      <w:r w:rsidRPr="00591151">
        <w:t xml:space="preserve"> «Não lhe interessavam judeus velhos nem aqueles que tivessem sido assimilados pela sociedade húngara. Mas ele dava provas de uma incrível persistência para tentar salvar sangue judaico biologicamente valioso, quer dizer, um material humano que fosse capaz de reprodução e de trabalho pesado»</w:t>
      </w:r>
      <w:r w:rsidRPr="00591151">
        <w:rPr>
          <w:vertAlign w:val="superscript"/>
        </w:rPr>
        <w:footnoteReference w:id="352"/>
      </w:r>
      <w:r w:rsidRPr="00591151">
        <w:t xml:space="preserve">. Finalmente, </w:t>
      </w:r>
      <w:r w:rsidR="00EA010C">
        <w:t xml:space="preserve">exigindo </w:t>
      </w:r>
      <w:r w:rsidR="00C27F6A">
        <w:t xml:space="preserve">mil ou dois mil dólares por pessoa, </w:t>
      </w:r>
      <w:r w:rsidRPr="00591151">
        <w:t>os SS deixaram partir um comboio com várias centenas de judeus, quase todos jovens, e outros suficientemente ricos para serem «biologicamente valiosos», fazendo também parte da viagem alguns parentes de Kastner e de colegas seus na direcção sionista</w:t>
      </w:r>
      <w:r w:rsidRPr="00591151">
        <w:rPr>
          <w:vertAlign w:val="superscript"/>
        </w:rPr>
        <w:footnoteReference w:id="353"/>
      </w:r>
      <w:r w:rsidRPr="00591151">
        <w:t xml:space="preserve">. Os restantes, a esmagadora maioria, encontraram nas câmaras de gás a Terra </w:t>
      </w:r>
      <w:r w:rsidRPr="00591151">
        <w:lastRenderedPageBreak/>
        <w:t xml:space="preserve">Prometida. A colaboração dos representantes sionistas e o custo humano desta colaboração tornam o genocídio ainda mais odioso. </w:t>
      </w:r>
    </w:p>
    <w:p w:rsidR="00044D48" w:rsidRDefault="000F38CB" w:rsidP="00751A22">
      <w:r w:rsidRPr="004033B7">
        <w:t xml:space="preserve">Os </w:t>
      </w:r>
      <w:r w:rsidR="00751A22" w:rsidRPr="004033B7">
        <w:t xml:space="preserve">Conselhos Judaicos </w:t>
      </w:r>
      <w:r>
        <w:t xml:space="preserve">não </w:t>
      </w:r>
      <w:r w:rsidR="00751A22" w:rsidRPr="004033B7">
        <w:t>se sustentavam apenas graças às matracas da sua polícia e à força indiscutível que lhes emprestava</w:t>
      </w:r>
      <w:r w:rsidR="00751A22">
        <w:t>m</w:t>
      </w:r>
      <w:r w:rsidR="00751A22" w:rsidRPr="004033B7">
        <w:t xml:space="preserve"> </w:t>
      </w:r>
      <w:r w:rsidR="00751A22">
        <w:t>as autoridades naciona</w:t>
      </w:r>
      <w:r w:rsidR="00315D14">
        <w:t>l</w:t>
      </w:r>
      <w:r w:rsidR="00751A22">
        <w:t>-socialistas</w:t>
      </w:r>
      <w:r w:rsidR="00751A22" w:rsidRPr="004033B7">
        <w:t xml:space="preserve">, </w:t>
      </w:r>
      <w:r>
        <w:t xml:space="preserve">e </w:t>
      </w:r>
      <w:r w:rsidR="00751A22" w:rsidRPr="004033B7">
        <w:t>apoiavam</w:t>
      </w:r>
      <w:r>
        <w:t>-se</w:t>
      </w:r>
      <w:r w:rsidR="00751A22" w:rsidRPr="004033B7">
        <w:t xml:space="preserve"> também, ou sobretudo, na influência e nas clientelas. Os seus membros eram geralmente escolhidos entre pessoas que ocupavam já naquele meio étnico uma situação proeminente quer pela profissão quer pela fortuna quer pelas funções religiosas, rabis e outros personagens tradicionalmente dotados de grande prestígio</w:t>
      </w:r>
      <w:r w:rsidR="003F75E5">
        <w:rPr>
          <w:rStyle w:val="Refdenotaderodap"/>
        </w:rPr>
        <w:footnoteReference w:id="354"/>
      </w:r>
      <w:r w:rsidR="00751A22" w:rsidRPr="004033B7">
        <w:t>, e sem o conservadorismo político e social de um bom número de judeus não teria sido possível dominar tão facilmente a totalidade da população judaica nem chaciná-la numa proporção tão elevada. Uma romancista francesa explicou a questão de modo muito claro</w:t>
      </w:r>
      <w:r w:rsidR="001D0355">
        <w:t>:</w:t>
      </w:r>
      <w:r w:rsidR="00751A22" w:rsidRPr="004033B7">
        <w:t xml:space="preserve"> «O conluio dos notáveis que constituíam os </w:t>
      </w:r>
      <w:r w:rsidR="00751A22" w:rsidRPr="00421A9B">
        <w:t>Judenr</w:t>
      </w:r>
      <w:r w:rsidR="00751A22">
        <w:t>ä</w:t>
      </w:r>
      <w:r w:rsidR="00751A22" w:rsidRPr="00421A9B">
        <w:t>t</w:t>
      </w:r>
      <w:r w:rsidR="00751A22">
        <w:t xml:space="preserve">e </w:t>
      </w:r>
      <w:r w:rsidR="00751A22" w:rsidRPr="004033B7">
        <w:t>com os alemães é um facto conhecido</w:t>
      </w:r>
      <w:r w:rsidR="00751A22">
        <w:t>,</w:t>
      </w:r>
      <w:r w:rsidR="00751A22" w:rsidRPr="004033B7">
        <w:t xml:space="preserve"> que se compreende facilmente. Em todos os tempos e em todos os países, com raras excepções, os notáveis colaboraram sempre com os vencedores: é um caso de classe»</w:t>
      </w:r>
      <w:r w:rsidR="00751A22" w:rsidRPr="004033B7">
        <w:rPr>
          <w:rStyle w:val="Refdenotaderodap"/>
        </w:rPr>
        <w:footnoteReference w:id="355"/>
      </w:r>
      <w:r w:rsidR="00751A22" w:rsidRPr="004033B7">
        <w:t>. Não se tratava ali de uma raça, entidade mítica, cuja existência real resulta apenas do facto de haver quem nela acredite. Os sociais-democratas, os comunistas, os críticos, subversores, internacionalistas revelavam-se por isto mesmo judeus em espírito, ainda que não mostrassem sê-lo em corpo, e como tal eram perseguidos e mortos, estando demasiado divididos por uma década e meia de lutas impiedosas para poderem agora unir</w:t>
      </w:r>
      <w:r>
        <w:t>-se</w:t>
      </w:r>
      <w:r w:rsidR="00751A22" w:rsidRPr="004033B7">
        <w:t xml:space="preserve"> contra o </w:t>
      </w:r>
      <w:r w:rsidR="001D0355">
        <w:t>nacional-socialismo</w:t>
      </w:r>
      <w:r w:rsidR="00751A22" w:rsidRPr="004033B7">
        <w:t>. E que havia de comum entre eles e os judeus conservadores habituados a odiar mais a esquerda, que lhes ameaçava os bolsos, do que a temer a direita, que apesar de racista defendia a ordem? Enquanto só 30% dos judeus alemães votaram na social-democracia nas eleições de 1930, 65% votaram num partido centrista conservador</w:t>
      </w:r>
      <w:r w:rsidR="00751A22" w:rsidRPr="004033B7">
        <w:rPr>
          <w:rStyle w:val="Refdenotaderodap"/>
        </w:rPr>
        <w:footnoteReference w:id="356"/>
      </w:r>
      <w:r w:rsidR="00751A22" w:rsidRPr="004033B7">
        <w:t xml:space="preserve">, e talvez entre estes se contasse aquela </w:t>
      </w:r>
      <w:r w:rsidR="00663048" w:rsidRPr="004033B7">
        <w:t xml:space="preserve">judia </w:t>
      </w:r>
      <w:r w:rsidR="00751A22" w:rsidRPr="004033B7">
        <w:t>abastada que se lamuriava em 1933: «Afinal, acabaríamos por nos habituar ao novo regime, se pelo menos nos deixassem viver em paz...»</w:t>
      </w:r>
      <w:r w:rsidR="00751A22" w:rsidRPr="004033B7">
        <w:rPr>
          <w:rStyle w:val="Refdenotaderodap"/>
        </w:rPr>
        <w:footnoteReference w:id="357"/>
      </w:r>
      <w:r w:rsidR="00751A22" w:rsidRPr="004033B7">
        <w:t xml:space="preserve">. </w:t>
      </w:r>
      <w:r w:rsidR="00002BA5">
        <w:t xml:space="preserve">Esta mesma divisão de classes foi reproduzida pelos notáveis dos Conselhos, </w:t>
      </w:r>
      <w:r w:rsidR="00044D48">
        <w:t>suborna</w:t>
      </w:r>
      <w:r w:rsidR="00663048">
        <w:t>dos</w:t>
      </w:r>
      <w:r w:rsidR="00044D48">
        <w:t xml:space="preserve"> pelos judeus mais ricos para em seu lugar sacrificarem os pobres</w:t>
      </w:r>
      <w:r w:rsidR="00044D48">
        <w:rPr>
          <w:rStyle w:val="Refdenotaderodap"/>
        </w:rPr>
        <w:footnoteReference w:id="358"/>
      </w:r>
      <w:r w:rsidR="00044D48">
        <w:t xml:space="preserve">. </w:t>
      </w:r>
    </w:p>
    <w:p w:rsidR="00751A22" w:rsidRPr="004033B7" w:rsidRDefault="00751A22" w:rsidP="00751A22">
      <w:r w:rsidRPr="004033B7">
        <w:t>«Em qualquer lado onde vivessem judeus», observ</w:t>
      </w:r>
      <w:r>
        <w:t>ou</w:t>
      </w:r>
      <w:r w:rsidRPr="004033B7">
        <w:t xml:space="preserve"> friamente uma judia, «existiam dirigentes judaicos de reconhecido prestígio; e estes dirigentes, praticamente sem excepção, cooperaram de variadas maneiras e por variadas razões com os nazis. Para dizer toda a </w:t>
      </w:r>
      <w:r w:rsidRPr="004033B7">
        <w:lastRenderedPageBreak/>
        <w:t>verdade, se o povo judaico tivesse estado então desprovido de organizações e de dirigentes a situação teria sido caótica e não faltariam os motivos de sofrimento, mas dificilmente o número total de vítimas se contaria entre quatro milhões e meio e seis milhões»</w:t>
      </w:r>
      <w:r w:rsidRPr="004033B7">
        <w:rPr>
          <w:rStyle w:val="Refdenotaderodap"/>
        </w:rPr>
        <w:footnoteReference w:id="359"/>
      </w:r>
      <w:r w:rsidRPr="004033B7">
        <w:t>. E esta autora aceit</w:t>
      </w:r>
      <w:r>
        <w:t>ou</w:t>
      </w:r>
      <w:r w:rsidRPr="004033B7">
        <w:t xml:space="preserve"> como um cálculo muito verosímil que, enquanto morreram noventa e nove por cento daqueles que se deixaram persuadir pelos Conselhos Judaicos e seguiram para os campos de concentração, entre os fugitivos só cerca de metade teria sido capturada e liquidada</w:t>
      </w:r>
      <w:r w:rsidRPr="004033B7">
        <w:rPr>
          <w:rStyle w:val="Refdenotaderodap"/>
        </w:rPr>
        <w:footnoteReference w:id="360"/>
      </w:r>
      <w:r w:rsidRPr="004033B7">
        <w:t xml:space="preserve">. </w:t>
      </w:r>
      <w:r w:rsidR="00646148">
        <w:t xml:space="preserve">Com efeito, um relatório </w:t>
      </w:r>
      <w:r w:rsidR="00A80CCF">
        <w:t>de 20 de Janeiro de 1941, devido ao funcionário responsável pela evacuação d</w:t>
      </w:r>
      <w:r w:rsidR="005969F2">
        <w:t>os</w:t>
      </w:r>
      <w:r w:rsidR="00A80CCF">
        <w:t xml:space="preserve"> judeus no distrito de Varsóvia, </w:t>
      </w:r>
      <w:r w:rsidR="00646148">
        <w:t>constatou: «</w:t>
      </w:r>
      <w:r w:rsidR="00E949D8">
        <w:t xml:space="preserve">É espantoso que as acções de </w:t>
      </w:r>
      <w:r w:rsidR="00A80CCF">
        <w:t>transferência de população</w:t>
      </w:r>
      <w:r w:rsidR="00E949D8">
        <w:t xml:space="preserve">, </w:t>
      </w:r>
      <w:r w:rsidR="00444061">
        <w:t>abarcando</w:t>
      </w:r>
      <w:r w:rsidR="00E949D8">
        <w:t xml:space="preserve"> </w:t>
      </w:r>
      <w:r w:rsidR="005969F2">
        <w:t xml:space="preserve">cerca de </w:t>
      </w:r>
      <w:r w:rsidR="00E949D8">
        <w:t xml:space="preserve">250.000 pessoas num período relativamente curto, que não chegou a seis semanas, </w:t>
      </w:r>
      <w:r w:rsidR="00DF3D03">
        <w:t xml:space="preserve">tivessem sido executadas sem </w:t>
      </w:r>
      <w:r w:rsidR="005969F2">
        <w:t xml:space="preserve">nenhum </w:t>
      </w:r>
      <w:r w:rsidR="00DF3D03">
        <w:t xml:space="preserve">derramamento de sangue e só na última fase precisassem da ajuda de pressões policiais. </w:t>
      </w:r>
      <w:r w:rsidR="00F74D69">
        <w:t xml:space="preserve">Foram levadas a cabo </w:t>
      </w:r>
      <w:r w:rsidR="00996F49">
        <w:t>graças à mobilização, por um lado, do presidente da Câmara polaco e, por outro, do Conselho Judaico»</w:t>
      </w:r>
      <w:r w:rsidR="00996F49">
        <w:rPr>
          <w:rStyle w:val="Refdenotaderodap"/>
        </w:rPr>
        <w:footnoteReference w:id="361"/>
      </w:r>
      <w:r w:rsidR="00996F49">
        <w:t xml:space="preserve">. </w:t>
      </w:r>
      <w:r w:rsidR="00646148">
        <w:t xml:space="preserve">A visível perplexidade do autor deste relatório </w:t>
      </w:r>
      <w:r w:rsidR="00996F49">
        <w:t>deveria servir de lição para alguns historiadores, como aquele que</w:t>
      </w:r>
      <w:r w:rsidR="00CD427E">
        <w:t>,</w:t>
      </w:r>
      <w:r w:rsidR="00996F49">
        <w:t xml:space="preserve"> </w:t>
      </w:r>
      <w:r w:rsidR="00996F49" w:rsidRPr="004033B7">
        <w:t xml:space="preserve">omitindo </w:t>
      </w:r>
      <w:r w:rsidRPr="004033B7">
        <w:t>tudo o que diz respeito à colaboração entre os sionistas e as autoridades do Reich antes do começo da guerra, pretende</w:t>
      </w:r>
      <w:r>
        <w:t>u</w:t>
      </w:r>
      <w:r w:rsidRPr="004033B7">
        <w:t xml:space="preserve"> que «os chefes dos Conselhos e os seus súbditos dos </w:t>
      </w:r>
      <w:r w:rsidRPr="004033B7">
        <w:rPr>
          <w:i/>
        </w:rPr>
        <w:t>ghettos,</w:t>
      </w:r>
      <w:r w:rsidRPr="004033B7">
        <w:t xml:space="preserve"> moldados por uma mentalidade pré-nazi, supuseram naturalmente que seria possível salvar um maior número de vidas através de estratégias de sobrevivência do que através da resistência»</w:t>
      </w:r>
      <w:r w:rsidRPr="004033B7">
        <w:rPr>
          <w:rStyle w:val="Refdenotaderodap"/>
        </w:rPr>
        <w:footnoteReference w:id="362"/>
      </w:r>
      <w:r w:rsidRPr="004033B7">
        <w:t>. Mas o período decorrido entre 1933 e 1939 não constituiu um vácuo, e se alguma coisa moldou a mentalidade dos sionistas foi a estreita colaboração que mantiveram ao longo de mais de seis anos com as autoridades naciona</w:t>
      </w:r>
      <w:r w:rsidR="00315D14">
        <w:t>l</w:t>
      </w:r>
      <w:r w:rsidRPr="004033B7">
        <w:t>-socialistas</w:t>
      </w:r>
      <w:r w:rsidRPr="00F65EE9">
        <w:t>.</w:t>
      </w:r>
      <w:r>
        <w:t xml:space="preserve"> </w:t>
      </w:r>
    </w:p>
    <w:p w:rsidR="00014285" w:rsidRDefault="00014285" w:rsidP="00014285">
      <w:pPr>
        <w:keepNext/>
        <w:spacing w:before="240" w:after="120"/>
        <w:ind w:firstLine="0"/>
        <w:jc w:val="center"/>
      </w:pPr>
      <w:r>
        <w:rPr>
          <w:b/>
          <w:sz w:val="28"/>
          <w:szCs w:val="28"/>
        </w:rPr>
        <w:t>5</w:t>
      </w:r>
    </w:p>
    <w:p w:rsidR="00751A22" w:rsidRPr="00A4667A" w:rsidRDefault="00751A22" w:rsidP="00751A22">
      <w:r w:rsidRPr="00A4667A">
        <w:t>Em 1939 Jabotinsky incit</w:t>
      </w:r>
      <w:r>
        <w:t>ou</w:t>
      </w:r>
      <w:r w:rsidRPr="00A4667A">
        <w:t xml:space="preserve"> os seus partidários a formar</w:t>
      </w:r>
      <w:r w:rsidR="00E56688">
        <w:t>em</w:t>
      </w:r>
      <w:r w:rsidRPr="00A4667A">
        <w:t xml:space="preserve"> um exército que apoiasse o esforço </w:t>
      </w:r>
      <w:r>
        <w:t xml:space="preserve">militar </w:t>
      </w:r>
      <w:r w:rsidRPr="00A4667A">
        <w:t xml:space="preserve">britânico, considerando que a vitória de Hitler </w:t>
      </w:r>
      <w:r w:rsidR="001D7F93">
        <w:t>seria</w:t>
      </w:r>
      <w:r w:rsidRPr="00A4667A">
        <w:t xml:space="preserve"> mais grave para a Palestina judaica</w:t>
      </w:r>
      <w:r w:rsidRPr="00A4667A">
        <w:rPr>
          <w:vertAlign w:val="superscript"/>
        </w:rPr>
        <w:footnoteReference w:id="363"/>
      </w:r>
      <w:r w:rsidRPr="00A4667A">
        <w:t xml:space="preserve">. O fundador do revisionismo </w:t>
      </w:r>
      <w:r>
        <w:t>regressou assim ao ponto de partida</w:t>
      </w:r>
      <w:r w:rsidRPr="00A4667A">
        <w:t xml:space="preserve">, pois na primeira guerra mundial </w:t>
      </w:r>
      <w:r w:rsidR="001D7F93">
        <w:t xml:space="preserve">contribuíra para a criação de </w:t>
      </w:r>
      <w:r w:rsidRPr="00A4667A">
        <w:t xml:space="preserve">uma Legião Judaica destinada a combater na Palestina ao lado dos britânicos contra o Império </w:t>
      </w:r>
      <w:r w:rsidR="00410053">
        <w:t>Otomano</w:t>
      </w:r>
      <w:r w:rsidRPr="00A4667A">
        <w:t xml:space="preserve">, e que </w:t>
      </w:r>
      <w:r w:rsidR="001D7F93">
        <w:t>acabou por ser organizada</w:t>
      </w:r>
      <w:r w:rsidRPr="00A4667A">
        <w:t xml:space="preserve"> sob a chefia de um oficial britânico e com Jabotinsky exercendo na prática as funções de vice-</w:t>
      </w:r>
      <w:r w:rsidRPr="00A4667A">
        <w:lastRenderedPageBreak/>
        <w:t>comandante</w:t>
      </w:r>
      <w:r w:rsidRPr="00A4667A">
        <w:rPr>
          <w:vertAlign w:val="superscript"/>
        </w:rPr>
        <w:footnoteReference w:id="364"/>
      </w:r>
      <w:r w:rsidRPr="00A4667A">
        <w:t>. Mas em que situação ficava este fascista que na prova decisiva renegava o campo do fascismo? Quando morreu, em 1940, nos Estados Unidos, Jabotinsky encontrava-se num considerável isolamento. Nestas circunstâncias, a maioria dos membros da Irgun colocou-se sob a chefia de Avraham Stern, ou Yair, um fascista radical adepto de uma orientação estritamente pró-mussoliniana e antibritânica, que se contara entre os vinte e cinco revisionistas que pouco antes do começo da guerra haviam recebido treino do exército polaco em técnicas de sabotagem e insurreição</w:t>
      </w:r>
      <w:r w:rsidRPr="00A4667A">
        <w:rPr>
          <w:vertAlign w:val="superscript"/>
        </w:rPr>
        <w:footnoteReference w:id="365"/>
      </w:r>
      <w:r w:rsidRPr="00A4667A">
        <w:t xml:space="preserve">. Em 1940 Stern fundou uma nova Irgun, e se ela mal se diferenciava da anterior quanto à sigla, distinguia-se pelo recrudescimento dos atentados e assassinatos dirigidos contra a presença britânica. Levando esta estratégia ao extremo, Stern propôs ao Reich uma aliança de guerra. Mesmo numa história de paradoxos, a missiva que um representante de Stern entregou em Janeiro de 1941 a um membro dos serviços de espionagem da Wehrmacht e a um alto funcionário do Ministério dos Negócios Estrangeiros do Reich </w:t>
      </w:r>
      <w:r w:rsidR="00DB0AE2">
        <w:t>deve</w:t>
      </w:r>
      <w:r w:rsidRPr="00A4667A">
        <w:t xml:space="preserve"> ser classificada como a expressão mais aberrante do sionismo. No entanto, ou por isto mesmo, ela era absolutamente lógica, pois se os sionistas haviam sempre depositado as esperanças no anti-semitismo enquanto elemento motor das migrações para a Palestina, Hitler, o maior dos anti-semitas, podia agora ser apresentado como </w:t>
      </w:r>
      <w:r w:rsidR="00410053">
        <w:t>o mais importante</w:t>
      </w:r>
      <w:r w:rsidRPr="00A4667A">
        <w:t xml:space="preserve"> recurso potencial da Palestina judaica. </w:t>
      </w:r>
    </w:p>
    <w:p w:rsidR="00751A22" w:rsidRDefault="00751A22" w:rsidP="00751A22">
      <w:r w:rsidRPr="00A4667A">
        <w:t xml:space="preserve">«Tem sido várias vezes afirmado nos discursos e declarações dos principais homens de Estado da Alemanha nacional-socialista que uma exigência prévia da Nova Ordem na Europa é a solução radical do problema judaico através da evacuação (“uma Europa livre de judeus”)», começa o documento enviado por Stern. «A evacuação das massas judaicas da Europa é uma condição prévia para resolver o problema judaico. Mas isto só pode ser realizado e levado a cabo através do estabelecimento dessas massas na pátria do povo judaico, a Palestina, e através da fundação de um Estado judaico nas suas fronteiras históricas. [...] A ONM [ou seja, neste caso, a facção maioritária da Irgun dirigida por Stern], que não ignora a boa vontade demonstrada pelo governo do Reich alemão e pelas suas autoridades para com a actividade sionista no interior da Alemanha e para com os planos de emigração sionistas, considera que: 1) Poderão existir interesses comuns entre o estabelecimento de uma Nova Ordem na Europa, em conformidade com as concepções germânicas, e as verdadeiras aspirações nacionais do povo judaico, tal como elas são encarnadas pela ONM. 2) Poderá ser possível a cooperação entre a nova Alemanha e um renovado judaísmo racial e nacional e 3) A manutenção e o reforço de uma </w:t>
      </w:r>
      <w:r w:rsidRPr="00A4667A">
        <w:lastRenderedPageBreak/>
        <w:t>futura posição de poder germânica no Próximo-Oriente serão favorecidos pela fundação numa base nacional e totalitária do Estado judaico histórico, ligado por um tratado ao Reich alemão. Partindo destas considerações, e com a condição de as referidas aspirações nacionais do movimento pela liberdade de Israel serem reconhecidas pelo Reich alemão, a ONM propõe-se tomar uma parte activa na guerra do lado germânico. Esta proposta da ONM, que inclui a actividade nas esferas militar, política e de espionagem, tanto na Palestina como, consoante os nossos preparativos, fora da Palestina, deverá estar relacionada com o treino militar e a organização dos recursos humanos judaicos na Europa, sob a direcção e o comando da ONM. Essas unidades militares deverão participar na luta pela conquista da Palestina, se for decidida a abertura desta frente de combate». E, depois de resumir a história da Irgun e as suas posições políticas, a missiva conclu</w:t>
      </w:r>
      <w:r>
        <w:t>i</w:t>
      </w:r>
      <w:r w:rsidRPr="00A4667A">
        <w:t>: «Tanto na sua ideologia como na sua estrutura, a ONM está muito próxima dos movimentos totalitários europeus. A capacidade de combate da ONM jamais poderá ser paralisada ou seriamente comprometida quer por medidas defensivas tomadas pela administração inglesa e pelos árabes quer por medidas tomadas pelos socialistas judaicos»</w:t>
      </w:r>
      <w:r w:rsidRPr="00A4667A">
        <w:rPr>
          <w:vertAlign w:val="superscript"/>
        </w:rPr>
        <w:footnoteReference w:id="366"/>
      </w:r>
      <w:r w:rsidRPr="00A4667A">
        <w:t>. Os nacionais-socialistas desprezaram esta proposta</w:t>
      </w:r>
      <w:r w:rsidRPr="00A4667A">
        <w:rPr>
          <w:vertAlign w:val="superscript"/>
        </w:rPr>
        <w:footnoteReference w:id="367"/>
      </w:r>
      <w:r w:rsidRPr="00A4667A">
        <w:t xml:space="preserve">, mostrando-se mais </w:t>
      </w:r>
      <w:r>
        <w:t xml:space="preserve">fiéis </w:t>
      </w:r>
      <w:r w:rsidRPr="00A4667A">
        <w:t xml:space="preserve">aos seus princípios racistas do que os fascistas sionistas se mostravam </w:t>
      </w:r>
      <w:r>
        <w:t xml:space="preserve">à </w:t>
      </w:r>
      <w:r w:rsidRPr="00A4667A">
        <w:t xml:space="preserve">protecção física do seu próprio povo. </w:t>
      </w:r>
    </w:p>
    <w:p w:rsidR="0082401E" w:rsidRDefault="00014285" w:rsidP="0082401E">
      <w:pPr>
        <w:keepNext/>
        <w:spacing w:before="240" w:after="120"/>
        <w:ind w:firstLine="0"/>
        <w:jc w:val="center"/>
      </w:pPr>
      <w:r>
        <w:rPr>
          <w:b/>
          <w:sz w:val="28"/>
          <w:szCs w:val="28"/>
        </w:rPr>
        <w:t>6</w:t>
      </w:r>
    </w:p>
    <w:p w:rsidR="00751A22" w:rsidRPr="00E87D24" w:rsidRDefault="00751A22" w:rsidP="00751A22">
      <w:r>
        <w:t>A duradoura e espessa teia de interesses políticos e económicos que ligou diversos sectores do sionismo ao</w:t>
      </w:r>
      <w:r w:rsidR="00406F51">
        <w:t>s</w:t>
      </w:r>
      <w:r>
        <w:t xml:space="preserve"> fascismo</w:t>
      </w:r>
      <w:r w:rsidR="00406F51">
        <w:t>s</w:t>
      </w:r>
      <w:r>
        <w:t xml:space="preserve"> italiano e germânico contribui para explicar a </w:t>
      </w:r>
      <w:r w:rsidRPr="00E87D24">
        <w:t>incredulidade que os dirigentes das comunidades judaicas dos países aliados manifestaram perante as primeiras notícias do genocídio dos seus correligionários na Europa nacional-socialista</w:t>
      </w:r>
      <w:r>
        <w:t>.</w:t>
      </w:r>
      <w:r w:rsidRPr="00E87D24">
        <w:t xml:space="preserve"> </w:t>
      </w:r>
      <w:r>
        <w:t xml:space="preserve">Esse confortável cepticismo </w:t>
      </w:r>
      <w:r w:rsidRPr="00E87D24">
        <w:t>veio na continuidade dos apelos à moderação com que desde 1933 muitos deles, nos Estados Unidos como em países europeus, haviam procurado refrear a hostilidade dos simples militantes relativamente ao Terceiro Reich</w:t>
      </w:r>
      <w:r w:rsidRPr="00E87D24">
        <w:rPr>
          <w:vertAlign w:val="superscript"/>
        </w:rPr>
        <w:footnoteReference w:id="368"/>
      </w:r>
      <w:r w:rsidRPr="00E87D24">
        <w:t xml:space="preserve">. Eram comerciantes e empresários, pouco propensos a manifestações de rua e a campanhas e boicotes que lhes pudessem prejudicar os negócios. Quanto aos dirigentes sionistas, as ligações íntimas que desde há muitos anos mantinham com vários regimes anti-semitas e </w:t>
      </w:r>
      <w:r w:rsidR="00406F51">
        <w:t xml:space="preserve">a convergência </w:t>
      </w:r>
      <w:r w:rsidRPr="00E87D24">
        <w:t xml:space="preserve">que desde </w:t>
      </w:r>
      <w:r w:rsidRPr="00E87D24">
        <w:lastRenderedPageBreak/>
        <w:t xml:space="preserve">1933 os </w:t>
      </w:r>
      <w:r w:rsidR="00406F51">
        <w:t>aproximava d</w:t>
      </w:r>
      <w:r w:rsidRPr="00E87D24">
        <w:t xml:space="preserve">o governo </w:t>
      </w:r>
      <w:r w:rsidR="00A70BA6">
        <w:t>de Berlim</w:t>
      </w:r>
      <w:r w:rsidRPr="00E87D24">
        <w:t xml:space="preserve"> poderão talvez </w:t>
      </w:r>
      <w:r>
        <w:t>justificar</w:t>
      </w:r>
      <w:r w:rsidRPr="00E87D24">
        <w:t xml:space="preserve"> que uma vez mais, e como sempre, acreditassem que as perseguições continuariam a alimentar a Palestina de trabalhadores e capitalistas. </w:t>
      </w:r>
    </w:p>
    <w:p w:rsidR="00751A22" w:rsidRPr="004033B7" w:rsidRDefault="00383593" w:rsidP="00751A22">
      <w:r>
        <w:t>Um historiador israelita resumiu o prob</w:t>
      </w:r>
      <w:r w:rsidR="00175971">
        <w:t>l</w:t>
      </w:r>
      <w:r>
        <w:t xml:space="preserve">ema ao escrever que «a própria direcção sionista não mostrou nenhum grande empenho em </w:t>
      </w:r>
      <w:r w:rsidR="00175971">
        <w:t>melhorar</w:t>
      </w:r>
      <w:r>
        <w:t xml:space="preserve"> a situação dos judeus na Europa nem pareceu dedicar muita atenção ao desenrolar de uma catástrofe cada vez mais evidente»</w:t>
      </w:r>
      <w:r w:rsidR="00175971">
        <w:rPr>
          <w:rStyle w:val="Refdenotaderodap"/>
        </w:rPr>
        <w:footnoteReference w:id="369"/>
      </w:r>
      <w:r>
        <w:t xml:space="preserve">. </w:t>
      </w:r>
      <w:r w:rsidR="00751A22" w:rsidRPr="004033B7">
        <w:t xml:space="preserve">Os representantes da Organização Sionista Mundial na Palestina classificaram como «propaganda bolchevista» o relatório de Janeiro de 1942 em que o governo soviético deu a conhecer as atrocidades praticadas pelos </w:t>
      </w:r>
      <w:r w:rsidR="00D71F9C" w:rsidRPr="00E110F1">
        <w:t xml:space="preserve">Comandos de </w:t>
      </w:r>
      <w:r w:rsidR="00D71F9C">
        <w:t>Acção Especiais</w:t>
      </w:r>
      <w:r w:rsidR="00D71F9C" w:rsidRPr="004033B7">
        <w:t xml:space="preserve"> </w:t>
      </w:r>
      <w:r w:rsidR="00751A22" w:rsidRPr="004033B7">
        <w:t xml:space="preserve">dos SS nos territórios ocupados de </w:t>
      </w:r>
      <w:r w:rsidR="00191EE4" w:rsidRPr="004033B7">
        <w:t>Leste</w:t>
      </w:r>
      <w:r w:rsidR="00751A22" w:rsidRPr="004033B7">
        <w:t xml:space="preserve">. E em Julho desse ano o chefe da comissão da Agência Judaica encarregada do auxílio aos perseguidos </w:t>
      </w:r>
      <w:r w:rsidR="00406F51">
        <w:t>—</w:t>
      </w:r>
      <w:r w:rsidR="00751A22" w:rsidRPr="004033B7">
        <w:t xml:space="preserve"> precisamente ele! </w:t>
      </w:r>
      <w:r w:rsidR="00406F51">
        <w:t>—</w:t>
      </w:r>
      <w:r w:rsidR="00751A22" w:rsidRPr="004033B7">
        <w:t xml:space="preserve"> recusou-se a acreditar nas notícias referentes aos massacres na Lituânia. Dois meses depois os sionistas da Palestina consideraram alarmistas as informações acerca da amplitude atingida pelo genocídio e dos métodos empregues na sua execução</w:t>
      </w:r>
      <w:r w:rsidR="00751A22" w:rsidRPr="004033B7">
        <w:rPr>
          <w:rStyle w:val="Refdenotaderodap"/>
        </w:rPr>
        <w:footnoteReference w:id="370"/>
      </w:r>
      <w:r w:rsidR="00751A22" w:rsidRPr="004033B7">
        <w:t>. Por fim, quando a repetição dos testemunhos tornara a dúvida impossível, alguns dos mais importantes dirigentes sionistas colaboraram com o governo dos Estados Unidos na supressão daquelas informações ou no adiamento da sua difusão</w:t>
      </w:r>
      <w:r w:rsidR="00751A22" w:rsidRPr="004033B7">
        <w:rPr>
          <w:rStyle w:val="Refdenotaderodap"/>
        </w:rPr>
        <w:footnoteReference w:id="371"/>
      </w:r>
      <w:r w:rsidR="00751A22" w:rsidRPr="004033B7">
        <w:t xml:space="preserve">. </w:t>
      </w:r>
      <w:r w:rsidR="006C7632">
        <w:t xml:space="preserve">Na conferência sionista </w:t>
      </w:r>
      <w:r w:rsidR="001450C8">
        <w:t>reunida em</w:t>
      </w:r>
      <w:r w:rsidR="006C7632">
        <w:t xml:space="preserve"> Maio de 1942 em Nova Iorque, que </w:t>
      </w:r>
      <w:r w:rsidR="001450C8">
        <w:t>r</w:t>
      </w:r>
      <w:r w:rsidR="006C7632">
        <w:t>eivindicou a formação de um Estado judaico na Palestina, vários oradores afirma</w:t>
      </w:r>
      <w:r w:rsidR="001450C8">
        <w:t>ram</w:t>
      </w:r>
      <w:r w:rsidR="006C7632">
        <w:t xml:space="preserve"> que quando a guerra terminasse dois ou três milhões de judeus teriam sido liquidados</w:t>
      </w:r>
      <w:r w:rsidR="004C6ADB">
        <w:t>,</w:t>
      </w:r>
      <w:r w:rsidR="006C7632">
        <w:t xml:space="preserve"> </w:t>
      </w:r>
      <w:r w:rsidR="001450C8">
        <w:t xml:space="preserve">sem que isto </w:t>
      </w:r>
      <w:r w:rsidR="006C7632">
        <w:t>provoc</w:t>
      </w:r>
      <w:r w:rsidR="001450C8">
        <w:t>asse</w:t>
      </w:r>
      <w:r w:rsidR="006C7632">
        <w:t xml:space="preserve"> nenhuma especial comoção entre os participantes</w:t>
      </w:r>
      <w:r w:rsidR="00DA14DF">
        <w:rPr>
          <w:rStyle w:val="Refdenotaderodap"/>
        </w:rPr>
        <w:footnoteReference w:id="372"/>
      </w:r>
      <w:r w:rsidR="006C7632">
        <w:t xml:space="preserve">. </w:t>
      </w:r>
      <w:r w:rsidR="00D458BC">
        <w:t xml:space="preserve">A imperturbabilidade continuou no ano seguinte, e </w:t>
      </w:r>
      <w:r w:rsidR="00D458BC" w:rsidRPr="004033B7">
        <w:t xml:space="preserve">em </w:t>
      </w:r>
      <w:r w:rsidR="00751A22" w:rsidRPr="004033B7">
        <w:t xml:space="preserve">Janeiro de 1943, algumas semanas </w:t>
      </w:r>
      <w:r w:rsidR="00751A22">
        <w:t>após</w:t>
      </w:r>
      <w:r w:rsidR="00751A22" w:rsidRPr="004033B7">
        <w:t xml:space="preserve"> os governos aliados terem publicado uma declaração conjunta acerca da «política alemã de extermínio da raça judaica», a convocatória para a reunião preparatória da Conferência Judaica Americana não inclu</w:t>
      </w:r>
      <w:r w:rsidR="00751A22">
        <w:t>iu</w:t>
      </w:r>
      <w:r w:rsidR="00751A22" w:rsidRPr="004033B7">
        <w:t xml:space="preserve"> </w:t>
      </w:r>
      <w:r w:rsidR="00406F51">
        <w:t>nenhuma</w:t>
      </w:r>
      <w:r w:rsidR="00751A22" w:rsidRPr="004033B7">
        <w:t xml:space="preserve"> menção a este assunto. Quando a Conferência se iniciou, no final de Agosto desse ano, o genocídio continu</w:t>
      </w:r>
      <w:r w:rsidR="00751A22">
        <w:t>ou</w:t>
      </w:r>
      <w:r w:rsidR="00751A22" w:rsidRPr="004033B7">
        <w:t xml:space="preserve"> a não fazer parte da ordem de trabalhos</w:t>
      </w:r>
      <w:r w:rsidR="00406F51">
        <w:t>,</w:t>
      </w:r>
      <w:r w:rsidR="00751A22" w:rsidRPr="004033B7">
        <w:t xml:space="preserve"> e a questão do auxílio aos judeus da Europa ocupada pelos </w:t>
      </w:r>
      <w:r w:rsidR="00822082">
        <w:t xml:space="preserve">nacionais-socialistas </w:t>
      </w:r>
      <w:r w:rsidR="00751A22" w:rsidRPr="004033B7">
        <w:t>só foi abordada a pedido do rabi Stephen Wise, a figura mais proeminente do judaísmo nos Estados Unidos, presidente do Congresso Judaico Americano e do Congresso Judaico Mundial</w:t>
      </w:r>
      <w:r w:rsidR="00751A22" w:rsidRPr="004033B7">
        <w:rPr>
          <w:rStyle w:val="Refdenotaderodap"/>
        </w:rPr>
        <w:footnoteReference w:id="373"/>
      </w:r>
      <w:r w:rsidR="00751A22" w:rsidRPr="004033B7">
        <w:t xml:space="preserve">. Nas altas esferas sionistas, quando a ignorância não podia já ser cultivada, optava-se geralmente por uma atitude deliberada de alheamento. O que na verdade interessava aos dirigentes sionistas </w:t>
      </w:r>
      <w:r w:rsidR="00751A22" w:rsidRPr="004033B7">
        <w:lastRenderedPageBreak/>
        <w:t>era apenas a colonização da Palestina</w:t>
      </w:r>
      <w:r w:rsidR="00D83134">
        <w:t>.</w:t>
      </w:r>
      <w:r w:rsidR="00751A22" w:rsidRPr="004033B7">
        <w:t xml:space="preserve"> </w:t>
      </w:r>
      <w:r w:rsidR="001C2BA7">
        <w:t>«[...] nas suas declarações públicas a partir do final de 1942 a maior parte dos dirigentes sionistas</w:t>
      </w:r>
      <w:r w:rsidR="00957A9C">
        <w:t xml:space="preserve">», escreveu </w:t>
      </w:r>
      <w:r w:rsidR="004C6ADB">
        <w:t>o referido</w:t>
      </w:r>
      <w:r w:rsidR="00957A9C">
        <w:t xml:space="preserve"> historiador israelita,</w:t>
      </w:r>
      <w:r w:rsidR="001C2BA7">
        <w:t xml:space="preserve"> </w:t>
      </w:r>
      <w:r w:rsidR="00957A9C">
        <w:t>«</w:t>
      </w:r>
      <w:r w:rsidR="001C2BA7">
        <w:t>encarava o extermínio antes de mais e acima de tudo pelas consequência</w:t>
      </w:r>
      <w:r w:rsidR="00D83134">
        <w:t>s</w:t>
      </w:r>
      <w:r w:rsidR="001C2BA7">
        <w:t xml:space="preserve"> que teria sobre a construção de um Estado judaico»</w:t>
      </w:r>
      <w:r w:rsidR="00957A9C">
        <w:rPr>
          <w:rStyle w:val="Refdenotaderodap"/>
        </w:rPr>
        <w:footnoteReference w:id="374"/>
      </w:r>
      <w:r w:rsidR="00957A9C">
        <w:t>.</w:t>
      </w:r>
      <w:r w:rsidR="001C2BA7">
        <w:t xml:space="preserve"> </w:t>
      </w:r>
      <w:r w:rsidR="00D458BC">
        <w:t>Ben-Gurion repetiu várias vezes em 1942 e 1943 que se os judeus da Europa fossem aniquilados isso arruinaria o sionismo, porque não haveria ninguém para construir o Estado de Israel</w:t>
      </w:r>
      <w:r w:rsidR="001D4F36">
        <w:rPr>
          <w:rStyle w:val="Refdenotaderodap"/>
        </w:rPr>
        <w:footnoteReference w:id="375"/>
      </w:r>
      <w:r w:rsidR="00D458BC">
        <w:t xml:space="preserve">. </w:t>
      </w:r>
      <w:r w:rsidR="004C6ADB">
        <w:t>O problema seria só esse, e o</w:t>
      </w:r>
      <w:r w:rsidR="00D458BC">
        <w:t xml:space="preserve">s dirigentes sionistas </w:t>
      </w:r>
      <w:r w:rsidR="00751A22" w:rsidRPr="004033B7">
        <w:t>opuseram-se activamente a quaisquer planos de salvamento dos judeus que tivessem como condição o seu estabelecimento noutras regiões</w:t>
      </w:r>
      <w:r w:rsidR="00751A22" w:rsidRPr="004033B7">
        <w:rPr>
          <w:rStyle w:val="Refdenotaderodap"/>
        </w:rPr>
        <w:footnoteReference w:id="376"/>
      </w:r>
      <w:r w:rsidR="00751A22" w:rsidRPr="004033B7">
        <w:t>, a ponto de Stephen Wise ter apoiado as medidas tomadas em 1941 pela administração Roosevelt para dificultar mais ainda a concessão de vistos</w:t>
      </w:r>
      <w:r w:rsidR="00751A22" w:rsidRPr="004033B7">
        <w:rPr>
          <w:rStyle w:val="Refdenotaderodap"/>
        </w:rPr>
        <w:footnoteReference w:id="377"/>
      </w:r>
      <w:r w:rsidR="00751A22" w:rsidRPr="004033B7">
        <w:t xml:space="preserve">. </w:t>
      </w:r>
      <w:r w:rsidR="0021135B">
        <w:t xml:space="preserve">Para completar o cerco, </w:t>
      </w:r>
      <w:r w:rsidR="00910950">
        <w:t xml:space="preserve">em 1940 o governo dos Estados Unidos </w:t>
      </w:r>
      <w:r w:rsidR="0021135B">
        <w:t>pressionou os governos do Brasil e do Chile a não aceitarem refugiados judeus, com o argumento de que entre eles poderiam contar-se espiões</w:t>
      </w:r>
      <w:r w:rsidR="00910950">
        <w:rPr>
          <w:rStyle w:val="Refdenotaderodap"/>
        </w:rPr>
        <w:footnoteReference w:id="378"/>
      </w:r>
      <w:r w:rsidR="0021135B">
        <w:t xml:space="preserve">. </w:t>
      </w:r>
      <w:r w:rsidR="00751A22" w:rsidRPr="004033B7">
        <w:t>Só os partidários de Jabotinsky, tal como haviam antes atacado a Ha’avara e defendido o boicote comercial ao Reich, defenderam agora que a salvação d</w:t>
      </w:r>
      <w:r w:rsidR="00751A22">
        <w:t>os</w:t>
      </w:r>
      <w:r w:rsidR="00751A22" w:rsidRPr="004033B7">
        <w:t xml:space="preserve"> judeus deveria ter prioridade sobre a colonização da Palestina; mas os revisionistas, além de serem minoritários, permaneceram marginalizados nos meios judaicos dos Estados Unidos</w:t>
      </w:r>
      <w:r w:rsidR="003F7EB5">
        <w:t>,</w:t>
      </w:r>
      <w:r w:rsidR="00751A22" w:rsidRPr="004033B7">
        <w:t xml:space="preserve"> </w:t>
      </w:r>
      <w:r w:rsidR="003F7EB5">
        <w:t>onde</w:t>
      </w:r>
      <w:r w:rsidR="00751A22" w:rsidRPr="004033B7">
        <w:t xml:space="preserve"> nem deram o tom ao sionismo nem conseguiram ser escutados nos meios governamentais</w:t>
      </w:r>
      <w:r w:rsidR="00751A22" w:rsidRPr="004033B7">
        <w:rPr>
          <w:rStyle w:val="Refdenotaderodap"/>
        </w:rPr>
        <w:footnoteReference w:id="379"/>
      </w:r>
      <w:r w:rsidR="00751A22" w:rsidRPr="004033B7">
        <w:t>. A atitude do sionismo oficial caracterizou-se</w:t>
      </w:r>
      <w:r w:rsidR="00751A22">
        <w:t>,</w:t>
      </w:r>
      <w:r w:rsidR="00751A22" w:rsidRPr="004033B7">
        <w:t xml:space="preserve"> em suma, por uma passividade disfarçada de expectativa. Nahum Goldmann, que depois da guerra haveria de presidir à Organização Sionista Mundial, contou em 1963 que ele próprio e o rabi Stephen Wise se abstiveram de organizar uma vigília permanente em frente à Casa Branca </w:t>
      </w:r>
      <w:r w:rsidR="00406F51">
        <w:t xml:space="preserve">para </w:t>
      </w:r>
      <w:r w:rsidR="00751A22" w:rsidRPr="004033B7">
        <w:t>pedi</w:t>
      </w:r>
      <w:r w:rsidR="00406F51">
        <w:t>r</w:t>
      </w:r>
      <w:r w:rsidR="00751A22" w:rsidRPr="004033B7">
        <w:t xml:space="preserve"> que os Aliados bombardea</w:t>
      </w:r>
      <w:r w:rsidR="00751A22">
        <w:t>ssem</w:t>
      </w:r>
      <w:r w:rsidR="00751A22" w:rsidRPr="004033B7">
        <w:t xml:space="preserve"> os campos de extermínio e os comboios que transportavam os judeus para a morte, tal como </w:t>
      </w:r>
      <w:r w:rsidR="00751A22">
        <w:t xml:space="preserve">era </w:t>
      </w:r>
      <w:r w:rsidR="00751A22" w:rsidRPr="004033B7">
        <w:t xml:space="preserve">reclamado pelos habitantes do </w:t>
      </w:r>
      <w:r w:rsidR="00751A22" w:rsidRPr="004033B7">
        <w:rPr>
          <w:i/>
        </w:rPr>
        <w:t>ghetto</w:t>
      </w:r>
      <w:r w:rsidR="00751A22" w:rsidRPr="004033B7">
        <w:t xml:space="preserve"> de Varsóvia, «porque a maior parte dos dirigentes judaicos considerava que não devíamos perturbar com agitações e protestos o esforço de guerra do mundo livre contra o nazismo»</w:t>
      </w:r>
      <w:r w:rsidR="00751A22" w:rsidRPr="004033B7">
        <w:rPr>
          <w:rStyle w:val="Refdenotaderodap"/>
        </w:rPr>
        <w:footnoteReference w:id="380"/>
      </w:r>
      <w:r w:rsidR="00751A22" w:rsidRPr="004033B7">
        <w:t xml:space="preserve">. Para quem depositara nas acções de Hitler e Himmler a esperança de ver a Palestina encher-se de mão-de-obra e capitais, que terrível desilusão não foi reconhecer que o </w:t>
      </w:r>
      <w:r w:rsidR="00500BEF">
        <w:t>nacional-socialismo</w:t>
      </w:r>
      <w:r w:rsidR="00751A22" w:rsidRPr="004033B7">
        <w:t xml:space="preserve">, em vez de edificar uma «Europa livre de judeus» através da evacuação em massa, preferira matá-los colectivamente! </w:t>
      </w:r>
    </w:p>
    <w:p w:rsidR="00751A22" w:rsidRPr="00F81368" w:rsidRDefault="00751A22" w:rsidP="00751A22">
      <w:r w:rsidRPr="00F81368">
        <w:lastRenderedPageBreak/>
        <w:t xml:space="preserve">Problemas como este são um vespeiro, por isso a esmagadora maioria dos historiadores prefere não lhes tocar. Analisar criticamente um processo histórico que está ainda em curso é muitas vezes doloroso e sempre incómodo, tanto mais que neste caso se verifica uma curiosa convergência de adulterações. De um lado, um dos argumentos utilizados pela historiografia de extrema-direita </w:t>
      </w:r>
      <w:r w:rsidR="008E2A9B">
        <w:t xml:space="preserve">e fascista </w:t>
      </w:r>
      <w:r w:rsidRPr="00F81368">
        <w:t xml:space="preserve">para desculpar a violência com que Hitler tratou os judeus consiste em citar as declarações bombásticas de alguns deles e os protestos de muitos para pretender que todos, em bloco, haviam desde início declarado guerra </w:t>
      </w:r>
      <w:r w:rsidR="00F121E2">
        <w:t>ao Reich</w:t>
      </w:r>
      <w:r w:rsidRPr="00F81368">
        <w:rPr>
          <w:vertAlign w:val="superscript"/>
        </w:rPr>
        <w:footnoteReference w:id="381"/>
      </w:r>
      <w:r w:rsidRPr="00F81368">
        <w:t xml:space="preserve">. Ignorando comodamente que entre os judeus as estratificações sociais e as clivagens políticas prevaleceram sobre qualquer </w:t>
      </w:r>
      <w:r w:rsidR="00F121E2">
        <w:t>comunidade étnica</w:t>
      </w:r>
      <w:r w:rsidRPr="00F81368">
        <w:t xml:space="preserve"> e esquecendo o lugar ocupado pelo anti-semitismo na encenação hitleriana e rosenberguiana da história, os apologistas contemporâneos do </w:t>
      </w:r>
      <w:r w:rsidR="00F121E2">
        <w:t>nacional-socialismo</w:t>
      </w:r>
      <w:r w:rsidRPr="00F81368">
        <w:t xml:space="preserve"> atribuem ao povo judaico a iniciativa das hostilidades. E esta mentira encontra sustentação do lado contrário, porque </w:t>
      </w:r>
      <w:r w:rsidR="00545144">
        <w:t>muit</w:t>
      </w:r>
      <w:r w:rsidRPr="00F81368">
        <w:t xml:space="preserve">os historiadores liberais e grande parte daqueles que imaginam situar-se à esquerda desviam os olhos sempre que deparam com indícios da teia de </w:t>
      </w:r>
      <w:r w:rsidR="00F121E2">
        <w:t>conluios</w:t>
      </w:r>
      <w:r w:rsidRPr="00F81368">
        <w:t xml:space="preserve"> tecida entre os representantes sionistas e as autoridades naciona</w:t>
      </w:r>
      <w:r w:rsidR="00315D14">
        <w:t>l</w:t>
      </w:r>
      <w:r w:rsidRPr="00F81368">
        <w:t>-socialistas, servindo-lhes a falta de atenção para aceitarem sem qualquer distância crítica a versão oficial do sionismo. De uma maneira ou de outra, todos colaboram na mistificação e acrescentam novos meandros ao labirinto do fascismo. Não é simples destruir mitos, e pode ser a</w:t>
      </w:r>
      <w:r>
        <w:t>rriscado</w:t>
      </w:r>
      <w:r w:rsidRPr="00F81368">
        <w:t xml:space="preserve"> quando estão encarnados em pessoas que vivem de os explorar. </w:t>
      </w:r>
    </w:p>
    <w:p w:rsidR="00751A22" w:rsidRPr="004033B7" w:rsidRDefault="00751A22" w:rsidP="00751A22">
      <w:r w:rsidRPr="004033B7">
        <w:t xml:space="preserve">Mesmo hoje, </w:t>
      </w:r>
      <w:r w:rsidR="002203F7">
        <w:t>corridos</w:t>
      </w:r>
      <w:r w:rsidRPr="004033B7">
        <w:t xml:space="preserve"> tantos anos, haverá muita gente interessada em recordar que numerosas personalidades importantes do judaísmo tomaram uma parte activa na estratégia anti-semita do fascismo alemão? Depois da guerra</w:t>
      </w:r>
      <w:r>
        <w:t xml:space="preserve"> o </w:t>
      </w:r>
      <w:r w:rsidRPr="00E55613">
        <w:t xml:space="preserve">vice-presidente da organização sionista </w:t>
      </w:r>
      <w:r>
        <w:t>húngara</w:t>
      </w:r>
      <w:r w:rsidRPr="004033B7">
        <w:t>, Rudolf Kastner</w:t>
      </w:r>
      <w:r>
        <w:t>,</w:t>
      </w:r>
      <w:r w:rsidRPr="004033B7">
        <w:t xml:space="preserve"> foi condenado em Israel por um tribunal de primeira instância, mas durante as alegações no recurso apresentado perante o Supremo Tribunal o procurador-geral, em representação do governo, assumiu a defesa do réu</w:t>
      </w:r>
      <w:r w:rsidR="00266528">
        <w:t>:</w:t>
      </w:r>
      <w:r w:rsidRPr="004033B7">
        <w:t xml:space="preserve"> «Kastner não fez mais nem menos do que nós próprios fazíamos quando salvávamos judeus e os trazíamos para a Palestina [...] Temos o direito </w:t>
      </w:r>
      <w:r w:rsidR="00266528">
        <w:t>—</w:t>
      </w:r>
      <w:r w:rsidRPr="004033B7">
        <w:t xml:space="preserve"> de facto, temos o dever </w:t>
      </w:r>
      <w:r w:rsidR="00266528">
        <w:t>—</w:t>
      </w:r>
      <w:r w:rsidRPr="004033B7">
        <w:t xml:space="preserve"> de arriscar a perda de muitos para salvar poucos [...] Na preparação da emigração para a Palestina fez sempre parte da nossa tradição sionista seleccionar poucos entre muitos. Será que isto permite que nos chamem traidores?». Numa sentença de consideráve</w:t>
      </w:r>
      <w:r>
        <w:t>l</w:t>
      </w:r>
      <w:r w:rsidRPr="004033B7">
        <w:t xml:space="preserve"> repercuss</w:t>
      </w:r>
      <w:r>
        <w:t>ão</w:t>
      </w:r>
      <w:r w:rsidRPr="004033B7">
        <w:t xml:space="preserve">, os juízes do Supremo Tribunal absolveram Kastner e </w:t>
      </w:r>
      <w:r w:rsidRPr="004033B7">
        <w:lastRenderedPageBreak/>
        <w:t>reabilitaram-no plenamente</w:t>
      </w:r>
      <w:r w:rsidRPr="004033B7">
        <w:rPr>
          <w:rStyle w:val="Refdenotaderodap"/>
        </w:rPr>
        <w:footnoteReference w:id="382"/>
      </w:r>
      <w:r w:rsidRPr="004033B7">
        <w:t>, tal como alguns anos mais tarde invalidaram por unanimidade a condenação em primeira instância do antigo chefe da Polícia Judaica numa cidade polaca, ilibando assim de maneira indirecta a generalidade dos Conselhos Judaicos</w:t>
      </w:r>
      <w:r w:rsidRPr="004033B7">
        <w:rPr>
          <w:rStyle w:val="Refdenotaderodap"/>
        </w:rPr>
        <w:footnoteReference w:id="383"/>
      </w:r>
      <w:r w:rsidRPr="004033B7">
        <w:t>. Um sionista com opiniões vincadamente conservadoras</w:t>
      </w:r>
      <w:r>
        <w:t xml:space="preserve"> </w:t>
      </w:r>
      <w:r w:rsidRPr="004033B7">
        <w:t>reconheceu: «Esforçámo-nos muito pouco por condenar a colaboração judaica com os nazis»</w:t>
      </w:r>
      <w:r w:rsidRPr="004033B7">
        <w:rPr>
          <w:rStyle w:val="Refdenotaderodap"/>
        </w:rPr>
        <w:footnoteReference w:id="384"/>
      </w:r>
      <w:r w:rsidRPr="004033B7">
        <w:t xml:space="preserve">. Ao darem veredictos opostos àquele que havia sido pronunciado na prática pelos insurrectos </w:t>
      </w:r>
      <w:r>
        <w:t xml:space="preserve">do </w:t>
      </w:r>
      <w:r w:rsidRPr="00C16611">
        <w:rPr>
          <w:i/>
        </w:rPr>
        <w:t>ghetto</w:t>
      </w:r>
      <w:r>
        <w:t xml:space="preserve"> </w:t>
      </w:r>
      <w:r w:rsidRPr="004033B7">
        <w:t>de Varsóvia, as sumidades judiciári</w:t>
      </w:r>
      <w:r>
        <w:t>as</w:t>
      </w:r>
      <w:r w:rsidRPr="004033B7">
        <w:t xml:space="preserve"> do Estado de Israel revelaram a linhagem histórica em que o sionismo se insere. É uma linhagem dupla, porque se Jabotinsky fundou um fascismo sionista e buscou para o seu movimento o apoio de Mussolini, os representantes da ala maioritária e democrática não só foram favoráveis às conversações com o Duce mas estabeleceram igualmente acordos duradouros com o nacional-socialismo germânico. </w:t>
      </w:r>
    </w:p>
    <w:p w:rsidR="00751A22" w:rsidRPr="004033B7" w:rsidRDefault="00751A22" w:rsidP="00751A22">
      <w:r>
        <w:t>Passad</w:t>
      </w:r>
      <w:r w:rsidR="00266528">
        <w:t>as sete décadas</w:t>
      </w:r>
      <w:r w:rsidRPr="004033B7">
        <w:t>, a clivagem que separa os dois grandes campos políticos israelitas prossegue a antiga oposição entre as duas alas do sionismo. Os trabalhistas</w:t>
      </w:r>
      <w:r w:rsidR="00EB6B82">
        <w:t>,</w:t>
      </w:r>
      <w:r w:rsidRPr="004033B7">
        <w:t xml:space="preserve"> </w:t>
      </w:r>
      <w:r w:rsidR="00EB6B82">
        <w:t xml:space="preserve">ou o que resta deles, </w:t>
      </w:r>
      <w:r w:rsidRPr="004033B7">
        <w:t>continuam a tendência maioritária, com uma orientação interna de carácter social-democrata, e o Likud é o herdeiro da organização revisionista. O primeiro chefe de governo do Likud, Menachem Begin, que exerceu funções desde 1977 até 1983, fora na sua juventude um dos dirigentes das milícias revisionistas e, embora se mantivesse fiel a Jabotinsky, ultrapassava as propensões terroristas do mestre e apoiava ideologicamente a ala mais radical. Jabotinsky nomeara-o em 1939 comanda</w:t>
      </w:r>
      <w:r w:rsidR="007C49A5">
        <w:t>nte</w:t>
      </w:r>
      <w:r w:rsidRPr="004033B7">
        <w:t xml:space="preserve"> </w:t>
      </w:r>
      <w:r w:rsidR="007C49A5">
        <w:t>d</w:t>
      </w:r>
      <w:r w:rsidRPr="004033B7">
        <w:t xml:space="preserve">a Betar na Polónia, precisamente quando os militares anti-semitas ajudavam a preparar uma invasão armada da Palestina, e com estas credenciais Begin assumiu no final de 1943 a chefia da Irgun, lançando-a em acções violentas contra os britânicos. Em 1948, juntamente com os representantes da ala caracterizadamente fascista do revisionismo, Begin fundou o Partido da Liberdade, que assegurou </w:t>
      </w:r>
      <w:r w:rsidR="00EC7D76">
        <w:t xml:space="preserve">àquela </w:t>
      </w:r>
      <w:r w:rsidRPr="004033B7">
        <w:t>velh</w:t>
      </w:r>
      <w:r w:rsidR="00EC7D76">
        <w:t>a</w:t>
      </w:r>
      <w:r w:rsidRPr="004033B7">
        <w:t xml:space="preserve"> </w:t>
      </w:r>
      <w:r w:rsidR="00EC7D76">
        <w:t xml:space="preserve">corrente política </w:t>
      </w:r>
      <w:r w:rsidRPr="004033B7">
        <w:t xml:space="preserve">um novo alento </w:t>
      </w:r>
      <w:r w:rsidR="00EC7D76">
        <w:t>n</w:t>
      </w:r>
      <w:r w:rsidRPr="004033B7">
        <w:t>o Estado de Israel</w:t>
      </w:r>
      <w:r w:rsidRPr="004033B7">
        <w:rPr>
          <w:rStyle w:val="Refdenotaderodap"/>
        </w:rPr>
        <w:footnoteReference w:id="385"/>
      </w:r>
      <w:r w:rsidRPr="004033B7">
        <w:t>. Pouco depois</w:t>
      </w:r>
      <w:r w:rsidR="00DD0ADB">
        <w:t>,</w:t>
      </w:r>
      <w:r w:rsidRPr="004033B7">
        <w:t xml:space="preserve"> </w:t>
      </w:r>
      <w:r w:rsidR="00DD0ADB">
        <w:t xml:space="preserve">vinte e </w:t>
      </w:r>
      <w:r w:rsidR="00986BEB">
        <w:t>sete</w:t>
      </w:r>
      <w:r w:rsidR="00DD0ADB">
        <w:t xml:space="preserve"> </w:t>
      </w:r>
      <w:r w:rsidRPr="004033B7">
        <w:t>figuras proeminentes do judaísmo, incluindo Einstein e Hannah Arendt, publicaram num importante jornal norte-americano uma carta onde se lê: «Um dos mais perturba</w:t>
      </w:r>
      <w:r w:rsidR="00986BEB">
        <w:t>ntes</w:t>
      </w:r>
      <w:r w:rsidRPr="004033B7">
        <w:t xml:space="preserve"> fenómenos políticos do nosso tempo é o aparecimento do Partido da Liberdade no recém-criado Estado de Israel, um partido político que nas suas formas de organização, nos seus métodos, na sua filosofia política e na sua audiência social tem um parentesco muito estreito com os partidos nazis e fascistas. Ele deveu a sua formação aos membros e seguidores da antiga Irgun Z’vai Le’umi, uma organização terrorista, de </w:t>
      </w:r>
      <w:r w:rsidRPr="004033B7">
        <w:lastRenderedPageBreak/>
        <w:t xml:space="preserve">direita e xenófoba </w:t>
      </w:r>
      <w:r w:rsidR="00C51CF1">
        <w:t>na Palestina</w:t>
      </w:r>
      <w:r w:rsidRPr="004033B7">
        <w:t>»</w:t>
      </w:r>
      <w:r w:rsidR="00F8094C">
        <w:t xml:space="preserve">. Analisando o recente massacre dos habitantes de uma aldeia árabe </w:t>
      </w:r>
      <w:r w:rsidR="00A22B84">
        <w:t>por membros do Partido da Liberdade, a carta recordou que «hoje eles falam de liberdade, democracia e anti-imperialismo, mas até há pouco tempo pregavam abertamente a doutrina do Estado fascista» e preveniu que «</w:t>
      </w:r>
      <w:r w:rsidR="00D05912">
        <w:t xml:space="preserve">é nas suas acções que o partido terrorista revela o seu verdadeiro carácter; </w:t>
      </w:r>
      <w:r w:rsidR="00A22B84">
        <w:t>pelas suas acções passadas podemos avaliar o que se esperará dele no futuro»</w:t>
      </w:r>
      <w:r w:rsidRPr="004033B7">
        <w:rPr>
          <w:rStyle w:val="Refdenotaderodap"/>
        </w:rPr>
        <w:footnoteReference w:id="386"/>
      </w:r>
      <w:r w:rsidRPr="004033B7">
        <w:t xml:space="preserve">. Mas nem este protesto nem muitos outros impediram a ascensão dos antigos revisionistas. O sucessor de Begin à frente do governo israelita, Yitzhak Shamir, contara-se entre os membros da Irgun que se colocaram sob o comando de Stern, em protesto contra a decisão de Jabotinsky de instaurar tréguas com os britânicos durante a segunda guerra mundial. E é pouco verosímil que Shamir não estivesse ao corrente dos sinistros contactos de Stern com os </w:t>
      </w:r>
      <w:r w:rsidR="00491339">
        <w:t>nacionais-socialistas</w:t>
      </w:r>
      <w:r w:rsidRPr="004033B7">
        <w:t>, porque ocupava uma posição suficientemente elevada para pertencer ao triunvirato que reconstruiu a organização alguns meses após o assassinato do seu chefe</w:t>
      </w:r>
      <w:r w:rsidRPr="004033B7">
        <w:rPr>
          <w:rStyle w:val="Refdenotaderodap"/>
        </w:rPr>
        <w:footnoteReference w:id="387"/>
      </w:r>
      <w:r w:rsidRPr="004033B7">
        <w:t xml:space="preserve">. </w:t>
      </w:r>
      <w:r w:rsidR="00491339">
        <w:t xml:space="preserve">É este o partido que continua a dirigir o governo do Estado de Israel. </w:t>
      </w:r>
      <w:r w:rsidRPr="004033B7">
        <w:t xml:space="preserve">Mas se as actuais divisões políticas </w:t>
      </w:r>
      <w:r w:rsidR="00491339">
        <w:t xml:space="preserve">desse pais </w:t>
      </w:r>
      <w:r w:rsidRPr="004033B7">
        <w:t xml:space="preserve">se radicam no período </w:t>
      </w:r>
      <w:r>
        <w:t xml:space="preserve">anterior à segunda </w:t>
      </w:r>
      <w:r w:rsidRPr="004033B7">
        <w:t>guerra</w:t>
      </w:r>
      <w:r>
        <w:t xml:space="preserve"> mundial</w:t>
      </w:r>
      <w:r w:rsidRPr="004033B7">
        <w:t xml:space="preserve">, os acordos entre os principais partidos têm também a mesma origem. Sem o filofascismo demonstrado pela corrente sionista maioritária seria difícil compreender que os trabalhistas tivessem adoptado a estratégia proposta por Jabotinsky no relacionamento com os árabes. A convergência que os dois grandes campos políticos revelam nesta questão fundamental está no seguimento de uma época em que Mussolini recebia Weizmann e ao mesmo tempo subsidiava Jabotinsky. Afinal, os trabalhistas executaram o projecto dos revisionistas. </w:t>
      </w:r>
    </w:p>
    <w:p w:rsidR="00751A22" w:rsidRPr="004033B7" w:rsidRDefault="00751A22" w:rsidP="00751A22">
      <w:r w:rsidRPr="004033B7">
        <w:t>V</w:t>
      </w:r>
      <w:r>
        <w:t>e</w:t>
      </w:r>
      <w:r w:rsidRPr="004033B7">
        <w:t xml:space="preserve">mos </w:t>
      </w:r>
      <w:r w:rsidR="00471874">
        <w:t>que</w:t>
      </w:r>
      <w:r w:rsidRPr="004033B7">
        <w:t xml:space="preserve"> é inteiramente errada a identificação entre anti-sionismo e anti-semitismo a que desde os primórdios o Estado de Israel tem procedido para tentar obter uma legitimidade moral. Em 1934 o judeu alemão Victor Klemperer, visceralmente oposto aos sionistas, observou no seu diário que «em Sion o Ariano está exactamente na mesma posição que o Judeu ocupa aqui»</w:t>
      </w:r>
      <w:r w:rsidRPr="004033B7">
        <w:rPr>
          <w:rStyle w:val="Refdenotaderodap"/>
        </w:rPr>
        <w:footnoteReference w:id="388"/>
      </w:r>
      <w:r w:rsidRPr="004033B7">
        <w:t xml:space="preserve">. Na génese do Estado de Israel reflectiu-se, como uma imagem invertida no espelho, o racismo </w:t>
      </w:r>
      <w:r w:rsidR="00A23DDA">
        <w:t>hitleriano</w:t>
      </w:r>
      <w:r w:rsidRPr="004033B7">
        <w:t xml:space="preserve">. </w:t>
      </w:r>
      <w:r>
        <w:t xml:space="preserve">E </w:t>
      </w:r>
      <w:r w:rsidRPr="004033B7">
        <w:t xml:space="preserve">nas suas meditações a propósito do processo de Eichmann, </w:t>
      </w:r>
      <w:r>
        <w:t xml:space="preserve">a judia </w:t>
      </w:r>
      <w:r w:rsidRPr="002C3B99">
        <w:t xml:space="preserve">Hannah Arendt </w:t>
      </w:r>
      <w:r w:rsidRPr="004033B7">
        <w:t xml:space="preserve">assinalou, com desgostosa ironia, que as leis israelitas proibindo o matrimónio com não-judeus e recusando a legitimidade aos filhos nascidos de casamentos realizados no estrangeiro entre judeus e não-judeus constituem a réplica da legislação racial promulgada pelos </w:t>
      </w:r>
      <w:r w:rsidR="00A23DDA">
        <w:t>nacionais-</w:t>
      </w:r>
      <w:r w:rsidR="00A23DDA">
        <w:lastRenderedPageBreak/>
        <w:t>socialistas</w:t>
      </w:r>
      <w:r w:rsidRPr="004033B7">
        <w:t xml:space="preserve"> em 1935</w:t>
      </w:r>
      <w:r w:rsidRPr="004033B7">
        <w:rPr>
          <w:rStyle w:val="Refdenotaderodap"/>
        </w:rPr>
        <w:footnoteReference w:id="389"/>
      </w:r>
      <w:r w:rsidRPr="004033B7">
        <w:t xml:space="preserve">. É certo que a perspectiva nacionalista e expansionista, a reserva de postos de trabalho para os judeus e outras medidas do mesmo género foram defendidas e adoptadas por uma parte cada vez mais importante dos dirigentes sionistas desde muito antes de 1933, não podendo ser atribuída ao </w:t>
      </w:r>
      <w:r w:rsidR="00A23DDA">
        <w:t>Terceiro Reich</w:t>
      </w:r>
      <w:r w:rsidRPr="004033B7">
        <w:t xml:space="preserve"> a </w:t>
      </w:r>
      <w:r w:rsidR="0061452F">
        <w:t>inspiração</w:t>
      </w:r>
      <w:r w:rsidRPr="004033B7">
        <w:t xml:space="preserve"> originária </w:t>
      </w:r>
      <w:r w:rsidR="0061452F">
        <w:t>d</w:t>
      </w:r>
      <w:r w:rsidRPr="004033B7">
        <w:t xml:space="preserve">estas orientações. Mas não deixa de ser verdade que </w:t>
      </w:r>
      <w:r w:rsidR="00A23DDA">
        <w:t>a lição d</w:t>
      </w:r>
      <w:r w:rsidRPr="004033B7">
        <w:t xml:space="preserve">o </w:t>
      </w:r>
      <w:r w:rsidR="00A23DDA">
        <w:t>nacional-socialismo</w:t>
      </w:r>
      <w:r w:rsidRPr="004033B7">
        <w:t xml:space="preserve"> as agravou e reforçou. Ao catalogar as pretensas singularidades físicas e psicológicas dos judeus, ao esforçar</w:t>
      </w:r>
      <w:r w:rsidR="0061452F">
        <w:t>-se</w:t>
      </w:r>
      <w:r w:rsidRPr="004033B7">
        <w:t xml:space="preserve"> por excluí-los da sociedade europeia, ao estimular a sua emigração até finalmente programar a sua liquidação total na Europa, o nacional-socialismo concorreu de maneira muito poderosa para a forma estritamente rácica, e racista, como o Estado de Israel tem existido até hoje. E não foi esta uma das consequências menos funestas das obsessões hitlerianas. </w:t>
      </w:r>
    </w:p>
    <w:p w:rsidR="00751A22" w:rsidRPr="004033B7" w:rsidRDefault="00751A22" w:rsidP="00751A22">
      <w:r w:rsidRPr="004033B7">
        <w:t xml:space="preserve">Mas se tal conclusão é exacta, será ela a única? O facto de a história ter percorrido um dado caminho não nos deve fazer esquecer que, de início, outros rumos </w:t>
      </w:r>
      <w:r>
        <w:t xml:space="preserve">podiam </w:t>
      </w:r>
      <w:r w:rsidRPr="004033B7">
        <w:t>apresenta</w:t>
      </w:r>
      <w:r>
        <w:t xml:space="preserve">r-se como </w:t>
      </w:r>
      <w:r w:rsidRPr="004033B7">
        <w:t xml:space="preserve">possíveis, e também esta possibilidade não deixa de ser, em termos históricos, uma realidade. </w:t>
      </w:r>
      <w:r>
        <w:t xml:space="preserve">O certo é que já </w:t>
      </w:r>
      <w:r w:rsidRPr="004033B7">
        <w:t xml:space="preserve">no final do século XIX e no princípio do século XX vários intelectuais judeus </w:t>
      </w:r>
      <w:r w:rsidR="00197F4F">
        <w:t>defenderam</w:t>
      </w:r>
      <w:r w:rsidRPr="004033B7">
        <w:t xml:space="preserve"> uma forma de racismo correspondente à que na mesma época </w:t>
      </w:r>
      <w:r>
        <w:t>foi</w:t>
      </w:r>
      <w:r w:rsidRPr="004033B7">
        <w:t xml:space="preserve"> exposta por Houston Stewart Chamberlain e outros anti-semitas não menos virulentos, e foram eles quem deu o tom ideológico ao movimento sionista após a morte de Herzl</w:t>
      </w:r>
      <w:r w:rsidRPr="004033B7">
        <w:rPr>
          <w:rStyle w:val="Refdenotaderodap"/>
        </w:rPr>
        <w:footnoteReference w:id="390"/>
      </w:r>
      <w:r w:rsidRPr="004033B7">
        <w:t xml:space="preserve">. </w:t>
      </w:r>
      <w:r w:rsidR="00AB45FE">
        <w:t xml:space="preserve">Não quero acrescentar mais duas ou três dezenas de páginas a um livro </w:t>
      </w:r>
      <w:r w:rsidR="006F5591">
        <w:t xml:space="preserve">já assim </w:t>
      </w:r>
      <w:r w:rsidR="00AB45FE">
        <w:t xml:space="preserve">enorme, mas seria aqui o caso de estudar a obra de Max Nordau, associado a Herzl na fundação do sionismo, e </w:t>
      </w:r>
      <w:r w:rsidR="00234B5A">
        <w:t xml:space="preserve">cujo pensamento é inseparável da </w:t>
      </w:r>
      <w:r w:rsidR="00C8603A">
        <w:t>eugenia e da noção de decadência social e cultural, precisamente aquel</w:t>
      </w:r>
      <w:r w:rsidR="00BF2CB8">
        <w:t>e</w:t>
      </w:r>
      <w:r w:rsidR="00C8603A">
        <w:t xml:space="preserve"> </w:t>
      </w:r>
      <w:r w:rsidR="00BF2CB8">
        <w:t>conjunto ideológico que inspirou a perseguição aos judeus e o seu extermínio</w:t>
      </w:r>
      <w:r w:rsidR="00197F4F">
        <w:rPr>
          <w:rStyle w:val="Refdenotaderodap"/>
        </w:rPr>
        <w:footnoteReference w:id="391"/>
      </w:r>
      <w:r w:rsidR="00BF2CB8">
        <w:t xml:space="preserve">. </w:t>
      </w:r>
      <w:r w:rsidRPr="004033B7">
        <w:t xml:space="preserve">Se alguém lesse certos artigos da imprensa sionista sem </w:t>
      </w:r>
      <w:r w:rsidR="00731715">
        <w:t xml:space="preserve">lhes </w:t>
      </w:r>
      <w:r w:rsidRPr="004033B7">
        <w:t>conhecer a proveniência, coment</w:t>
      </w:r>
      <w:r>
        <w:t>ou</w:t>
      </w:r>
      <w:r w:rsidRPr="004033B7">
        <w:t xml:space="preserve"> um historiador, decerto presumiria que se deviam </w:t>
      </w:r>
      <w:r w:rsidR="00962924">
        <w:t>a</w:t>
      </w:r>
      <w:r w:rsidRPr="004033B7">
        <w:t xml:space="preserve"> jornais anti-semitas</w:t>
      </w:r>
      <w:r w:rsidRPr="004033B7">
        <w:rPr>
          <w:rStyle w:val="Refdenotaderodap"/>
        </w:rPr>
        <w:footnoteReference w:id="392"/>
      </w:r>
      <w:r w:rsidR="00E7358F">
        <w:t xml:space="preserve"> e outro historiador observou que «o sionismo tornou-se como que num reflexo negativo da imagem antijudaica»</w:t>
      </w:r>
      <w:r w:rsidR="00E7358F">
        <w:rPr>
          <w:rStyle w:val="Refdenotaderodap"/>
        </w:rPr>
        <w:footnoteReference w:id="393"/>
      </w:r>
      <w:r w:rsidRPr="004033B7">
        <w:t xml:space="preserve">. Quais as consequências desta perversa simetria? </w:t>
      </w:r>
      <w:r w:rsidR="00373701">
        <w:t>Nathan Birnbaum</w:t>
      </w:r>
      <w:r w:rsidR="001347C8">
        <w:t xml:space="preserve">, o intelectual judeu a quem se deve o termo </w:t>
      </w:r>
      <w:r w:rsidR="001347C8" w:rsidRPr="001347C8">
        <w:rPr>
          <w:i/>
        </w:rPr>
        <w:t>sionismo,</w:t>
      </w:r>
      <w:r w:rsidR="001347C8">
        <w:t xml:space="preserve"> pretendeu num artigo de 18</w:t>
      </w:r>
      <w:r w:rsidR="00FA7050">
        <w:t>8</w:t>
      </w:r>
      <w:r w:rsidR="001347C8">
        <w:t xml:space="preserve">6 que </w:t>
      </w:r>
      <w:r w:rsidR="00C113D0">
        <w:t>as diferenças raciais explica</w:t>
      </w:r>
      <w:r w:rsidR="00460C49">
        <w:t>ri</w:t>
      </w:r>
      <w:r w:rsidR="00C113D0">
        <w:t>am as diferenças culturais</w:t>
      </w:r>
      <w:r w:rsidR="00D50B8D">
        <w:t>:</w:t>
      </w:r>
      <w:r w:rsidR="00C113D0">
        <w:t xml:space="preserve"> «É devido à diferença de raças que o Alemão ou o Eslavo pensam de maneira diferente do Judeu. É esta diferença que explica que o Alemão </w:t>
      </w:r>
      <w:r w:rsidR="00460C49">
        <w:t xml:space="preserve">tivesse </w:t>
      </w:r>
      <w:r w:rsidR="002622B9">
        <w:t>cri</w:t>
      </w:r>
      <w:r w:rsidR="00460C49">
        <w:t>ado</w:t>
      </w:r>
      <w:r w:rsidR="002622B9">
        <w:t xml:space="preserve"> o </w:t>
      </w:r>
      <w:r w:rsidR="002622B9" w:rsidRPr="00970AC5">
        <w:rPr>
          <w:i/>
        </w:rPr>
        <w:t>Canto dos Nibelungos</w:t>
      </w:r>
      <w:r w:rsidR="002622B9">
        <w:t xml:space="preserve"> e o Judeu, a Bíblia»</w:t>
      </w:r>
      <w:r w:rsidR="00AC0358">
        <w:rPr>
          <w:rStyle w:val="Refdenotaderodap"/>
        </w:rPr>
        <w:footnoteReference w:id="394"/>
      </w:r>
      <w:r w:rsidR="002622B9">
        <w:t xml:space="preserve">. </w:t>
      </w:r>
      <w:r w:rsidR="001F585F">
        <w:t xml:space="preserve">Parece que Herzl não considerava que a identidade </w:t>
      </w:r>
      <w:r w:rsidR="001F585F">
        <w:lastRenderedPageBreak/>
        <w:t>nacional se fundasse numa identidade racial</w:t>
      </w:r>
      <w:r w:rsidR="00DF76D3">
        <w:rPr>
          <w:rStyle w:val="Refdenotaderodap"/>
        </w:rPr>
        <w:footnoteReference w:id="395"/>
      </w:r>
      <w:r w:rsidR="001F585F">
        <w:t xml:space="preserve">, </w:t>
      </w:r>
      <w:r w:rsidR="00DF76D3">
        <w:t xml:space="preserve">mas não </w:t>
      </w:r>
      <w:r w:rsidR="00D50B8D">
        <w:t>foi</w:t>
      </w:r>
      <w:r w:rsidR="00DF76D3">
        <w:t xml:space="preserve"> esta a perspectiva adoptada p</w:t>
      </w:r>
      <w:r w:rsidR="00F66521">
        <w:t xml:space="preserve">ela generalidade dos </w:t>
      </w:r>
      <w:r w:rsidR="00DF76D3">
        <w:t>sionistas</w:t>
      </w:r>
      <w:r w:rsidR="00A769F5">
        <w:rPr>
          <w:rStyle w:val="Refdenotaderodap"/>
        </w:rPr>
        <w:footnoteReference w:id="396"/>
      </w:r>
      <w:r w:rsidR="00DF76D3">
        <w:t xml:space="preserve">. </w:t>
      </w:r>
      <w:r w:rsidR="00DF76D3" w:rsidRPr="004033B7">
        <w:t xml:space="preserve">Para </w:t>
      </w:r>
      <w:r w:rsidRPr="004033B7">
        <w:t xml:space="preserve">o jovem Jabotinsky, por exemplo, numa carta datada de 1904, seria a raça, no sentido biológico do termo, </w:t>
      </w:r>
      <w:r w:rsidR="00197F4F">
        <w:t xml:space="preserve">o </w:t>
      </w:r>
      <w:r w:rsidR="00374094">
        <w:t xml:space="preserve">sangue, </w:t>
      </w:r>
      <w:r w:rsidRPr="004033B7">
        <w:t xml:space="preserve">a determinar a identidade </w:t>
      </w:r>
      <w:r w:rsidR="00374094">
        <w:t xml:space="preserve">nacional </w:t>
      </w:r>
      <w:r w:rsidRPr="004033B7">
        <w:t>de um povo, o que excluía qualquer possibilidade de assimilação cultural</w:t>
      </w:r>
      <w:r w:rsidR="00D50B8D">
        <w:t>:</w:t>
      </w:r>
      <w:r w:rsidRPr="004033B7">
        <w:t xml:space="preserve"> «Sob o ponto de vista físico, é inconcebível que um judeu, nascido numa família de puro sangue judaico, [...] possa adaptar-se à visão espiritual de um alemão ou de um francês». E ele conclu</w:t>
      </w:r>
      <w:r>
        <w:t>iu</w:t>
      </w:r>
      <w:r w:rsidRPr="004033B7">
        <w:t xml:space="preserve">, tal como faziam os defensores das medidas de exclusão dos judeus: «É impossível ocorrer a assimilação espiritual de povos de sangue diferente [...] Se não houver casamentos mistos não pode haver </w:t>
      </w:r>
      <w:r w:rsidR="00197F4F">
        <w:t>nenhuma</w:t>
      </w:r>
      <w:r w:rsidRPr="004033B7">
        <w:t xml:space="preserve"> assimilação [...] Só a preservação da pureza racial garante a preservação da integridade nacional e para isso nós precisamos de um território próprio [...]»</w:t>
      </w:r>
      <w:r w:rsidRPr="004033B7">
        <w:rPr>
          <w:rStyle w:val="Refdenotaderodap"/>
        </w:rPr>
        <w:footnoteReference w:id="397"/>
      </w:r>
      <w:r w:rsidRPr="004033B7">
        <w:t xml:space="preserve">. Estas concepções eram generalizadas entre os intelectuais sionistas daquela época. Embora ocupasse um plano </w:t>
      </w:r>
      <w:r w:rsidR="00657DEE">
        <w:t>intelectual</w:t>
      </w:r>
      <w:r w:rsidRPr="004033B7">
        <w:t xml:space="preserve"> e humano incomparavelmente superior àquele em que Jabotinsky se situava e viesse a ter uma evolução política em muitos aspectos oposta, Martin Buber</w:t>
      </w:r>
      <w:r w:rsidR="00B338D7">
        <w:t>,</w:t>
      </w:r>
      <w:r w:rsidRPr="004033B7">
        <w:t xml:space="preserve"> </w:t>
      </w:r>
      <w:r w:rsidR="00B338D7">
        <w:t xml:space="preserve">pelo menos enquanto dirigiu o principal órgâo do movimento sionista, considerou </w:t>
      </w:r>
      <w:r w:rsidRPr="004033B7">
        <w:t>o judaísmo n</w:t>
      </w:r>
      <w:r w:rsidR="00B338D7">
        <w:t>um</w:t>
      </w:r>
      <w:r w:rsidRPr="004033B7">
        <w:t>a perspectiva racial. Quando ele escrev</w:t>
      </w:r>
      <w:r>
        <w:t>eu</w:t>
      </w:r>
      <w:r w:rsidRPr="004033B7">
        <w:t>, em 1911, «que o sangue é uma força geradora profundamente enraizada dentro do homem individual, que as camadas mais profundas do nosso ser são determinadas pelo sangue, que o nosso pensamento íntimo e a nossa vontade são matizados por ele»</w:t>
      </w:r>
      <w:r w:rsidR="00A70A45">
        <w:t>, «o sangue, o mais profundo, o mais poderoso estrato do nosso ser»</w:t>
      </w:r>
      <w:r w:rsidRPr="004033B7">
        <w:rPr>
          <w:rStyle w:val="Refdenotaderodap"/>
        </w:rPr>
        <w:footnoteReference w:id="398"/>
      </w:r>
      <w:r w:rsidRPr="004033B7">
        <w:t xml:space="preserve">, estava a usar para o sionismo conceitos que em nada se distinguiam dos usados pelos inimigos dos judeus. </w:t>
      </w:r>
    </w:p>
    <w:p w:rsidR="00F21840" w:rsidRPr="00751A22" w:rsidRDefault="00751A22" w:rsidP="00751A22">
      <w:r w:rsidRPr="004033B7">
        <w:t xml:space="preserve">Sucede com frequência que um racismo suscite como reacção defensiva uma forma invertida desse racismo, e o sionismo nasceu desta atitude paradoxal. Não foi um caso único, e </w:t>
      </w:r>
      <w:r w:rsidR="00685C52">
        <w:t xml:space="preserve">o </w:t>
      </w:r>
      <w:r w:rsidR="00685C52" w:rsidRPr="004033B7">
        <w:t xml:space="preserve">mesmo </w:t>
      </w:r>
      <w:r w:rsidRPr="004033B7">
        <w:t xml:space="preserve">se pôde observar no movimento de emancipação negra nos Estados Unidos, como mais tarde entre os intelectuais negros residentes em Paris e, finalmente, no movimento independentista no continente africano. </w:t>
      </w:r>
      <w:r w:rsidR="00685C52">
        <w:t xml:space="preserve">Quando </w:t>
      </w:r>
      <w:r w:rsidRPr="004033B7">
        <w:t xml:space="preserve">abordei a incapacidade que o marxismo tem demonstrado para explicar o nacionalismo e o racismo </w:t>
      </w:r>
      <w:r w:rsidR="00685C52">
        <w:t xml:space="preserve">(no capítulo 5 da Parte 1) </w:t>
      </w:r>
      <w:r w:rsidRPr="004033B7">
        <w:t>escrevi que qualquer afirmação agressiva de nacionalismo inevitavelmente excita nacionalismos rivais, que surg</w:t>
      </w:r>
      <w:r>
        <w:t>e</w:t>
      </w:r>
      <w:r w:rsidRPr="004033B7">
        <w:t>m primeiro em modalidades defensivas, mas que depois, ao depararem com reacções, se manifestam de maneira agressiva. O sionismo constitui um exemplo f</w:t>
      </w:r>
      <w:r w:rsidR="00685C52">
        <w:t>l</w:t>
      </w:r>
      <w:r w:rsidRPr="004033B7">
        <w:t xml:space="preserve">agrante desta regra. Não houve necessidade de aguardar a implantação na Palestina nem o confronto com os árabes para que o racismo </w:t>
      </w:r>
      <w:r w:rsidR="00910AD4" w:rsidRPr="004033B7">
        <w:t xml:space="preserve">se desenvolvesse </w:t>
      </w:r>
      <w:r w:rsidRPr="004033B7">
        <w:t xml:space="preserve">entre os sionistas. A ordem causal foi inversa, e a colonização </w:t>
      </w:r>
      <w:r w:rsidRPr="004033B7">
        <w:lastRenderedPageBreak/>
        <w:t>judaica da Palestina forneceu um percurso histórico concreto a um racismo sionista que já existia e que noutras circunstâncias</w:t>
      </w:r>
      <w:r w:rsidR="00910AD4">
        <w:t>, mesmo sem o Terceiro Reich,</w:t>
      </w:r>
      <w:r w:rsidRPr="004033B7">
        <w:t xml:space="preserve"> não deixaria de se exprimir, embora de modos diferentes</w:t>
      </w:r>
      <w:r w:rsidRPr="004033B7">
        <w:rPr>
          <w:rStyle w:val="Refdenotaderodap"/>
        </w:rPr>
        <w:footnoteReference w:id="399"/>
      </w:r>
      <w:r w:rsidRPr="004033B7">
        <w:t xml:space="preserve">. O racismo é a modalidade extrema do nacionalismo. E o plano racial em que o sionismo originariamente se colocou </w:t>
      </w:r>
      <w:r w:rsidR="00910AD4">
        <w:t>—</w:t>
      </w:r>
      <w:r w:rsidRPr="004033B7">
        <w:t xml:space="preserve"> muito antes de obter um solo e fundar um Estado, que dessem corpo a uma nação </w:t>
      </w:r>
      <w:r w:rsidR="00910AD4">
        <w:t>—</w:t>
      </w:r>
      <w:r w:rsidRPr="004033B7">
        <w:t xml:space="preserve"> explica que ele viesse a adoptar uma atitude filofascista, quando não mesmo fascista. O facto de o sionismo ter sido um racismo</w:t>
      </w:r>
      <w:r>
        <w:t>,</w:t>
      </w:r>
      <w:r w:rsidRPr="004033B7">
        <w:t xml:space="preserve"> e de este racismo ter sido o avesso de outro racismo, antes de conseguir, na prática, ser um nacionalismo, mostra de maneira quase laboratorial o círculo vicioso que está sempre implícito em qualquer nacionalismo. </w:t>
      </w:r>
    </w:p>
    <w:sectPr w:rsidR="00F21840" w:rsidRPr="00751A22" w:rsidSect="000075E2">
      <w:footerReference w:type="even" r:id="rId7"/>
      <w:footerReference w:type="default" r:id="rId8"/>
      <w:pgSz w:w="11907" w:h="16840" w:code="9"/>
      <w:pgMar w:top="1417" w:right="1701" w:bottom="1417" w:left="1701" w:header="720" w:footer="720" w:gutter="0"/>
      <w:pgNumType w:start="99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8A8" w:rsidRDefault="00E068A8" w:rsidP="00751A22">
      <w:pPr>
        <w:spacing w:line="240" w:lineRule="auto"/>
      </w:pPr>
      <w:r>
        <w:separator/>
      </w:r>
    </w:p>
  </w:endnote>
  <w:endnote w:type="continuationSeparator" w:id="0">
    <w:p w:rsidR="00E068A8" w:rsidRDefault="00E068A8" w:rsidP="00751A2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7DD" w:rsidRDefault="003F07DD">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3F07DD" w:rsidRDefault="003F07D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7DD" w:rsidRPr="00F35BFC" w:rsidRDefault="003F07DD">
    <w:pPr>
      <w:pStyle w:val="Rodap"/>
      <w:framePr w:wrap="around" w:vAnchor="text" w:hAnchor="margin" w:xAlign="center" w:y="1"/>
      <w:ind w:firstLine="0"/>
      <w:rPr>
        <w:rStyle w:val="Nmerodepgina"/>
        <w:rFonts w:ascii="Arial Narrow" w:hAnsi="Arial Narrow"/>
        <w:i/>
      </w:rPr>
    </w:pPr>
    <w:r w:rsidRPr="00F35BFC">
      <w:rPr>
        <w:rStyle w:val="Nmerodepgina"/>
        <w:rFonts w:ascii="Arial Narrow" w:hAnsi="Arial Narrow"/>
        <w:i/>
      </w:rPr>
      <w:fldChar w:fldCharType="begin"/>
    </w:r>
    <w:r w:rsidRPr="00F35BFC">
      <w:rPr>
        <w:rStyle w:val="Nmerodepgina"/>
        <w:rFonts w:ascii="Arial Narrow" w:hAnsi="Arial Narrow"/>
        <w:i/>
      </w:rPr>
      <w:instrText xml:space="preserve">PAGE  </w:instrText>
    </w:r>
    <w:r w:rsidRPr="00F35BFC">
      <w:rPr>
        <w:rStyle w:val="Nmerodepgina"/>
        <w:rFonts w:ascii="Arial Narrow" w:hAnsi="Arial Narrow"/>
        <w:i/>
      </w:rPr>
      <w:fldChar w:fldCharType="separate"/>
    </w:r>
    <w:r w:rsidR="006C47D2">
      <w:rPr>
        <w:rStyle w:val="Nmerodepgina"/>
        <w:rFonts w:ascii="Arial Narrow" w:hAnsi="Arial Narrow"/>
        <w:i/>
        <w:noProof/>
      </w:rPr>
      <w:t>1061</w:t>
    </w:r>
    <w:r w:rsidRPr="00F35BFC">
      <w:rPr>
        <w:rStyle w:val="Nmerodepgina"/>
        <w:rFonts w:ascii="Arial Narrow" w:hAnsi="Arial Narrow"/>
        <w:i/>
      </w:rPr>
      <w:fldChar w:fldCharType="end"/>
    </w:r>
  </w:p>
  <w:p w:rsidR="003F07DD" w:rsidRDefault="003F07D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8A8" w:rsidRDefault="00E068A8" w:rsidP="00751A22">
      <w:pPr>
        <w:spacing w:line="240" w:lineRule="auto"/>
        <w:ind w:firstLine="0"/>
      </w:pPr>
      <w:r>
        <w:separator/>
      </w:r>
    </w:p>
  </w:footnote>
  <w:footnote w:type="continuationSeparator" w:id="0">
    <w:p w:rsidR="00E068A8" w:rsidRDefault="00E068A8" w:rsidP="00751A22">
      <w:pPr>
        <w:spacing w:line="240" w:lineRule="auto"/>
        <w:ind w:firstLine="0"/>
      </w:pPr>
      <w:r>
        <w:continuationSeparator/>
      </w:r>
    </w:p>
  </w:footnote>
  <w:footnote w:id="1">
    <w:p w:rsidR="003F07DD" w:rsidRPr="00724580"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4033B7">
        <w:rPr>
          <w:rFonts w:ascii="Arial Narrow" w:hAnsi="Arial Narrow"/>
        </w:rPr>
        <w:t xml:space="preserve"> Ernst Bloch num artigo publicado em </w:t>
      </w:r>
      <w:r w:rsidRPr="004033B7">
        <w:rPr>
          <w:rFonts w:ascii="Arial Narrow" w:hAnsi="Arial Narrow"/>
          <w:i/>
        </w:rPr>
        <w:t>Das Tagebuch,</w:t>
      </w:r>
      <w:r w:rsidRPr="004033B7">
        <w:rPr>
          <w:rFonts w:ascii="Arial Narrow" w:hAnsi="Arial Narrow"/>
        </w:rPr>
        <w:t xml:space="preserve"> 12 de Abril de 1924, antologiado em A. Kaes et al. </w:t>
      </w:r>
      <w:r w:rsidRPr="00724580">
        <w:rPr>
          <w:rFonts w:ascii="Arial Narrow" w:hAnsi="Arial Narrow"/>
          <w:lang w:val="en-US"/>
        </w:rPr>
        <w:t>(orgs. 1995) 147.</w:t>
      </w:r>
    </w:p>
  </w:footnote>
  <w:footnote w:id="2">
    <w:p w:rsidR="003F07DD" w:rsidRPr="009048D0" w:rsidRDefault="003F07DD">
      <w:pPr>
        <w:pStyle w:val="Textodenotaderodap"/>
        <w:rPr>
          <w:rFonts w:ascii="Arial Narrow" w:hAnsi="Arial Narrow"/>
          <w:lang w:val="en-US"/>
        </w:rPr>
      </w:pPr>
      <w:r w:rsidRPr="0055121D">
        <w:rPr>
          <w:rStyle w:val="Refdenotaderodap"/>
          <w:rFonts w:ascii="Arial Narrow" w:hAnsi="Arial Narrow"/>
        </w:rPr>
        <w:footnoteRef/>
      </w:r>
      <w:r w:rsidRPr="009048D0">
        <w:rPr>
          <w:rFonts w:ascii="Arial Narrow" w:hAnsi="Arial Narrow"/>
          <w:lang w:val="en-US"/>
        </w:rPr>
        <w:t xml:space="preserve"> </w:t>
      </w:r>
      <w:r w:rsidRPr="0055121D">
        <w:rPr>
          <w:rFonts w:ascii="Arial Narrow" w:hAnsi="Arial Narrow"/>
          <w:lang w:val="en-US"/>
        </w:rPr>
        <w:t>B. Rubin (2010)</w:t>
      </w:r>
      <w:r>
        <w:rPr>
          <w:rFonts w:ascii="Arial Narrow" w:hAnsi="Arial Narrow"/>
          <w:lang w:val="en-US"/>
        </w:rPr>
        <w:t xml:space="preserve"> 369.</w:t>
      </w:r>
    </w:p>
  </w:footnote>
  <w:footnote w:id="3">
    <w:p w:rsidR="003F07DD" w:rsidRPr="00724580"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724580">
        <w:rPr>
          <w:rFonts w:ascii="Arial Narrow" w:hAnsi="Arial Narrow"/>
          <w:lang w:val="en-US"/>
        </w:rPr>
        <w:t xml:space="preserve"> Th. Linehan (2000) 158.</w:t>
      </w:r>
    </w:p>
  </w:footnote>
  <w:footnote w:id="4">
    <w:p w:rsidR="003F07DD" w:rsidRPr="009E6FDB"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724580">
        <w:rPr>
          <w:rFonts w:ascii="Arial Narrow" w:hAnsi="Arial Narrow"/>
          <w:lang w:val="en-US"/>
        </w:rPr>
        <w:t xml:space="preserve"> </w:t>
      </w:r>
      <w:r w:rsidRPr="002F1E58">
        <w:rPr>
          <w:rFonts w:ascii="Arial Narrow" w:hAnsi="Arial Narrow"/>
          <w:bCs/>
          <w:lang w:val="en-US"/>
        </w:rPr>
        <w:t>O. Mosley (2006)</w:t>
      </w:r>
      <w:r>
        <w:rPr>
          <w:rFonts w:ascii="Arial Narrow" w:hAnsi="Arial Narrow"/>
          <w:bCs/>
          <w:lang w:val="en-US"/>
        </w:rPr>
        <w:t xml:space="preserve"> 252, 282; </w:t>
      </w:r>
      <w:r w:rsidRPr="00724580">
        <w:rPr>
          <w:rFonts w:ascii="Arial Narrow" w:hAnsi="Arial Narrow"/>
          <w:bCs/>
          <w:lang w:val="en-US"/>
        </w:rPr>
        <w:t xml:space="preserve">S. G. Payne </w:t>
      </w:r>
      <w:r w:rsidRPr="00724580">
        <w:rPr>
          <w:rFonts w:ascii="Arial Narrow" w:hAnsi="Arial Narrow"/>
          <w:lang w:val="en-US"/>
        </w:rPr>
        <w:t xml:space="preserve">(2003 b) 305; E. Weber (1964) 110-111. </w:t>
      </w:r>
      <w:r w:rsidRPr="009E6FDB">
        <w:rPr>
          <w:rFonts w:ascii="Arial Narrow" w:hAnsi="Arial Narrow"/>
        </w:rPr>
        <w:t xml:space="preserve">Note-se que, segundo Th. Russell (2011) 167, os judeus destacavam-se então como pugilistas e de 1900 a 1940 haviam saído vencedores </w:t>
      </w:r>
      <w:r>
        <w:rPr>
          <w:rFonts w:ascii="Arial Narrow" w:hAnsi="Arial Narrow"/>
        </w:rPr>
        <w:t>de</w:t>
      </w:r>
      <w:r w:rsidRPr="009E6FDB">
        <w:rPr>
          <w:rFonts w:ascii="Arial Narrow" w:hAnsi="Arial Narrow"/>
        </w:rPr>
        <w:t xml:space="preserve"> trinta e seis campeonatos mundiais de boxe.</w:t>
      </w:r>
    </w:p>
  </w:footnote>
  <w:footnote w:id="5">
    <w:p w:rsidR="003F07DD" w:rsidRPr="00724580"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724580">
        <w:rPr>
          <w:rFonts w:ascii="Arial Narrow" w:hAnsi="Arial Narrow"/>
        </w:rPr>
        <w:t xml:space="preserve"> G. Orwell (1998 c) 248. Ver ainda </w:t>
      </w:r>
      <w:r w:rsidRPr="00724580">
        <w:rPr>
          <w:rFonts w:ascii="Arial Narrow" w:hAnsi="Arial Narrow"/>
          <w:bCs/>
        </w:rPr>
        <w:t>O. Mosley (2006) 282.</w:t>
      </w:r>
    </w:p>
  </w:footnote>
  <w:footnote w:id="6">
    <w:p w:rsidR="003F07DD" w:rsidRPr="008042FD" w:rsidRDefault="003F07DD">
      <w:pPr>
        <w:pStyle w:val="Textodenotaderodap"/>
        <w:rPr>
          <w:rFonts w:ascii="Arial Narrow" w:hAnsi="Arial Narrow"/>
        </w:rPr>
      </w:pPr>
      <w:r w:rsidRPr="008042FD">
        <w:rPr>
          <w:rStyle w:val="Refdenotaderodap"/>
          <w:rFonts w:ascii="Arial Narrow" w:hAnsi="Arial Narrow"/>
        </w:rPr>
        <w:footnoteRef/>
      </w:r>
      <w:r w:rsidRPr="003A1033">
        <w:rPr>
          <w:rFonts w:ascii="Arial Narrow" w:hAnsi="Arial Narrow"/>
        </w:rPr>
        <w:t xml:space="preserve"> </w:t>
      </w:r>
      <w:r w:rsidRPr="003A1033">
        <w:rPr>
          <w:rFonts w:ascii="Arial Narrow" w:hAnsi="Arial Narrow"/>
          <w:bCs/>
        </w:rPr>
        <w:t xml:space="preserve">D. Botsford (1998) 3. </w:t>
      </w:r>
      <w:r w:rsidRPr="008042FD">
        <w:rPr>
          <w:rFonts w:ascii="Arial Narrow" w:hAnsi="Arial Narrow"/>
          <w:bCs/>
        </w:rPr>
        <w:t xml:space="preserve">Traduzi </w:t>
      </w:r>
      <w:r w:rsidRPr="008042FD">
        <w:rPr>
          <w:rFonts w:ascii="Arial Narrow" w:hAnsi="Arial Narrow"/>
          <w:bCs/>
          <w:i/>
        </w:rPr>
        <w:t>«</w:t>
      </w:r>
      <w:r w:rsidRPr="004F69D8">
        <w:rPr>
          <w:rFonts w:ascii="Arial Narrow" w:hAnsi="Arial Narrow"/>
          <w:bCs/>
          <w:i/>
        </w:rPr>
        <w:t>the mainstream</w:t>
      </w:r>
      <w:r w:rsidRPr="008042FD">
        <w:rPr>
          <w:rFonts w:ascii="Arial Narrow" w:hAnsi="Arial Narrow"/>
          <w:bCs/>
          <w:i/>
        </w:rPr>
        <w:t>»</w:t>
      </w:r>
      <w:r w:rsidRPr="008042FD">
        <w:rPr>
          <w:rFonts w:ascii="Arial Narrow" w:hAnsi="Arial Narrow"/>
          <w:bCs/>
        </w:rPr>
        <w:t xml:space="preserve"> por «</w:t>
      </w:r>
      <w:r>
        <w:rPr>
          <w:rFonts w:ascii="Arial Narrow" w:hAnsi="Arial Narrow"/>
          <w:bCs/>
        </w:rPr>
        <w:t xml:space="preserve">a </w:t>
      </w:r>
      <w:r w:rsidRPr="008042FD">
        <w:rPr>
          <w:rFonts w:ascii="Arial Narrow" w:hAnsi="Arial Narrow"/>
          <w:bCs/>
        </w:rPr>
        <w:t>corrente dominante».</w:t>
      </w:r>
      <w:r>
        <w:rPr>
          <w:rFonts w:ascii="Arial Narrow" w:hAnsi="Arial Narrow"/>
          <w:bCs/>
        </w:rPr>
        <w:t xml:space="preserve"> Ver no mesmo sentido </w:t>
      </w:r>
      <w:r w:rsidRPr="00F41B50">
        <w:rPr>
          <w:rFonts w:ascii="Arial Narrow" w:hAnsi="Arial Narrow"/>
          <w:bCs/>
        </w:rPr>
        <w:t xml:space="preserve">N. Barrett (2004) </w:t>
      </w:r>
      <w:r>
        <w:rPr>
          <w:rFonts w:ascii="Arial Narrow" w:hAnsi="Arial Narrow"/>
          <w:bCs/>
        </w:rPr>
        <w:t>50 e 52-54. Note-se que estes dois historiadores se inspiraram em posições políticas opostas.</w:t>
      </w:r>
    </w:p>
  </w:footnote>
  <w:footnote w:id="7">
    <w:p w:rsidR="003F07DD" w:rsidRPr="00E71E0A" w:rsidRDefault="003F07DD">
      <w:pPr>
        <w:pStyle w:val="Textodenotaderodap"/>
        <w:rPr>
          <w:rFonts w:ascii="Arial Narrow" w:hAnsi="Arial Narrow"/>
          <w:lang w:val="en-US"/>
        </w:rPr>
      </w:pPr>
      <w:r w:rsidRPr="00E71E0A">
        <w:rPr>
          <w:rStyle w:val="Refdenotaderodap"/>
          <w:rFonts w:ascii="Arial Narrow" w:hAnsi="Arial Narrow"/>
        </w:rPr>
        <w:footnoteRef/>
      </w:r>
      <w:r w:rsidRPr="00E71E0A">
        <w:rPr>
          <w:rFonts w:ascii="Arial Narrow" w:hAnsi="Arial Narrow"/>
          <w:lang w:val="en-US"/>
        </w:rPr>
        <w:t xml:space="preserve"> D. Orlow (2009)</w:t>
      </w:r>
      <w:r>
        <w:rPr>
          <w:rFonts w:ascii="Arial Narrow" w:hAnsi="Arial Narrow"/>
          <w:lang w:val="en-US"/>
        </w:rPr>
        <w:t xml:space="preserve"> 37.</w:t>
      </w:r>
    </w:p>
  </w:footnote>
  <w:footnote w:id="8">
    <w:p w:rsidR="003F07DD" w:rsidRPr="00486CE9" w:rsidRDefault="003F07DD" w:rsidP="004C5394">
      <w:pPr>
        <w:pStyle w:val="Textodenotaderodap"/>
        <w:rPr>
          <w:rFonts w:ascii="Arial Narrow" w:hAnsi="Arial Narrow"/>
          <w:lang w:val="en-US"/>
        </w:rPr>
      </w:pPr>
      <w:r w:rsidRPr="00486CE9">
        <w:rPr>
          <w:rStyle w:val="Refdenotaderodap"/>
          <w:rFonts w:ascii="Arial Narrow" w:hAnsi="Arial Narrow"/>
        </w:rPr>
        <w:footnoteRef/>
      </w:r>
      <w:r w:rsidRPr="00486CE9">
        <w:rPr>
          <w:rFonts w:ascii="Arial Narrow" w:hAnsi="Arial Narrow"/>
          <w:lang w:val="en-US"/>
        </w:rPr>
        <w:t xml:space="preserve"> </w:t>
      </w:r>
      <w:r>
        <w:rPr>
          <w:rFonts w:ascii="Arial Narrow" w:hAnsi="Arial Narrow"/>
          <w:lang w:val="en-US"/>
        </w:rPr>
        <w:t>L. Degrelle (1949 b) 119.</w:t>
      </w:r>
    </w:p>
  </w:footnote>
  <w:footnote w:id="9">
    <w:p w:rsidR="003F07DD" w:rsidRPr="00B564D5" w:rsidRDefault="003F07DD">
      <w:pPr>
        <w:pStyle w:val="Textodenotaderodap"/>
        <w:rPr>
          <w:rFonts w:ascii="Arial Narrow" w:hAnsi="Arial Narrow"/>
        </w:rPr>
      </w:pPr>
      <w:r w:rsidRPr="00B564D5">
        <w:rPr>
          <w:rStyle w:val="Refdenotaderodap"/>
          <w:rFonts w:ascii="Arial Narrow" w:hAnsi="Arial Narrow"/>
        </w:rPr>
        <w:footnoteRef/>
      </w:r>
      <w:r w:rsidRPr="00B564D5">
        <w:rPr>
          <w:rFonts w:ascii="Arial Narrow" w:hAnsi="Arial Narrow"/>
        </w:rPr>
        <w:t xml:space="preserve"> </w:t>
      </w:r>
      <w:r w:rsidRPr="00DB6FEA">
        <w:rPr>
          <w:rFonts w:ascii="Arial Narrow" w:hAnsi="Arial Narrow"/>
        </w:rPr>
        <w:t>M. Rady (2011) 266; M. Zeidler (2011) 140.</w:t>
      </w:r>
    </w:p>
  </w:footnote>
  <w:footnote w:id="10">
    <w:p w:rsidR="003F07DD" w:rsidRPr="001417B6"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1417B6">
        <w:rPr>
          <w:rFonts w:ascii="Arial Narrow" w:hAnsi="Arial Narrow"/>
        </w:rPr>
        <w:t xml:space="preserve"> I. Deák (1965) 376-377, 383; G. Ránki (1971) 69.</w:t>
      </w:r>
    </w:p>
  </w:footnote>
  <w:footnote w:id="11">
    <w:p w:rsidR="003F07DD" w:rsidRPr="00F21EF8" w:rsidRDefault="003F07DD" w:rsidP="00751A22">
      <w:pPr>
        <w:pStyle w:val="Textodenotaderodap"/>
        <w:rPr>
          <w:rFonts w:ascii="Arial Narrow" w:hAnsi="Arial Narrow"/>
        </w:rPr>
      </w:pPr>
      <w:r w:rsidRPr="00432CDC">
        <w:rPr>
          <w:rStyle w:val="Refdenotaderodap"/>
          <w:rFonts w:ascii="Arial Narrow" w:hAnsi="Arial Narrow"/>
        </w:rPr>
        <w:footnoteRef/>
      </w:r>
      <w:r w:rsidRPr="00F21EF8">
        <w:rPr>
          <w:rFonts w:ascii="Arial Narrow" w:hAnsi="Arial Narrow"/>
          <w:lang w:val="de-DE"/>
        </w:rPr>
        <w:t xml:space="preserve"> S. M. Deutsch (1993) 38 e segs.</w:t>
      </w:r>
      <w:r>
        <w:rPr>
          <w:rFonts w:ascii="Arial Narrow" w:hAnsi="Arial Narrow"/>
          <w:lang w:val="de-DE"/>
        </w:rPr>
        <w:t xml:space="preserve"> </w:t>
      </w:r>
      <w:r w:rsidRPr="00F21EF8">
        <w:rPr>
          <w:rFonts w:ascii="Arial Narrow" w:hAnsi="Arial Narrow"/>
        </w:rPr>
        <w:t>Quanto às acções anti-semitas da Liga ver a p</w:t>
      </w:r>
      <w:r>
        <w:rPr>
          <w:rFonts w:ascii="Arial Narrow" w:hAnsi="Arial Narrow"/>
        </w:rPr>
        <w:t>ág. 38 e quanto à adesão de judeus ver a pág. 44. A citação encontra-se na pág. 43. Consultar igualmente P. H. Lewis (1992) 114.</w:t>
      </w:r>
    </w:p>
  </w:footnote>
  <w:footnote w:id="12">
    <w:p w:rsidR="003F07DD" w:rsidRPr="00751A22"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G. Brook-Shepherd (1961) 71; A. Whiteside (1965) 336.</w:t>
      </w:r>
    </w:p>
  </w:footnote>
  <w:footnote w:id="1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«É com saudade que me recordo dos anos de relativa tranquilidade que, de 1924 a 1933, se viveram na Europa, até ao momento em que determinado indivíduo apareceu na cena do mundo, para o perturbar», escreveu S. Zweig (1953) 413 e invocou em seguida as suas viagens de pessoa célebre, lembrando (pág. 414) que proferiu uma conferência em Itália, sem especificar quando e como, e esquecendo-se de esclarecer se foi então que os dois cúmplices do «determinado indivíduo» se encontraram entre a assistência. Stefan Zweig procurou tardiamente cobrir de um verniz antifascista as suas relações com a Itália, contando (págs. 434-437) que envi</w:t>
      </w:r>
      <w:r>
        <w:rPr>
          <w:rFonts w:ascii="Arial Narrow" w:hAnsi="Arial Narrow"/>
        </w:rPr>
        <w:t>ara</w:t>
      </w:r>
      <w:r w:rsidRPr="004033B7">
        <w:rPr>
          <w:rFonts w:ascii="Arial Narrow" w:hAnsi="Arial Narrow"/>
        </w:rPr>
        <w:t xml:space="preserve"> uma carta a Mussolini em defesa de um dado preso político e que o seu pedido </w:t>
      </w:r>
      <w:r>
        <w:rPr>
          <w:rFonts w:ascii="Arial Narrow" w:hAnsi="Arial Narrow"/>
        </w:rPr>
        <w:t xml:space="preserve">obtivera </w:t>
      </w:r>
      <w:r w:rsidRPr="004033B7">
        <w:rPr>
          <w:rFonts w:ascii="Arial Narrow" w:hAnsi="Arial Narrow"/>
        </w:rPr>
        <w:t>a benevolência do ditador. Leio também que, em Nápoles, procur</w:t>
      </w:r>
      <w:r>
        <w:rPr>
          <w:rFonts w:ascii="Arial Narrow" w:hAnsi="Arial Narrow"/>
        </w:rPr>
        <w:t>ara</w:t>
      </w:r>
      <w:r w:rsidRPr="004033B7">
        <w:rPr>
          <w:rFonts w:ascii="Arial Narrow" w:hAnsi="Arial Narrow"/>
        </w:rPr>
        <w:t xml:space="preserve"> Benedetto Croce, que «tinha entrado, devido à sua franca oposição ao fascismo, em luta aberta com Mussolini» (pág. 432). E Zweig acrescentou</w:t>
      </w:r>
      <w:r>
        <w:rPr>
          <w:rFonts w:ascii="Arial Narrow" w:hAnsi="Arial Narrow"/>
        </w:rPr>
        <w:t xml:space="preserve"> </w:t>
      </w:r>
      <w:r w:rsidRPr="004033B7">
        <w:rPr>
          <w:rFonts w:ascii="Arial Narrow" w:hAnsi="Arial Narrow"/>
        </w:rPr>
        <w:t>(pág. 433), com a ingénua falta de modéstia que lhe era habitual, que «qualquer italiano ou até mesmo um estrangeiro precisaria de muita coragem para o visitar [...]». Mas a respeito do Congresso Volta, nada.</w:t>
      </w:r>
      <w:r>
        <w:rPr>
          <w:rFonts w:ascii="Arial Narrow" w:hAnsi="Arial Narrow"/>
        </w:rPr>
        <w:t xml:space="preserve"> </w:t>
      </w:r>
      <w:r w:rsidRPr="004033B7">
        <w:rPr>
          <w:rFonts w:ascii="Arial Narrow" w:hAnsi="Arial Narrow"/>
        </w:rPr>
        <w:t xml:space="preserve">Acerca </w:t>
      </w:r>
      <w:r>
        <w:rPr>
          <w:rFonts w:ascii="Arial Narrow" w:hAnsi="Arial Narrow"/>
        </w:rPr>
        <w:t xml:space="preserve">deste </w:t>
      </w:r>
      <w:r w:rsidRPr="004033B7">
        <w:rPr>
          <w:rFonts w:ascii="Arial Narrow" w:hAnsi="Arial Narrow"/>
        </w:rPr>
        <w:t>Congresso ver P. Milza (1999) 615 e E. Santarelli (1981) II 141. «Convém lembrar», registou G. Volpe (1941) 253-254, «que quando em 1932 a Academia Real da Itália, num dos seus congressos anuais chamados “Volta”, e precisamente quando no seu primeiro congresso, escolheu como tema de discussão “a Europa”, em presença de homens políticos e de estudiosos de todos os países, essa iniciativa teve uma completa adesão no pensamento e no sentimento do Duce» (introduzi lige</w:t>
      </w:r>
      <w:r>
        <w:rPr>
          <w:rFonts w:ascii="Arial Narrow" w:hAnsi="Arial Narrow"/>
        </w:rPr>
        <w:t>iras modificações na tradução).</w:t>
      </w:r>
    </w:p>
  </w:footnote>
  <w:footnote w:id="14">
    <w:p w:rsidR="003F07DD" w:rsidRPr="00364AAA" w:rsidRDefault="003F07DD">
      <w:pPr>
        <w:pStyle w:val="Textodenotaderodap"/>
        <w:rPr>
          <w:rFonts w:ascii="Arial Narrow" w:hAnsi="Arial Narrow"/>
          <w:lang w:val="en-US"/>
        </w:rPr>
      </w:pPr>
      <w:r w:rsidRPr="007A2B8E">
        <w:rPr>
          <w:rStyle w:val="Refdenotaderodap"/>
          <w:rFonts w:ascii="Arial Narrow" w:hAnsi="Arial Narrow"/>
        </w:rPr>
        <w:footnoteRef/>
      </w:r>
      <w:r w:rsidRPr="007A2B8E">
        <w:rPr>
          <w:rFonts w:ascii="Arial Narrow" w:hAnsi="Arial Narrow"/>
        </w:rPr>
        <w:t xml:space="preserve"> </w:t>
      </w:r>
      <w:r>
        <w:rPr>
          <w:rFonts w:ascii="Arial Narrow" w:hAnsi="Arial Narrow"/>
        </w:rPr>
        <w:t xml:space="preserve">M. Onfray (2012) 558-563. As frases citadas encontram-se respectivamente nas págs. </w:t>
      </w:r>
      <w:r w:rsidRPr="00364AAA">
        <w:rPr>
          <w:rFonts w:ascii="Arial Narrow" w:hAnsi="Arial Narrow"/>
          <w:lang w:val="en-US"/>
        </w:rPr>
        <w:t>561 e 558.</w:t>
      </w:r>
    </w:p>
  </w:footnote>
  <w:footnote w:id="15">
    <w:p w:rsidR="003F07DD" w:rsidRPr="00364AAA"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364AAA">
        <w:rPr>
          <w:rFonts w:ascii="Arial Narrow" w:hAnsi="Arial Narrow"/>
          <w:lang w:val="en-US"/>
        </w:rPr>
        <w:t xml:space="preserve"> M. Kitchen (1980) 256.</w:t>
      </w:r>
    </w:p>
  </w:footnote>
  <w:footnote w:id="16">
    <w:p w:rsidR="003F07DD" w:rsidRPr="00364AAA"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364AAA">
        <w:rPr>
          <w:rFonts w:ascii="Arial Narrow" w:hAnsi="Arial Narrow"/>
          <w:lang w:val="en-US"/>
        </w:rPr>
        <w:t xml:space="preserve"> G. Brook-Shepherd (1961) 106.</w:t>
      </w:r>
    </w:p>
  </w:footnote>
  <w:footnote w:id="17">
    <w:p w:rsidR="003F07DD" w:rsidRPr="00364AAA" w:rsidRDefault="003F07DD">
      <w:pPr>
        <w:pStyle w:val="Textodenotaderodap"/>
        <w:rPr>
          <w:rFonts w:ascii="Arial Narrow" w:hAnsi="Arial Narrow"/>
          <w:lang w:val="en-US"/>
        </w:rPr>
      </w:pPr>
      <w:r w:rsidRPr="001733E9">
        <w:rPr>
          <w:rStyle w:val="Refdenotaderodap"/>
          <w:rFonts w:ascii="Arial Narrow" w:hAnsi="Arial Narrow"/>
        </w:rPr>
        <w:footnoteRef/>
      </w:r>
      <w:r w:rsidRPr="00364AAA">
        <w:rPr>
          <w:rFonts w:ascii="Arial Narrow" w:hAnsi="Arial Narrow"/>
          <w:lang w:val="en-US"/>
        </w:rPr>
        <w:t xml:space="preserve"> G. MacDonogh (2009) 283.</w:t>
      </w:r>
    </w:p>
  </w:footnote>
  <w:footnote w:id="18">
    <w:p w:rsidR="003F07DD" w:rsidRPr="00364AAA" w:rsidRDefault="003F07DD">
      <w:pPr>
        <w:pStyle w:val="Textodenotaderodap"/>
        <w:rPr>
          <w:rFonts w:ascii="Arial Narrow" w:hAnsi="Arial Narrow"/>
          <w:lang w:val="en-US"/>
        </w:rPr>
      </w:pPr>
      <w:r w:rsidRPr="003F3DF9">
        <w:rPr>
          <w:rStyle w:val="Refdenotaderodap"/>
          <w:rFonts w:ascii="Arial Narrow" w:hAnsi="Arial Narrow"/>
        </w:rPr>
        <w:footnoteRef/>
      </w:r>
      <w:r w:rsidRPr="00364AAA">
        <w:rPr>
          <w:rFonts w:ascii="Arial Narrow" w:hAnsi="Arial Narrow"/>
          <w:lang w:val="en-US"/>
        </w:rPr>
        <w:t xml:space="preserve"> </w:t>
      </w:r>
      <w:r w:rsidRPr="00364AAA">
        <w:rPr>
          <w:rFonts w:ascii="Arial Narrow" w:hAnsi="Arial Narrow"/>
          <w:bCs/>
          <w:lang w:val="en-US"/>
        </w:rPr>
        <w:t xml:space="preserve">S. G. Payne </w:t>
      </w:r>
      <w:r w:rsidRPr="00364AAA">
        <w:rPr>
          <w:rFonts w:ascii="Arial Narrow" w:hAnsi="Arial Narrow"/>
          <w:lang w:val="en-US"/>
        </w:rPr>
        <w:t>(2003 b) 250.</w:t>
      </w:r>
    </w:p>
  </w:footnote>
  <w:footnote w:id="19">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Esta passagem da obra de Bauer </w:t>
      </w:r>
      <w:r w:rsidRPr="004033B7">
        <w:rPr>
          <w:rFonts w:ascii="Arial Narrow" w:hAnsi="Arial Narrow"/>
          <w:i/>
        </w:rPr>
        <w:t>Der Kampf um die Macht</w:t>
      </w:r>
      <w:r w:rsidRPr="004033B7">
        <w:rPr>
          <w:rFonts w:ascii="Arial Narrow" w:hAnsi="Arial Narrow"/>
        </w:rPr>
        <w:t xml:space="preserve"> encontra-se em G. Marramao (1977) 242.</w:t>
      </w:r>
    </w:p>
  </w:footnote>
  <w:footnote w:id="20">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Enunciando as fontes de financiamento da Legião anteriormente a 1938, E. Weber (1965 c) 554 escreve</w:t>
      </w:r>
      <w:r>
        <w:rPr>
          <w:rFonts w:ascii="Arial Narrow" w:hAnsi="Arial Narrow"/>
        </w:rPr>
        <w:t>u</w:t>
      </w:r>
      <w:r w:rsidRPr="004033B7">
        <w:rPr>
          <w:rFonts w:ascii="Arial Narrow" w:hAnsi="Arial Narrow"/>
        </w:rPr>
        <w:t>: «Foi afirmado que alguns industriais contribuíram com dinheiro para assegurar a sua própria protecção». E acrescent</w:t>
      </w:r>
      <w:r>
        <w:rPr>
          <w:rFonts w:ascii="Arial Narrow" w:hAnsi="Arial Narrow"/>
        </w:rPr>
        <w:t>ou</w:t>
      </w:r>
      <w:r w:rsidRPr="004033B7">
        <w:rPr>
          <w:rFonts w:ascii="Arial Narrow" w:hAnsi="Arial Narrow"/>
        </w:rPr>
        <w:t xml:space="preserve"> que «alguns deles eram judeus».</w:t>
      </w:r>
      <w:r>
        <w:rPr>
          <w:rFonts w:ascii="Arial Narrow" w:hAnsi="Arial Narrow"/>
        </w:rPr>
        <w:t xml:space="preserve"> É curioso que </w:t>
      </w:r>
      <w:r>
        <w:rPr>
          <w:rFonts w:ascii="Arial Narrow" w:hAnsi="Arial Narrow"/>
          <w:bCs/>
        </w:rPr>
        <w:t xml:space="preserve">numa obra escrita em 1935-1936, </w:t>
      </w:r>
      <w:r>
        <w:rPr>
          <w:rFonts w:ascii="Arial Narrow" w:hAnsi="Arial Narrow"/>
          <w:lang w:val="de-DE"/>
        </w:rPr>
        <w:t xml:space="preserve">C. Z. Codreanu (1976) 177-178 tivesse afirmado que os movimentos nacionalistas nunca deviam depender de financiamentos externos e nomeadamente oriundos de judeus, e considerasse (págs. 228-229) como uma calúnia que o seu movimento tivesse recebido subsídios do grande industrial romeno Max Auschnitt, que era judeu. Também </w:t>
      </w:r>
      <w:r w:rsidRPr="00C51CF1">
        <w:rPr>
          <w:rFonts w:ascii="Arial Narrow" w:hAnsi="Arial Narrow"/>
          <w:bCs/>
        </w:rPr>
        <w:t>num texto de 1936 onde critic</w:t>
      </w:r>
      <w:r>
        <w:rPr>
          <w:rFonts w:ascii="Arial Narrow" w:hAnsi="Arial Narrow"/>
          <w:bCs/>
        </w:rPr>
        <w:t>ou</w:t>
      </w:r>
      <w:r w:rsidRPr="00C51CF1">
        <w:rPr>
          <w:rFonts w:ascii="Arial Narrow" w:hAnsi="Arial Narrow"/>
          <w:bCs/>
        </w:rPr>
        <w:t xml:space="preserve"> os judeus e a imprensa judaica Codreanu escr</w:t>
      </w:r>
      <w:r>
        <w:rPr>
          <w:rFonts w:ascii="Arial Narrow" w:hAnsi="Arial Narrow"/>
          <w:bCs/>
        </w:rPr>
        <w:t>eveu</w:t>
      </w:r>
      <w:r w:rsidRPr="00C51CF1">
        <w:rPr>
          <w:rFonts w:ascii="Arial Narrow" w:hAnsi="Arial Narrow"/>
          <w:bCs/>
        </w:rPr>
        <w:t xml:space="preserve"> que «não falta muito para ouvirmos até que somos patrocinados pelos judeus». Citado em J. Evola (2004).</w:t>
      </w:r>
    </w:p>
  </w:footnote>
  <w:footnote w:id="21">
    <w:p w:rsidR="003F07DD" w:rsidRPr="00307768" w:rsidRDefault="003F07DD">
      <w:pPr>
        <w:pStyle w:val="Textodenotaderodap"/>
        <w:rPr>
          <w:rFonts w:ascii="Arial Narrow" w:hAnsi="Arial Narrow"/>
        </w:rPr>
      </w:pPr>
      <w:r w:rsidRPr="0028796B">
        <w:rPr>
          <w:rStyle w:val="Refdenotaderodap"/>
          <w:rFonts w:ascii="Arial Narrow" w:hAnsi="Arial Narrow"/>
        </w:rPr>
        <w:footnoteRef/>
      </w:r>
      <w:r w:rsidRPr="00307768">
        <w:rPr>
          <w:rFonts w:ascii="Arial Narrow" w:hAnsi="Arial Narrow"/>
        </w:rPr>
        <w:t xml:space="preserve"> M. Sturdza (1968) 55.</w:t>
      </w:r>
    </w:p>
  </w:footnote>
  <w:footnote w:id="22">
    <w:p w:rsidR="003F07DD" w:rsidRPr="00307768" w:rsidRDefault="003F07DD">
      <w:pPr>
        <w:pStyle w:val="Textodenotaderodap"/>
        <w:rPr>
          <w:rFonts w:ascii="Arial Narrow" w:hAnsi="Arial Narrow"/>
        </w:rPr>
      </w:pPr>
      <w:r w:rsidRPr="001362C2">
        <w:rPr>
          <w:rStyle w:val="Refdenotaderodap"/>
          <w:rFonts w:ascii="Arial Narrow" w:hAnsi="Arial Narrow"/>
        </w:rPr>
        <w:footnoteRef/>
      </w:r>
      <w:r w:rsidRPr="00307768">
        <w:rPr>
          <w:rFonts w:ascii="Arial Narrow" w:hAnsi="Arial Narrow"/>
        </w:rPr>
        <w:t xml:space="preserve"> </w:t>
      </w:r>
      <w:r w:rsidRPr="00307768">
        <w:rPr>
          <w:rFonts w:ascii="Arial Narrow" w:hAnsi="Arial Narrow"/>
          <w:bCs/>
        </w:rPr>
        <w:t>Ch. Thorpe [s. d. 2] 3.</w:t>
      </w:r>
    </w:p>
  </w:footnote>
  <w:footnote w:id="23">
    <w:p w:rsidR="003F07DD" w:rsidRPr="0028796B"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28796B">
        <w:rPr>
          <w:rFonts w:ascii="Arial Narrow" w:hAnsi="Arial Narrow"/>
          <w:lang w:val="en-US"/>
        </w:rPr>
        <w:t xml:space="preserve"> M. Chalmers (org. 2006 a) 160-161, 550 n. 44.</w:t>
      </w:r>
    </w:p>
  </w:footnote>
  <w:footnote w:id="24">
    <w:p w:rsidR="003F07DD" w:rsidRPr="004C5394" w:rsidRDefault="003F07DD" w:rsidP="00751A22">
      <w:pPr>
        <w:pStyle w:val="Textodenotaderodap"/>
        <w:rPr>
          <w:rFonts w:ascii="Arial Narrow" w:hAnsi="Arial Narrow"/>
        </w:rPr>
      </w:pPr>
      <w:r w:rsidRPr="004033B7">
        <w:rPr>
          <w:rStyle w:val="Refdenotaderodap"/>
          <w:rFonts w:ascii="Arial Narrow" w:hAnsi="Arial Narrow"/>
        </w:rPr>
        <w:footnoteRef/>
      </w:r>
      <w:r w:rsidRPr="00724580">
        <w:rPr>
          <w:rFonts w:ascii="Arial Narrow" w:hAnsi="Arial Narrow"/>
          <w:lang w:val="en-US"/>
        </w:rPr>
        <w:t xml:space="preserve"> </w:t>
      </w:r>
      <w:r w:rsidRPr="009E69C0">
        <w:rPr>
          <w:rFonts w:ascii="Arial Narrow" w:hAnsi="Arial Narrow"/>
          <w:lang w:val="en-US"/>
        </w:rPr>
        <w:t>Leo Baeck Institute (2014)</w:t>
      </w:r>
      <w:r>
        <w:rPr>
          <w:rFonts w:ascii="Arial Narrow" w:hAnsi="Arial Narrow"/>
          <w:lang w:val="en-US"/>
        </w:rPr>
        <w:t>;</w:t>
      </w:r>
      <w:r w:rsidRPr="009E69C0">
        <w:rPr>
          <w:rFonts w:ascii="Arial Narrow" w:hAnsi="Arial Narrow"/>
          <w:lang w:val="en-US"/>
        </w:rPr>
        <w:t xml:space="preserve"> </w:t>
      </w:r>
      <w:r w:rsidRPr="00992D7C">
        <w:rPr>
          <w:rFonts w:ascii="Arial Narrow" w:hAnsi="Arial Narrow"/>
          <w:lang w:val="en-US"/>
        </w:rPr>
        <w:t>K. A. Schleunes (1990)</w:t>
      </w:r>
      <w:r>
        <w:rPr>
          <w:rFonts w:ascii="Arial Narrow" w:hAnsi="Arial Narrow"/>
          <w:lang w:val="en-US"/>
        </w:rPr>
        <w:t xml:space="preserve"> 188-189; </w:t>
      </w:r>
      <w:r w:rsidRPr="009C0A05">
        <w:rPr>
          <w:rFonts w:ascii="Arial Narrow" w:hAnsi="Arial Narrow"/>
          <w:lang w:val="en-US"/>
        </w:rPr>
        <w:t>Shoah Resource Center, The International School for Holocaust Studies [s. d.]</w:t>
      </w:r>
      <w:r>
        <w:rPr>
          <w:rFonts w:ascii="Arial Narrow" w:hAnsi="Arial Narrow"/>
          <w:lang w:val="en-US"/>
        </w:rPr>
        <w:t xml:space="preserve">. </w:t>
      </w:r>
      <w:r w:rsidRPr="004C5394">
        <w:rPr>
          <w:rFonts w:ascii="Arial Narrow" w:hAnsi="Arial Narrow"/>
        </w:rPr>
        <w:t xml:space="preserve">A citação encontra-se em </w:t>
      </w:r>
      <w:r>
        <w:rPr>
          <w:rFonts w:ascii="Arial Narrow" w:hAnsi="Arial Narrow"/>
        </w:rPr>
        <w:t>Leo Baeck Institute, op. cit.</w:t>
      </w:r>
    </w:p>
  </w:footnote>
  <w:footnote w:id="25">
    <w:p w:rsidR="003F07DD" w:rsidRPr="00EB16CF" w:rsidRDefault="003F07DD">
      <w:pPr>
        <w:pStyle w:val="Textodenotaderodap"/>
        <w:rPr>
          <w:rFonts w:ascii="Arial Narrow" w:hAnsi="Arial Narrow"/>
          <w:lang w:val="en-US"/>
        </w:rPr>
      </w:pPr>
      <w:r w:rsidRPr="00EB16CF">
        <w:rPr>
          <w:rStyle w:val="Refdenotaderodap"/>
          <w:rFonts w:ascii="Arial Narrow" w:hAnsi="Arial Narrow"/>
        </w:rPr>
        <w:footnoteRef/>
      </w:r>
      <w:r w:rsidRPr="00EB16CF">
        <w:rPr>
          <w:rFonts w:ascii="Arial Narrow" w:hAnsi="Arial Narrow"/>
          <w:lang w:val="en-US"/>
        </w:rPr>
        <w:t xml:space="preserve"> </w:t>
      </w:r>
      <w:r w:rsidRPr="00EB16CF">
        <w:rPr>
          <w:rFonts w:ascii="Arial Narrow" w:hAnsi="Arial Narrow"/>
          <w:bCs/>
          <w:lang w:val="en-US"/>
        </w:rPr>
        <w:t xml:space="preserve">S. G. Payne </w:t>
      </w:r>
      <w:r w:rsidRPr="00EB16CF">
        <w:rPr>
          <w:rFonts w:ascii="Arial Narrow" w:hAnsi="Arial Narrow"/>
          <w:lang w:val="en-US"/>
        </w:rPr>
        <w:t>(2003 b)</w:t>
      </w:r>
      <w:r>
        <w:rPr>
          <w:rFonts w:ascii="Arial Narrow" w:hAnsi="Arial Narrow"/>
          <w:lang w:val="en-US"/>
        </w:rPr>
        <w:t xml:space="preserve"> 400.</w:t>
      </w:r>
    </w:p>
  </w:footnote>
  <w:footnote w:id="26">
    <w:p w:rsidR="003F07DD" w:rsidRPr="00307768" w:rsidRDefault="003F07DD" w:rsidP="00751A22">
      <w:pPr>
        <w:pStyle w:val="Textodenotaderodap"/>
        <w:rPr>
          <w:rFonts w:ascii="Arial Narrow" w:hAnsi="Arial Narrow"/>
        </w:rPr>
      </w:pPr>
      <w:r w:rsidRPr="00AA41C7">
        <w:rPr>
          <w:rStyle w:val="Refdenotaderodap"/>
          <w:rFonts w:ascii="Arial Narrow" w:hAnsi="Arial Narrow"/>
        </w:rPr>
        <w:footnoteRef/>
      </w:r>
      <w:r w:rsidRPr="00EB16CF">
        <w:rPr>
          <w:rFonts w:ascii="Arial Narrow" w:hAnsi="Arial Narrow"/>
          <w:lang w:val="en-US"/>
        </w:rPr>
        <w:t xml:space="preserve"> C. Callil (2009) 173. </w:t>
      </w:r>
      <w:r>
        <w:rPr>
          <w:rFonts w:ascii="Arial Narrow" w:hAnsi="Arial Narrow"/>
        </w:rPr>
        <w:t xml:space="preserve">Ver também </w:t>
      </w:r>
      <w:r w:rsidRPr="007A4857">
        <w:rPr>
          <w:rFonts w:ascii="Arial Narrow" w:hAnsi="Arial Narrow"/>
          <w:bCs/>
        </w:rPr>
        <w:t xml:space="preserve">S. G. Payne </w:t>
      </w:r>
      <w:r w:rsidRPr="007A4857">
        <w:rPr>
          <w:rFonts w:ascii="Arial Narrow" w:hAnsi="Arial Narrow"/>
        </w:rPr>
        <w:t>(2003 b) 293.</w:t>
      </w:r>
    </w:p>
  </w:footnote>
  <w:footnote w:id="27">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307768">
        <w:rPr>
          <w:rFonts w:ascii="Arial Narrow" w:hAnsi="Arial Narrow"/>
        </w:rPr>
        <w:t xml:space="preserve"> Ph. Burrin (1986) 239</w:t>
      </w:r>
      <w:r w:rsidRPr="00EF57D6">
        <w:rPr>
          <w:rFonts w:ascii="Arial Narrow" w:hAnsi="Arial Narrow"/>
        </w:rPr>
        <w:t xml:space="preserve">. </w:t>
      </w:r>
      <w:r w:rsidRPr="004033B7">
        <w:rPr>
          <w:rFonts w:ascii="Arial Narrow" w:hAnsi="Arial Narrow"/>
        </w:rPr>
        <w:t>Mesmo durante a ocupação da França pelas tropas germânicas Bergery parece ter protegido alguns dos seus amigos judeus, a crer em id., ibid., 365.</w:t>
      </w:r>
    </w:p>
  </w:footnote>
  <w:footnote w:id="28">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P. Ory (1976) 22. É curioso que, ao recordar esses momentos difíceis do jornal a que havia sempre dado uma entusiástica colaboração, L. Rebatet (1942) 42-45 tivesse ocultado pudicamente o papel desempenhado por aqueles accionistas, de tal modo que parece que o </w:t>
      </w:r>
      <w:r w:rsidRPr="004033B7">
        <w:rPr>
          <w:rFonts w:ascii="Arial Narrow" w:hAnsi="Arial Narrow"/>
          <w:i/>
        </w:rPr>
        <w:t>Je Suis Partout</w:t>
      </w:r>
      <w:r w:rsidRPr="004033B7">
        <w:rPr>
          <w:rFonts w:ascii="Arial Narrow" w:hAnsi="Arial Narrow"/>
        </w:rPr>
        <w:t xml:space="preserve"> sobrevivia e prosperava sem fundos.</w:t>
      </w:r>
    </w:p>
  </w:footnote>
  <w:footnote w:id="29">
    <w:p w:rsidR="003F07DD" w:rsidRPr="00E4324D" w:rsidRDefault="003F07DD">
      <w:pPr>
        <w:pStyle w:val="Textodenotaderodap"/>
        <w:rPr>
          <w:rFonts w:ascii="Arial Narrow" w:hAnsi="Arial Narrow"/>
          <w:lang w:val="en-US"/>
        </w:rPr>
      </w:pPr>
      <w:r w:rsidRPr="00E4324D">
        <w:rPr>
          <w:rStyle w:val="Refdenotaderodap"/>
          <w:rFonts w:ascii="Arial Narrow" w:hAnsi="Arial Narrow"/>
        </w:rPr>
        <w:footnoteRef/>
      </w:r>
      <w:r w:rsidRPr="00E4324D">
        <w:rPr>
          <w:rFonts w:ascii="Arial Narrow" w:hAnsi="Arial Narrow"/>
          <w:lang w:val="en-US"/>
        </w:rPr>
        <w:t xml:space="preserve"> </w:t>
      </w:r>
      <w:r w:rsidRPr="002354D5">
        <w:rPr>
          <w:rFonts w:ascii="Arial Narrow" w:hAnsi="Arial Narrow"/>
          <w:lang w:val="de-DE"/>
        </w:rPr>
        <w:t>O. Dard (1998)</w:t>
      </w:r>
      <w:r>
        <w:rPr>
          <w:rFonts w:ascii="Arial Narrow" w:hAnsi="Arial Narrow"/>
          <w:lang w:val="de-DE"/>
        </w:rPr>
        <w:t xml:space="preserve"> </w:t>
      </w:r>
      <w:r w:rsidRPr="00E41E1E">
        <w:rPr>
          <w:rFonts w:ascii="Arial Narrow" w:hAnsi="Arial Narrow"/>
          <w:lang w:val="en-US"/>
        </w:rPr>
        <w:t>12, 13.</w:t>
      </w:r>
    </w:p>
  </w:footnote>
  <w:footnote w:id="30">
    <w:p w:rsidR="003F07DD" w:rsidRPr="000716E5"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lang w:val="en-GB"/>
        </w:rPr>
        <w:t xml:space="preserve"> P. Ory (1976) 26; D. Wolf (1969) 212, 312 n. 1.</w:t>
      </w:r>
      <w:r>
        <w:rPr>
          <w:rFonts w:ascii="Arial Narrow" w:hAnsi="Arial Narrow"/>
          <w:lang w:val="en-GB"/>
        </w:rPr>
        <w:t xml:space="preserve"> </w:t>
      </w:r>
      <w:r w:rsidRPr="000716E5">
        <w:rPr>
          <w:rFonts w:ascii="Arial Narrow" w:hAnsi="Arial Narrow"/>
        </w:rPr>
        <w:t xml:space="preserve">Ver também C. Callil (2009) </w:t>
      </w:r>
      <w:r>
        <w:rPr>
          <w:rFonts w:ascii="Arial Narrow" w:hAnsi="Arial Narrow"/>
        </w:rPr>
        <w:t xml:space="preserve">189 e </w:t>
      </w:r>
      <w:r w:rsidRPr="000716E5">
        <w:rPr>
          <w:rFonts w:ascii="Arial Narrow" w:hAnsi="Arial Narrow"/>
        </w:rPr>
        <w:t>608 n. 33.</w:t>
      </w:r>
    </w:p>
  </w:footnote>
  <w:footnote w:id="31">
    <w:p w:rsidR="003F07DD" w:rsidRPr="008042FD"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8042FD">
        <w:rPr>
          <w:rFonts w:ascii="Arial Narrow" w:hAnsi="Arial Narrow"/>
        </w:rPr>
        <w:t xml:space="preserve"> D. Wolf (1969) 186, 312. Ver ainda D. Orlow (2009) 94.</w:t>
      </w:r>
    </w:p>
  </w:footnote>
  <w:footnote w:id="32">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Ph. Burrin (1986) 296.</w:t>
      </w:r>
    </w:p>
  </w:footnote>
  <w:footnote w:id="33">
    <w:p w:rsidR="003F07DD" w:rsidRPr="00BA5CF1" w:rsidRDefault="003F07DD" w:rsidP="0056381B">
      <w:pPr>
        <w:pStyle w:val="Textodenotaderodap"/>
        <w:rPr>
          <w:rFonts w:ascii="Arial Narrow" w:hAnsi="Arial Narrow"/>
          <w:lang w:val="de-DE"/>
        </w:rPr>
      </w:pPr>
      <w:r w:rsidRPr="00BA5CF1">
        <w:rPr>
          <w:rStyle w:val="Refdenotaderodap"/>
          <w:rFonts w:ascii="Arial Narrow" w:hAnsi="Arial Narrow"/>
        </w:rPr>
        <w:footnoteRef/>
      </w:r>
      <w:r w:rsidRPr="00BA5CF1">
        <w:rPr>
          <w:rFonts w:ascii="Arial Narrow" w:hAnsi="Arial Narrow"/>
          <w:lang w:val="de-DE"/>
        </w:rPr>
        <w:t xml:space="preserve"> </w:t>
      </w:r>
      <w:r w:rsidRPr="002354D5">
        <w:rPr>
          <w:rFonts w:ascii="Arial Narrow" w:hAnsi="Arial Narrow"/>
          <w:lang w:val="de-DE"/>
        </w:rPr>
        <w:t>O. Dard (1998) 17.</w:t>
      </w:r>
    </w:p>
  </w:footnote>
  <w:footnote w:id="34">
    <w:p w:rsidR="003F07DD" w:rsidRPr="008042FD"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8042FD">
        <w:rPr>
          <w:rFonts w:ascii="Arial Narrow" w:hAnsi="Arial Narrow"/>
          <w:lang w:val="en-US"/>
        </w:rPr>
        <w:t xml:space="preserve"> Id., ibid., 12, 13.</w:t>
      </w:r>
    </w:p>
  </w:footnote>
  <w:footnote w:id="35">
    <w:p w:rsidR="003F07DD" w:rsidRPr="00F22695" w:rsidRDefault="003F07DD" w:rsidP="00751A22">
      <w:pPr>
        <w:pStyle w:val="Textodenotaderodap"/>
        <w:rPr>
          <w:rFonts w:ascii="Arial Narrow" w:hAnsi="Arial Narrow"/>
        </w:rPr>
      </w:pPr>
      <w:r w:rsidRPr="00F22695">
        <w:rPr>
          <w:rStyle w:val="Refdenotaderodap"/>
          <w:rFonts w:ascii="Arial Narrow" w:hAnsi="Arial Narrow"/>
        </w:rPr>
        <w:footnoteRef/>
      </w:r>
      <w:r w:rsidRPr="00F22695">
        <w:rPr>
          <w:rFonts w:ascii="Arial Narrow" w:hAnsi="Arial Narrow"/>
        </w:rPr>
        <w:t xml:space="preserve"> </w:t>
      </w:r>
      <w:r>
        <w:rPr>
          <w:rFonts w:ascii="Arial Narrow" w:hAnsi="Arial Narrow"/>
        </w:rPr>
        <w:t xml:space="preserve">Id., ibid., </w:t>
      </w:r>
      <w:r w:rsidRPr="00F22695">
        <w:rPr>
          <w:rFonts w:ascii="Arial Narrow" w:hAnsi="Arial Narrow"/>
        </w:rPr>
        <w:t>16-19</w:t>
      </w:r>
      <w:r>
        <w:rPr>
          <w:rFonts w:ascii="Arial Narrow" w:hAnsi="Arial Narrow"/>
        </w:rPr>
        <w:t>.</w:t>
      </w:r>
    </w:p>
  </w:footnote>
  <w:footnote w:id="36">
    <w:p w:rsidR="003F07DD" w:rsidRPr="00243346" w:rsidRDefault="003F07DD" w:rsidP="00751A22">
      <w:pPr>
        <w:pStyle w:val="Textodenotaderodap"/>
        <w:rPr>
          <w:rFonts w:ascii="Arial Narrow" w:hAnsi="Arial Narrow"/>
        </w:rPr>
      </w:pPr>
      <w:r w:rsidRPr="00243346">
        <w:rPr>
          <w:rStyle w:val="Refdenotaderodap"/>
          <w:rFonts w:ascii="Arial Narrow" w:hAnsi="Arial Narrow"/>
        </w:rPr>
        <w:footnoteRef/>
      </w:r>
      <w:r w:rsidRPr="00243346">
        <w:rPr>
          <w:rFonts w:ascii="Arial Narrow" w:hAnsi="Arial Narrow"/>
        </w:rPr>
        <w:t xml:space="preserve"> </w:t>
      </w:r>
      <w:r>
        <w:rPr>
          <w:rFonts w:ascii="Arial Narrow" w:hAnsi="Arial Narrow"/>
        </w:rPr>
        <w:t xml:space="preserve">Citado em id., ibid., </w:t>
      </w:r>
      <w:r w:rsidRPr="00243346">
        <w:rPr>
          <w:rFonts w:ascii="Arial Narrow" w:hAnsi="Arial Narrow"/>
        </w:rPr>
        <w:t>12</w:t>
      </w:r>
      <w:r>
        <w:rPr>
          <w:rFonts w:ascii="Arial Narrow" w:hAnsi="Arial Narrow"/>
        </w:rPr>
        <w:t>.</w:t>
      </w:r>
    </w:p>
  </w:footnote>
  <w:footnote w:id="37">
    <w:p w:rsidR="003F07DD" w:rsidRPr="002774A8" w:rsidRDefault="003F07DD" w:rsidP="00751A22">
      <w:pPr>
        <w:pStyle w:val="Textodenotaderodap"/>
        <w:rPr>
          <w:rFonts w:ascii="Arial Narrow" w:hAnsi="Arial Narrow"/>
          <w:lang w:val="en-US"/>
        </w:rPr>
      </w:pPr>
      <w:r w:rsidRPr="00F73A4F">
        <w:rPr>
          <w:rStyle w:val="Refdenotaderodap"/>
          <w:rFonts w:ascii="Arial Narrow" w:hAnsi="Arial Narrow"/>
        </w:rPr>
        <w:footnoteRef/>
      </w:r>
      <w:r w:rsidRPr="002774A8">
        <w:rPr>
          <w:rFonts w:ascii="Arial Narrow" w:hAnsi="Arial Narrow"/>
          <w:lang w:val="en-US"/>
        </w:rPr>
        <w:t xml:space="preserve"> Id., ibid., 105.</w:t>
      </w:r>
    </w:p>
  </w:footnote>
  <w:footnote w:id="38">
    <w:p w:rsidR="003F07DD" w:rsidRPr="002774A8" w:rsidRDefault="003F07DD">
      <w:pPr>
        <w:pStyle w:val="Textodenotaderodap"/>
        <w:rPr>
          <w:rFonts w:ascii="Arial Narrow" w:hAnsi="Arial Narrow"/>
          <w:lang w:val="en-US"/>
        </w:rPr>
      </w:pPr>
      <w:r w:rsidRPr="002774A8">
        <w:rPr>
          <w:rStyle w:val="Refdenotaderodap"/>
          <w:rFonts w:ascii="Arial Narrow" w:hAnsi="Arial Narrow"/>
        </w:rPr>
        <w:footnoteRef/>
      </w:r>
      <w:r w:rsidRPr="002774A8">
        <w:rPr>
          <w:rFonts w:ascii="Arial Narrow" w:hAnsi="Arial Narrow"/>
          <w:lang w:val="en-US"/>
        </w:rPr>
        <w:t xml:space="preserve"> </w:t>
      </w:r>
      <w:r w:rsidRPr="004D58E7">
        <w:rPr>
          <w:rFonts w:ascii="Arial Narrow" w:hAnsi="Arial Narrow"/>
          <w:lang w:val="en-US"/>
        </w:rPr>
        <w:t>S. D. Shenfield (2001)</w:t>
      </w:r>
      <w:r>
        <w:rPr>
          <w:rFonts w:ascii="Arial Narrow" w:hAnsi="Arial Narrow"/>
          <w:lang w:val="en-US"/>
        </w:rPr>
        <w:t xml:space="preserve"> 212.</w:t>
      </w:r>
    </w:p>
  </w:footnote>
  <w:footnote w:id="39">
    <w:p w:rsidR="003F07DD" w:rsidRPr="00E81446" w:rsidRDefault="003F07DD">
      <w:pPr>
        <w:pStyle w:val="Textodenotaderodap"/>
        <w:rPr>
          <w:rFonts w:ascii="Arial Narrow" w:hAnsi="Arial Narrow"/>
        </w:rPr>
      </w:pPr>
      <w:r w:rsidRPr="004D58E7">
        <w:rPr>
          <w:rStyle w:val="Refdenotaderodap"/>
          <w:rFonts w:ascii="Arial Narrow" w:hAnsi="Arial Narrow"/>
        </w:rPr>
        <w:footnoteRef/>
      </w:r>
      <w:r w:rsidRPr="00E81446">
        <w:rPr>
          <w:rFonts w:ascii="Arial Narrow" w:hAnsi="Arial Narrow"/>
        </w:rPr>
        <w:t xml:space="preserve"> Id., ibid., 142.</w:t>
      </w:r>
    </w:p>
  </w:footnote>
  <w:footnote w:id="40">
    <w:p w:rsidR="003F07DD" w:rsidRPr="00E81446" w:rsidRDefault="003F07DD" w:rsidP="00751A22">
      <w:pPr>
        <w:pStyle w:val="Textodenotaderodap"/>
        <w:rPr>
          <w:rFonts w:ascii="Arial Narrow" w:hAnsi="Arial Narrow"/>
        </w:rPr>
      </w:pPr>
      <w:r w:rsidRPr="004033B7">
        <w:rPr>
          <w:rStyle w:val="Refdenotaderodap"/>
          <w:rFonts w:ascii="Arial Narrow" w:hAnsi="Arial Narrow"/>
        </w:rPr>
        <w:footnoteRef/>
      </w:r>
      <w:r w:rsidRPr="00E81446">
        <w:rPr>
          <w:rFonts w:ascii="Arial Narrow" w:hAnsi="Arial Narrow"/>
        </w:rPr>
        <w:t xml:space="preserve"> R. De Felice (1977) 80 e segs., 111, 149-150, 155 e segs., 235, 287-289; Ch. F. Delzell (org. 1971) 173; E. Santarelli (1981) I 439 n. 1.</w:t>
      </w:r>
    </w:p>
  </w:footnote>
  <w:footnote w:id="41">
    <w:p w:rsidR="003F07DD" w:rsidRPr="002354D5"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2354D5">
        <w:rPr>
          <w:rFonts w:ascii="Arial Narrow" w:hAnsi="Arial Narrow"/>
          <w:lang w:val="de-DE"/>
        </w:rPr>
        <w:t xml:space="preserve"> F. Neumann (1943) 544 n. 81.</w:t>
      </w:r>
    </w:p>
  </w:footnote>
  <w:footnote w:id="42">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2354D5">
        <w:rPr>
          <w:rFonts w:ascii="Arial Narrow" w:hAnsi="Arial Narrow"/>
          <w:lang w:val="de-DE"/>
        </w:rPr>
        <w:t xml:space="preserve"> E. Santarelli (1981) I 29; Z. Sternhell et al. (1994) 32, 96, 112, </w:t>
      </w:r>
      <w:r w:rsidRPr="00E81446">
        <w:rPr>
          <w:rFonts w:ascii="Arial Narrow" w:hAnsi="Arial Narrow"/>
        </w:rPr>
        <w:t>1</w:t>
      </w:r>
      <w:r w:rsidRPr="004033B7">
        <w:rPr>
          <w:rFonts w:ascii="Arial Narrow" w:hAnsi="Arial Narrow"/>
        </w:rPr>
        <w:t>32, 134, 138, 163, 192.</w:t>
      </w:r>
    </w:p>
  </w:footnote>
  <w:footnote w:id="4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G. Bortolotto (1938) 382 n. 1; R. De Felice (1977) 97 e segs., 121, 146, 250 e segs.; P. Milza (1999) 357-359.</w:t>
      </w:r>
    </w:p>
  </w:footnote>
  <w:footnote w:id="44">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E. Santarelli (1981) I 146 n. 1, 271.</w:t>
      </w:r>
    </w:p>
  </w:footnote>
  <w:footnote w:id="45">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F. W. Deakin (1966) 32; R. De Felice (1977) 10, 55-56, 79, 145; P. Milza (1999) 749, 751; E. Santarelli (1981) I 426; G. Volpe (1941) 247.</w:t>
      </w:r>
    </w:p>
  </w:footnote>
  <w:footnote w:id="46">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E. Santarelli (1981) II 50. Ver igualmente P. Milza (1999) 751.</w:t>
      </w:r>
    </w:p>
  </w:footnote>
  <w:footnote w:id="47">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290-291 salient</w:t>
      </w:r>
      <w:r>
        <w:rPr>
          <w:rFonts w:ascii="Arial Narrow" w:hAnsi="Arial Narrow"/>
        </w:rPr>
        <w:t>ou</w:t>
      </w:r>
      <w:r w:rsidRPr="004033B7">
        <w:rPr>
          <w:rFonts w:ascii="Arial Narrow" w:hAnsi="Arial Narrow"/>
        </w:rPr>
        <w:t xml:space="preserve"> o racismo manifestado por Mussolini para com os negros, especialmente após a conquista da Abissínia, e P. Milza (1999) 752-754 observ</w:t>
      </w:r>
      <w:r>
        <w:rPr>
          <w:rFonts w:ascii="Arial Narrow" w:hAnsi="Arial Narrow"/>
        </w:rPr>
        <w:t>ou</w:t>
      </w:r>
      <w:r w:rsidRPr="004033B7">
        <w:rPr>
          <w:rFonts w:ascii="Arial Narrow" w:hAnsi="Arial Narrow"/>
        </w:rPr>
        <w:t xml:space="preserve"> que as primeiras vítimas da política racista prosseguida pelo fascismo italiano não foram os judeus mas os negros da Eritreia, da Somália e da Etiópia. Leio em G. Arfe (1967) 196 que «mesmo no tempo da expansão colonial fascista, quando ocorreu a primeira tentativa organizada do poder central para criar uma ideologia colonialista de massas, o racismo desempenhou um papel bastante limitado». Talvez fosse o sentimento antifascista profundo de uma boa parte do proletariado italiano a pôr em causa a difusão dos preconceitos raciais, mais do que qualquer universalismo romano do fascismo.</w:t>
      </w:r>
    </w:p>
  </w:footnote>
  <w:footnote w:id="48">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w:t>
      </w:r>
      <w:r>
        <w:rPr>
          <w:rFonts w:ascii="Arial Narrow" w:hAnsi="Arial Narrow"/>
        </w:rPr>
        <w:t xml:space="preserve">E. Gentile (2010) 224; </w:t>
      </w:r>
      <w:r w:rsidRPr="004033B7">
        <w:rPr>
          <w:rFonts w:ascii="Arial Narrow" w:hAnsi="Arial Narrow"/>
        </w:rPr>
        <w:t>P. Milza (1999) 672, 753; E. Santarelli (1981) II 210-211.</w:t>
      </w:r>
    </w:p>
  </w:footnote>
  <w:footnote w:id="49">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Citadas em E. Santarelli (1981) II 210.</w:t>
      </w:r>
    </w:p>
  </w:footnote>
  <w:footnote w:id="50">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231, 235-237.</w:t>
      </w:r>
    </w:p>
  </w:footnote>
  <w:footnote w:id="51">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L. Brenner (1984) 98.</w:t>
      </w:r>
    </w:p>
  </w:footnote>
  <w:footnote w:id="52">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R. Hilberg (1961) 421-422; P. C. Masini (1999) 25</w:t>
      </w:r>
      <w:r>
        <w:rPr>
          <w:rFonts w:ascii="Arial Narrow" w:hAnsi="Arial Narrow"/>
          <w:lang w:val="de-DE"/>
        </w:rPr>
        <w:t xml:space="preserve">; </w:t>
      </w:r>
      <w:r w:rsidRPr="005A2B61">
        <w:rPr>
          <w:rFonts w:ascii="Arial Narrow" w:hAnsi="Arial Narrow"/>
          <w:bCs/>
          <w:lang w:val="en-US"/>
        </w:rPr>
        <w:t xml:space="preserve">S. G. Payne </w:t>
      </w:r>
      <w:r w:rsidRPr="005A2B61">
        <w:rPr>
          <w:rFonts w:ascii="Arial Narrow" w:hAnsi="Arial Narrow"/>
          <w:lang w:val="en-US"/>
        </w:rPr>
        <w:t>(2003 b)</w:t>
      </w:r>
      <w:r>
        <w:rPr>
          <w:rFonts w:ascii="Arial Narrow" w:hAnsi="Arial Narrow"/>
          <w:lang w:val="en-US"/>
        </w:rPr>
        <w:t xml:space="preserve"> 239-240</w:t>
      </w:r>
      <w:r w:rsidRPr="00EF57D6">
        <w:rPr>
          <w:rFonts w:ascii="Arial Narrow" w:hAnsi="Arial Narrow"/>
          <w:lang w:val="de-DE"/>
        </w:rPr>
        <w:t>.</w:t>
      </w:r>
    </w:p>
  </w:footnote>
  <w:footnote w:id="53">
    <w:p w:rsidR="003F07DD" w:rsidRPr="00406A3A" w:rsidRDefault="003F07DD">
      <w:pPr>
        <w:pStyle w:val="Textodenotaderodap"/>
        <w:rPr>
          <w:rFonts w:ascii="Arial Narrow" w:hAnsi="Arial Narrow"/>
          <w:lang w:val="en-US"/>
        </w:rPr>
      </w:pPr>
      <w:r w:rsidRPr="00406A3A">
        <w:rPr>
          <w:rStyle w:val="Refdenotaderodap"/>
          <w:rFonts w:ascii="Arial Narrow" w:hAnsi="Arial Narrow"/>
        </w:rPr>
        <w:footnoteRef/>
      </w:r>
      <w:r w:rsidRPr="00406A3A">
        <w:rPr>
          <w:rFonts w:ascii="Arial Narrow" w:hAnsi="Arial Narrow"/>
          <w:lang w:val="en-US"/>
        </w:rPr>
        <w:t xml:space="preserve"> </w:t>
      </w:r>
      <w:r w:rsidRPr="00CE0CEF">
        <w:rPr>
          <w:rFonts w:ascii="Arial Narrow" w:hAnsi="Arial Narrow"/>
          <w:lang w:val="en-US"/>
        </w:rPr>
        <w:t>M. Mayer (1966)</w:t>
      </w:r>
      <w:r>
        <w:rPr>
          <w:rFonts w:ascii="Arial Narrow" w:hAnsi="Arial Narrow"/>
          <w:lang w:val="en-US"/>
        </w:rPr>
        <w:t xml:space="preserve"> 144.</w:t>
      </w:r>
    </w:p>
  </w:footnote>
  <w:footnote w:id="54">
    <w:p w:rsidR="003F07DD" w:rsidRPr="00EF57D6" w:rsidRDefault="003F07DD" w:rsidP="00751A22">
      <w:pPr>
        <w:pStyle w:val="Textodenotaderodap"/>
        <w:rPr>
          <w:rFonts w:ascii="Arial Narrow" w:hAnsi="Arial Narrow"/>
        </w:rPr>
      </w:pPr>
      <w:r w:rsidRPr="004033B7">
        <w:rPr>
          <w:rStyle w:val="Refdenotaderodap"/>
          <w:rFonts w:ascii="Arial Narrow" w:hAnsi="Arial Narrow"/>
        </w:rPr>
        <w:footnoteRef/>
      </w:r>
      <w:r w:rsidRPr="000C4E31">
        <w:rPr>
          <w:rFonts w:ascii="Arial Narrow" w:hAnsi="Arial Narrow"/>
          <w:lang w:val="en-US"/>
        </w:rPr>
        <w:t xml:space="preserve"> E. Black (1999) 61-62; </w:t>
      </w:r>
      <w:r w:rsidRPr="005A2B61">
        <w:rPr>
          <w:rFonts w:ascii="Arial Narrow" w:hAnsi="Arial Narrow"/>
          <w:bCs/>
          <w:lang w:val="en-US"/>
        </w:rPr>
        <w:t xml:space="preserve">S. G. Payne </w:t>
      </w:r>
      <w:r w:rsidRPr="005A2B61">
        <w:rPr>
          <w:rFonts w:ascii="Arial Narrow" w:hAnsi="Arial Narrow"/>
          <w:lang w:val="en-US"/>
        </w:rPr>
        <w:t>(2003 b)</w:t>
      </w:r>
      <w:r>
        <w:rPr>
          <w:rFonts w:ascii="Arial Narrow" w:hAnsi="Arial Narrow"/>
          <w:lang w:val="en-US"/>
        </w:rPr>
        <w:t xml:space="preserve"> 240</w:t>
      </w:r>
      <w:r w:rsidRPr="000C4E31">
        <w:rPr>
          <w:rFonts w:ascii="Arial Narrow" w:hAnsi="Arial Narrow"/>
          <w:lang w:val="en-US"/>
        </w:rPr>
        <w:t xml:space="preserve">. </w:t>
      </w:r>
      <w:r>
        <w:rPr>
          <w:rFonts w:ascii="Arial Narrow" w:hAnsi="Arial Narrow"/>
        </w:rPr>
        <w:t>Note-se que, segundo J. Rossi (1946) 569, eram judeus três dos sete fundadores do movimento nacionalista dirigido por Corradini. Ver também A. Pennacchi (2010) 39.</w:t>
      </w:r>
    </w:p>
  </w:footnote>
  <w:footnote w:id="55">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R. De Felice (1977) 88; P. Milza (1999) 750</w:t>
      </w:r>
      <w:r>
        <w:rPr>
          <w:rFonts w:ascii="Arial Narrow" w:hAnsi="Arial Narrow"/>
          <w:lang w:val="fr-FR"/>
        </w:rPr>
        <w:t>; G. Seldes (1943) 44, 155</w:t>
      </w:r>
      <w:r w:rsidRPr="004033B7">
        <w:rPr>
          <w:rFonts w:ascii="Arial Narrow" w:hAnsi="Arial Narrow"/>
          <w:lang w:val="fr-FR"/>
        </w:rPr>
        <w:t>.</w:t>
      </w:r>
    </w:p>
  </w:footnote>
  <w:footnote w:id="56">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39.</w:t>
      </w:r>
    </w:p>
  </w:footnote>
  <w:footnote w:id="57">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P. C. Masini (1999) 25; P. Milza (1999) 149, 670, 750</w:t>
      </w:r>
      <w:r>
        <w:rPr>
          <w:rFonts w:ascii="Arial Narrow" w:hAnsi="Arial Narrow"/>
          <w:lang w:val="fr-FR"/>
        </w:rPr>
        <w:t xml:space="preserve">; </w:t>
      </w:r>
      <w:r w:rsidRPr="005A2B61">
        <w:rPr>
          <w:rFonts w:ascii="Arial Narrow" w:hAnsi="Arial Narrow"/>
          <w:bCs/>
          <w:lang w:val="en-US"/>
        </w:rPr>
        <w:t xml:space="preserve">S. G. Payne </w:t>
      </w:r>
      <w:r w:rsidRPr="005A2B61">
        <w:rPr>
          <w:rFonts w:ascii="Arial Narrow" w:hAnsi="Arial Narrow"/>
          <w:lang w:val="en-US"/>
        </w:rPr>
        <w:t>(2003 b)</w:t>
      </w:r>
      <w:r>
        <w:rPr>
          <w:rFonts w:ascii="Arial Narrow" w:hAnsi="Arial Narrow"/>
          <w:lang w:val="en-US"/>
        </w:rPr>
        <w:t xml:space="preserve"> 240</w:t>
      </w:r>
      <w:r w:rsidRPr="004033B7">
        <w:rPr>
          <w:rFonts w:ascii="Arial Narrow" w:hAnsi="Arial Narrow"/>
          <w:lang w:val="fr-FR"/>
        </w:rPr>
        <w:t>.</w:t>
      </w:r>
    </w:p>
  </w:footnote>
  <w:footnote w:id="58">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3F3DF9">
        <w:rPr>
          <w:rFonts w:ascii="Arial Narrow" w:hAnsi="Arial Narrow"/>
        </w:rPr>
        <w:t xml:space="preserve"> Z. Sternhell et al. </w:t>
      </w:r>
      <w:r w:rsidRPr="004033B7">
        <w:rPr>
          <w:rFonts w:ascii="Arial Narrow" w:hAnsi="Arial Narrow"/>
        </w:rPr>
        <w:t xml:space="preserve">(1994) 5. Ver também: H. Arendt (1994) 178; R. De Felice (1977) 81, 88-90, 114-120, 122, 179, 184 e segs., 511-514; Ch. F. Delzell (org. 1971) 173; </w:t>
      </w:r>
      <w:r>
        <w:rPr>
          <w:rFonts w:ascii="Arial Narrow" w:hAnsi="Arial Narrow"/>
        </w:rPr>
        <w:t xml:space="preserve">J. Goldberg (2009) 17, 26; </w:t>
      </w:r>
      <w:r w:rsidRPr="004033B7">
        <w:rPr>
          <w:rFonts w:ascii="Arial Narrow" w:hAnsi="Arial Narrow"/>
        </w:rPr>
        <w:t>P. Milza (1999) 751</w:t>
      </w:r>
      <w:r>
        <w:rPr>
          <w:rFonts w:ascii="Arial Narrow" w:hAnsi="Arial Narrow"/>
        </w:rPr>
        <w:t>; S. G. Payne (2003 a) 139-140; id. (2003 b) 209</w:t>
      </w:r>
      <w:r w:rsidRPr="004033B7">
        <w:rPr>
          <w:rFonts w:ascii="Arial Narrow" w:hAnsi="Arial Narrow"/>
        </w:rPr>
        <w:t>. Mesmo num capítulo destinado a justificar a orientação anti-semita adoptada por Mussolini a partir de 1938, G. Volpe (1941) 248 escreve</w:t>
      </w:r>
      <w:r>
        <w:rPr>
          <w:rFonts w:ascii="Arial Narrow" w:hAnsi="Arial Narrow"/>
        </w:rPr>
        <w:t>u</w:t>
      </w:r>
      <w:r w:rsidRPr="004033B7">
        <w:rPr>
          <w:rFonts w:ascii="Arial Narrow" w:hAnsi="Arial Narrow"/>
        </w:rPr>
        <w:t xml:space="preserve"> que «os israelitas italianos conta[ram] desde a primeira hora numerosos fascistas ou numerosos inscritos no partido».</w:t>
      </w:r>
    </w:p>
  </w:footnote>
  <w:footnote w:id="59">
    <w:p w:rsidR="003F07DD" w:rsidRPr="007833B5" w:rsidRDefault="003F07DD">
      <w:pPr>
        <w:pStyle w:val="Textodenotaderodap"/>
        <w:rPr>
          <w:rFonts w:ascii="Arial Narrow" w:hAnsi="Arial Narrow"/>
          <w:lang w:val="en-US"/>
        </w:rPr>
      </w:pPr>
      <w:r w:rsidRPr="00423DBF">
        <w:rPr>
          <w:rStyle w:val="Refdenotaderodap"/>
          <w:rFonts w:ascii="Arial Narrow" w:hAnsi="Arial Narrow"/>
        </w:rPr>
        <w:footnoteRef/>
      </w:r>
      <w:r w:rsidRPr="007833B5">
        <w:rPr>
          <w:rFonts w:ascii="Arial Narrow" w:hAnsi="Arial Narrow"/>
          <w:lang w:val="en-US"/>
        </w:rPr>
        <w:t xml:space="preserve"> </w:t>
      </w:r>
      <w:r w:rsidRPr="007833B5">
        <w:rPr>
          <w:rFonts w:ascii="Arial Narrow" w:hAnsi="Arial Narrow"/>
          <w:bCs/>
          <w:lang w:val="en-US"/>
        </w:rPr>
        <w:t xml:space="preserve">S. Friedländer </w:t>
      </w:r>
      <w:r w:rsidRPr="007833B5">
        <w:rPr>
          <w:rFonts w:ascii="Arial Narrow" w:hAnsi="Arial Narrow"/>
          <w:lang w:val="en-US"/>
        </w:rPr>
        <w:t>(2008) 34 n. 9.</w:t>
      </w:r>
    </w:p>
  </w:footnote>
  <w:footnote w:id="60">
    <w:p w:rsidR="003F07DD" w:rsidRPr="007833B5" w:rsidRDefault="003F07DD">
      <w:pPr>
        <w:pStyle w:val="Textodenotaderodap"/>
        <w:rPr>
          <w:rFonts w:ascii="Arial Narrow" w:hAnsi="Arial Narrow"/>
          <w:lang w:val="en-US"/>
        </w:rPr>
      </w:pPr>
      <w:r w:rsidRPr="006E0E01">
        <w:rPr>
          <w:rStyle w:val="Refdenotaderodap"/>
          <w:rFonts w:ascii="Arial Narrow" w:hAnsi="Arial Narrow"/>
        </w:rPr>
        <w:footnoteRef/>
      </w:r>
      <w:r w:rsidRPr="007833B5">
        <w:rPr>
          <w:rFonts w:ascii="Arial Narrow" w:hAnsi="Arial Narrow"/>
          <w:lang w:val="en-US"/>
        </w:rPr>
        <w:t xml:space="preserve"> A. Pennacchi (2010) 86.</w:t>
      </w:r>
    </w:p>
  </w:footnote>
  <w:footnote w:id="61">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P. Milza (1999) 595. «O único sector da opinião pública e da imprensa decididamente hostil aos judeus foi o sector católico», escreve</w:t>
      </w:r>
      <w:r>
        <w:rPr>
          <w:rFonts w:ascii="Arial Narrow" w:hAnsi="Arial Narrow"/>
        </w:rPr>
        <w:t>u</w:t>
      </w:r>
      <w:r w:rsidRPr="004033B7">
        <w:rPr>
          <w:rFonts w:ascii="Arial Narrow" w:hAnsi="Arial Narrow"/>
        </w:rPr>
        <w:t xml:space="preserve"> R. De Felice (1977) 135.</w:t>
      </w:r>
    </w:p>
  </w:footnote>
  <w:footnote w:id="62">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255; E. Santarelli (1981) I 363 n. 1. Segundo Renzo De Felice</w:t>
      </w:r>
      <w:r>
        <w:rPr>
          <w:rFonts w:ascii="Arial Narrow" w:hAnsi="Arial Narrow"/>
        </w:rPr>
        <w:t>,</w:t>
      </w:r>
      <w:r w:rsidRPr="004033B7">
        <w:rPr>
          <w:rFonts w:ascii="Arial Narrow" w:hAnsi="Arial Narrow"/>
        </w:rPr>
        <w:t xml:space="preserve"> </w:t>
      </w:r>
      <w:r w:rsidRPr="002A159D">
        <w:rPr>
          <w:rFonts w:ascii="Arial Narrow" w:hAnsi="Arial Narrow"/>
        </w:rPr>
        <w:t>op. cit.,</w:t>
      </w:r>
      <w:r w:rsidRPr="004033B7">
        <w:rPr>
          <w:rFonts w:ascii="Arial Narrow" w:hAnsi="Arial Narrow"/>
        </w:rPr>
        <w:t xml:space="preserve"> 11, o recenseamento de 1938 indicava a presença de 733 judeus em Ferrara, enquanto em Roma existiam quase 13.000, e mais de 10.000 em Milão e de 6.000 em Trieste.</w:t>
      </w:r>
    </w:p>
  </w:footnote>
  <w:footnote w:id="6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92; A. Lyttelton (1982) 155, 264, 387; P. C. Masini (1999) 25</w:t>
      </w:r>
      <w:r>
        <w:rPr>
          <w:rFonts w:ascii="Arial Narrow" w:hAnsi="Arial Narrow"/>
        </w:rPr>
        <w:t xml:space="preserve">; </w:t>
      </w:r>
      <w:r w:rsidRPr="00EC7D76">
        <w:rPr>
          <w:rFonts w:ascii="Arial Narrow" w:hAnsi="Arial Narrow"/>
        </w:rPr>
        <w:t>D. Sassoon (20</w:t>
      </w:r>
      <w:r>
        <w:rPr>
          <w:rFonts w:ascii="Arial Narrow" w:hAnsi="Arial Narrow"/>
        </w:rPr>
        <w:t>12</w:t>
      </w:r>
      <w:r w:rsidRPr="00EC7D76">
        <w:rPr>
          <w:rFonts w:ascii="Arial Narrow" w:hAnsi="Arial Narrow"/>
        </w:rPr>
        <w:t>) 138</w:t>
      </w:r>
      <w:r w:rsidRPr="004033B7">
        <w:rPr>
          <w:rFonts w:ascii="Arial Narrow" w:hAnsi="Arial Narrow"/>
        </w:rPr>
        <w:t>. Note-se que, segundo Adrian Lyttelton</w:t>
      </w:r>
      <w:r>
        <w:rPr>
          <w:rFonts w:ascii="Arial Narrow" w:hAnsi="Arial Narrow"/>
        </w:rPr>
        <w:t>,</w:t>
      </w:r>
      <w:r w:rsidRPr="004033B7">
        <w:rPr>
          <w:rFonts w:ascii="Arial Narrow" w:hAnsi="Arial Narrow"/>
        </w:rPr>
        <w:t xml:space="preserve"> </w:t>
      </w:r>
      <w:r w:rsidRPr="002A159D">
        <w:rPr>
          <w:rFonts w:ascii="Arial Narrow" w:hAnsi="Arial Narrow"/>
        </w:rPr>
        <w:t>op. cit.,</w:t>
      </w:r>
      <w:r w:rsidRPr="004033B7">
        <w:rPr>
          <w:rFonts w:ascii="Arial Narrow" w:hAnsi="Arial Narrow"/>
        </w:rPr>
        <w:t xml:space="preserve"> 258, Finzi gozava de tão boas relações com o Vaticano que fora um cardeal a celebrar o seu casamento. Obrigado a demitir-se em virtude da crise suscitada pelo assassinato de Matteotti, Aldo Finzi seria fuzilado pelos alemães em 1944, quando chefiava uma unidade de guerrilha na resistência. Ver a este respeito F. L. Carsten (1967) 70 n. 23.</w:t>
      </w:r>
    </w:p>
  </w:footnote>
  <w:footnote w:id="64">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92.</w:t>
      </w:r>
    </w:p>
  </w:footnote>
  <w:footnote w:id="65">
    <w:p w:rsidR="003F07DD" w:rsidRPr="00EF57D6" w:rsidRDefault="003F07DD" w:rsidP="00751A22">
      <w:pPr>
        <w:pStyle w:val="Textodenotaderodap"/>
        <w:rPr>
          <w:rFonts w:ascii="Arial Narrow" w:hAnsi="Arial Narrow"/>
          <w:lang w:val="en-GB"/>
        </w:rPr>
      </w:pPr>
      <w:r w:rsidRPr="004033B7">
        <w:rPr>
          <w:rStyle w:val="Refdenotaderodap"/>
          <w:rFonts w:ascii="Arial Narrow" w:hAnsi="Arial Narrow"/>
        </w:rPr>
        <w:footnoteRef/>
      </w:r>
      <w:r w:rsidRPr="00EF57D6">
        <w:rPr>
          <w:rFonts w:ascii="Arial Narrow" w:hAnsi="Arial Narrow"/>
          <w:lang w:val="en-GB"/>
        </w:rPr>
        <w:t xml:space="preserve"> </w:t>
      </w:r>
      <w:smartTag w:uri="urn:schemas-microsoft-com:office:smarttags" w:element="State">
        <w:smartTag w:uri="urn:schemas-microsoft-com:office:smarttags" w:element="place">
          <w:r w:rsidRPr="00EF57D6">
            <w:rPr>
              <w:rFonts w:ascii="Arial Narrow" w:hAnsi="Arial Narrow"/>
              <w:lang w:val="en-GB"/>
            </w:rPr>
            <w:t>Id.</w:t>
          </w:r>
        </w:smartTag>
      </w:smartTag>
      <w:r w:rsidRPr="00EF57D6">
        <w:rPr>
          <w:rFonts w:ascii="Arial Narrow" w:hAnsi="Arial Narrow"/>
          <w:lang w:val="en-GB"/>
        </w:rPr>
        <w:t>, ibid., 82; P. Milza (1999) 550; E. Santarelli (1981) I 363 n. 1, II 532.</w:t>
      </w:r>
    </w:p>
  </w:footnote>
  <w:footnote w:id="66">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EF57D6">
        <w:rPr>
          <w:rFonts w:ascii="Arial Narrow" w:hAnsi="Arial Narrow"/>
          <w:lang w:val="en-GB"/>
        </w:rPr>
        <w:t xml:space="preserve"> </w:t>
      </w:r>
      <w:r w:rsidRPr="00682B75">
        <w:rPr>
          <w:rFonts w:ascii="Arial Narrow" w:hAnsi="Arial Narrow"/>
          <w:lang w:val="en-US"/>
        </w:rPr>
        <w:t xml:space="preserve">A. J. Gregor (2005) </w:t>
      </w:r>
      <w:r>
        <w:rPr>
          <w:rFonts w:ascii="Arial Narrow" w:hAnsi="Arial Narrow"/>
          <w:lang w:val="en-US"/>
        </w:rPr>
        <w:t xml:space="preserve">355; </w:t>
      </w:r>
      <w:r w:rsidRPr="00EF57D6">
        <w:rPr>
          <w:rFonts w:ascii="Arial Narrow" w:hAnsi="Arial Narrow"/>
          <w:lang w:val="en-GB"/>
        </w:rPr>
        <w:t xml:space="preserve">Z. Sternhell et al. </w:t>
      </w:r>
      <w:r w:rsidRPr="004033B7">
        <w:rPr>
          <w:rFonts w:ascii="Arial Narrow" w:hAnsi="Arial Narrow"/>
        </w:rPr>
        <w:t>(1994) 191. Acerca da posição minoritária defendida por Olivetti na Comissão dos Dezoito ver Ch. S. Maier (1988) 683-684.</w:t>
      </w:r>
    </w:p>
  </w:footnote>
  <w:footnote w:id="67">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220-222; E. Santarelli (1981) II 86 e n. 1.</w:t>
      </w:r>
    </w:p>
  </w:footnote>
  <w:footnote w:id="68">
    <w:p w:rsidR="003F07DD" w:rsidRPr="004033B7" w:rsidRDefault="003F07DD" w:rsidP="009D07F3">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P. Milza (1999) 634 e segs. Todavia, Benoist-Méchin (1964-1966) IV 179-180 pretende</w:t>
      </w:r>
      <w:r>
        <w:rPr>
          <w:rFonts w:ascii="Arial Narrow" w:hAnsi="Arial Narrow"/>
        </w:rPr>
        <w:t>u</w:t>
      </w:r>
      <w:r w:rsidRPr="004033B7">
        <w:rPr>
          <w:rFonts w:ascii="Arial Narrow" w:hAnsi="Arial Narrow"/>
        </w:rPr>
        <w:t xml:space="preserve"> que a orientação pró-germânica da diplomacia italiana só se inici</w:t>
      </w:r>
      <w:r>
        <w:rPr>
          <w:rFonts w:ascii="Arial Narrow" w:hAnsi="Arial Narrow"/>
        </w:rPr>
        <w:t>aria</w:t>
      </w:r>
      <w:r w:rsidRPr="004033B7">
        <w:rPr>
          <w:rFonts w:ascii="Arial Narrow" w:hAnsi="Arial Narrow"/>
        </w:rPr>
        <w:t xml:space="preserve"> em Outubro de 1936.</w:t>
      </w:r>
    </w:p>
  </w:footnote>
  <w:footnote w:id="69">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Cecil (1973) 183.</w:t>
      </w:r>
    </w:p>
  </w:footnote>
  <w:footnote w:id="70">
    <w:p w:rsidR="003F07DD" w:rsidRPr="005E4015"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4033B7">
        <w:rPr>
          <w:rFonts w:ascii="Arial Narrow" w:hAnsi="Arial Narrow"/>
        </w:rPr>
        <w:t xml:space="preserve"> R. De Felice (1977) 218 n. 4.</w:t>
      </w:r>
      <w:r>
        <w:rPr>
          <w:rFonts w:ascii="Arial Narrow" w:hAnsi="Arial Narrow"/>
        </w:rPr>
        <w:t xml:space="preserve"> Segundo </w:t>
      </w:r>
      <w:r w:rsidRPr="001417B6">
        <w:rPr>
          <w:rFonts w:ascii="Arial Narrow" w:hAnsi="Arial Narrow"/>
        </w:rPr>
        <w:t xml:space="preserve">L. Waddington (2007) 91, em Julho de 1922 o </w:t>
      </w:r>
      <w:r w:rsidRPr="001417B6">
        <w:rPr>
          <w:rFonts w:ascii="Arial Narrow" w:hAnsi="Arial Narrow"/>
          <w:i/>
        </w:rPr>
        <w:t>Völkischer Beobachter,</w:t>
      </w:r>
      <w:r w:rsidRPr="001417B6">
        <w:rPr>
          <w:rFonts w:ascii="Arial Narrow" w:hAnsi="Arial Narrow"/>
        </w:rPr>
        <w:t xml:space="preserve"> o órgão oficioso do NSDAP, dirigido por Rosenberg, acusou o fascismo italiano de ser financiado por judeus. </w:t>
      </w:r>
      <w:r>
        <w:rPr>
          <w:rFonts w:ascii="Arial Narrow" w:hAnsi="Arial Narrow"/>
        </w:rPr>
        <w:t xml:space="preserve">Em </w:t>
      </w:r>
      <w:r w:rsidRPr="00B95B95">
        <w:rPr>
          <w:rFonts w:ascii="Arial Narrow" w:hAnsi="Arial Narrow"/>
          <w:i/>
        </w:rPr>
        <w:t>O Mito do Século XX</w:t>
      </w:r>
      <w:r>
        <w:rPr>
          <w:rFonts w:ascii="Arial Narrow" w:hAnsi="Arial Narrow"/>
        </w:rPr>
        <w:t xml:space="preserve"> Rosenberg denunciou a importância tida na Itália fascista pelos judeus e pelo capitalismo financeiro. </w:t>
      </w:r>
      <w:r w:rsidRPr="005E4015">
        <w:rPr>
          <w:rFonts w:ascii="Arial Narrow" w:hAnsi="Arial Narrow"/>
          <w:lang w:val="en-US"/>
        </w:rPr>
        <w:t>Ver A. Rosenberg (1986) 600 ou id. [s. d. 2] 434.</w:t>
      </w:r>
    </w:p>
  </w:footnote>
  <w:footnote w:id="71">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EF57D6">
        <w:rPr>
          <w:rFonts w:ascii="Arial Narrow" w:hAnsi="Arial Narrow"/>
          <w:lang w:val="en-GB"/>
        </w:rPr>
        <w:t xml:space="preserve"> G. Brook-Shepherd (1961) 213-214; </w:t>
      </w:r>
      <w:smartTag w:uri="urn:schemas-microsoft-com:office:smarttags" w:element="place">
        <w:r w:rsidRPr="00EF57D6">
          <w:rPr>
            <w:rFonts w:ascii="Arial Narrow" w:hAnsi="Arial Narrow"/>
            <w:lang w:val="en-GB"/>
          </w:rPr>
          <w:t>E. Santarelli</w:t>
        </w:r>
      </w:smartTag>
      <w:r w:rsidRPr="00EF57D6">
        <w:rPr>
          <w:rFonts w:ascii="Arial Narrow" w:hAnsi="Arial Narrow"/>
          <w:lang w:val="en-GB"/>
        </w:rPr>
        <w:t xml:space="preserve"> (1981) II 93. </w:t>
      </w:r>
      <w:r w:rsidRPr="004033B7">
        <w:rPr>
          <w:rFonts w:ascii="Arial Narrow" w:hAnsi="Arial Narrow"/>
        </w:rPr>
        <w:t>É estranho que P. Milza (1999) 484 defende</w:t>
      </w:r>
      <w:r>
        <w:rPr>
          <w:rFonts w:ascii="Arial Narrow" w:hAnsi="Arial Narrow"/>
        </w:rPr>
        <w:t>sse</w:t>
      </w:r>
      <w:r w:rsidRPr="004033B7">
        <w:rPr>
          <w:rFonts w:ascii="Arial Narrow" w:hAnsi="Arial Narrow"/>
        </w:rPr>
        <w:t xml:space="preserve"> que precisamente </w:t>
      </w:r>
      <w:r>
        <w:rPr>
          <w:rFonts w:ascii="Arial Narrow" w:hAnsi="Arial Narrow"/>
        </w:rPr>
        <w:t>naquele</w:t>
      </w:r>
      <w:r w:rsidRPr="004033B7">
        <w:rPr>
          <w:rFonts w:ascii="Arial Narrow" w:hAnsi="Arial Narrow"/>
        </w:rPr>
        <w:t xml:space="preserve"> momento Edda Ciano, filha mais velha de Mussolini, tivesse pretendido precipitar a ruptura entre o seu pai e Margherita Sarfatti usando o argumento de que Hitler não veria com bons olhos as relações sentimentais do Duce com uma judia. Decerto o Führer se incomodaria mais com os emissários que Roma lhe enviava.</w:t>
      </w:r>
    </w:p>
  </w:footnote>
  <w:footnote w:id="72">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P. Milza (1999) 643, 645.</w:t>
      </w:r>
    </w:p>
  </w:footnote>
  <w:footnote w:id="7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147, 160, 162, 168-170.</w:t>
      </w:r>
    </w:p>
  </w:footnote>
  <w:footnote w:id="74">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200.</w:t>
      </w:r>
    </w:p>
  </w:footnote>
  <w:footnote w:id="75">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id., ibid., 156.</w:t>
      </w:r>
    </w:p>
  </w:footnote>
  <w:footnote w:id="76">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E. Black (1999) 62; L. Brenner (1983) 151; R. De Felice (1977) 156; P. Milza (1999) 643.</w:t>
      </w:r>
    </w:p>
  </w:footnote>
  <w:footnote w:id="77">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167-168.</w:t>
      </w:r>
    </w:p>
  </w:footnote>
  <w:footnote w:id="78">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E. Black (1999) 349, 356.</w:t>
      </w:r>
    </w:p>
  </w:footnote>
  <w:footnote w:id="79">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Benoist-Méchin (1964-1966) IV 101.</w:t>
      </w:r>
    </w:p>
  </w:footnote>
  <w:footnote w:id="80">
    <w:p w:rsidR="003F07DD" w:rsidRPr="004033B7" w:rsidRDefault="003F07DD" w:rsidP="00751A22">
      <w:pPr>
        <w:pStyle w:val="Textodenotaderodap"/>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R. De Felice (1977) 147, 160-161; A. Levi [1937] 99; E. Santarelli (1981) II 324; G. Volpe (1941) 248.</w:t>
      </w:r>
    </w:p>
  </w:footnote>
  <w:footnote w:id="81">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lang w:val="fr-FR"/>
        </w:rPr>
        <w:t xml:space="preserve"> Y. Guchet (1965) 1135; id. (2001) 193 n. 26; J. Medina (1978) 7 n.; Z. Sternhell et al. </w:t>
      </w:r>
      <w:r>
        <w:rPr>
          <w:rFonts w:ascii="Arial Narrow" w:hAnsi="Arial Narrow"/>
        </w:rPr>
        <w:t>(1994) 5.</w:t>
      </w:r>
    </w:p>
  </w:footnote>
  <w:footnote w:id="82">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Valois, que já na sua fase anarquista fora influenciado pela hostilidade aos judeus, tornou-se obsessivamente anti-semita na Action Française, como se vê em Y. Guchet (2001) 34, 49 n. 123, 54 n. 138, 65, 86, 87 n. 35, 88-90, 101, 113, 118 e 145. «A respeito dos judeus», conclui</w:t>
      </w:r>
      <w:r>
        <w:rPr>
          <w:rFonts w:ascii="Arial Narrow" w:hAnsi="Arial Narrow"/>
        </w:rPr>
        <w:t>u</w:t>
      </w:r>
      <w:r w:rsidRPr="004033B7">
        <w:rPr>
          <w:rFonts w:ascii="Arial Narrow" w:hAnsi="Arial Narrow"/>
        </w:rPr>
        <w:t xml:space="preserve"> Yves Guchet</w:t>
      </w:r>
      <w:r>
        <w:rPr>
          <w:rFonts w:ascii="Arial Narrow" w:hAnsi="Arial Narrow"/>
        </w:rPr>
        <w:t>,</w:t>
      </w:r>
      <w:r w:rsidRPr="004033B7">
        <w:rPr>
          <w:rFonts w:ascii="Arial Narrow" w:hAnsi="Arial Narrow"/>
        </w:rPr>
        <w:t xml:space="preserve"> </w:t>
      </w:r>
      <w:r w:rsidRPr="006F1DFD">
        <w:rPr>
          <w:rFonts w:ascii="Arial Narrow" w:hAnsi="Arial Narrow"/>
        </w:rPr>
        <w:t>op. cit.,</w:t>
      </w:r>
      <w:r w:rsidRPr="004033B7">
        <w:rPr>
          <w:rFonts w:ascii="Arial Narrow" w:hAnsi="Arial Narrow"/>
        </w:rPr>
        <w:t xml:space="preserve"> 193 n. 26, «Valois evoluiu profundamente». Todavia, note-se que segundo </w:t>
      </w:r>
      <w:r>
        <w:rPr>
          <w:rFonts w:ascii="Arial Narrow" w:hAnsi="Arial Narrow"/>
        </w:rPr>
        <w:t xml:space="preserve">id. </w:t>
      </w:r>
      <w:r w:rsidRPr="004033B7">
        <w:rPr>
          <w:rFonts w:ascii="Arial Narrow" w:hAnsi="Arial Narrow"/>
        </w:rPr>
        <w:t xml:space="preserve">(1965) 1134 n. 70, Valois «não encontrou </w:t>
      </w:r>
      <w:r>
        <w:rPr>
          <w:rFonts w:ascii="Arial Narrow" w:hAnsi="Arial Narrow"/>
        </w:rPr>
        <w:t>nenhuma</w:t>
      </w:r>
      <w:r w:rsidRPr="004033B7">
        <w:rPr>
          <w:rFonts w:ascii="Arial Narrow" w:hAnsi="Arial Narrow"/>
        </w:rPr>
        <w:t xml:space="preserve"> compreensão por parte da Itália».</w:t>
      </w:r>
    </w:p>
  </w:footnote>
  <w:footnote w:id="8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169-170. Todavia, M. Kitchen (1980) 161 pretende</w:t>
      </w:r>
      <w:r>
        <w:rPr>
          <w:rFonts w:ascii="Arial Narrow" w:hAnsi="Arial Narrow"/>
        </w:rPr>
        <w:t>u</w:t>
      </w:r>
      <w:r w:rsidRPr="004033B7">
        <w:rPr>
          <w:rFonts w:ascii="Arial Narrow" w:hAnsi="Arial Narrow"/>
        </w:rPr>
        <w:t xml:space="preserve"> que Suvich, o judeu que exercia as funções de subsecretário dos Negócios Estrangeiros no governo italiano, teria sugerido a Dollfuss o recurso ao anti-semitismo para melhor cativar uma parte dos membros da secção austríaca do partido nacional-socialista.</w:t>
      </w:r>
    </w:p>
  </w:footnote>
  <w:footnote w:id="84">
    <w:p w:rsidR="003F07DD" w:rsidRPr="004033B7" w:rsidRDefault="003F07DD" w:rsidP="00751A22">
      <w:pPr>
        <w:pStyle w:val="Textodenotaderodap"/>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Th. Linehan (2000) 99, 187; G. Orwell (1998 c) 248</w:t>
      </w:r>
      <w:r>
        <w:rPr>
          <w:rFonts w:ascii="Arial Narrow" w:hAnsi="Arial Narrow"/>
          <w:lang w:val="en-GB"/>
        </w:rPr>
        <w:t xml:space="preserve">; </w:t>
      </w:r>
      <w:r w:rsidRPr="00076A6C">
        <w:rPr>
          <w:rFonts w:ascii="Arial Narrow" w:hAnsi="Arial Narrow"/>
          <w:lang w:val="en-US"/>
        </w:rPr>
        <w:t>B. Rubin (2010)</w:t>
      </w:r>
      <w:r>
        <w:rPr>
          <w:rFonts w:ascii="Arial Narrow" w:hAnsi="Arial Narrow"/>
          <w:lang w:val="en-US"/>
        </w:rPr>
        <w:t xml:space="preserve"> 372-373</w:t>
      </w:r>
      <w:r w:rsidRPr="004033B7">
        <w:rPr>
          <w:rFonts w:ascii="Arial Narrow" w:hAnsi="Arial Narrow"/>
          <w:lang w:val="en-GB"/>
        </w:rPr>
        <w:t xml:space="preserve">. </w:t>
      </w:r>
      <w:r w:rsidRPr="006820B5">
        <w:rPr>
          <w:rFonts w:ascii="Arial Narrow" w:hAnsi="Arial Narrow"/>
        </w:rPr>
        <w:t>Nas suas Mem</w:t>
      </w:r>
      <w:r>
        <w:rPr>
          <w:rFonts w:ascii="Arial Narrow" w:hAnsi="Arial Narrow"/>
        </w:rPr>
        <w:t xml:space="preserve">órias </w:t>
      </w:r>
      <w:r w:rsidRPr="00724580">
        <w:rPr>
          <w:rFonts w:ascii="Arial Narrow" w:hAnsi="Arial Narrow"/>
        </w:rPr>
        <w:t xml:space="preserve">Mosley pretendeu que se opusera aos judeus na medida em que fomentavam uma política de guerra com a Alemanha, mas sem que nunca ele e o seu movimento tivessem sido anti-semitas. Ver </w:t>
      </w:r>
      <w:r w:rsidRPr="00724580">
        <w:rPr>
          <w:rFonts w:ascii="Arial Narrow" w:hAnsi="Arial Narrow"/>
          <w:bCs/>
        </w:rPr>
        <w:t>O. Mosley (2006) 168, 281 e segs. e 309</w:t>
      </w:r>
      <w:r>
        <w:rPr>
          <w:rFonts w:ascii="Arial Narrow" w:hAnsi="Arial Narrow"/>
          <w:bCs/>
        </w:rPr>
        <w:t xml:space="preserve">. </w:t>
      </w:r>
      <w:r w:rsidRPr="00724580">
        <w:rPr>
          <w:rFonts w:ascii="Arial Narrow" w:hAnsi="Arial Narrow"/>
          <w:bCs/>
        </w:rPr>
        <w:t xml:space="preserve">Também </w:t>
      </w:r>
      <w:r w:rsidRPr="004033B7">
        <w:rPr>
          <w:rFonts w:ascii="Arial Narrow" w:hAnsi="Arial Narrow"/>
        </w:rPr>
        <w:t>Thomas Linehan</w:t>
      </w:r>
      <w:r>
        <w:rPr>
          <w:rFonts w:ascii="Arial Narrow" w:hAnsi="Arial Narrow"/>
        </w:rPr>
        <w:t>,</w:t>
      </w:r>
      <w:r w:rsidRPr="004033B7">
        <w:rPr>
          <w:rFonts w:ascii="Arial Narrow" w:hAnsi="Arial Narrow"/>
        </w:rPr>
        <w:t xml:space="preserve"> </w:t>
      </w:r>
      <w:r w:rsidRPr="00116538">
        <w:rPr>
          <w:rFonts w:ascii="Arial Narrow" w:hAnsi="Arial Narrow"/>
        </w:rPr>
        <w:t>op. cit.,</w:t>
      </w:r>
      <w:r w:rsidRPr="004033B7">
        <w:rPr>
          <w:rFonts w:ascii="Arial Narrow" w:hAnsi="Arial Narrow"/>
        </w:rPr>
        <w:t xml:space="preserve"> 27, 191-192 e 202 indic</w:t>
      </w:r>
      <w:r>
        <w:rPr>
          <w:rFonts w:ascii="Arial Narrow" w:hAnsi="Arial Narrow"/>
        </w:rPr>
        <w:t>ou</w:t>
      </w:r>
      <w:r w:rsidRPr="004033B7">
        <w:rPr>
          <w:rFonts w:ascii="Arial Narrow" w:hAnsi="Arial Narrow"/>
        </w:rPr>
        <w:t xml:space="preserve"> que para a BUF o comportamento era determinado pela cultura e não pela raça, o que, a ser exacto, colocaria esta organização fora do âmbito do racismo estritamente biológico professado por Hitler e pelos seus seguidores. Talvez por isso, em 1933 e mesmo numa data tão tardia como 1937 Arnold Leese, dirigente da Imperial Fascist League, pequeno grupo </w:t>
      </w:r>
      <w:r>
        <w:rPr>
          <w:rFonts w:ascii="Arial Narrow" w:hAnsi="Arial Narrow"/>
        </w:rPr>
        <w:t xml:space="preserve">que passara a </w:t>
      </w:r>
      <w:r w:rsidRPr="004033B7">
        <w:rPr>
          <w:rFonts w:ascii="Arial Narrow" w:hAnsi="Arial Narrow"/>
        </w:rPr>
        <w:t>defen</w:t>
      </w:r>
      <w:r>
        <w:rPr>
          <w:rFonts w:ascii="Arial Narrow" w:hAnsi="Arial Narrow"/>
        </w:rPr>
        <w:t>der</w:t>
      </w:r>
      <w:r w:rsidRPr="004033B7">
        <w:rPr>
          <w:rFonts w:ascii="Arial Narrow" w:hAnsi="Arial Narrow"/>
        </w:rPr>
        <w:t xml:space="preserve"> um racismo </w:t>
      </w:r>
      <w:r>
        <w:rPr>
          <w:rFonts w:ascii="Arial Narrow" w:hAnsi="Arial Narrow"/>
        </w:rPr>
        <w:t>de carácter</w:t>
      </w:r>
      <w:r w:rsidRPr="004033B7">
        <w:rPr>
          <w:rFonts w:ascii="Arial Narrow" w:hAnsi="Arial Narrow"/>
        </w:rPr>
        <w:t xml:space="preserve"> biológico, acusou Mosley de prosseguir uma orientação favorável ao judaísmo e de manter contactos com judeus, chegando ao ponto de declarar que a criação da BUF se devera a uma conspiração judaica com o objectivo de destruir a IFL. O chefe de outro grupúsculo ainda mais diminuto, adepto do nacional-socialismo hitleriano, acusava também a BUF de estar submetida à influência judaica. </w:t>
      </w:r>
      <w:r w:rsidRPr="004033B7">
        <w:rPr>
          <w:rFonts w:ascii="Arial Narrow" w:hAnsi="Arial Narrow"/>
          <w:lang w:val="en-GB"/>
        </w:rPr>
        <w:t xml:space="preserve">Ver </w:t>
      </w:r>
      <w:r w:rsidRPr="000D020B">
        <w:rPr>
          <w:rFonts w:ascii="Arial Narrow" w:hAnsi="Arial Narrow"/>
          <w:lang w:val="en-US"/>
        </w:rPr>
        <w:t xml:space="preserve">D. Botsford (1998) </w:t>
      </w:r>
      <w:r>
        <w:rPr>
          <w:rFonts w:ascii="Arial Narrow" w:hAnsi="Arial Narrow"/>
          <w:lang w:val="en-US"/>
        </w:rPr>
        <w:t xml:space="preserve">2, 5, </w:t>
      </w:r>
      <w:r w:rsidRPr="00304438">
        <w:rPr>
          <w:rFonts w:ascii="Arial Narrow" w:hAnsi="Arial Narrow"/>
          <w:lang w:val="en-US"/>
        </w:rPr>
        <w:t>Thomas</w:t>
      </w:r>
      <w:r w:rsidRPr="004033B7">
        <w:rPr>
          <w:rFonts w:ascii="Arial Narrow" w:hAnsi="Arial Narrow"/>
          <w:lang w:val="en-GB"/>
        </w:rPr>
        <w:t xml:space="preserve"> Linehan, </w:t>
      </w:r>
      <w:r w:rsidRPr="00116538">
        <w:rPr>
          <w:rFonts w:ascii="Arial Narrow" w:hAnsi="Arial Narrow"/>
          <w:lang w:val="en-GB"/>
        </w:rPr>
        <w:t>op. cit.,</w:t>
      </w:r>
      <w:r w:rsidRPr="004033B7">
        <w:rPr>
          <w:rFonts w:ascii="Arial Narrow" w:hAnsi="Arial Narrow"/>
          <w:lang w:val="en-GB"/>
        </w:rPr>
        <w:t xml:space="preserve"> 78</w:t>
      </w:r>
      <w:r>
        <w:rPr>
          <w:rFonts w:ascii="Arial Narrow" w:hAnsi="Arial Narrow"/>
          <w:lang w:val="en-GB"/>
        </w:rPr>
        <w:t>,</w:t>
      </w:r>
      <w:r w:rsidRPr="004033B7">
        <w:rPr>
          <w:rFonts w:ascii="Arial Narrow" w:hAnsi="Arial Narrow"/>
          <w:lang w:val="en-GB"/>
        </w:rPr>
        <w:t xml:space="preserve"> 194</w:t>
      </w:r>
      <w:r>
        <w:rPr>
          <w:rFonts w:ascii="Arial Narrow" w:hAnsi="Arial Narrow"/>
          <w:lang w:val="en-GB"/>
        </w:rPr>
        <w:t xml:space="preserve"> e </w:t>
      </w:r>
      <w:r w:rsidRPr="00B414F7">
        <w:rPr>
          <w:rFonts w:ascii="Arial Narrow" w:hAnsi="Arial Narrow"/>
          <w:lang w:val="en-US"/>
        </w:rPr>
        <w:t>B</w:t>
      </w:r>
      <w:r>
        <w:rPr>
          <w:rFonts w:ascii="Arial Narrow" w:hAnsi="Arial Narrow"/>
          <w:lang w:val="en-US"/>
        </w:rPr>
        <w:t>ret</w:t>
      </w:r>
      <w:r w:rsidRPr="00B414F7">
        <w:rPr>
          <w:rFonts w:ascii="Arial Narrow" w:hAnsi="Arial Narrow"/>
          <w:lang w:val="en-US"/>
        </w:rPr>
        <w:t xml:space="preserve"> Rubin</w:t>
      </w:r>
      <w:r>
        <w:rPr>
          <w:rFonts w:ascii="Arial Narrow" w:hAnsi="Arial Narrow"/>
          <w:lang w:val="en-US"/>
        </w:rPr>
        <w:t>, op. cit., 368-369</w:t>
      </w:r>
      <w:r w:rsidRPr="004033B7">
        <w:rPr>
          <w:rFonts w:ascii="Arial Narrow" w:hAnsi="Arial Narrow"/>
          <w:lang w:val="en-GB"/>
        </w:rPr>
        <w:t>.</w:t>
      </w:r>
    </w:p>
  </w:footnote>
  <w:footnote w:id="85">
    <w:p w:rsidR="003F07DD" w:rsidRPr="004033B7" w:rsidRDefault="003F07DD" w:rsidP="00751A22">
      <w:pPr>
        <w:pStyle w:val="Textodenotaderodap"/>
        <w:ind w:firstLine="708"/>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w:t>
      </w:r>
      <w:r w:rsidRPr="00D81205">
        <w:rPr>
          <w:rFonts w:ascii="Arial Narrow" w:hAnsi="Arial Narrow"/>
          <w:lang w:val="en-US"/>
        </w:rPr>
        <w:t xml:space="preserve">D. Botsford (1998) </w:t>
      </w:r>
      <w:r>
        <w:rPr>
          <w:rFonts w:ascii="Arial Narrow" w:hAnsi="Arial Narrow"/>
          <w:lang w:val="en-US"/>
        </w:rPr>
        <w:t xml:space="preserve">3; </w:t>
      </w:r>
      <w:r w:rsidRPr="004033B7">
        <w:rPr>
          <w:rFonts w:ascii="Arial Narrow" w:hAnsi="Arial Narrow"/>
          <w:lang w:val="en-GB"/>
        </w:rPr>
        <w:t>Th. Linehan (2000) 105, 106, 137-138; E. Weber (1964) 111.</w:t>
      </w:r>
    </w:p>
  </w:footnote>
  <w:footnote w:id="86">
    <w:p w:rsidR="003F07DD" w:rsidRPr="00EF57D6" w:rsidRDefault="003F07DD" w:rsidP="00751A22">
      <w:pPr>
        <w:pStyle w:val="Textodenotaderodap"/>
        <w:rPr>
          <w:rFonts w:ascii="Arial Narrow" w:hAnsi="Arial Narrow"/>
          <w:lang w:val="en-GB"/>
        </w:rPr>
      </w:pPr>
      <w:r w:rsidRPr="004033B7">
        <w:rPr>
          <w:rStyle w:val="Refdenotaderodap"/>
          <w:rFonts w:ascii="Arial Narrow" w:hAnsi="Arial Narrow"/>
        </w:rPr>
        <w:footnoteRef/>
      </w:r>
      <w:r w:rsidRPr="00EF57D6">
        <w:rPr>
          <w:rFonts w:ascii="Arial Narrow" w:hAnsi="Arial Narrow"/>
          <w:lang w:val="en-GB"/>
        </w:rPr>
        <w:t xml:space="preserve"> Th. Linehan (2000) 74.</w:t>
      </w:r>
    </w:p>
  </w:footnote>
  <w:footnote w:id="87">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6A3A">
        <w:rPr>
          <w:rFonts w:ascii="Arial Narrow" w:hAnsi="Arial Narrow"/>
          <w:lang w:val="en-US"/>
        </w:rPr>
        <w:t xml:space="preserve"> E. Santarelli (1981) II 146. </w:t>
      </w:r>
      <w:r w:rsidRPr="009048D0">
        <w:rPr>
          <w:rFonts w:ascii="Arial Narrow" w:hAnsi="Arial Narrow"/>
        </w:rPr>
        <w:t>Ver a</w:t>
      </w:r>
      <w:r w:rsidRPr="004033B7">
        <w:rPr>
          <w:rFonts w:ascii="Arial Narrow" w:hAnsi="Arial Narrow"/>
        </w:rPr>
        <w:t>s citações em R. De Felice (1977) 182 n. 1, mas não estou de acordo com este historiador quando ele consider</w:t>
      </w:r>
      <w:r>
        <w:rPr>
          <w:rFonts w:ascii="Arial Narrow" w:hAnsi="Arial Narrow"/>
        </w:rPr>
        <w:t>ou</w:t>
      </w:r>
      <w:r w:rsidRPr="004033B7">
        <w:rPr>
          <w:rFonts w:ascii="Arial Narrow" w:hAnsi="Arial Narrow"/>
        </w:rPr>
        <w:t xml:space="preserve"> a moção acerca da questão judaica adoptada na conferência de Montreux como uma vitória da ala anti-semita. P. Milza (1999) 616 mencion</w:t>
      </w:r>
      <w:r>
        <w:rPr>
          <w:rFonts w:ascii="Arial Narrow" w:hAnsi="Arial Narrow"/>
        </w:rPr>
        <w:t>ou</w:t>
      </w:r>
      <w:r w:rsidRPr="004033B7">
        <w:rPr>
          <w:rFonts w:ascii="Arial Narrow" w:hAnsi="Arial Narrow"/>
        </w:rPr>
        <w:t xml:space="preserve"> a presença naquela conferência de delegados de apenas catorze países.</w:t>
      </w:r>
      <w:r>
        <w:rPr>
          <w:rFonts w:ascii="Arial Narrow" w:hAnsi="Arial Narrow"/>
        </w:rPr>
        <w:t xml:space="preserve"> Segundo </w:t>
      </w:r>
      <w:r w:rsidRPr="00724580">
        <w:rPr>
          <w:rFonts w:ascii="Arial Narrow" w:hAnsi="Arial Narrow"/>
          <w:bCs/>
        </w:rPr>
        <w:t xml:space="preserve">S. G. Payne </w:t>
      </w:r>
      <w:r w:rsidRPr="00724580">
        <w:rPr>
          <w:rFonts w:ascii="Arial Narrow" w:hAnsi="Arial Narrow"/>
        </w:rPr>
        <w:t>(2003 b) 464, foi em 1934 que mais se realçaram as diferenças entre o fascismo italiano e o nacional-socialismo germânico.</w:t>
      </w:r>
    </w:p>
  </w:footnote>
  <w:footnote w:id="88">
    <w:p w:rsidR="003F07DD" w:rsidRPr="004033B7" w:rsidRDefault="003F07DD" w:rsidP="00751A22">
      <w:pPr>
        <w:pStyle w:val="Textodenotaderodap"/>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G. Bottai (1949) 56-61.</w:t>
      </w:r>
    </w:p>
  </w:footnote>
  <w:footnote w:id="89">
    <w:p w:rsidR="003F07DD" w:rsidRPr="004033B7" w:rsidRDefault="003F07DD" w:rsidP="00751A22">
      <w:pPr>
        <w:pStyle w:val="Textodenotaderodap"/>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E. Santarelli (1981) II 93, 197-198, 303-306.</w:t>
      </w:r>
    </w:p>
  </w:footnote>
  <w:footnote w:id="90">
    <w:p w:rsidR="003F07DD" w:rsidRPr="004033B7" w:rsidRDefault="003F07DD" w:rsidP="002E28CF">
      <w:pPr>
        <w:pStyle w:val="Textodenotaderodap"/>
        <w:rPr>
          <w:rFonts w:ascii="Arial Narrow" w:hAnsi="Arial Narrow"/>
        </w:rPr>
      </w:pPr>
      <w:r w:rsidRPr="004033B7">
        <w:rPr>
          <w:rStyle w:val="Refdenotaderodap"/>
          <w:rFonts w:ascii="Arial Narrow" w:hAnsi="Arial Narrow"/>
        </w:rPr>
        <w:footnoteRef/>
      </w:r>
      <w:r w:rsidRPr="00304438">
        <w:rPr>
          <w:rFonts w:ascii="Arial Narrow" w:hAnsi="Arial Narrow"/>
          <w:lang w:val="en-US"/>
        </w:rPr>
        <w:t xml:space="preserve"> E. K. Bramstedt (1945) 55-56. </w:t>
      </w:r>
      <w:r w:rsidRPr="004033B7">
        <w:rPr>
          <w:rFonts w:ascii="Arial Narrow" w:hAnsi="Arial Narrow"/>
        </w:rPr>
        <w:t>E. Santarelli (1981) II 304 e 325 consider</w:t>
      </w:r>
      <w:r>
        <w:rPr>
          <w:rFonts w:ascii="Arial Narrow" w:hAnsi="Arial Narrow"/>
        </w:rPr>
        <w:t>ou</w:t>
      </w:r>
      <w:r w:rsidRPr="004033B7">
        <w:rPr>
          <w:rFonts w:ascii="Arial Narrow" w:hAnsi="Arial Narrow"/>
        </w:rPr>
        <w:t xml:space="preserve"> que o NSDAP não se coibiu de exercer pressões directas no sentido de favorecer a difusão do anti-semitismo em Itália</w:t>
      </w:r>
      <w:r>
        <w:rPr>
          <w:rFonts w:ascii="Arial Narrow" w:hAnsi="Arial Narrow"/>
        </w:rPr>
        <w:t xml:space="preserve"> e </w:t>
      </w:r>
      <w:r w:rsidRPr="004033B7">
        <w:rPr>
          <w:rFonts w:ascii="Arial Narrow" w:hAnsi="Arial Narrow"/>
        </w:rPr>
        <w:t>R. De Felice (1977) 171-172 inform</w:t>
      </w:r>
      <w:r>
        <w:rPr>
          <w:rFonts w:ascii="Arial Narrow" w:hAnsi="Arial Narrow"/>
        </w:rPr>
        <w:t>ou</w:t>
      </w:r>
      <w:r w:rsidRPr="004033B7">
        <w:rPr>
          <w:rFonts w:ascii="Arial Narrow" w:hAnsi="Arial Narrow"/>
        </w:rPr>
        <w:t xml:space="preserve"> que Hitler, depois de ter chegado ao poder, começou a espalhar agentes em Itália, entre outros objectivos para difundir o anti-semitismo, e acrescent</w:t>
      </w:r>
      <w:r>
        <w:rPr>
          <w:rFonts w:ascii="Arial Narrow" w:hAnsi="Arial Narrow"/>
        </w:rPr>
        <w:t>ou</w:t>
      </w:r>
      <w:r w:rsidRPr="004033B7">
        <w:rPr>
          <w:rFonts w:ascii="Arial Narrow" w:hAnsi="Arial Narrow"/>
        </w:rPr>
        <w:t xml:space="preserve"> (pág. 256) que a partir do começo de 1936 a imprensa alemã mostrou um interesse crescente pelos progressos do anti-semitismo do outro lado dos Alpes.</w:t>
      </w:r>
    </w:p>
  </w:footnote>
  <w:footnote w:id="91">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A. Levi [1937] 13.</w:t>
      </w:r>
    </w:p>
  </w:footnote>
  <w:footnote w:id="92">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17-18.</w:t>
      </w:r>
    </w:p>
  </w:footnote>
  <w:footnote w:id="9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128 e segs.</w:t>
      </w:r>
    </w:p>
  </w:footnote>
  <w:footnote w:id="94">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Antologiado em A. Levi [1937] 48.</w:t>
      </w:r>
    </w:p>
  </w:footnote>
  <w:footnote w:id="95">
    <w:p w:rsidR="003F07DD" w:rsidRPr="00B25861" w:rsidRDefault="003F07DD">
      <w:pPr>
        <w:pStyle w:val="Textodenotaderodap"/>
        <w:rPr>
          <w:rFonts w:ascii="Arial Narrow" w:hAnsi="Arial Narrow"/>
        </w:rPr>
      </w:pPr>
      <w:r w:rsidRPr="00B25861">
        <w:rPr>
          <w:rStyle w:val="Refdenotaderodap"/>
          <w:rFonts w:ascii="Arial Narrow" w:hAnsi="Arial Narrow"/>
        </w:rPr>
        <w:footnoteRef/>
      </w:r>
      <w:r w:rsidRPr="00B25861">
        <w:rPr>
          <w:rFonts w:ascii="Arial Narrow" w:hAnsi="Arial Narrow"/>
        </w:rPr>
        <w:t xml:space="preserve"> </w:t>
      </w:r>
      <w:r w:rsidRPr="004033B7">
        <w:rPr>
          <w:rFonts w:ascii="Arial Narrow" w:hAnsi="Arial Narrow"/>
        </w:rPr>
        <w:t>Quanto às primeiras medidas de perseguição aos judeus ver E. Santarelli (1981)</w:t>
      </w:r>
      <w:r>
        <w:rPr>
          <w:rFonts w:ascii="Arial Narrow" w:hAnsi="Arial Narrow"/>
        </w:rPr>
        <w:t xml:space="preserve"> </w:t>
      </w:r>
      <w:r w:rsidRPr="004033B7">
        <w:rPr>
          <w:rFonts w:ascii="Arial Narrow" w:hAnsi="Arial Narrow"/>
        </w:rPr>
        <w:t>II 329-330. Uma grande parte do decreto-lei anti-semita promulgado em 17 de Novembro de 1938 vem antologiada em Ch. F. Delzell (org. 1971) 178-183.</w:t>
      </w:r>
    </w:p>
  </w:footnote>
  <w:footnote w:id="96">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335-338; Ch. F. Delzell (org. 1971) 173-176; P. Milza (1999) 755.</w:t>
      </w:r>
    </w:p>
  </w:footnote>
  <w:footnote w:id="97">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92, 232, 239, 255, 293, 355, 360-361, 449 e segs.; R. Hilberg (1961) 423; P. Milza (1999) 510, 522, 757. É estranho que Ch. F. Delzell (org. 1971) 177 mencion</w:t>
      </w:r>
      <w:r>
        <w:rPr>
          <w:rFonts w:ascii="Arial Narrow" w:hAnsi="Arial Narrow"/>
        </w:rPr>
        <w:t>ass</w:t>
      </w:r>
      <w:r w:rsidRPr="004033B7">
        <w:rPr>
          <w:rFonts w:ascii="Arial Narrow" w:hAnsi="Arial Narrow"/>
        </w:rPr>
        <w:t xml:space="preserve">e Giuseppe Bottai como opositor às medidas anti-semitas, quando na realidade, e embora </w:t>
      </w:r>
      <w:r>
        <w:rPr>
          <w:rFonts w:ascii="Arial Narrow" w:hAnsi="Arial Narrow"/>
        </w:rPr>
        <w:t xml:space="preserve">tivesse sido </w:t>
      </w:r>
      <w:r w:rsidRPr="004033B7">
        <w:rPr>
          <w:rFonts w:ascii="Arial Narrow" w:hAnsi="Arial Narrow"/>
        </w:rPr>
        <w:t>contrário ao alinhamento com o Reich, ele se junt</w:t>
      </w:r>
      <w:r>
        <w:rPr>
          <w:rFonts w:ascii="Arial Narrow" w:hAnsi="Arial Narrow"/>
        </w:rPr>
        <w:t>ara</w:t>
      </w:r>
      <w:r w:rsidRPr="004033B7">
        <w:rPr>
          <w:rFonts w:ascii="Arial Narrow" w:hAnsi="Arial Narrow"/>
        </w:rPr>
        <w:t xml:space="preserve"> aos que mais entusiasticamente as aprovaram no Grande Conselho e aplicou-as meticulosamente no Ministério da Educação Nacional, do qual foi titular de 1936 até 1943. Acerca da concordância de Bottai com a perseguição aos judeus ver L. Ceva, «Italy», em I. C. B. Dear et al. (orgs. 1995) 601, Renzo De Felice</w:t>
      </w:r>
      <w:r>
        <w:rPr>
          <w:rFonts w:ascii="Arial Narrow" w:hAnsi="Arial Narrow"/>
        </w:rPr>
        <w:t>,</w:t>
      </w:r>
      <w:r w:rsidRPr="004033B7">
        <w:rPr>
          <w:rFonts w:ascii="Arial Narrow" w:hAnsi="Arial Narrow"/>
        </w:rPr>
        <w:t xml:space="preserve"> </w:t>
      </w:r>
      <w:r w:rsidRPr="004A74EF">
        <w:rPr>
          <w:rFonts w:ascii="Arial Narrow" w:hAnsi="Arial Narrow"/>
        </w:rPr>
        <w:t>op. cit.,</w:t>
      </w:r>
      <w:r w:rsidRPr="004033B7">
        <w:rPr>
          <w:rFonts w:ascii="Arial Narrow" w:hAnsi="Arial Narrow"/>
        </w:rPr>
        <w:t xml:space="preserve"> 294, 340, Raul Hilberg</w:t>
      </w:r>
      <w:r>
        <w:rPr>
          <w:rFonts w:ascii="Arial Narrow" w:hAnsi="Arial Narrow"/>
        </w:rPr>
        <w:t>,</w:t>
      </w:r>
      <w:r w:rsidRPr="004033B7">
        <w:rPr>
          <w:rFonts w:ascii="Arial Narrow" w:hAnsi="Arial Narrow"/>
        </w:rPr>
        <w:t xml:space="preserve"> </w:t>
      </w:r>
      <w:r w:rsidRPr="004A74EF">
        <w:rPr>
          <w:rFonts w:ascii="Arial Narrow" w:hAnsi="Arial Narrow"/>
        </w:rPr>
        <w:t>op. cit.,</w:t>
      </w:r>
      <w:r w:rsidRPr="004033B7">
        <w:rPr>
          <w:rFonts w:ascii="Arial Narrow" w:hAnsi="Arial Narrow"/>
        </w:rPr>
        <w:t xml:space="preserve"> 423 e Pierre Milza</w:t>
      </w:r>
      <w:r>
        <w:rPr>
          <w:rFonts w:ascii="Arial Narrow" w:hAnsi="Arial Narrow"/>
        </w:rPr>
        <w:t>,</w:t>
      </w:r>
      <w:r w:rsidRPr="004033B7">
        <w:rPr>
          <w:rFonts w:ascii="Arial Narrow" w:hAnsi="Arial Narrow"/>
        </w:rPr>
        <w:t xml:space="preserve"> </w:t>
      </w:r>
      <w:r w:rsidRPr="004A74EF">
        <w:rPr>
          <w:rFonts w:ascii="Arial Narrow" w:hAnsi="Arial Narrow"/>
        </w:rPr>
        <w:t>op. cit.,</w:t>
      </w:r>
      <w:r w:rsidRPr="004033B7">
        <w:rPr>
          <w:rFonts w:ascii="Arial Narrow" w:hAnsi="Arial Narrow"/>
        </w:rPr>
        <w:t xml:space="preserve"> 512, 756-757. Aliás, num capítulo intitulado «Abdicação ideológica perante o nazismo», G. Bottai (1949) 63-72 não escreveu uma palavra sequer acerca da introdução do anti-semitismo na Itália fascista.</w:t>
      </w:r>
    </w:p>
  </w:footnote>
  <w:footnote w:id="98">
    <w:p w:rsidR="003F07DD" w:rsidRPr="004033B7" w:rsidRDefault="003F07DD" w:rsidP="00751A22">
      <w:pPr>
        <w:pStyle w:val="Textodenotaderodap"/>
        <w:ind w:firstLine="708"/>
        <w:rPr>
          <w:rFonts w:ascii="Arial Narrow" w:hAnsi="Arial Narrow"/>
          <w:lang w:val="es-ES"/>
        </w:rPr>
      </w:pPr>
      <w:r w:rsidRPr="004033B7">
        <w:rPr>
          <w:rStyle w:val="Refdenotaderodap"/>
          <w:rFonts w:ascii="Arial Narrow" w:hAnsi="Arial Narrow"/>
        </w:rPr>
        <w:footnoteRef/>
      </w:r>
      <w:r w:rsidRPr="004033B7">
        <w:rPr>
          <w:rFonts w:ascii="Arial Narrow" w:hAnsi="Arial Narrow"/>
          <w:lang w:val="es-ES"/>
        </w:rPr>
        <w:t xml:space="preserve"> R. De Felice (1977) 372-374.</w:t>
      </w:r>
    </w:p>
  </w:footnote>
  <w:footnote w:id="99">
    <w:p w:rsidR="003F07DD" w:rsidRPr="004033B7" w:rsidRDefault="003F07DD" w:rsidP="00751A22">
      <w:pPr>
        <w:pStyle w:val="Textodenotaderodap"/>
        <w:ind w:firstLine="708"/>
        <w:rPr>
          <w:rFonts w:ascii="Arial Narrow" w:hAnsi="Arial Narrow"/>
          <w:lang w:val="es-ES"/>
        </w:rPr>
      </w:pPr>
      <w:r w:rsidRPr="004033B7">
        <w:rPr>
          <w:rStyle w:val="Refdenotaderodap"/>
          <w:rFonts w:ascii="Arial Narrow" w:hAnsi="Arial Narrow"/>
        </w:rPr>
        <w:footnoteRef/>
      </w:r>
      <w:r w:rsidRPr="004033B7">
        <w:rPr>
          <w:rFonts w:ascii="Arial Narrow" w:hAnsi="Arial Narrow"/>
          <w:lang w:val="es-ES"/>
        </w:rPr>
        <w:t xml:space="preserve"> Id., ibid., 464</w:t>
      </w:r>
      <w:r>
        <w:rPr>
          <w:rFonts w:ascii="Arial Narrow" w:hAnsi="Arial Narrow"/>
          <w:lang w:val="es-ES"/>
        </w:rPr>
        <w:t xml:space="preserve">; </w:t>
      </w:r>
      <w:r w:rsidRPr="001733E9">
        <w:rPr>
          <w:rFonts w:ascii="Arial Narrow" w:hAnsi="Arial Narrow"/>
        </w:rPr>
        <w:t>A. J. Gregor (2005) 339-340, 356, 382-383.</w:t>
      </w:r>
    </w:p>
  </w:footnote>
  <w:footnote w:id="100">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G. Volpe (1941) 249.</w:t>
      </w:r>
    </w:p>
  </w:footnote>
  <w:footnote w:id="101">
    <w:p w:rsidR="003F07DD" w:rsidRPr="004033B7" w:rsidRDefault="003F07DD" w:rsidP="00751A22">
      <w:pPr>
        <w:pStyle w:val="Textodenotaderodap"/>
        <w:rPr>
          <w:rFonts w:ascii="Arial Narrow" w:hAnsi="Arial Narrow"/>
          <w:lang w:val="es-ES"/>
        </w:rPr>
      </w:pPr>
      <w:r w:rsidRPr="004033B7">
        <w:rPr>
          <w:rStyle w:val="Refdenotaderodap"/>
          <w:rFonts w:ascii="Arial Narrow" w:hAnsi="Arial Narrow"/>
        </w:rPr>
        <w:footnoteRef/>
      </w:r>
      <w:r w:rsidRPr="004033B7">
        <w:rPr>
          <w:rFonts w:ascii="Arial Narrow" w:hAnsi="Arial Narrow"/>
          <w:lang w:val="es-ES"/>
        </w:rPr>
        <w:t xml:space="preserve"> </w:t>
      </w:r>
      <w:r w:rsidRPr="00CA0F53">
        <w:rPr>
          <w:rFonts w:ascii="Arial Narrow" w:hAnsi="Arial Narrow"/>
          <w:lang w:val="es-ES"/>
        </w:rPr>
        <w:t xml:space="preserve">R. De Felice (1977) </w:t>
      </w:r>
      <w:r w:rsidRPr="004033B7">
        <w:rPr>
          <w:rFonts w:ascii="Arial Narrow" w:hAnsi="Arial Narrow"/>
          <w:lang w:val="es-ES"/>
        </w:rPr>
        <w:t>114 n. 2.</w:t>
      </w:r>
    </w:p>
  </w:footnote>
  <w:footnote w:id="102">
    <w:p w:rsidR="003F07DD" w:rsidRPr="004033B7" w:rsidRDefault="003F07DD" w:rsidP="00751A22">
      <w:pPr>
        <w:pStyle w:val="Textodenotaderodap"/>
        <w:rPr>
          <w:rFonts w:ascii="Arial Narrow" w:hAnsi="Arial Narrow"/>
          <w:lang w:val="es-ES"/>
        </w:rPr>
      </w:pPr>
      <w:r w:rsidRPr="004033B7">
        <w:rPr>
          <w:rStyle w:val="Refdenotaderodap"/>
          <w:rFonts w:ascii="Arial Narrow" w:hAnsi="Arial Narrow"/>
        </w:rPr>
        <w:footnoteRef/>
      </w:r>
      <w:r w:rsidRPr="004033B7">
        <w:rPr>
          <w:rFonts w:ascii="Arial Narrow" w:hAnsi="Arial Narrow"/>
          <w:lang w:val="es-ES"/>
        </w:rPr>
        <w:t xml:space="preserve"> G. Volpe (1941) 250.</w:t>
      </w:r>
    </w:p>
  </w:footnote>
  <w:footnote w:id="103">
    <w:p w:rsidR="003F07DD" w:rsidRPr="007770E5" w:rsidRDefault="003F07DD" w:rsidP="00F31957">
      <w:pPr>
        <w:pStyle w:val="Textodenotaderodap"/>
        <w:rPr>
          <w:rFonts w:ascii="Arial Narrow" w:hAnsi="Arial Narrow"/>
          <w:lang w:val="en-US"/>
        </w:rPr>
      </w:pPr>
      <w:r w:rsidRPr="007770E5">
        <w:rPr>
          <w:rStyle w:val="Refdenotaderodap"/>
          <w:rFonts w:ascii="Arial Narrow" w:hAnsi="Arial Narrow"/>
        </w:rPr>
        <w:footnoteRef/>
      </w:r>
      <w:r w:rsidRPr="007770E5">
        <w:rPr>
          <w:rFonts w:ascii="Arial Narrow" w:hAnsi="Arial Narrow"/>
          <w:lang w:val="en-US"/>
        </w:rPr>
        <w:t xml:space="preserve"> </w:t>
      </w:r>
      <w:r>
        <w:rPr>
          <w:rFonts w:ascii="Arial Narrow" w:hAnsi="Arial Narrow"/>
          <w:lang w:val="en-US"/>
        </w:rPr>
        <w:t>E. Gentile (2010) 157, 207-211, 224-226, 232.</w:t>
      </w:r>
    </w:p>
  </w:footnote>
  <w:footnote w:id="104">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Ch. F. Delzell (org. 1971) 173; P. Milza (1999) 754.</w:t>
      </w:r>
    </w:p>
  </w:footnote>
  <w:footnote w:id="105">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Um excerto deste discurso está antologiado em Ch. F. Delzell (org. 1971) 177.</w:t>
      </w:r>
    </w:p>
  </w:footnote>
  <w:footnote w:id="106">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361, 401-402.</w:t>
      </w:r>
    </w:p>
  </w:footnote>
  <w:footnote w:id="107">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G. Volpe (1941) 247.</w:t>
      </w:r>
    </w:p>
  </w:footnote>
  <w:footnote w:id="108">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J. Evola (1964) 90.</w:t>
      </w:r>
    </w:p>
  </w:footnote>
  <w:footnote w:id="109">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222-223, 225.</w:t>
      </w:r>
    </w:p>
  </w:footnote>
  <w:footnote w:id="110">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L. Brenner (1983) 122, 158.</w:t>
      </w:r>
    </w:p>
  </w:footnote>
  <w:footnote w:id="111">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235.</w:t>
      </w:r>
    </w:p>
  </w:footnote>
  <w:footnote w:id="112">
    <w:p w:rsidR="003F07DD" w:rsidRPr="00917AE2" w:rsidRDefault="003F07DD">
      <w:pPr>
        <w:pStyle w:val="Textodenotaderodap"/>
        <w:rPr>
          <w:rFonts w:ascii="Arial Narrow" w:hAnsi="Arial Narrow"/>
        </w:rPr>
      </w:pPr>
      <w:r w:rsidRPr="00917AE2">
        <w:rPr>
          <w:rStyle w:val="Refdenotaderodap"/>
          <w:rFonts w:ascii="Arial Narrow" w:hAnsi="Arial Narrow"/>
        </w:rPr>
        <w:footnoteRef/>
      </w:r>
      <w:r w:rsidRPr="00917AE2">
        <w:rPr>
          <w:rFonts w:ascii="Arial Narrow" w:hAnsi="Arial Narrow"/>
        </w:rPr>
        <w:t xml:space="preserve"> </w:t>
      </w:r>
      <w:r w:rsidRPr="00FB1B39">
        <w:rPr>
          <w:rFonts w:ascii="Arial Narrow" w:hAnsi="Arial Narrow"/>
        </w:rPr>
        <w:t>J. F. Pollard (2005) 189.</w:t>
      </w:r>
    </w:p>
  </w:footnote>
  <w:footnote w:id="113">
    <w:p w:rsidR="003F07DD" w:rsidRPr="00CB54FF"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E. Santarelli (1981) I</w:t>
      </w:r>
      <w:r>
        <w:rPr>
          <w:rFonts w:ascii="Arial Narrow" w:hAnsi="Arial Narrow"/>
        </w:rPr>
        <w:t xml:space="preserve">I 324 e segs. Uma explicação convergente foi adoptada por </w:t>
      </w:r>
      <w:r w:rsidRPr="00CB54FF">
        <w:rPr>
          <w:rFonts w:ascii="Arial Narrow" w:hAnsi="Arial Narrow"/>
          <w:bCs/>
        </w:rPr>
        <w:t xml:space="preserve">S. G. Payne </w:t>
      </w:r>
      <w:r w:rsidRPr="00CB54FF">
        <w:rPr>
          <w:rFonts w:ascii="Arial Narrow" w:hAnsi="Arial Narrow"/>
        </w:rPr>
        <w:t>(2003 b)</w:t>
      </w:r>
      <w:r>
        <w:rPr>
          <w:rFonts w:ascii="Arial Narrow" w:hAnsi="Arial Narrow"/>
        </w:rPr>
        <w:t xml:space="preserve"> 239 e </w:t>
      </w:r>
      <w:r w:rsidRPr="0055121D">
        <w:rPr>
          <w:rFonts w:ascii="Arial Narrow" w:hAnsi="Arial Narrow"/>
        </w:rPr>
        <w:t>J. B. Whisker (1983) 6</w:t>
      </w:r>
      <w:r>
        <w:rPr>
          <w:rFonts w:ascii="Arial Narrow" w:hAnsi="Arial Narrow"/>
        </w:rPr>
        <w:t xml:space="preserve">. </w:t>
      </w:r>
      <w:r w:rsidRPr="004033B7">
        <w:rPr>
          <w:rFonts w:ascii="Arial Narrow" w:hAnsi="Arial Narrow"/>
        </w:rPr>
        <w:t>O tribunal para as questões raciais é referido em E</w:t>
      </w:r>
      <w:r>
        <w:rPr>
          <w:rFonts w:ascii="Arial Narrow" w:hAnsi="Arial Narrow"/>
        </w:rPr>
        <w:t>nzo</w:t>
      </w:r>
      <w:r w:rsidRPr="004033B7">
        <w:rPr>
          <w:rFonts w:ascii="Arial Narrow" w:hAnsi="Arial Narrow"/>
        </w:rPr>
        <w:t xml:space="preserve"> Santarelli</w:t>
      </w:r>
      <w:r>
        <w:rPr>
          <w:rFonts w:ascii="Arial Narrow" w:hAnsi="Arial Narrow"/>
        </w:rPr>
        <w:t xml:space="preserve">, op. cit., </w:t>
      </w:r>
      <w:r w:rsidRPr="004033B7">
        <w:rPr>
          <w:rFonts w:ascii="Arial Narrow" w:hAnsi="Arial Narrow"/>
        </w:rPr>
        <w:t>II 381.</w:t>
      </w:r>
      <w:r>
        <w:rPr>
          <w:rFonts w:ascii="Arial Narrow" w:hAnsi="Arial Narrow"/>
        </w:rPr>
        <w:t xml:space="preserve"> </w:t>
      </w:r>
      <w:r w:rsidRPr="004033B7">
        <w:rPr>
          <w:rFonts w:ascii="Arial Narrow" w:hAnsi="Arial Narrow"/>
        </w:rPr>
        <w:t>P. Milza (1999) 755 defende</w:t>
      </w:r>
      <w:r>
        <w:rPr>
          <w:rFonts w:ascii="Arial Narrow" w:hAnsi="Arial Narrow"/>
        </w:rPr>
        <w:t>u</w:t>
      </w:r>
      <w:r w:rsidRPr="004033B7">
        <w:rPr>
          <w:rFonts w:ascii="Arial Narrow" w:hAnsi="Arial Narrow"/>
        </w:rPr>
        <w:t xml:space="preserve"> que a adopção de uma orientação anti-semita por Mussolini não se deve</w:t>
      </w:r>
      <w:r>
        <w:rPr>
          <w:rFonts w:ascii="Arial Narrow" w:hAnsi="Arial Narrow"/>
        </w:rPr>
        <w:t>ra</w:t>
      </w:r>
      <w:r w:rsidRPr="004033B7">
        <w:rPr>
          <w:rFonts w:ascii="Arial Narrow" w:hAnsi="Arial Narrow"/>
        </w:rPr>
        <w:t xml:space="preserve"> a </w:t>
      </w:r>
      <w:r>
        <w:rPr>
          <w:rFonts w:ascii="Arial Narrow" w:hAnsi="Arial Narrow"/>
        </w:rPr>
        <w:t>nenhumas</w:t>
      </w:r>
      <w:r w:rsidRPr="004033B7">
        <w:rPr>
          <w:rFonts w:ascii="Arial Narrow" w:hAnsi="Arial Narrow"/>
        </w:rPr>
        <w:t xml:space="preserve"> pressões de Hitler.</w:t>
      </w:r>
    </w:p>
  </w:footnote>
  <w:footnote w:id="114">
    <w:p w:rsidR="003F07DD" w:rsidRPr="00287B68" w:rsidRDefault="003F07DD">
      <w:pPr>
        <w:pStyle w:val="Textodenotaderodap"/>
        <w:rPr>
          <w:rFonts w:ascii="Arial Narrow" w:hAnsi="Arial Narrow"/>
        </w:rPr>
      </w:pPr>
      <w:r w:rsidRPr="00287B68">
        <w:rPr>
          <w:rStyle w:val="Refdenotaderodap"/>
          <w:rFonts w:ascii="Arial Narrow" w:hAnsi="Arial Narrow"/>
        </w:rPr>
        <w:footnoteRef/>
      </w:r>
      <w:r w:rsidRPr="00287B68">
        <w:rPr>
          <w:rFonts w:ascii="Arial Narrow" w:hAnsi="Arial Narrow"/>
        </w:rPr>
        <w:t xml:space="preserve"> </w:t>
      </w:r>
      <w:r>
        <w:rPr>
          <w:rFonts w:ascii="Arial Narrow" w:hAnsi="Arial Narrow"/>
        </w:rPr>
        <w:t xml:space="preserve">Uma excepção foi </w:t>
      </w:r>
      <w:r w:rsidRPr="001733E9">
        <w:rPr>
          <w:rFonts w:ascii="Arial Narrow" w:hAnsi="Arial Narrow"/>
        </w:rPr>
        <w:t>A. J. Gregor (2005) 383-384 e 467-468.</w:t>
      </w:r>
    </w:p>
  </w:footnote>
  <w:footnote w:id="115">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258-259.</w:t>
      </w:r>
    </w:p>
  </w:footnote>
  <w:footnote w:id="116">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Vejam-se os exemplos e citações recolhidos em id., ibid., 338 e segs.</w:t>
      </w:r>
    </w:p>
  </w:footnote>
  <w:footnote w:id="117">
    <w:p w:rsidR="003F07DD" w:rsidRPr="0055121D"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w:t>
      </w:r>
      <w:r>
        <w:rPr>
          <w:rFonts w:ascii="Arial Narrow" w:hAnsi="Arial Narrow"/>
        </w:rPr>
        <w:t xml:space="preserve">Id., ibid., </w:t>
      </w:r>
      <w:r w:rsidRPr="004033B7">
        <w:rPr>
          <w:rFonts w:ascii="Arial Narrow" w:hAnsi="Arial Narrow"/>
        </w:rPr>
        <w:t xml:space="preserve">309. Ver ainda as págs. </w:t>
      </w:r>
      <w:r w:rsidRPr="0055121D">
        <w:rPr>
          <w:rFonts w:ascii="Arial Narrow" w:hAnsi="Arial Narrow"/>
        </w:rPr>
        <w:t>424-425.</w:t>
      </w:r>
    </w:p>
  </w:footnote>
  <w:footnote w:id="118">
    <w:p w:rsidR="003F07DD" w:rsidRPr="0055121D" w:rsidRDefault="003F07DD">
      <w:pPr>
        <w:pStyle w:val="Textodenotaderodap"/>
        <w:rPr>
          <w:rFonts w:ascii="Arial Narrow" w:hAnsi="Arial Narrow"/>
        </w:rPr>
      </w:pPr>
      <w:r w:rsidRPr="00B20A30">
        <w:rPr>
          <w:rStyle w:val="Refdenotaderodap"/>
          <w:rFonts w:ascii="Arial Narrow" w:hAnsi="Arial Narrow"/>
        </w:rPr>
        <w:footnoteRef/>
      </w:r>
      <w:r w:rsidRPr="0055121D">
        <w:rPr>
          <w:rFonts w:ascii="Arial Narrow" w:hAnsi="Arial Narrow"/>
        </w:rPr>
        <w:t xml:space="preserve"> L.-F. Céline (1942) 238. Também Ezra Pound, a crer em P. Morrison (1996) 54-55, «era consideravelmente mais racista do que a Itália de Mussolini», entendendo-se aqui o racismo como anti-semitismo.</w:t>
      </w:r>
    </w:p>
  </w:footnote>
  <w:footnote w:id="119">
    <w:p w:rsidR="003F07DD" w:rsidRPr="00FE268A" w:rsidRDefault="003F07DD">
      <w:pPr>
        <w:pStyle w:val="Textodenotaderodap"/>
        <w:rPr>
          <w:rFonts w:ascii="Arial Narrow" w:hAnsi="Arial Narrow"/>
        </w:rPr>
      </w:pPr>
      <w:r w:rsidRPr="0069414F">
        <w:rPr>
          <w:rStyle w:val="Refdenotaderodap"/>
          <w:rFonts w:ascii="Arial Narrow" w:hAnsi="Arial Narrow"/>
        </w:rPr>
        <w:footnoteRef/>
      </w:r>
      <w:r w:rsidRPr="00E81446">
        <w:rPr>
          <w:rFonts w:ascii="Arial Narrow" w:hAnsi="Arial Narrow"/>
          <w:lang w:val="en-US"/>
        </w:rPr>
        <w:t xml:space="preserve"> H. T. Hansen (2002) 79; G. Stucco (2002) 24. </w:t>
      </w:r>
      <w:r w:rsidRPr="00FE268A">
        <w:rPr>
          <w:rFonts w:ascii="Arial Narrow" w:hAnsi="Arial Narrow"/>
        </w:rPr>
        <w:t xml:space="preserve">Quanto ao apoio conferido pelo Duce </w:t>
      </w:r>
      <w:r>
        <w:rPr>
          <w:rFonts w:ascii="Arial Narrow" w:hAnsi="Arial Narrow"/>
        </w:rPr>
        <w:t xml:space="preserve">às teses de Evola acerca do racismo ver ainda </w:t>
      </w:r>
      <w:r w:rsidRPr="00DB6FEA">
        <w:rPr>
          <w:rFonts w:ascii="Arial Narrow" w:hAnsi="Arial Narrow"/>
        </w:rPr>
        <w:t xml:space="preserve">Hansen, op. cit., </w:t>
      </w:r>
      <w:r>
        <w:rPr>
          <w:rFonts w:ascii="Arial Narrow" w:hAnsi="Arial Narrow"/>
        </w:rPr>
        <w:t>47.</w:t>
      </w:r>
    </w:p>
  </w:footnote>
  <w:footnote w:id="120">
    <w:p w:rsidR="003F07DD" w:rsidRPr="00670372" w:rsidRDefault="003F07DD" w:rsidP="0074358A">
      <w:pPr>
        <w:pStyle w:val="Textodenotaderodap"/>
        <w:rPr>
          <w:rFonts w:ascii="Arial Narrow" w:hAnsi="Arial Narrow"/>
        </w:rPr>
      </w:pPr>
      <w:r w:rsidRPr="00E668F7">
        <w:rPr>
          <w:rStyle w:val="Refdenotaderodap"/>
          <w:rFonts w:ascii="Arial Narrow" w:hAnsi="Arial Narrow"/>
        </w:rPr>
        <w:footnoteRef/>
      </w:r>
      <w:r w:rsidRPr="00670372">
        <w:rPr>
          <w:rFonts w:ascii="Arial Narrow" w:hAnsi="Arial Narrow"/>
        </w:rPr>
        <w:t xml:space="preserve"> </w:t>
      </w:r>
      <w:r w:rsidRPr="0055121D">
        <w:rPr>
          <w:rFonts w:ascii="Arial Narrow" w:hAnsi="Arial Narrow"/>
        </w:rPr>
        <w:t xml:space="preserve">H. T. Hansen (2002) </w:t>
      </w:r>
      <w:r w:rsidRPr="00670372">
        <w:rPr>
          <w:rFonts w:ascii="Arial Narrow" w:hAnsi="Arial Narrow"/>
        </w:rPr>
        <w:t>37-38, 43.</w:t>
      </w:r>
    </w:p>
  </w:footnote>
  <w:footnote w:id="121">
    <w:p w:rsidR="003F07DD" w:rsidRPr="0074358A" w:rsidRDefault="003F07DD">
      <w:pPr>
        <w:pStyle w:val="Textodenotaderodap"/>
        <w:rPr>
          <w:rFonts w:ascii="Arial Narrow" w:hAnsi="Arial Narrow"/>
        </w:rPr>
      </w:pPr>
      <w:r w:rsidRPr="00BD2E00">
        <w:rPr>
          <w:rStyle w:val="Refdenotaderodap"/>
          <w:rFonts w:ascii="Arial Narrow" w:hAnsi="Arial Narrow"/>
        </w:rPr>
        <w:footnoteRef/>
      </w:r>
      <w:r w:rsidRPr="00666839">
        <w:rPr>
          <w:rFonts w:ascii="Arial Narrow" w:hAnsi="Arial Narrow"/>
        </w:rPr>
        <w:t xml:space="preserve"> </w:t>
      </w:r>
      <w:r>
        <w:rPr>
          <w:rFonts w:ascii="Arial Narrow" w:hAnsi="Arial Narrow"/>
        </w:rPr>
        <w:t xml:space="preserve">«[...] </w:t>
      </w:r>
      <w:r w:rsidRPr="00CD2CDE">
        <w:rPr>
          <w:rFonts w:ascii="Arial Narrow" w:hAnsi="Arial Narrow"/>
          <w:i/>
        </w:rPr>
        <w:t>racial</w:t>
      </w:r>
      <w:r>
        <w:rPr>
          <w:rFonts w:ascii="Arial Narrow" w:hAnsi="Arial Narrow"/>
        </w:rPr>
        <w:t xml:space="preserve"> na acepção elitista e não racista-biológica da palavra», explicaria Evola mais tarde. Ver J. Evola (2002) 284. Ver também </w:t>
      </w:r>
      <w:r w:rsidRPr="001733E9">
        <w:rPr>
          <w:rFonts w:ascii="Arial Narrow" w:hAnsi="Arial Narrow"/>
        </w:rPr>
        <w:t xml:space="preserve">A. J. Gregor (2005) 502 e segs., </w:t>
      </w:r>
      <w:r w:rsidRPr="00FE268A">
        <w:rPr>
          <w:rFonts w:ascii="Arial Narrow" w:hAnsi="Arial Narrow"/>
        </w:rPr>
        <w:t xml:space="preserve">H. T. Hansen (2002) </w:t>
      </w:r>
      <w:r>
        <w:rPr>
          <w:rFonts w:ascii="Arial Narrow" w:hAnsi="Arial Narrow"/>
        </w:rPr>
        <w:t xml:space="preserve">65, 69 e segs e </w:t>
      </w:r>
      <w:r w:rsidRPr="008D6CF4">
        <w:rPr>
          <w:rFonts w:ascii="Arial Narrow" w:hAnsi="Arial Narrow"/>
        </w:rPr>
        <w:t>G. Stucco (2002)</w:t>
      </w:r>
      <w:r>
        <w:rPr>
          <w:rFonts w:ascii="Arial Narrow" w:hAnsi="Arial Narrow"/>
        </w:rPr>
        <w:t xml:space="preserve"> 24. </w:t>
      </w:r>
      <w:r w:rsidRPr="00666839">
        <w:rPr>
          <w:rFonts w:ascii="Arial Narrow" w:hAnsi="Arial Narrow"/>
        </w:rPr>
        <w:t>Hansen</w:t>
      </w:r>
      <w:r>
        <w:rPr>
          <w:rFonts w:ascii="Arial Narrow" w:hAnsi="Arial Narrow"/>
        </w:rPr>
        <w:t>,</w:t>
      </w:r>
      <w:r w:rsidRPr="00666839">
        <w:rPr>
          <w:rFonts w:ascii="Arial Narrow" w:hAnsi="Arial Narrow"/>
        </w:rPr>
        <w:t xml:space="preserve"> </w:t>
      </w:r>
      <w:r w:rsidRPr="005D644E">
        <w:rPr>
          <w:rFonts w:ascii="Arial Narrow" w:hAnsi="Arial Narrow"/>
        </w:rPr>
        <w:t>op. cit.,</w:t>
      </w:r>
      <w:r w:rsidRPr="00666839">
        <w:rPr>
          <w:rFonts w:ascii="Arial Narrow" w:hAnsi="Arial Narrow"/>
        </w:rPr>
        <w:t xml:space="preserve"> 51 observou que «a discordância fundamental de Evola relativamente ao fascismo era a sua falta de ra</w:t>
      </w:r>
      <w:r>
        <w:rPr>
          <w:rFonts w:ascii="Arial Narrow" w:hAnsi="Arial Narrow"/>
        </w:rPr>
        <w:t xml:space="preserve">ízes espirituais. </w:t>
      </w:r>
      <w:r w:rsidRPr="00666839">
        <w:rPr>
          <w:rFonts w:ascii="Arial Narrow" w:hAnsi="Arial Narrow"/>
        </w:rPr>
        <w:t xml:space="preserve">Todas as suas outras críticas são uma simples </w:t>
      </w:r>
      <w:r>
        <w:rPr>
          <w:rFonts w:ascii="Arial Narrow" w:hAnsi="Arial Narrow"/>
        </w:rPr>
        <w:t>consequência desta».</w:t>
      </w:r>
    </w:p>
  </w:footnote>
  <w:footnote w:id="122">
    <w:p w:rsidR="003F07DD" w:rsidRPr="00E512E6" w:rsidRDefault="003F07DD">
      <w:pPr>
        <w:pStyle w:val="Textodenotaderodap"/>
        <w:rPr>
          <w:rFonts w:ascii="Arial Narrow" w:hAnsi="Arial Narrow"/>
        </w:rPr>
      </w:pPr>
      <w:r w:rsidRPr="00E512E6">
        <w:rPr>
          <w:rStyle w:val="Refdenotaderodap"/>
          <w:rFonts w:ascii="Arial Narrow" w:hAnsi="Arial Narrow"/>
        </w:rPr>
        <w:footnoteRef/>
      </w:r>
      <w:r w:rsidRPr="00E512E6">
        <w:rPr>
          <w:rFonts w:ascii="Arial Narrow" w:hAnsi="Arial Narrow"/>
        </w:rPr>
        <w:t xml:space="preserve"> </w:t>
      </w:r>
      <w:r>
        <w:rPr>
          <w:rFonts w:ascii="Arial Narrow" w:hAnsi="Arial Narrow"/>
        </w:rPr>
        <w:t xml:space="preserve">O artigo de Julius Evola «La Razza quale Costruttrice dei Capi», publicado em </w:t>
      </w:r>
      <w:r w:rsidRPr="00A63671">
        <w:rPr>
          <w:rFonts w:ascii="Arial Narrow" w:hAnsi="Arial Narrow"/>
          <w:i/>
        </w:rPr>
        <w:t>Il Regime Fascista,</w:t>
      </w:r>
      <w:r>
        <w:rPr>
          <w:rFonts w:ascii="Arial Narrow" w:hAnsi="Arial Narrow"/>
        </w:rPr>
        <w:t xml:space="preserve"> 2 de Maio de 1939, encontra-se traduzido em J. Evola (2003).</w:t>
      </w:r>
    </w:p>
  </w:footnote>
  <w:footnote w:id="123">
    <w:p w:rsidR="003F07DD" w:rsidRPr="001B7257" w:rsidRDefault="003F07DD">
      <w:pPr>
        <w:pStyle w:val="Textodenotaderodap"/>
        <w:rPr>
          <w:rFonts w:ascii="Arial Narrow" w:hAnsi="Arial Narrow"/>
        </w:rPr>
      </w:pPr>
      <w:r w:rsidRPr="001B7257">
        <w:rPr>
          <w:rStyle w:val="Refdenotaderodap"/>
          <w:rFonts w:ascii="Arial Narrow" w:hAnsi="Arial Narrow"/>
        </w:rPr>
        <w:footnoteRef/>
      </w:r>
      <w:r w:rsidRPr="001B7257">
        <w:rPr>
          <w:rFonts w:ascii="Arial Narrow" w:hAnsi="Arial Narrow"/>
        </w:rPr>
        <w:t xml:space="preserve"> </w:t>
      </w:r>
      <w:r>
        <w:rPr>
          <w:rFonts w:ascii="Arial Narrow" w:hAnsi="Arial Narrow"/>
        </w:rPr>
        <w:t xml:space="preserve">Esta passagem do livro de Julius Evola, </w:t>
      </w:r>
      <w:r w:rsidRPr="001B7257">
        <w:rPr>
          <w:rFonts w:ascii="Arial Narrow" w:hAnsi="Arial Narrow"/>
          <w:i/>
          <w:iCs/>
        </w:rPr>
        <w:t>Grundrisse der faschistischen Rassenlehre</w:t>
      </w:r>
      <w:r>
        <w:rPr>
          <w:rFonts w:ascii="Arial Narrow" w:hAnsi="Arial Narrow"/>
          <w:i/>
          <w:iCs/>
        </w:rPr>
        <w:t>,</w:t>
      </w:r>
      <w:r>
        <w:rPr>
          <w:rFonts w:ascii="Arial Narrow" w:hAnsi="Arial Narrow"/>
          <w:iCs/>
        </w:rPr>
        <w:t xml:space="preserve"> encontra-se em </w:t>
      </w:r>
      <w:r w:rsidRPr="00FE268A">
        <w:rPr>
          <w:rFonts w:ascii="Arial Narrow" w:hAnsi="Arial Narrow"/>
        </w:rPr>
        <w:t xml:space="preserve">H. T. Hansen (2002) </w:t>
      </w:r>
      <w:r>
        <w:rPr>
          <w:rFonts w:ascii="Arial Narrow" w:hAnsi="Arial Narrow"/>
          <w:iCs/>
        </w:rPr>
        <w:t>71-72, sub. orig.</w:t>
      </w:r>
    </w:p>
  </w:footnote>
  <w:footnote w:id="124">
    <w:p w:rsidR="003F07DD" w:rsidRPr="00C573F0" w:rsidRDefault="003F07DD">
      <w:pPr>
        <w:pStyle w:val="Textodenotaderodap"/>
        <w:rPr>
          <w:rFonts w:ascii="Arial Narrow" w:hAnsi="Arial Narrow"/>
          <w:lang w:val="en-US"/>
        </w:rPr>
      </w:pPr>
      <w:r w:rsidRPr="001970E4">
        <w:rPr>
          <w:rStyle w:val="Refdenotaderodap"/>
          <w:rFonts w:ascii="Arial Narrow" w:hAnsi="Arial Narrow"/>
        </w:rPr>
        <w:footnoteRef/>
      </w:r>
      <w:r w:rsidRPr="00C573F0">
        <w:rPr>
          <w:rFonts w:ascii="Arial Narrow" w:hAnsi="Arial Narrow"/>
          <w:lang w:val="en-US"/>
        </w:rPr>
        <w:t xml:space="preserve"> A. Rosenberg [s. d. 2] 4.</w:t>
      </w:r>
    </w:p>
  </w:footnote>
  <w:footnote w:id="125">
    <w:p w:rsidR="003F07DD" w:rsidRPr="00C573F0" w:rsidRDefault="003F07DD">
      <w:pPr>
        <w:pStyle w:val="Textodenotaderodap"/>
        <w:rPr>
          <w:rFonts w:ascii="Arial Narrow" w:hAnsi="Arial Narrow"/>
          <w:lang w:val="en-US"/>
        </w:rPr>
      </w:pPr>
      <w:r w:rsidRPr="00BD2E00">
        <w:rPr>
          <w:rStyle w:val="Refdenotaderodap"/>
          <w:rFonts w:ascii="Arial Narrow" w:hAnsi="Arial Narrow"/>
        </w:rPr>
        <w:footnoteRef/>
      </w:r>
      <w:r w:rsidRPr="00C573F0">
        <w:rPr>
          <w:rFonts w:ascii="Arial Narrow" w:hAnsi="Arial Narrow"/>
          <w:lang w:val="en-US"/>
        </w:rPr>
        <w:t xml:space="preserve"> </w:t>
      </w:r>
      <w:r w:rsidRPr="00F208CA">
        <w:rPr>
          <w:rFonts w:ascii="Arial Narrow" w:hAnsi="Arial Narrow"/>
          <w:lang w:val="en-US"/>
        </w:rPr>
        <w:t xml:space="preserve">A. J. Gregor (2005) </w:t>
      </w:r>
      <w:r>
        <w:rPr>
          <w:rFonts w:ascii="Arial Narrow" w:hAnsi="Arial Narrow"/>
          <w:lang w:val="en-US"/>
        </w:rPr>
        <w:t xml:space="preserve">372; </w:t>
      </w:r>
      <w:r w:rsidRPr="00C573F0">
        <w:rPr>
          <w:rFonts w:ascii="Arial Narrow" w:hAnsi="Arial Narrow"/>
          <w:lang w:val="en-US"/>
        </w:rPr>
        <w:t>H. T. Hansen (2002)</w:t>
      </w:r>
      <w:r>
        <w:rPr>
          <w:rFonts w:ascii="Arial Narrow" w:hAnsi="Arial Narrow"/>
          <w:lang w:val="en-US"/>
        </w:rPr>
        <w:t xml:space="preserve"> 76.</w:t>
      </w:r>
    </w:p>
  </w:footnote>
  <w:footnote w:id="126">
    <w:p w:rsidR="003F07DD" w:rsidRPr="00316AD6" w:rsidRDefault="003F07DD">
      <w:pPr>
        <w:pStyle w:val="Textodenotaderodap"/>
        <w:rPr>
          <w:rFonts w:ascii="Arial Narrow" w:hAnsi="Arial Narrow"/>
        </w:rPr>
      </w:pPr>
      <w:r w:rsidRPr="00BD2E00">
        <w:rPr>
          <w:rStyle w:val="Refdenotaderodap"/>
          <w:rFonts w:ascii="Arial Narrow" w:hAnsi="Arial Narrow"/>
        </w:rPr>
        <w:footnoteRef/>
      </w:r>
      <w:r w:rsidRPr="00670372">
        <w:rPr>
          <w:rFonts w:ascii="Arial Narrow" w:hAnsi="Arial Narrow"/>
        </w:rPr>
        <w:t xml:space="preserve"> E. Conte et al. </w:t>
      </w:r>
      <w:r w:rsidRPr="00316AD6">
        <w:rPr>
          <w:rFonts w:ascii="Arial Narrow" w:hAnsi="Arial Narrow"/>
        </w:rPr>
        <w:t>(1995) 112, 251.</w:t>
      </w:r>
    </w:p>
  </w:footnote>
  <w:footnote w:id="127">
    <w:p w:rsidR="003F07DD" w:rsidRPr="00D61E38" w:rsidRDefault="003F07DD">
      <w:pPr>
        <w:pStyle w:val="Textodenotaderodap"/>
        <w:rPr>
          <w:rFonts w:ascii="Arial Narrow" w:hAnsi="Arial Narrow"/>
        </w:rPr>
      </w:pPr>
      <w:r w:rsidRPr="00D61E38">
        <w:rPr>
          <w:rStyle w:val="Refdenotaderodap"/>
          <w:rFonts w:ascii="Arial Narrow" w:hAnsi="Arial Narrow"/>
        </w:rPr>
        <w:footnoteRef/>
      </w:r>
      <w:r w:rsidRPr="00D61E38">
        <w:rPr>
          <w:rFonts w:ascii="Arial Narrow" w:hAnsi="Arial Narrow"/>
        </w:rPr>
        <w:t xml:space="preserve"> </w:t>
      </w:r>
      <w:r>
        <w:rPr>
          <w:rFonts w:ascii="Arial Narrow" w:hAnsi="Arial Narrow"/>
        </w:rPr>
        <w:t xml:space="preserve">Esta passagem de um artigo de Julius Evola em </w:t>
      </w:r>
      <w:r w:rsidRPr="000F6C38">
        <w:rPr>
          <w:rFonts w:ascii="Arial Narrow" w:hAnsi="Arial Narrow"/>
          <w:i/>
          <w:iCs/>
        </w:rPr>
        <w:t>Vita Italiana</w:t>
      </w:r>
      <w:r>
        <w:rPr>
          <w:rFonts w:ascii="Arial Narrow" w:hAnsi="Arial Narrow"/>
          <w:i/>
          <w:iCs/>
        </w:rPr>
        <w:t>,</w:t>
      </w:r>
      <w:r w:rsidRPr="000F6C38">
        <w:rPr>
          <w:rFonts w:ascii="Arial Narrow" w:hAnsi="Arial Narrow"/>
          <w:iCs/>
        </w:rPr>
        <w:t xml:space="preserve"> </w:t>
      </w:r>
      <w:r>
        <w:rPr>
          <w:rFonts w:ascii="Arial Narrow" w:hAnsi="Arial Narrow"/>
        </w:rPr>
        <w:t xml:space="preserve">15 de Agosto de 1938, encontra-se em </w:t>
      </w:r>
      <w:r w:rsidRPr="00FE268A">
        <w:rPr>
          <w:rFonts w:ascii="Arial Narrow" w:hAnsi="Arial Narrow"/>
        </w:rPr>
        <w:t>H. T. Hansen (2002)</w:t>
      </w:r>
      <w:r>
        <w:rPr>
          <w:rFonts w:ascii="Arial Narrow" w:hAnsi="Arial Narrow"/>
        </w:rPr>
        <w:t xml:space="preserve"> 61. Outros elogios aos SS podem ler-se em J. Evola (2003).</w:t>
      </w:r>
    </w:p>
  </w:footnote>
  <w:footnote w:id="128">
    <w:p w:rsidR="003F07DD" w:rsidRPr="005C339B" w:rsidRDefault="003F07DD">
      <w:pPr>
        <w:pStyle w:val="Textodenotaderodap"/>
        <w:rPr>
          <w:rFonts w:ascii="Arial Narrow" w:hAnsi="Arial Narrow"/>
        </w:rPr>
      </w:pPr>
      <w:r w:rsidRPr="00CD6561">
        <w:rPr>
          <w:rStyle w:val="Refdenotaderodap"/>
          <w:rFonts w:ascii="Arial Narrow" w:hAnsi="Arial Narrow"/>
        </w:rPr>
        <w:footnoteRef/>
      </w:r>
      <w:r w:rsidRPr="005C339B">
        <w:rPr>
          <w:rFonts w:ascii="Arial Narrow" w:hAnsi="Arial Narrow"/>
        </w:rPr>
        <w:t xml:space="preserve"> </w:t>
      </w:r>
      <w:r w:rsidRPr="00FE268A">
        <w:rPr>
          <w:rFonts w:ascii="Arial Narrow" w:hAnsi="Arial Narrow"/>
        </w:rPr>
        <w:t>H. T. Hansen (2002)</w:t>
      </w:r>
      <w:r>
        <w:rPr>
          <w:rFonts w:ascii="Arial Narrow" w:hAnsi="Arial Narrow"/>
        </w:rPr>
        <w:t xml:space="preserve"> 62. </w:t>
      </w:r>
      <w:r w:rsidRPr="005C339B">
        <w:rPr>
          <w:rFonts w:ascii="Arial Narrow" w:hAnsi="Arial Narrow"/>
        </w:rPr>
        <w:t xml:space="preserve">Quanto à proximidade </w:t>
      </w:r>
      <w:r>
        <w:rPr>
          <w:rFonts w:ascii="Arial Narrow" w:hAnsi="Arial Narrow"/>
        </w:rPr>
        <w:t xml:space="preserve">entre </w:t>
      </w:r>
      <w:r w:rsidRPr="005C339B">
        <w:rPr>
          <w:rFonts w:ascii="Arial Narrow" w:hAnsi="Arial Narrow"/>
        </w:rPr>
        <w:t xml:space="preserve">Evola </w:t>
      </w:r>
      <w:r>
        <w:rPr>
          <w:rFonts w:ascii="Arial Narrow" w:hAnsi="Arial Narrow"/>
        </w:rPr>
        <w:t>e os defensores alemães da Revolução Conservadora ver id., ibid., 40 e 58.</w:t>
      </w:r>
    </w:p>
  </w:footnote>
  <w:footnote w:id="129">
    <w:p w:rsidR="003F07DD" w:rsidRPr="000C144E" w:rsidRDefault="003F07DD">
      <w:pPr>
        <w:pStyle w:val="Textodenotaderodap"/>
        <w:rPr>
          <w:rFonts w:ascii="Arial Narrow" w:hAnsi="Arial Narrow"/>
        </w:rPr>
      </w:pPr>
      <w:r w:rsidRPr="000C144E">
        <w:rPr>
          <w:rStyle w:val="Refdenotaderodap"/>
          <w:rFonts w:ascii="Arial Narrow" w:hAnsi="Arial Narrow"/>
        </w:rPr>
        <w:footnoteRef/>
      </w:r>
      <w:r w:rsidRPr="000C144E">
        <w:rPr>
          <w:rFonts w:ascii="Arial Narrow" w:hAnsi="Arial Narrow"/>
        </w:rPr>
        <w:t xml:space="preserve"> </w:t>
      </w:r>
      <w:r>
        <w:rPr>
          <w:rFonts w:ascii="Arial Narrow" w:hAnsi="Arial Narrow"/>
        </w:rPr>
        <w:t xml:space="preserve">Esta passagem do ensaio de Julius Evola publicado em </w:t>
      </w:r>
      <w:r w:rsidRPr="000C144E">
        <w:rPr>
          <w:rFonts w:ascii="Arial Narrow" w:hAnsi="Arial Narrow"/>
          <w:i/>
        </w:rPr>
        <w:t>La Torre</w:t>
      </w:r>
      <w:r>
        <w:rPr>
          <w:rFonts w:ascii="Arial Narrow" w:hAnsi="Arial Narrow"/>
          <w:i/>
        </w:rPr>
        <w:t>,</w:t>
      </w:r>
      <w:r w:rsidRPr="00716D64">
        <w:rPr>
          <w:rFonts w:ascii="Arial Narrow" w:hAnsi="Arial Narrow"/>
        </w:rPr>
        <w:t xml:space="preserve"> nº 5,</w:t>
      </w:r>
      <w:r>
        <w:rPr>
          <w:rFonts w:ascii="Arial Narrow" w:hAnsi="Arial Narrow"/>
          <w:i/>
        </w:rPr>
        <w:t xml:space="preserve"> </w:t>
      </w:r>
      <w:r>
        <w:rPr>
          <w:rFonts w:ascii="Arial Narrow" w:hAnsi="Arial Narrow"/>
        </w:rPr>
        <w:t xml:space="preserve">1 de Abril de </w:t>
      </w:r>
      <w:r w:rsidRPr="000C144E">
        <w:rPr>
          <w:rFonts w:ascii="Arial Narrow" w:hAnsi="Arial Narrow"/>
        </w:rPr>
        <w:t>1930</w:t>
      </w:r>
      <w:r>
        <w:rPr>
          <w:rFonts w:ascii="Arial Narrow" w:hAnsi="Arial Narrow"/>
        </w:rPr>
        <w:t>, está reproduzida em id., ibid., 42.</w:t>
      </w:r>
    </w:p>
  </w:footnote>
  <w:footnote w:id="130">
    <w:p w:rsidR="003F07DD" w:rsidRPr="00316AD6" w:rsidRDefault="003F07DD">
      <w:pPr>
        <w:pStyle w:val="Textodenotaderodap"/>
        <w:rPr>
          <w:rFonts w:ascii="Arial Narrow" w:hAnsi="Arial Narrow"/>
        </w:rPr>
      </w:pPr>
      <w:r w:rsidRPr="006E6ED3">
        <w:rPr>
          <w:rStyle w:val="Refdenotaderodap"/>
          <w:rFonts w:ascii="Arial Narrow" w:hAnsi="Arial Narrow"/>
        </w:rPr>
        <w:footnoteRef/>
      </w:r>
      <w:r w:rsidRPr="00316AD6">
        <w:rPr>
          <w:rFonts w:ascii="Arial Narrow" w:hAnsi="Arial Narrow"/>
        </w:rPr>
        <w:t xml:space="preserve"> </w:t>
      </w:r>
      <w:r>
        <w:rPr>
          <w:rFonts w:ascii="Arial Narrow" w:hAnsi="Arial Narrow"/>
        </w:rPr>
        <w:t>Id., ibid., 50, 88.</w:t>
      </w:r>
    </w:p>
  </w:footnote>
  <w:footnote w:id="131">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316AD6">
        <w:rPr>
          <w:rFonts w:ascii="Arial Narrow" w:hAnsi="Arial Narrow"/>
        </w:rPr>
        <w:t xml:space="preserve"> J. Evola (1964) 89-90. </w:t>
      </w:r>
      <w:r w:rsidRPr="004033B7">
        <w:rPr>
          <w:rFonts w:ascii="Arial Narrow" w:hAnsi="Arial Narrow"/>
        </w:rPr>
        <w:t>A passagem citada encontra-se na pág. 89.</w:t>
      </w:r>
    </w:p>
  </w:footnote>
  <w:footnote w:id="132">
    <w:p w:rsidR="003F07DD" w:rsidRPr="00EF57D6" w:rsidRDefault="003F07DD" w:rsidP="00751A22">
      <w:pPr>
        <w:pStyle w:val="Textodenotaderodap"/>
        <w:rPr>
          <w:rFonts w:ascii="Arial Narrow" w:hAnsi="Arial Narrow"/>
        </w:rPr>
      </w:pPr>
      <w:r w:rsidRPr="004033B7">
        <w:rPr>
          <w:rStyle w:val="Refdenotaderodap"/>
          <w:rFonts w:ascii="Arial Narrow" w:hAnsi="Arial Narrow"/>
        </w:rPr>
        <w:footnoteRef/>
      </w:r>
      <w:r w:rsidRPr="00EF57D6">
        <w:rPr>
          <w:rFonts w:ascii="Arial Narrow" w:hAnsi="Arial Narrow"/>
        </w:rPr>
        <w:t xml:space="preserve"> H. Arendt (1994) 178.</w:t>
      </w:r>
    </w:p>
  </w:footnote>
  <w:footnote w:id="13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341, 365-366.</w:t>
      </w:r>
    </w:p>
  </w:footnote>
  <w:footnote w:id="134">
    <w:p w:rsidR="003F07DD" w:rsidRPr="00DC5ABA" w:rsidRDefault="003F07DD">
      <w:pPr>
        <w:pStyle w:val="Textodenotaderodap"/>
        <w:rPr>
          <w:rFonts w:ascii="Arial Narrow" w:hAnsi="Arial Narrow"/>
        </w:rPr>
      </w:pPr>
      <w:r w:rsidRPr="00DC5ABA">
        <w:rPr>
          <w:rStyle w:val="Refdenotaderodap"/>
          <w:rFonts w:ascii="Arial Narrow" w:hAnsi="Arial Narrow"/>
        </w:rPr>
        <w:footnoteRef/>
      </w:r>
      <w:r w:rsidRPr="00DC5ABA">
        <w:rPr>
          <w:rFonts w:ascii="Arial Narrow" w:hAnsi="Arial Narrow"/>
        </w:rPr>
        <w:t xml:space="preserve"> </w:t>
      </w:r>
      <w:r w:rsidRPr="00CF263B">
        <w:rPr>
          <w:rFonts w:ascii="Arial Narrow" w:hAnsi="Arial Narrow"/>
        </w:rPr>
        <w:t>P. C. Masini (1999) 132.</w:t>
      </w:r>
    </w:p>
  </w:footnote>
  <w:footnote w:id="135">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DC5ABA">
        <w:rPr>
          <w:rFonts w:ascii="Arial Narrow" w:hAnsi="Arial Narrow"/>
        </w:rPr>
        <w:t xml:space="preserve"> </w:t>
      </w:r>
      <w:r w:rsidRPr="004033B7">
        <w:rPr>
          <w:rFonts w:ascii="Arial Narrow" w:hAnsi="Arial Narrow"/>
        </w:rPr>
        <w:t xml:space="preserve">R. De Felice (1977) </w:t>
      </w:r>
      <w:r w:rsidRPr="00DC5ABA">
        <w:rPr>
          <w:rFonts w:ascii="Arial Narrow" w:hAnsi="Arial Narrow"/>
        </w:rPr>
        <w:t xml:space="preserve">310, 368 e segs., 391, 492; </w:t>
      </w:r>
      <w:r w:rsidRPr="00383593">
        <w:rPr>
          <w:rFonts w:ascii="Arial Narrow" w:hAnsi="Arial Narrow"/>
        </w:rPr>
        <w:t xml:space="preserve">S. Friedländer (2008) 675-676; </w:t>
      </w:r>
      <w:r w:rsidRPr="00DC5ABA">
        <w:rPr>
          <w:rFonts w:ascii="Arial Narrow" w:hAnsi="Arial Narrow"/>
        </w:rPr>
        <w:t xml:space="preserve">M. Gilbert (2011 b) I 448-449; R. Hilberg (1961) 290, 421; J. Noakes et al. </w:t>
      </w:r>
      <w:r>
        <w:rPr>
          <w:rFonts w:ascii="Arial Narrow" w:hAnsi="Arial Narrow"/>
        </w:rPr>
        <w:t>(orgs. 2008-2010) III 601</w:t>
      </w:r>
      <w:r w:rsidRPr="004033B7">
        <w:rPr>
          <w:rFonts w:ascii="Arial Narrow" w:hAnsi="Arial Narrow"/>
        </w:rPr>
        <w:t xml:space="preserve">. A violação da legislação anti-semita </w:t>
      </w:r>
      <w:r>
        <w:rPr>
          <w:rFonts w:ascii="Arial Narrow" w:hAnsi="Arial Narrow"/>
        </w:rPr>
        <w:t>pel</w:t>
      </w:r>
      <w:r w:rsidRPr="004033B7">
        <w:rPr>
          <w:rFonts w:ascii="Arial Narrow" w:hAnsi="Arial Narrow"/>
        </w:rPr>
        <w:t xml:space="preserve">as autoridades italianas foi tão sistemática que P. Milza (1999) 812-813, embora sem se fundamentar em </w:t>
      </w:r>
      <w:r>
        <w:rPr>
          <w:rFonts w:ascii="Arial Narrow" w:hAnsi="Arial Narrow"/>
        </w:rPr>
        <w:t>nenhum</w:t>
      </w:r>
      <w:r w:rsidRPr="004033B7">
        <w:rPr>
          <w:rFonts w:ascii="Arial Narrow" w:hAnsi="Arial Narrow"/>
        </w:rPr>
        <w:t xml:space="preserve"> conjunto de documentos ou testemunhos, defende</w:t>
      </w:r>
      <w:r>
        <w:rPr>
          <w:rFonts w:ascii="Arial Narrow" w:hAnsi="Arial Narrow"/>
        </w:rPr>
        <w:t>u</w:t>
      </w:r>
      <w:r w:rsidRPr="004033B7">
        <w:rPr>
          <w:rFonts w:ascii="Arial Narrow" w:hAnsi="Arial Narrow"/>
        </w:rPr>
        <w:t xml:space="preserve"> a tese de que Ciano, à frente do Ministério dos Negócios Estrangeiros, e outros hierarcas do regime procuraram conciliar as boas graças dos judeus mediterrânicos e conseguir assim uma base de apoio para demarcar uma zona de influência onde o Reich não penetrasse. </w:t>
      </w:r>
      <w:r>
        <w:rPr>
          <w:rFonts w:ascii="Arial Narrow" w:hAnsi="Arial Narrow"/>
        </w:rPr>
        <w:t xml:space="preserve">Se assim fosse, </w:t>
      </w:r>
      <w:r w:rsidRPr="004033B7">
        <w:rPr>
          <w:rFonts w:ascii="Arial Narrow" w:hAnsi="Arial Narrow"/>
        </w:rPr>
        <w:t xml:space="preserve">alguns dos principais chefes do fascismo italiano </w:t>
      </w:r>
      <w:r>
        <w:rPr>
          <w:rFonts w:ascii="Arial Narrow" w:hAnsi="Arial Narrow"/>
        </w:rPr>
        <w:t>teriam</w:t>
      </w:r>
      <w:r w:rsidRPr="004033B7">
        <w:rPr>
          <w:rFonts w:ascii="Arial Narrow" w:hAnsi="Arial Narrow"/>
        </w:rPr>
        <w:t xml:space="preserve"> reatado, em plena guerra e apesar da legislação racial, a política favorável à colonização sionista que havia sido seguida anteriormente por Mussolini.</w:t>
      </w:r>
    </w:p>
  </w:footnote>
  <w:footnote w:id="136">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R. De Felice (1977) 308, 334, 441, 481.</w:t>
      </w:r>
    </w:p>
  </w:footnote>
  <w:footnote w:id="137">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lang w:val="fr-FR"/>
        </w:rPr>
        <w:t xml:space="preserve"> H. Arendt (1994) 165, 176, 177; </w:t>
      </w:r>
      <w:r w:rsidRPr="00CF7250">
        <w:rPr>
          <w:rFonts w:ascii="Arial Narrow" w:hAnsi="Arial Narrow"/>
        </w:rPr>
        <w:t xml:space="preserve">H. J. Burgwyn (2012) 384, 408-414; </w:t>
      </w:r>
      <w:r>
        <w:rPr>
          <w:rFonts w:ascii="Arial Narrow" w:hAnsi="Arial Narrow"/>
          <w:lang w:val="fr-FR"/>
        </w:rPr>
        <w:t xml:space="preserve">C. Callil (2009) 420-421; </w:t>
      </w:r>
      <w:r w:rsidRPr="004033B7">
        <w:rPr>
          <w:rFonts w:ascii="Arial Narrow" w:hAnsi="Arial Narrow"/>
          <w:lang w:val="fr-FR"/>
        </w:rPr>
        <w:t xml:space="preserve">R. De Felice (1977) 304, 429-430, 483-486, 489; </w:t>
      </w:r>
      <w:r w:rsidRPr="00CF7250">
        <w:rPr>
          <w:rFonts w:ascii="Arial Narrow" w:hAnsi="Arial Narrow"/>
        </w:rPr>
        <w:t xml:space="preserve">S. Friedländer (2008) 674-675, 817-819; </w:t>
      </w:r>
      <w:r w:rsidRPr="004033B7">
        <w:rPr>
          <w:rFonts w:ascii="Arial Narrow" w:hAnsi="Arial Narrow"/>
          <w:lang w:val="fr-FR"/>
        </w:rPr>
        <w:t>J. Galtier</w:t>
      </w:r>
      <w:r w:rsidRPr="004033B7">
        <w:rPr>
          <w:rFonts w:ascii="Arial Narrow" w:hAnsi="Arial Narrow"/>
          <w:smallCaps/>
          <w:lang w:val="fr-FR"/>
        </w:rPr>
        <w:t>-</w:t>
      </w:r>
      <w:r w:rsidRPr="004033B7">
        <w:rPr>
          <w:rFonts w:ascii="Arial Narrow" w:hAnsi="Arial Narrow"/>
          <w:lang w:val="fr-FR"/>
        </w:rPr>
        <w:t xml:space="preserve">Boissière et al. </w:t>
      </w:r>
      <w:r w:rsidRPr="00EF57D6">
        <w:rPr>
          <w:rFonts w:ascii="Arial Narrow" w:hAnsi="Arial Narrow"/>
          <w:lang w:val="de-DE"/>
        </w:rPr>
        <w:t xml:space="preserve">(1949) V 348; </w:t>
      </w:r>
      <w:r>
        <w:rPr>
          <w:rFonts w:ascii="Arial Narrow" w:hAnsi="Arial Narrow"/>
          <w:lang w:val="de-DE"/>
        </w:rPr>
        <w:t xml:space="preserve">M. Gilbert (2011 b) I 448-449, II 461; </w:t>
      </w:r>
      <w:r w:rsidRPr="00EF57D6">
        <w:rPr>
          <w:rFonts w:ascii="Arial Narrow" w:hAnsi="Arial Narrow"/>
          <w:lang w:val="de-DE"/>
        </w:rPr>
        <w:t xml:space="preserve">R. Hilberg (1961) 413-416; P. Milza (1999) 810; R. O. Paxton (1973) 179, 345; Z. Sternhell et al. </w:t>
      </w:r>
      <w:r w:rsidRPr="00EF57D6">
        <w:rPr>
          <w:rFonts w:ascii="Arial Narrow" w:hAnsi="Arial Narrow"/>
        </w:rPr>
        <w:t xml:space="preserve">(1994) 5; S. Wiesenthal (1989) 233, 241. </w:t>
      </w:r>
      <w:r w:rsidRPr="00CF7250">
        <w:rPr>
          <w:rFonts w:ascii="Arial Narrow" w:hAnsi="Arial Narrow"/>
        </w:rPr>
        <w:t xml:space="preserve">James Burgwyn, op. cit., 412 e </w:t>
      </w:r>
      <w:r w:rsidRPr="003047A6">
        <w:rPr>
          <w:rFonts w:ascii="Arial Narrow" w:hAnsi="Arial Narrow"/>
        </w:rPr>
        <w:t>S</w:t>
      </w:r>
      <w:r>
        <w:rPr>
          <w:rFonts w:ascii="Arial Narrow" w:hAnsi="Arial Narrow"/>
        </w:rPr>
        <w:t>aul</w:t>
      </w:r>
      <w:r w:rsidRPr="003047A6">
        <w:rPr>
          <w:rFonts w:ascii="Arial Narrow" w:hAnsi="Arial Narrow"/>
        </w:rPr>
        <w:t xml:space="preserve"> Friedländer</w:t>
      </w:r>
      <w:r>
        <w:rPr>
          <w:rFonts w:ascii="Arial Narrow" w:hAnsi="Arial Narrow"/>
        </w:rPr>
        <w:t>,</w:t>
      </w:r>
      <w:r w:rsidRPr="003047A6">
        <w:rPr>
          <w:rFonts w:ascii="Arial Narrow" w:hAnsi="Arial Narrow"/>
        </w:rPr>
        <w:t xml:space="preserve"> </w:t>
      </w:r>
      <w:r>
        <w:rPr>
          <w:rFonts w:ascii="Arial Narrow" w:hAnsi="Arial Narrow"/>
        </w:rPr>
        <w:t xml:space="preserve">op. cit., 817 mencionaram apenas trinta mil judeus asilados. </w:t>
      </w:r>
      <w:r w:rsidRPr="004033B7">
        <w:rPr>
          <w:rFonts w:ascii="Arial Narrow" w:hAnsi="Arial Narrow"/>
        </w:rPr>
        <w:t>Escreve</w:t>
      </w:r>
      <w:r>
        <w:rPr>
          <w:rFonts w:ascii="Arial Narrow" w:hAnsi="Arial Narrow"/>
        </w:rPr>
        <w:t>u</w:t>
      </w:r>
      <w:r w:rsidRPr="004033B7">
        <w:rPr>
          <w:rFonts w:ascii="Arial Narrow" w:hAnsi="Arial Narrow"/>
        </w:rPr>
        <w:t xml:space="preserve"> L. Ceva, «Italy», em I. C. B. Dear et al. (orgs. 1995) 591 que «as autoridades militares italianas [...] protegeram cerca de 240.000 judeus franceses de serem presos pelos alemães e pela polícia de Vichy».</w:t>
      </w:r>
      <w:r>
        <w:rPr>
          <w:rFonts w:ascii="Arial Narrow" w:hAnsi="Arial Narrow"/>
        </w:rPr>
        <w:t xml:space="preserve"> C. Callil (2009) 429-430 pretendeu que «quando a Itália se rendeu [...] isso significou a morte para os judeus que se encontravam na Zona Italiana».</w:t>
      </w:r>
    </w:p>
  </w:footnote>
  <w:footnote w:id="138">
    <w:p w:rsidR="003F07DD" w:rsidRPr="00751A22"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P. Milza (1999) 810.</w:t>
      </w:r>
    </w:p>
  </w:footnote>
  <w:footnote w:id="139">
    <w:p w:rsidR="003F07DD" w:rsidRPr="00EF0BCD"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304438">
        <w:rPr>
          <w:rFonts w:ascii="Arial Narrow" w:hAnsi="Arial Narrow"/>
          <w:lang w:val="en-US"/>
        </w:rPr>
        <w:t xml:space="preserve"> </w:t>
      </w:r>
      <w:r w:rsidRPr="00BF6304">
        <w:rPr>
          <w:rFonts w:ascii="Arial Narrow" w:hAnsi="Arial Narrow"/>
          <w:lang w:val="en-US"/>
        </w:rPr>
        <w:t xml:space="preserve">H. J. Burgwyn (2012) </w:t>
      </w:r>
      <w:r>
        <w:rPr>
          <w:rFonts w:ascii="Arial Narrow" w:hAnsi="Arial Narrow"/>
          <w:lang w:val="en-US"/>
        </w:rPr>
        <w:t xml:space="preserve">473-474; </w:t>
      </w:r>
      <w:r w:rsidRPr="00304438">
        <w:rPr>
          <w:rFonts w:ascii="Arial Narrow" w:hAnsi="Arial Narrow"/>
          <w:lang w:val="en-US"/>
        </w:rPr>
        <w:t xml:space="preserve">M. Gilbert (2011 b) I 448; R. Hilberg (1961) 402; Ł. Hirszowicz (1966) 277, 280. </w:t>
      </w:r>
      <w:r w:rsidRPr="00EF0BCD">
        <w:rPr>
          <w:rFonts w:ascii="Arial Narrow" w:hAnsi="Arial Narrow"/>
        </w:rPr>
        <w:t xml:space="preserve">Raul </w:t>
      </w:r>
      <w:r w:rsidRPr="004033B7">
        <w:rPr>
          <w:rFonts w:ascii="Arial Narrow" w:hAnsi="Arial Narrow"/>
        </w:rPr>
        <w:t>Hilberg</w:t>
      </w:r>
      <w:r>
        <w:rPr>
          <w:rFonts w:ascii="Arial Narrow" w:hAnsi="Arial Narrow"/>
        </w:rPr>
        <w:t xml:space="preserve">, op. cit., </w:t>
      </w:r>
      <w:r w:rsidRPr="004033B7">
        <w:rPr>
          <w:rFonts w:ascii="Arial Narrow" w:hAnsi="Arial Narrow"/>
        </w:rPr>
        <w:t>425 sustent</w:t>
      </w:r>
      <w:r>
        <w:rPr>
          <w:rFonts w:ascii="Arial Narrow" w:hAnsi="Arial Narrow"/>
        </w:rPr>
        <w:t>ou</w:t>
      </w:r>
      <w:r w:rsidRPr="004033B7">
        <w:rPr>
          <w:rFonts w:ascii="Arial Narrow" w:hAnsi="Arial Narrow"/>
        </w:rPr>
        <w:t xml:space="preserve"> que, apesar de os </w:t>
      </w:r>
      <w:r>
        <w:rPr>
          <w:rFonts w:ascii="Arial Narrow" w:hAnsi="Arial Narrow"/>
        </w:rPr>
        <w:t xml:space="preserve">nacionais-socialistas </w:t>
      </w:r>
      <w:r w:rsidRPr="004033B7">
        <w:rPr>
          <w:rFonts w:ascii="Arial Narrow" w:hAnsi="Arial Narrow"/>
        </w:rPr>
        <w:t>estarem muito descontentes com a forma como eram aplicadas em Itália as medidas anti-semitas, não intervieram junto do governo de Roma e só em Janeiro de 1943 deram início a pressões a nível diplomático. Também R. De Felice (1977) 233, 296, 426 e 429-430 afirm</w:t>
      </w:r>
      <w:r>
        <w:rPr>
          <w:rFonts w:ascii="Arial Narrow" w:hAnsi="Arial Narrow"/>
        </w:rPr>
        <w:t>ou</w:t>
      </w:r>
      <w:r w:rsidRPr="004033B7">
        <w:rPr>
          <w:rFonts w:ascii="Arial Narrow" w:hAnsi="Arial Narrow"/>
        </w:rPr>
        <w:t xml:space="preserve"> que durante muito tempo os governantes </w:t>
      </w:r>
      <w:r>
        <w:rPr>
          <w:rFonts w:ascii="Arial Narrow" w:hAnsi="Arial Narrow"/>
        </w:rPr>
        <w:t xml:space="preserve">do Reich </w:t>
      </w:r>
      <w:r w:rsidRPr="004033B7">
        <w:rPr>
          <w:rFonts w:ascii="Arial Narrow" w:hAnsi="Arial Narrow"/>
        </w:rPr>
        <w:t>não insistiram directamente junto do regime fascista italiano para o converter a uma orientação contrária aos judeus, limitando-se até ao começo de 1943 a pressões indirectas.</w:t>
      </w:r>
      <w:r>
        <w:rPr>
          <w:rFonts w:ascii="Arial Narrow" w:hAnsi="Arial Narrow"/>
        </w:rPr>
        <w:t xml:space="preserve"> </w:t>
      </w:r>
      <w:r w:rsidRPr="00CF7250">
        <w:rPr>
          <w:rFonts w:ascii="Arial Narrow" w:hAnsi="Arial Narrow"/>
        </w:rPr>
        <w:t>James Burgwyn, op. cit., 410-411 descreveu as diligências efectuadas junto ao governo de Roma a partir do início de 1943.</w:t>
      </w:r>
    </w:p>
  </w:footnote>
  <w:footnote w:id="140">
    <w:p w:rsidR="003F07DD" w:rsidRPr="00EF57D6"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EF57D6">
        <w:rPr>
          <w:rFonts w:ascii="Arial Narrow" w:hAnsi="Arial Narrow"/>
        </w:rPr>
        <w:t xml:space="preserve"> R. De Felice (1977) 481; P. Milza (1999) 810.</w:t>
      </w:r>
    </w:p>
  </w:footnote>
  <w:footnote w:id="141">
    <w:p w:rsidR="003F07DD" w:rsidRPr="00F366DB" w:rsidRDefault="003F07DD">
      <w:pPr>
        <w:pStyle w:val="Textodenotaderodap"/>
        <w:rPr>
          <w:rFonts w:ascii="Arial Narrow" w:hAnsi="Arial Narrow"/>
          <w:lang w:val="en-US"/>
        </w:rPr>
      </w:pPr>
      <w:r w:rsidRPr="00F366DB">
        <w:rPr>
          <w:rStyle w:val="Refdenotaderodap"/>
          <w:rFonts w:ascii="Arial Narrow" w:hAnsi="Arial Narrow"/>
        </w:rPr>
        <w:footnoteRef/>
      </w:r>
      <w:r w:rsidRPr="00F366DB">
        <w:rPr>
          <w:rFonts w:ascii="Arial Narrow" w:hAnsi="Arial Narrow"/>
          <w:lang w:val="en-US"/>
        </w:rPr>
        <w:t xml:space="preserve"> H. J. Burgwyn (2012)</w:t>
      </w:r>
      <w:r>
        <w:rPr>
          <w:rFonts w:ascii="Arial Narrow" w:hAnsi="Arial Narrow"/>
          <w:lang w:val="en-US"/>
        </w:rPr>
        <w:t xml:space="preserve"> 299-300.</w:t>
      </w:r>
    </w:p>
  </w:footnote>
  <w:footnote w:id="142">
    <w:p w:rsidR="003F07DD" w:rsidRPr="00EC71CA" w:rsidRDefault="003F07DD" w:rsidP="00751A22">
      <w:pPr>
        <w:pStyle w:val="Textodenotaderodap"/>
        <w:rPr>
          <w:rFonts w:ascii="Arial Narrow" w:hAnsi="Arial Narrow"/>
        </w:rPr>
      </w:pPr>
      <w:r w:rsidRPr="004033B7">
        <w:rPr>
          <w:rStyle w:val="Refdenotaderodap"/>
          <w:rFonts w:ascii="Arial Narrow" w:hAnsi="Arial Narrow"/>
        </w:rPr>
        <w:footnoteRef/>
      </w:r>
      <w:r w:rsidRPr="00EC3A0F">
        <w:rPr>
          <w:rFonts w:ascii="Arial Narrow" w:hAnsi="Arial Narrow"/>
          <w:lang w:val="en-US"/>
        </w:rPr>
        <w:t xml:space="preserve"> H. Arendt (1994) 176-178, 183; R. De Felice (1977) 429, 483; </w:t>
      </w:r>
      <w:r w:rsidRPr="00C0289D">
        <w:rPr>
          <w:rFonts w:ascii="Arial Narrow" w:hAnsi="Arial Narrow"/>
          <w:lang w:val="en-US"/>
        </w:rPr>
        <w:t xml:space="preserve">S. Friedländer (2008) </w:t>
      </w:r>
      <w:r>
        <w:rPr>
          <w:rFonts w:ascii="Arial Narrow" w:hAnsi="Arial Narrow"/>
          <w:lang w:val="en-US"/>
        </w:rPr>
        <w:t xml:space="preserve">674, 721; </w:t>
      </w:r>
      <w:r w:rsidRPr="00EC3A0F">
        <w:rPr>
          <w:rFonts w:ascii="Arial Narrow" w:hAnsi="Arial Narrow"/>
          <w:lang w:val="en-US"/>
        </w:rPr>
        <w:t xml:space="preserve">R. Hilberg (1961) 455-457, 457 n. 562; P. Milza (1999) 811, 813; J. Noakes et al. </w:t>
      </w:r>
      <w:r w:rsidRPr="00383593">
        <w:rPr>
          <w:rFonts w:ascii="Arial Narrow" w:hAnsi="Arial Narrow"/>
        </w:rPr>
        <w:t xml:space="preserve">(orgs. 2008-2010) III 602; </w:t>
      </w:r>
      <w:r w:rsidRPr="00383593">
        <w:rPr>
          <w:rFonts w:ascii="Arial Narrow" w:hAnsi="Arial Narrow"/>
          <w:bCs/>
        </w:rPr>
        <w:t xml:space="preserve">S. G. Payne </w:t>
      </w:r>
      <w:r w:rsidRPr="00383593">
        <w:rPr>
          <w:rFonts w:ascii="Arial Narrow" w:hAnsi="Arial Narrow"/>
        </w:rPr>
        <w:t xml:space="preserve">(2003 b) 389. </w:t>
      </w:r>
      <w:r w:rsidRPr="00EF57D6">
        <w:rPr>
          <w:rFonts w:ascii="Arial Narrow" w:hAnsi="Arial Narrow"/>
        </w:rPr>
        <w:t xml:space="preserve">Segundo L. Ceva, «Italy», em I. C. B. Dear et al. </w:t>
      </w:r>
      <w:r w:rsidRPr="004033B7">
        <w:rPr>
          <w:rFonts w:ascii="Arial Narrow" w:hAnsi="Arial Narrow"/>
        </w:rPr>
        <w:t>(orgs. 1995) 591, as autoridades militares italianas salvaram cerca de 600.000 judeus na Croácia.</w:t>
      </w:r>
      <w:r>
        <w:rPr>
          <w:rFonts w:ascii="Arial Narrow" w:hAnsi="Arial Narrow"/>
        </w:rPr>
        <w:t xml:space="preserve"> A respeito da protecção italiana aos judeus da Croácia ver também </w:t>
      </w:r>
      <w:r w:rsidRPr="00F366DB">
        <w:rPr>
          <w:rFonts w:ascii="Arial Narrow" w:hAnsi="Arial Narrow"/>
        </w:rPr>
        <w:t>H. J. Burgwyn (2012) 148, 295</w:t>
      </w:r>
      <w:r>
        <w:rPr>
          <w:rFonts w:ascii="Arial Narrow" w:hAnsi="Arial Narrow"/>
        </w:rPr>
        <w:t>, 384-385</w:t>
      </w:r>
      <w:r w:rsidRPr="00F366DB">
        <w:rPr>
          <w:rFonts w:ascii="Arial Narrow" w:hAnsi="Arial Narrow"/>
        </w:rPr>
        <w:t xml:space="preserve">, </w:t>
      </w:r>
      <w:r>
        <w:rPr>
          <w:rFonts w:ascii="Arial Narrow" w:hAnsi="Arial Narrow"/>
        </w:rPr>
        <w:t>M. Gilbert (2011 b) I 400, 449,</w:t>
      </w:r>
      <w:r w:rsidRPr="00C33E91">
        <w:rPr>
          <w:rFonts w:ascii="Arial Narrow" w:hAnsi="Arial Narrow"/>
        </w:rPr>
        <w:t xml:space="preserve"> </w:t>
      </w:r>
      <w:r>
        <w:rPr>
          <w:rFonts w:ascii="Arial Narrow" w:hAnsi="Arial Narrow"/>
        </w:rPr>
        <w:t xml:space="preserve">II 679 e Jeremy Noakes et al., </w:t>
      </w:r>
      <w:r w:rsidRPr="00A95C94">
        <w:rPr>
          <w:rFonts w:ascii="Arial Narrow" w:hAnsi="Arial Narrow"/>
        </w:rPr>
        <w:t>op. cit.,</w:t>
      </w:r>
      <w:r>
        <w:rPr>
          <w:rFonts w:ascii="Arial Narrow" w:hAnsi="Arial Narrow"/>
        </w:rPr>
        <w:t xml:space="preserve"> III </w:t>
      </w:r>
      <w:r w:rsidRPr="00EC71CA">
        <w:rPr>
          <w:rFonts w:ascii="Arial Narrow" w:hAnsi="Arial Narrow"/>
        </w:rPr>
        <w:t>578.</w:t>
      </w:r>
    </w:p>
  </w:footnote>
  <w:footnote w:id="143">
    <w:p w:rsidR="003F07DD" w:rsidRPr="006F7401"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6F7401">
        <w:rPr>
          <w:rFonts w:ascii="Arial Narrow" w:hAnsi="Arial Narrow"/>
          <w:lang w:val="en-US"/>
        </w:rPr>
        <w:t xml:space="preserve"> H. Arendt (1994) 176, 189; </w:t>
      </w:r>
      <w:r w:rsidRPr="00086E2B">
        <w:rPr>
          <w:rFonts w:ascii="Arial Narrow" w:hAnsi="Arial Narrow"/>
          <w:lang w:val="en-US"/>
        </w:rPr>
        <w:t xml:space="preserve">H. J. Burgwyn (2012) </w:t>
      </w:r>
      <w:r>
        <w:rPr>
          <w:rFonts w:ascii="Arial Narrow" w:hAnsi="Arial Narrow"/>
          <w:lang w:val="en-US"/>
        </w:rPr>
        <w:t xml:space="preserve">385, 445-447; </w:t>
      </w:r>
      <w:r w:rsidRPr="006F7401">
        <w:rPr>
          <w:rFonts w:ascii="Arial Narrow" w:hAnsi="Arial Narrow"/>
          <w:lang w:val="en-US"/>
        </w:rPr>
        <w:t xml:space="preserve">R. De Felice (1977) 482; </w:t>
      </w:r>
      <w:r w:rsidRPr="001D5E96">
        <w:rPr>
          <w:rFonts w:ascii="Arial Narrow" w:hAnsi="Arial Narrow"/>
          <w:lang w:val="en-US"/>
        </w:rPr>
        <w:t xml:space="preserve">S. Friedländer (2008) </w:t>
      </w:r>
      <w:r>
        <w:rPr>
          <w:rFonts w:ascii="Arial Narrow" w:hAnsi="Arial Narrow"/>
          <w:lang w:val="en-US"/>
        </w:rPr>
        <w:t xml:space="preserve">723-725; </w:t>
      </w:r>
      <w:r w:rsidRPr="006F7401">
        <w:rPr>
          <w:rFonts w:ascii="Arial Narrow" w:hAnsi="Arial Narrow"/>
          <w:lang w:val="en-US"/>
        </w:rPr>
        <w:t xml:space="preserve">R. Hilberg (1961) 443, 447-449; P. Milza (1999) 810-811; J. </w:t>
      </w:r>
      <w:r>
        <w:rPr>
          <w:rFonts w:ascii="Arial Narrow" w:hAnsi="Arial Narrow"/>
          <w:lang w:val="en-US"/>
        </w:rPr>
        <w:t>Noakes et al. (orgs. 2008-2010) III 603</w:t>
      </w:r>
      <w:r w:rsidRPr="006F7401">
        <w:rPr>
          <w:rFonts w:ascii="Arial Narrow" w:hAnsi="Arial Narrow"/>
          <w:lang w:val="en-US"/>
        </w:rPr>
        <w:t>.</w:t>
      </w:r>
    </w:p>
  </w:footnote>
  <w:footnote w:id="144">
    <w:p w:rsidR="003F07DD" w:rsidRPr="00751A22"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R. Hilberg (1961) 317.</w:t>
      </w:r>
    </w:p>
  </w:footnote>
  <w:footnote w:id="145">
    <w:p w:rsidR="003F07DD" w:rsidRPr="00751A22"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Id., ibid., 460.</w:t>
      </w:r>
    </w:p>
  </w:footnote>
  <w:footnote w:id="146">
    <w:p w:rsidR="003F07DD" w:rsidRPr="00BD48F3" w:rsidRDefault="003F07DD">
      <w:pPr>
        <w:pStyle w:val="Textodenotaderodap"/>
        <w:rPr>
          <w:rFonts w:ascii="Arial Narrow" w:hAnsi="Arial Narrow"/>
        </w:rPr>
      </w:pPr>
      <w:r w:rsidRPr="00BD48F3">
        <w:rPr>
          <w:rStyle w:val="Refdenotaderodap"/>
          <w:rFonts w:ascii="Arial Narrow" w:hAnsi="Arial Narrow"/>
        </w:rPr>
        <w:footnoteRef/>
      </w:r>
      <w:r w:rsidRPr="00F379E6">
        <w:rPr>
          <w:rFonts w:ascii="Arial Narrow" w:hAnsi="Arial Narrow"/>
          <w:lang w:val="en-US"/>
        </w:rPr>
        <w:t xml:space="preserve"> </w:t>
      </w:r>
      <w:r w:rsidRPr="00F379E6">
        <w:rPr>
          <w:rFonts w:ascii="Arial Narrow" w:hAnsi="Arial Narrow"/>
          <w:bCs/>
          <w:lang w:val="en-US"/>
        </w:rPr>
        <w:t xml:space="preserve">S. G. Payne </w:t>
      </w:r>
      <w:r w:rsidRPr="00F379E6">
        <w:rPr>
          <w:rFonts w:ascii="Arial Narrow" w:hAnsi="Arial Narrow"/>
          <w:lang w:val="en-US"/>
        </w:rPr>
        <w:t xml:space="preserve">(2003 b) 389. </w:t>
      </w:r>
      <w:r w:rsidRPr="00BD48F3">
        <w:rPr>
          <w:rFonts w:ascii="Arial Narrow" w:hAnsi="Arial Narrow"/>
        </w:rPr>
        <w:t>Este autor indicou que s</w:t>
      </w:r>
      <w:r>
        <w:rPr>
          <w:rFonts w:ascii="Arial Narrow" w:hAnsi="Arial Narrow"/>
        </w:rPr>
        <w:t>ó na Dinamarca a taxa de sobrevivência dos judeus foi superior. Segundo C. Callil (2009) 382, «só foram deportados doze por cento dos judeus italianos».</w:t>
      </w:r>
    </w:p>
  </w:footnote>
  <w:footnote w:id="147">
    <w:p w:rsidR="003F07DD" w:rsidRPr="00EF57D6" w:rsidRDefault="003F07DD" w:rsidP="00751A22">
      <w:pPr>
        <w:pStyle w:val="Textodenotaderodap"/>
        <w:rPr>
          <w:rFonts w:ascii="Arial Narrow" w:hAnsi="Arial Narrow"/>
          <w:lang w:val="en-GB"/>
        </w:rPr>
      </w:pPr>
      <w:r w:rsidRPr="004033B7">
        <w:rPr>
          <w:rStyle w:val="Refdenotaderodap"/>
          <w:rFonts w:ascii="Arial Narrow" w:hAnsi="Arial Narrow"/>
        </w:rPr>
        <w:footnoteRef/>
      </w:r>
      <w:r w:rsidRPr="00EF57D6">
        <w:rPr>
          <w:rFonts w:ascii="Arial Narrow" w:hAnsi="Arial Narrow"/>
          <w:lang w:val="en-GB"/>
        </w:rPr>
        <w:t xml:space="preserve"> F. W. Deakin (1966) 32-34; P. Milza (1999) 842; E. Santarelli (1981) II 537, 539.</w:t>
      </w:r>
    </w:p>
  </w:footnote>
  <w:footnote w:id="148">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F. W. Deakin (1966) 32, 118. O anti-semitismo de Farinacci não o impedira de contar uma judia entre as suas secretárias. Ver a este respeito H. Arendt (1994) 178, R. De Felice (1977) 295 e R. Hilberg (1961) 422. Naquele ambiente de intrigas, o facto chegara decerto aos ouvidos do Führer. Além disso, consoante indic</w:t>
      </w:r>
      <w:r>
        <w:rPr>
          <w:rFonts w:ascii="Arial Narrow" w:hAnsi="Arial Narrow"/>
        </w:rPr>
        <w:t>ou</w:t>
      </w:r>
      <w:r w:rsidRPr="004033B7">
        <w:rPr>
          <w:rFonts w:ascii="Arial Narrow" w:hAnsi="Arial Narrow"/>
        </w:rPr>
        <w:t xml:space="preserve"> A. Lyttelton (1982) 425 e 452, Farinacci pertencera a uma loja maçónica e dizia-se que mantivera relações com um ramo dissidente do Grande Oriente, o que estava longe de o converter num modelo de </w:t>
      </w:r>
      <w:r>
        <w:rPr>
          <w:rFonts w:ascii="Arial Narrow" w:hAnsi="Arial Narrow"/>
        </w:rPr>
        <w:t>nacional-socialismo</w:t>
      </w:r>
      <w:r w:rsidRPr="004033B7">
        <w:rPr>
          <w:rFonts w:ascii="Arial Narrow" w:hAnsi="Arial Narrow"/>
        </w:rPr>
        <w:t>.</w:t>
      </w:r>
    </w:p>
  </w:footnote>
  <w:footnote w:id="149">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62.</w:t>
      </w:r>
    </w:p>
  </w:footnote>
  <w:footnote w:id="150">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F. W. Deakin (1966) 117-118.</w:t>
      </w:r>
    </w:p>
  </w:footnote>
  <w:footnote w:id="151">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id., ibid., 126 e R. De Felice (1977) 528, e antologiado em Ch. F. Delzell (org. 1971) 239.</w:t>
      </w:r>
    </w:p>
  </w:footnote>
  <w:footnote w:id="152">
    <w:p w:rsidR="003F07DD" w:rsidRPr="00F52049"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Ch. F. Delzell (org. 1971) 18</w:t>
      </w:r>
      <w:r>
        <w:rPr>
          <w:rFonts w:ascii="Arial Narrow" w:hAnsi="Arial Narrow"/>
          <w:lang w:val="de-DE"/>
        </w:rPr>
        <w:t>4; E. Santarelli (1981) II 547.</w:t>
      </w:r>
    </w:p>
  </w:footnote>
  <w:footnote w:id="15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535; P. Milza (1999) 868.</w:t>
      </w:r>
    </w:p>
  </w:footnote>
  <w:footnote w:id="154">
    <w:p w:rsidR="003F07DD" w:rsidRPr="00F52049" w:rsidRDefault="003F07DD" w:rsidP="00751A22">
      <w:pPr>
        <w:pStyle w:val="Textodenotaderodap"/>
        <w:rPr>
          <w:rFonts w:ascii="Arial Narrow" w:hAnsi="Arial Narrow"/>
        </w:rPr>
      </w:pPr>
      <w:r w:rsidRPr="00F52049">
        <w:rPr>
          <w:rStyle w:val="Refdenotaderodap"/>
          <w:rFonts w:ascii="Arial Narrow" w:hAnsi="Arial Narrow"/>
        </w:rPr>
        <w:footnoteRef/>
      </w:r>
      <w:r w:rsidRPr="00F52049">
        <w:rPr>
          <w:rFonts w:ascii="Arial Narrow" w:hAnsi="Arial Narrow"/>
        </w:rPr>
        <w:t xml:space="preserve"> R. De Felice (1977) 304, 535, 545; R. Hilberg (1961) 430-431.</w:t>
      </w:r>
    </w:p>
  </w:footnote>
  <w:footnote w:id="155">
    <w:p w:rsidR="003F07DD" w:rsidRPr="004D516C" w:rsidRDefault="003F07DD" w:rsidP="00751A22">
      <w:pPr>
        <w:pStyle w:val="Textodenotaderodap"/>
        <w:rPr>
          <w:rFonts w:ascii="Arial Narrow" w:hAnsi="Arial Narrow"/>
        </w:rPr>
      </w:pPr>
      <w:r w:rsidRPr="004D516C">
        <w:rPr>
          <w:rStyle w:val="Refdenotaderodap"/>
          <w:rFonts w:ascii="Arial Narrow" w:hAnsi="Arial Narrow"/>
        </w:rPr>
        <w:footnoteRef/>
      </w:r>
      <w:r w:rsidRPr="004D516C">
        <w:rPr>
          <w:rFonts w:ascii="Arial Narrow" w:hAnsi="Arial Narrow"/>
        </w:rPr>
        <w:t xml:space="preserve"> N</w:t>
      </w:r>
      <w:r>
        <w:rPr>
          <w:rFonts w:ascii="Arial Narrow" w:hAnsi="Arial Narrow"/>
        </w:rPr>
        <w:t xml:space="preserve">. </w:t>
      </w:r>
      <w:r w:rsidRPr="004D516C">
        <w:rPr>
          <w:rFonts w:ascii="Arial Narrow" w:hAnsi="Arial Narrow"/>
        </w:rPr>
        <w:t>Cohn (1992)</w:t>
      </w:r>
      <w:r>
        <w:rPr>
          <w:rFonts w:ascii="Arial Narrow" w:hAnsi="Arial Narrow"/>
        </w:rPr>
        <w:t xml:space="preserve"> </w:t>
      </w:r>
      <w:r w:rsidRPr="004D516C">
        <w:rPr>
          <w:rFonts w:ascii="Arial Narrow" w:hAnsi="Arial Narrow"/>
        </w:rPr>
        <w:t>244</w:t>
      </w:r>
      <w:r>
        <w:rPr>
          <w:rFonts w:ascii="Arial Narrow" w:hAnsi="Arial Narrow"/>
        </w:rPr>
        <w:t>.</w:t>
      </w:r>
    </w:p>
  </w:footnote>
  <w:footnote w:id="156">
    <w:p w:rsidR="003F07DD" w:rsidRPr="005E18CA" w:rsidRDefault="003F07DD" w:rsidP="00751A22">
      <w:pPr>
        <w:pStyle w:val="Textodenotaderodap"/>
        <w:rPr>
          <w:rFonts w:ascii="Arial Narrow" w:hAnsi="Arial Narrow"/>
        </w:rPr>
      </w:pPr>
      <w:r w:rsidRPr="005E18CA">
        <w:rPr>
          <w:rStyle w:val="Refdenotaderodap"/>
          <w:rFonts w:ascii="Arial Narrow" w:hAnsi="Arial Narrow"/>
        </w:rPr>
        <w:footnoteRef/>
      </w:r>
      <w:r w:rsidRPr="005E18CA">
        <w:rPr>
          <w:rFonts w:ascii="Arial Narrow" w:hAnsi="Arial Narrow"/>
        </w:rPr>
        <w:t xml:space="preserve"> C. Mera (2006) 341</w:t>
      </w:r>
      <w:r>
        <w:rPr>
          <w:rFonts w:ascii="Arial Narrow" w:hAnsi="Arial Narrow"/>
        </w:rPr>
        <w:t>.</w:t>
      </w:r>
    </w:p>
  </w:footnote>
  <w:footnote w:id="157">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por F. Mintz (1977) 212.</w:t>
      </w:r>
    </w:p>
  </w:footnote>
  <w:footnote w:id="158">
    <w:p w:rsidR="003F07DD" w:rsidRPr="00751A22"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M. Franco (2004) 128-129, 132; H. R. Southworth (1967) 33.</w:t>
      </w:r>
    </w:p>
  </w:footnote>
  <w:footnote w:id="159">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H. R. Southworth (1967) 32-34. Isto não impediu Giménez Caballero de pretender, em 1935, que o carácter internacional da arquitectura funcionalista era «fruto do espírito judaico». Ver A. Llorente Hernández (1995) 22. Mas talvez </w:t>
      </w:r>
      <w:r>
        <w:rPr>
          <w:rFonts w:ascii="Arial Narrow" w:hAnsi="Arial Narrow"/>
        </w:rPr>
        <w:t xml:space="preserve">ele </w:t>
      </w:r>
      <w:r w:rsidRPr="004033B7">
        <w:rPr>
          <w:rFonts w:ascii="Arial Narrow" w:hAnsi="Arial Narrow"/>
        </w:rPr>
        <w:t>considerasse que entre os sefarditas prevalecia a cultura ibérica e não o cosmopolitismo.</w:t>
      </w:r>
    </w:p>
  </w:footnote>
  <w:footnote w:id="160">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Griffin (org. 1995) 185 observ</w:t>
      </w:r>
      <w:r>
        <w:rPr>
          <w:rFonts w:ascii="Arial Narrow" w:hAnsi="Arial Narrow"/>
        </w:rPr>
        <w:t>ou</w:t>
      </w:r>
      <w:r w:rsidRPr="004033B7">
        <w:rPr>
          <w:rFonts w:ascii="Arial Narrow" w:hAnsi="Arial Narrow"/>
        </w:rPr>
        <w:t xml:space="preserve"> que «em geral, na ideologia falangista, tal como no franquismo, não se encontravam tensões anti-semitas e eugenistas». Este autor, porém, não mencion</w:t>
      </w:r>
      <w:r>
        <w:rPr>
          <w:rFonts w:ascii="Arial Narrow" w:hAnsi="Arial Narrow"/>
        </w:rPr>
        <w:t>ou</w:t>
      </w:r>
      <w:r w:rsidRPr="004033B7">
        <w:rPr>
          <w:rFonts w:ascii="Arial Narrow" w:hAnsi="Arial Narrow"/>
        </w:rPr>
        <w:t xml:space="preserve"> Onésimo Redondo como uma das excepções. Acerca do anti-semitismo de Redondo ver H. R. Southworth (1967) 34-35. Por seu lado, S. G. Payne (1961) 15-16 cham</w:t>
      </w:r>
      <w:r>
        <w:rPr>
          <w:rFonts w:ascii="Arial Narrow" w:hAnsi="Arial Narrow"/>
        </w:rPr>
        <w:t>ou</w:t>
      </w:r>
      <w:r w:rsidRPr="004033B7">
        <w:rPr>
          <w:rFonts w:ascii="Arial Narrow" w:hAnsi="Arial Narrow"/>
        </w:rPr>
        <w:t xml:space="preserve"> a atenção para a influência do nacional-socialismo alemão sobre Redondo.</w:t>
      </w:r>
    </w:p>
  </w:footnote>
  <w:footnote w:id="161">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H. R. Southworth (1967) 36. «[...] Franco só simpatizou com Hitler durante a guerra e não apoiou a sua política de exterminação dos judeus»</w:t>
      </w:r>
      <w:r>
        <w:rPr>
          <w:rFonts w:ascii="Arial Narrow" w:hAnsi="Arial Narrow"/>
        </w:rPr>
        <w:t>,</w:t>
      </w:r>
      <w:r w:rsidRPr="004033B7">
        <w:rPr>
          <w:rFonts w:ascii="Arial Narrow" w:hAnsi="Arial Narrow"/>
        </w:rPr>
        <w:t xml:space="preserve"> escreve</w:t>
      </w:r>
      <w:r>
        <w:rPr>
          <w:rFonts w:ascii="Arial Narrow" w:hAnsi="Arial Narrow"/>
        </w:rPr>
        <w:t>u</w:t>
      </w:r>
      <w:r w:rsidRPr="004033B7">
        <w:rPr>
          <w:rFonts w:ascii="Arial Narrow" w:hAnsi="Arial Narrow"/>
        </w:rPr>
        <w:t xml:space="preserve"> S. Wiesenthal (1989) 168.</w:t>
      </w:r>
    </w:p>
  </w:footnote>
  <w:footnote w:id="162">
    <w:p w:rsidR="003F07DD" w:rsidRPr="004033B7" w:rsidRDefault="003F07DD" w:rsidP="00751A22">
      <w:pPr>
        <w:pStyle w:val="Textodenotaderodap"/>
        <w:ind w:firstLine="708"/>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R. De Felice (1977) 235.</w:t>
      </w:r>
    </w:p>
  </w:footnote>
  <w:footnote w:id="163">
    <w:p w:rsidR="003F07DD" w:rsidRPr="004033B7" w:rsidRDefault="003F07DD" w:rsidP="00751A22">
      <w:pPr>
        <w:pStyle w:val="Textodenotaderodap"/>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H. R. Southworth (1967) 36.</w:t>
      </w:r>
    </w:p>
  </w:footnote>
  <w:footnote w:id="164">
    <w:p w:rsidR="003F07DD" w:rsidRPr="00E729F4" w:rsidRDefault="003F07DD">
      <w:pPr>
        <w:pStyle w:val="Textodenotaderodap"/>
        <w:rPr>
          <w:rFonts w:ascii="Arial Narrow" w:hAnsi="Arial Narrow"/>
          <w:lang w:val="en-US"/>
        </w:rPr>
      </w:pPr>
      <w:r w:rsidRPr="00933FF1">
        <w:rPr>
          <w:rStyle w:val="Refdenotaderodap"/>
          <w:rFonts w:ascii="Arial Narrow" w:hAnsi="Arial Narrow"/>
        </w:rPr>
        <w:footnoteRef/>
      </w:r>
      <w:r w:rsidRPr="00E729F4">
        <w:rPr>
          <w:rFonts w:ascii="Arial Narrow" w:hAnsi="Arial Narrow"/>
          <w:lang w:val="en-US"/>
        </w:rPr>
        <w:t xml:space="preserve"> </w:t>
      </w:r>
      <w:r w:rsidRPr="00933FF1">
        <w:rPr>
          <w:rFonts w:ascii="Arial Narrow" w:hAnsi="Arial Narrow"/>
          <w:lang w:val="en-US"/>
        </w:rPr>
        <w:t>S. Friedländer (2008)</w:t>
      </w:r>
      <w:r>
        <w:rPr>
          <w:rFonts w:ascii="Arial Narrow" w:hAnsi="Arial Narrow"/>
          <w:lang w:val="en-US"/>
        </w:rPr>
        <w:t xml:space="preserve"> 433-434.</w:t>
      </w:r>
    </w:p>
  </w:footnote>
  <w:footnote w:id="165">
    <w:p w:rsidR="003F07DD" w:rsidRPr="00E729F4"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E729F4">
        <w:rPr>
          <w:rFonts w:ascii="Arial Narrow" w:hAnsi="Arial Narrow"/>
        </w:rPr>
        <w:t xml:space="preserve"> R. Hilberg (1961) 447-448.</w:t>
      </w:r>
    </w:p>
  </w:footnote>
  <w:footnote w:id="166">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448 indic</w:t>
      </w:r>
      <w:r>
        <w:rPr>
          <w:rFonts w:ascii="Arial Narrow" w:hAnsi="Arial Narrow"/>
        </w:rPr>
        <w:t>ou</w:t>
      </w:r>
      <w:r w:rsidRPr="004033B7">
        <w:rPr>
          <w:rFonts w:ascii="Arial Narrow" w:hAnsi="Arial Narrow"/>
        </w:rPr>
        <w:t xml:space="preserve"> que dos cerca de seiscentos judeus espanhóis residentes em Salónica sobreviveram trezentos e sessenta e cinco.</w:t>
      </w:r>
    </w:p>
  </w:footnote>
  <w:footnote w:id="167">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549.</w:t>
      </w:r>
    </w:p>
  </w:footnote>
  <w:footnote w:id="168">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413.</w:t>
      </w:r>
      <w:r>
        <w:rPr>
          <w:rFonts w:ascii="Arial Narrow" w:hAnsi="Arial Narrow"/>
        </w:rPr>
        <w:t xml:space="preserve"> </w:t>
      </w:r>
      <w:r w:rsidRPr="004033B7">
        <w:rPr>
          <w:rFonts w:ascii="Arial Narrow" w:hAnsi="Arial Narrow"/>
        </w:rPr>
        <w:t>Num relatório enviado a Salazar com data de 29 de Julho de 1944 o embaixador português em Espanha d</w:t>
      </w:r>
      <w:r>
        <w:rPr>
          <w:rFonts w:ascii="Arial Narrow" w:hAnsi="Arial Narrow"/>
        </w:rPr>
        <w:t>eu</w:t>
      </w:r>
      <w:r w:rsidRPr="004033B7">
        <w:rPr>
          <w:rFonts w:ascii="Arial Narrow" w:hAnsi="Arial Narrow"/>
        </w:rPr>
        <w:t xml:space="preserve"> conta de «um caso vergonhoso passado em Barcelona no dia 18. Trinta falangistas armados assaltaram num hotel os quartos em que um português judeu chamado Sequerra tinha os escritórios, como delegado da nossa Cruz Vermelha e do comité americano de auxílio judaico, e destruíram tudo com uma fúria canibalesca. Foi uma sorte o homem não estar». E o embaixador coment</w:t>
      </w:r>
      <w:r>
        <w:rPr>
          <w:rFonts w:ascii="Arial Narrow" w:hAnsi="Arial Narrow"/>
        </w:rPr>
        <w:t>ou</w:t>
      </w:r>
      <w:r w:rsidRPr="004033B7">
        <w:rPr>
          <w:rFonts w:ascii="Arial Narrow" w:hAnsi="Arial Narrow"/>
        </w:rPr>
        <w:t>: «O Sequerra deve ter sido atacado não por português, mas por se ocupar dos judeus americanos». Ver Presidência do Conselho de Ministros, Comissão do Livro Negro sobre o Regime Fascista (org. 1987-1991) IV 591. O diplomata português cometeu várias imprecisões, porque na verdade actuavam em Barcelona desde 1942 não um Sequerra mas dois, os irmãos Joel e Samuel, que se ocupavam tanto dos refugiados judeus como não judeus, conseguindo salvar aproximadamente um milhar de pessoas, e que no total foram alvo não de um mas de três atentados, escapando sempre indemnes. Concluo que a expedição punitiva a que se referi</w:t>
      </w:r>
      <w:r>
        <w:rPr>
          <w:rFonts w:ascii="Arial Narrow" w:hAnsi="Arial Narrow"/>
        </w:rPr>
        <w:t>u</w:t>
      </w:r>
      <w:r w:rsidRPr="004033B7">
        <w:rPr>
          <w:rFonts w:ascii="Arial Narrow" w:hAnsi="Arial Narrow"/>
        </w:rPr>
        <w:t xml:space="preserve"> o embaixador não teve o aval das autoridades e decerto se deveu a um sector </w:t>
      </w:r>
      <w:r>
        <w:rPr>
          <w:rFonts w:ascii="Arial Narrow" w:hAnsi="Arial Narrow"/>
        </w:rPr>
        <w:t xml:space="preserve">nacional-socialista </w:t>
      </w:r>
      <w:r w:rsidRPr="004033B7">
        <w:rPr>
          <w:rFonts w:ascii="Arial Narrow" w:hAnsi="Arial Narrow"/>
        </w:rPr>
        <w:t>da Falange, porque os Sequerra conseguiam dispor de numerosos apoios nos meios oficiais. Ver a este respeito N. Menda (2002) 14-16. Também o facto de ambos os irmãos terem permanecido em Espanha até depois do final da guerra revela que a sua acção em prol dos refugiados não deparou c</w:t>
      </w:r>
      <w:r>
        <w:rPr>
          <w:rFonts w:ascii="Arial Narrow" w:hAnsi="Arial Narrow"/>
        </w:rPr>
        <w:t>om nenhum veto governamental.</w:t>
      </w:r>
    </w:p>
  </w:footnote>
  <w:footnote w:id="169">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 F. Stone em </w:t>
      </w:r>
      <w:r w:rsidRPr="004033B7">
        <w:rPr>
          <w:rFonts w:ascii="Arial Narrow" w:hAnsi="Arial Narrow"/>
          <w:i/>
        </w:rPr>
        <w:t>The Nation,</w:t>
      </w:r>
      <w:r w:rsidRPr="004033B7">
        <w:rPr>
          <w:rFonts w:ascii="Arial Narrow" w:hAnsi="Arial Narrow"/>
        </w:rPr>
        <w:t xml:space="preserve"> 10 de Junho de 1944, reproduzido em K. V. Heuvel et al. (orgs. 1994) 247.</w:t>
      </w:r>
    </w:p>
  </w:footnote>
  <w:footnote w:id="170">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L. Brenner (1983) 252.</w:t>
      </w:r>
      <w:r>
        <w:rPr>
          <w:rFonts w:ascii="Arial Narrow" w:hAnsi="Arial Narrow"/>
        </w:rPr>
        <w:t xml:space="preserve"> Ver ainda a n. 131 no capítulo 4 desta Parte 4.</w:t>
      </w:r>
    </w:p>
  </w:footnote>
  <w:footnote w:id="171">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J. Medina (1978) 114, 124-126, 222; F. Rosas et al. [s. d.] 178. </w:t>
      </w:r>
    </w:p>
  </w:footnote>
  <w:footnote w:id="172">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M. B. Cruz (1982 a) 166. Acerca do racismo e do anti-semitismo de Sardinha ver igualmente o que escreveram Alfredo Pimenta e Mariotte</w:t>
      </w:r>
      <w:r>
        <w:rPr>
          <w:rFonts w:ascii="Arial Narrow" w:hAnsi="Arial Narrow"/>
        </w:rPr>
        <w:t>,</w:t>
      </w:r>
      <w:r w:rsidRPr="004033B7">
        <w:rPr>
          <w:rFonts w:ascii="Arial Narrow" w:hAnsi="Arial Narrow"/>
        </w:rPr>
        <w:t xml:space="preserve"> citados em J. Medina (1978) 205 n. 29 e 206 n. 30 cont.</w:t>
      </w:r>
    </w:p>
  </w:footnote>
  <w:footnote w:id="173">
    <w:p w:rsidR="003F07DD" w:rsidRPr="00490368" w:rsidRDefault="003F07DD" w:rsidP="00751A22">
      <w:pPr>
        <w:pStyle w:val="Textodenotaderodap"/>
        <w:rPr>
          <w:rFonts w:ascii="Arial Narrow" w:hAnsi="Arial Narrow"/>
        </w:rPr>
      </w:pPr>
      <w:r w:rsidRPr="00490368">
        <w:rPr>
          <w:rStyle w:val="Refdenotaderodap"/>
          <w:rFonts w:ascii="Arial Narrow" w:hAnsi="Arial Narrow"/>
        </w:rPr>
        <w:footnoteRef/>
      </w:r>
      <w:r w:rsidRPr="00490368">
        <w:rPr>
          <w:rFonts w:ascii="Arial Narrow" w:hAnsi="Arial Narrow"/>
        </w:rPr>
        <w:t xml:space="preserve"> Esta passagem </w:t>
      </w:r>
      <w:r>
        <w:rPr>
          <w:rFonts w:ascii="Arial Narrow" w:hAnsi="Arial Narrow"/>
        </w:rPr>
        <w:t xml:space="preserve">de um artigo de </w:t>
      </w:r>
      <w:r w:rsidRPr="00542AC6">
        <w:rPr>
          <w:rFonts w:ascii="Arial Narrow" w:hAnsi="Arial Narrow"/>
          <w:i/>
        </w:rPr>
        <w:t>Revolução</w:t>
      </w:r>
      <w:r>
        <w:rPr>
          <w:rFonts w:ascii="Arial Narrow" w:hAnsi="Arial Narrow"/>
          <w:i/>
        </w:rPr>
        <w:t>,</w:t>
      </w:r>
      <w:r>
        <w:rPr>
          <w:rFonts w:ascii="Arial Narrow" w:hAnsi="Arial Narrow"/>
        </w:rPr>
        <w:t xml:space="preserve"> 27 de Maio de 1933, encontra-se citada em I. F. Pimentel (2006) 38.</w:t>
      </w:r>
    </w:p>
  </w:footnote>
  <w:footnote w:id="174">
    <w:p w:rsidR="003F07DD" w:rsidRPr="00A174FB" w:rsidRDefault="003F07DD">
      <w:pPr>
        <w:pStyle w:val="Textodenotaderodap"/>
        <w:rPr>
          <w:rFonts w:ascii="Arial Narrow" w:hAnsi="Arial Narrow"/>
          <w:lang w:val="en-US"/>
        </w:rPr>
      </w:pPr>
      <w:r w:rsidRPr="00281020">
        <w:rPr>
          <w:rStyle w:val="Refdenotaderodap"/>
          <w:rFonts w:ascii="Arial Narrow" w:hAnsi="Arial Narrow"/>
        </w:rPr>
        <w:footnoteRef/>
      </w:r>
      <w:r w:rsidRPr="00A174FB">
        <w:rPr>
          <w:rFonts w:ascii="Arial Narrow" w:hAnsi="Arial Narrow"/>
          <w:lang w:val="en-US"/>
        </w:rPr>
        <w:t xml:space="preserve"> S. Chalante (2011) 45-62.</w:t>
      </w:r>
    </w:p>
  </w:footnote>
  <w:footnote w:id="175">
    <w:p w:rsidR="003F07DD" w:rsidRPr="00A174FB" w:rsidRDefault="003F07DD">
      <w:pPr>
        <w:pStyle w:val="Textodenotaderodap"/>
        <w:rPr>
          <w:rFonts w:ascii="Arial Narrow" w:hAnsi="Arial Narrow"/>
          <w:lang w:val="en-US"/>
        </w:rPr>
      </w:pPr>
      <w:r w:rsidRPr="00C1257C">
        <w:rPr>
          <w:rStyle w:val="Refdenotaderodap"/>
          <w:rFonts w:ascii="Arial Narrow" w:hAnsi="Arial Narrow"/>
        </w:rPr>
        <w:footnoteRef/>
      </w:r>
      <w:r w:rsidRPr="00A174FB">
        <w:rPr>
          <w:rFonts w:ascii="Arial Narrow" w:hAnsi="Arial Narrow"/>
          <w:lang w:val="en-US"/>
        </w:rPr>
        <w:t xml:space="preserve"> Id., ibid., 57.</w:t>
      </w:r>
    </w:p>
  </w:footnote>
  <w:footnote w:id="176">
    <w:p w:rsidR="003F07DD" w:rsidRPr="00CB4AF8" w:rsidRDefault="003F07DD">
      <w:pPr>
        <w:pStyle w:val="Textodenotaderodap"/>
        <w:rPr>
          <w:rFonts w:ascii="Arial Narrow" w:hAnsi="Arial Narrow"/>
        </w:rPr>
      </w:pPr>
      <w:r w:rsidRPr="00CB4AF8">
        <w:rPr>
          <w:rStyle w:val="Refdenotaderodap"/>
          <w:rFonts w:ascii="Arial Narrow" w:hAnsi="Arial Narrow"/>
        </w:rPr>
        <w:footnoteRef/>
      </w:r>
      <w:r w:rsidRPr="00A174FB">
        <w:rPr>
          <w:rFonts w:ascii="Arial Narrow" w:hAnsi="Arial Narrow"/>
          <w:lang w:val="en-US"/>
        </w:rPr>
        <w:t xml:space="preserve"> Id., ibid., 59. </w:t>
      </w:r>
      <w:r>
        <w:rPr>
          <w:rFonts w:ascii="Arial Narrow" w:hAnsi="Arial Narrow"/>
        </w:rPr>
        <w:t>Ver ainda a pág. 61.</w:t>
      </w:r>
    </w:p>
  </w:footnote>
  <w:footnote w:id="177">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M. Franco (2004) 119-123, 130-136, 139-147. A passagem citada do relatório enviado ao ministro dos Negócios Estrangeiros</w:t>
      </w:r>
      <w:r>
        <w:rPr>
          <w:rFonts w:ascii="Arial Narrow" w:hAnsi="Arial Narrow"/>
        </w:rPr>
        <w:t xml:space="preserve"> em 6 de Fevereiro de 1913</w:t>
      </w:r>
      <w:r w:rsidRPr="004033B7">
        <w:rPr>
          <w:rFonts w:ascii="Arial Narrow" w:hAnsi="Arial Narrow"/>
        </w:rPr>
        <w:t xml:space="preserve"> pelo encarregado de Negócios e cônsul-geral de Portugal em Istambul encontra-se na pág. 132.</w:t>
      </w:r>
    </w:p>
  </w:footnote>
  <w:footnote w:id="178">
    <w:p w:rsidR="003F07DD" w:rsidRPr="00FC7A38" w:rsidRDefault="003F07DD">
      <w:pPr>
        <w:pStyle w:val="Textodenotaderodap"/>
        <w:rPr>
          <w:rFonts w:ascii="Arial Narrow" w:hAnsi="Arial Narrow"/>
        </w:rPr>
      </w:pPr>
      <w:r w:rsidRPr="00FC7A38">
        <w:rPr>
          <w:rStyle w:val="Refdenotaderodap"/>
          <w:rFonts w:ascii="Arial Narrow" w:hAnsi="Arial Narrow"/>
        </w:rPr>
        <w:footnoteRef/>
      </w:r>
      <w:r w:rsidRPr="00FC7A38">
        <w:rPr>
          <w:rFonts w:ascii="Arial Narrow" w:hAnsi="Arial Narrow"/>
        </w:rPr>
        <w:t xml:space="preserve"> </w:t>
      </w:r>
      <w:r>
        <w:rPr>
          <w:rFonts w:ascii="Arial Narrow" w:hAnsi="Arial Narrow"/>
        </w:rPr>
        <w:t xml:space="preserve">Acerca da actividade do diplomata Carlos Branquinho ver </w:t>
      </w:r>
      <w:r w:rsidRPr="00FC7A38">
        <w:rPr>
          <w:rFonts w:ascii="Arial Narrow" w:hAnsi="Arial Narrow"/>
        </w:rPr>
        <w:t>S. Friedländer (2008)</w:t>
      </w:r>
      <w:r>
        <w:rPr>
          <w:rFonts w:ascii="Arial Narrow" w:hAnsi="Arial Narrow"/>
        </w:rPr>
        <w:t xml:space="preserve"> 945.</w:t>
      </w:r>
    </w:p>
  </w:footnote>
  <w:footnote w:id="179">
    <w:p w:rsidR="003F07DD" w:rsidRPr="00CC1249" w:rsidRDefault="003F07DD">
      <w:pPr>
        <w:pStyle w:val="Textodenotaderodap"/>
        <w:rPr>
          <w:rFonts w:ascii="Arial Narrow" w:hAnsi="Arial Narrow"/>
          <w:lang w:val="en-US"/>
        </w:rPr>
      </w:pPr>
      <w:r w:rsidRPr="00822435">
        <w:rPr>
          <w:rStyle w:val="Refdenotaderodap"/>
          <w:rFonts w:ascii="Arial Narrow" w:hAnsi="Arial Narrow"/>
        </w:rPr>
        <w:footnoteRef/>
      </w:r>
      <w:r w:rsidRPr="00CC1249">
        <w:rPr>
          <w:rFonts w:ascii="Arial Narrow" w:hAnsi="Arial Narrow"/>
          <w:lang w:val="en-US"/>
        </w:rPr>
        <w:t xml:space="preserve"> Sh. Sand (2010) </w:t>
      </w:r>
      <w:r w:rsidRPr="00CC1249">
        <w:rPr>
          <w:rFonts w:ascii="Arial Narrow" w:hAnsi="Arial Narrow"/>
          <w:i/>
          <w:lang w:val="en-US"/>
        </w:rPr>
        <w:t>passim</w:t>
      </w:r>
      <w:r w:rsidRPr="00CC1249">
        <w:rPr>
          <w:rFonts w:ascii="Arial Narrow" w:hAnsi="Arial Narrow"/>
          <w:lang w:val="en-US"/>
        </w:rPr>
        <w:t>.</w:t>
      </w:r>
    </w:p>
  </w:footnote>
  <w:footnote w:id="180">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B04558">
        <w:rPr>
          <w:rFonts w:ascii="Arial Narrow" w:hAnsi="Arial Narrow"/>
          <w:lang w:val="en-US"/>
        </w:rPr>
        <w:t xml:space="preserve"> L. Brenner (1983) 87. </w:t>
      </w:r>
      <w:r w:rsidRPr="004033B7">
        <w:rPr>
          <w:rFonts w:ascii="Arial Narrow" w:hAnsi="Arial Narrow"/>
        </w:rPr>
        <w:t>Segundo E. Black (1999) 373, da mão-de-obra judaica emigrada para a Palestina em 1934 e 1935 só cerca de 20% veio da Alemanha.</w:t>
      </w:r>
    </w:p>
  </w:footnote>
  <w:footnote w:id="181">
    <w:p w:rsidR="003F07DD" w:rsidRPr="00522A4F" w:rsidRDefault="003F07DD">
      <w:pPr>
        <w:pStyle w:val="Textodenotaderodap"/>
        <w:rPr>
          <w:rFonts w:ascii="Arial Narrow" w:hAnsi="Arial Narrow"/>
        </w:rPr>
      </w:pPr>
      <w:r w:rsidRPr="000060E0">
        <w:rPr>
          <w:rStyle w:val="Refdenotaderodap"/>
          <w:rFonts w:ascii="Arial Narrow" w:hAnsi="Arial Narrow"/>
        </w:rPr>
        <w:footnoteRef/>
      </w:r>
      <w:r w:rsidRPr="00522A4F">
        <w:rPr>
          <w:rFonts w:ascii="Arial Narrow" w:hAnsi="Arial Narrow"/>
        </w:rPr>
        <w:t xml:space="preserve"> K. Polkehn (1976) 66 n. 40. Segundo K. A. Schleunes (1990) 198, em 1933 </w:t>
      </w:r>
      <w:r>
        <w:rPr>
          <w:rFonts w:ascii="Arial Narrow" w:hAnsi="Arial Narrow"/>
        </w:rPr>
        <w:t xml:space="preserve">cerca de </w:t>
      </w:r>
      <w:r w:rsidRPr="00522A4F">
        <w:rPr>
          <w:rFonts w:ascii="Arial Narrow" w:hAnsi="Arial Narrow"/>
        </w:rPr>
        <w:t>1/5 da</w:t>
      </w:r>
      <w:r>
        <w:rPr>
          <w:rFonts w:ascii="Arial Narrow" w:hAnsi="Arial Narrow"/>
        </w:rPr>
        <w:t xml:space="preserve"> emigração judaica proveniente do Reich dirigira-se para a Palestina, e mais de 1/3 em 1934.</w:t>
      </w:r>
    </w:p>
  </w:footnote>
  <w:footnote w:id="182">
    <w:p w:rsidR="003F07DD" w:rsidRPr="00B24910" w:rsidRDefault="003F07DD">
      <w:pPr>
        <w:pStyle w:val="Textodenotaderodap"/>
        <w:rPr>
          <w:rFonts w:ascii="Arial Narrow" w:hAnsi="Arial Narrow"/>
          <w:lang w:val="en-US"/>
        </w:rPr>
      </w:pPr>
      <w:r w:rsidRPr="00B24910">
        <w:rPr>
          <w:rStyle w:val="Refdenotaderodap"/>
          <w:rFonts w:ascii="Arial Narrow" w:hAnsi="Arial Narrow"/>
        </w:rPr>
        <w:footnoteRef/>
      </w:r>
      <w:r w:rsidRPr="00B24910">
        <w:rPr>
          <w:rFonts w:ascii="Arial Narrow" w:hAnsi="Arial Narrow"/>
          <w:lang w:val="en-US"/>
        </w:rPr>
        <w:t xml:space="preserve"> </w:t>
      </w:r>
      <w:r w:rsidRPr="00C27F6A">
        <w:rPr>
          <w:rFonts w:ascii="Arial Narrow" w:hAnsi="Arial Narrow"/>
          <w:lang w:val="en-US"/>
        </w:rPr>
        <w:t>S. Friedländer (2008) 881-882.</w:t>
      </w:r>
    </w:p>
  </w:footnote>
  <w:footnote w:id="183">
    <w:p w:rsidR="003F07DD" w:rsidRPr="004033B7" w:rsidRDefault="003F07DD" w:rsidP="00751A22">
      <w:pPr>
        <w:pStyle w:val="Textodenotaderodap"/>
        <w:ind w:firstLine="708"/>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E. Black (1999) 168; H. M. Sachar (1976) 52</w:t>
      </w:r>
      <w:r>
        <w:rPr>
          <w:rFonts w:ascii="Arial Narrow" w:hAnsi="Arial Narrow"/>
          <w:lang w:val="en-GB"/>
        </w:rPr>
        <w:t xml:space="preserve">; </w:t>
      </w:r>
      <w:r w:rsidRPr="00B73C63">
        <w:rPr>
          <w:rFonts w:ascii="Arial Narrow" w:hAnsi="Arial Narrow"/>
          <w:lang w:val="en-US"/>
        </w:rPr>
        <w:t>K</w:t>
      </w:r>
      <w:r>
        <w:rPr>
          <w:rFonts w:ascii="Arial Narrow" w:hAnsi="Arial Narrow"/>
          <w:lang w:val="en-US"/>
        </w:rPr>
        <w:t>.</w:t>
      </w:r>
      <w:r w:rsidRPr="00B73C63">
        <w:rPr>
          <w:rFonts w:ascii="Arial Narrow" w:hAnsi="Arial Narrow"/>
          <w:lang w:val="en-US"/>
        </w:rPr>
        <w:t xml:space="preserve"> A. Schleunes (1990)</w:t>
      </w:r>
      <w:r>
        <w:rPr>
          <w:rFonts w:ascii="Arial Narrow" w:hAnsi="Arial Narrow"/>
          <w:lang w:val="en-US"/>
        </w:rPr>
        <w:t xml:space="preserve"> 6</w:t>
      </w:r>
      <w:r w:rsidRPr="004033B7">
        <w:rPr>
          <w:rFonts w:ascii="Arial Narrow" w:hAnsi="Arial Narrow"/>
          <w:lang w:val="en-GB"/>
        </w:rPr>
        <w:t>.</w:t>
      </w:r>
    </w:p>
  </w:footnote>
  <w:footnote w:id="184">
    <w:p w:rsidR="003F07DD" w:rsidRPr="005E4015" w:rsidRDefault="003F07DD">
      <w:pPr>
        <w:pStyle w:val="Textodenotaderodap"/>
        <w:rPr>
          <w:rFonts w:ascii="Arial Narrow" w:hAnsi="Arial Narrow"/>
          <w:lang w:val="en-US"/>
        </w:rPr>
      </w:pPr>
      <w:r w:rsidRPr="0082110C">
        <w:rPr>
          <w:rStyle w:val="Refdenotaderodap"/>
          <w:rFonts w:ascii="Arial Narrow" w:hAnsi="Arial Narrow"/>
        </w:rPr>
        <w:footnoteRef/>
      </w:r>
      <w:r w:rsidRPr="005E4015">
        <w:rPr>
          <w:rFonts w:ascii="Arial Narrow" w:hAnsi="Arial Narrow"/>
          <w:lang w:val="en-US"/>
        </w:rPr>
        <w:t xml:space="preserve"> Sh. Sand (2010) 252.</w:t>
      </w:r>
    </w:p>
  </w:footnote>
  <w:footnote w:id="185">
    <w:p w:rsidR="003F07DD" w:rsidRPr="005E4015" w:rsidRDefault="003F07DD">
      <w:pPr>
        <w:pStyle w:val="Textodenotaderodap"/>
        <w:rPr>
          <w:rFonts w:ascii="Arial Narrow" w:hAnsi="Arial Narrow"/>
          <w:lang w:val="en-US"/>
        </w:rPr>
      </w:pPr>
      <w:r w:rsidRPr="00146704">
        <w:rPr>
          <w:rStyle w:val="Refdenotaderodap"/>
          <w:rFonts w:ascii="Arial Narrow" w:hAnsi="Arial Narrow"/>
        </w:rPr>
        <w:footnoteRef/>
      </w:r>
      <w:r w:rsidRPr="005E4015">
        <w:rPr>
          <w:rFonts w:ascii="Arial Narrow" w:hAnsi="Arial Narrow"/>
          <w:lang w:val="en-US"/>
        </w:rPr>
        <w:t xml:space="preserve"> Id., ibid., </w:t>
      </w:r>
      <w:r w:rsidRPr="005E4015">
        <w:rPr>
          <w:rFonts w:ascii="Arial Narrow" w:hAnsi="Arial Narrow"/>
          <w:i/>
          <w:lang w:val="en-US"/>
        </w:rPr>
        <w:t>passim</w:t>
      </w:r>
      <w:r w:rsidRPr="005E4015">
        <w:rPr>
          <w:rFonts w:ascii="Arial Narrow" w:hAnsi="Arial Narrow"/>
          <w:lang w:val="en-US"/>
        </w:rPr>
        <w:t>.</w:t>
      </w:r>
    </w:p>
  </w:footnote>
  <w:footnote w:id="186">
    <w:p w:rsidR="003F07DD" w:rsidRPr="00DE0D98" w:rsidRDefault="003F07DD" w:rsidP="000A19DA">
      <w:pPr>
        <w:pStyle w:val="Textodenotaderodap"/>
        <w:rPr>
          <w:rFonts w:ascii="Arial Narrow" w:hAnsi="Arial Narrow"/>
        </w:rPr>
      </w:pPr>
      <w:r w:rsidRPr="00DE0D98">
        <w:rPr>
          <w:rStyle w:val="Refdenotaderodap"/>
          <w:rFonts w:ascii="Arial Narrow" w:hAnsi="Arial Narrow"/>
        </w:rPr>
        <w:footnoteRef/>
      </w:r>
      <w:r w:rsidRPr="00DE0D98">
        <w:rPr>
          <w:rFonts w:ascii="Arial Narrow" w:hAnsi="Arial Narrow"/>
        </w:rPr>
        <w:t xml:space="preserve"> </w:t>
      </w:r>
      <w:r>
        <w:rPr>
          <w:rFonts w:ascii="Arial Narrow" w:hAnsi="Arial Narrow"/>
        </w:rPr>
        <w:t>S. Haffner (2011) 101.</w:t>
      </w:r>
    </w:p>
  </w:footnote>
  <w:footnote w:id="187">
    <w:p w:rsidR="003F07DD" w:rsidRPr="008042FD" w:rsidRDefault="003F07DD" w:rsidP="00751A22">
      <w:pPr>
        <w:pStyle w:val="Textodenotaderodap"/>
        <w:rPr>
          <w:rFonts w:ascii="Arial Narrow" w:hAnsi="Arial Narrow"/>
        </w:rPr>
      </w:pPr>
      <w:r w:rsidRPr="00E55132">
        <w:rPr>
          <w:rStyle w:val="Refdenotaderodap"/>
          <w:rFonts w:ascii="Arial Narrow" w:hAnsi="Arial Narrow"/>
        </w:rPr>
        <w:footnoteRef/>
      </w:r>
      <w:r w:rsidRPr="0082110C">
        <w:rPr>
          <w:rFonts w:ascii="Arial Narrow" w:hAnsi="Arial Narrow"/>
        </w:rPr>
        <w:t xml:space="preserve"> N. Cohn (1992) 171, 173. </w:t>
      </w:r>
      <w:r w:rsidRPr="00F07C2D">
        <w:rPr>
          <w:rFonts w:ascii="Arial Narrow" w:hAnsi="Arial Narrow"/>
        </w:rPr>
        <w:t xml:space="preserve">Ver igualmente </w:t>
      </w:r>
      <w:r w:rsidRPr="008042FD">
        <w:rPr>
          <w:rFonts w:ascii="Arial Narrow" w:hAnsi="Arial Narrow"/>
        </w:rPr>
        <w:t xml:space="preserve">M. Mayer (1966) 300-302 e </w:t>
      </w:r>
      <w:r w:rsidRPr="00F07C2D">
        <w:rPr>
          <w:rFonts w:ascii="Arial Narrow" w:hAnsi="Arial Narrow"/>
        </w:rPr>
        <w:t xml:space="preserve">Sh. </w:t>
      </w:r>
      <w:r w:rsidRPr="008042FD">
        <w:rPr>
          <w:rFonts w:ascii="Arial Narrow" w:hAnsi="Arial Narrow"/>
        </w:rPr>
        <w:t>Sand (2010) 251.</w:t>
      </w:r>
    </w:p>
  </w:footnote>
  <w:footnote w:id="188">
    <w:p w:rsidR="003F07DD" w:rsidRPr="008042FD"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8042FD">
        <w:rPr>
          <w:rFonts w:ascii="Arial Narrow" w:hAnsi="Arial Narrow"/>
        </w:rPr>
        <w:t xml:space="preserve"> H. M. Sachar (1976) 96.</w:t>
      </w:r>
    </w:p>
  </w:footnote>
  <w:footnote w:id="189">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8042FD">
        <w:rPr>
          <w:rFonts w:ascii="Arial Narrow" w:hAnsi="Arial Narrow"/>
        </w:rPr>
        <w:t xml:space="preserve"> L. Brenner (1984) 84; H. L. Feingold (1995) 217. </w:t>
      </w:r>
      <w:r w:rsidRPr="004033B7">
        <w:rPr>
          <w:rFonts w:ascii="Arial Narrow" w:hAnsi="Arial Narrow"/>
        </w:rPr>
        <w:t>Henry Feingold</w:t>
      </w:r>
      <w:r>
        <w:rPr>
          <w:rFonts w:ascii="Arial Narrow" w:hAnsi="Arial Narrow"/>
        </w:rPr>
        <w:t>,</w:t>
      </w:r>
      <w:r w:rsidRPr="004033B7">
        <w:rPr>
          <w:rFonts w:ascii="Arial Narrow" w:hAnsi="Arial Narrow"/>
        </w:rPr>
        <w:t xml:space="preserve"> </w:t>
      </w:r>
      <w:r w:rsidRPr="0011277E">
        <w:rPr>
          <w:rFonts w:ascii="Arial Narrow" w:hAnsi="Arial Narrow"/>
        </w:rPr>
        <w:t>op. cit.,</w:t>
      </w:r>
      <w:r w:rsidRPr="004033B7">
        <w:rPr>
          <w:rFonts w:ascii="Arial Narrow" w:hAnsi="Arial Narrow"/>
        </w:rPr>
        <w:t xml:space="preserve"> 244-245 observ</w:t>
      </w:r>
      <w:r>
        <w:rPr>
          <w:rFonts w:ascii="Arial Narrow" w:hAnsi="Arial Narrow"/>
        </w:rPr>
        <w:t>ou</w:t>
      </w:r>
      <w:r w:rsidRPr="004033B7">
        <w:rPr>
          <w:rFonts w:ascii="Arial Narrow" w:hAnsi="Arial Narrow"/>
        </w:rPr>
        <w:t xml:space="preserve"> que, embora em termos relativos os judeus norte-americanos tivessem tido uma participação muitíssimo considerável nas Brigadas Internacionais na guerra civil espanhola, tal como eram muito activos no movimento operário e nos movimentos pela paz, não encontrara </w:t>
      </w:r>
      <w:r>
        <w:rPr>
          <w:rFonts w:ascii="Arial Narrow" w:hAnsi="Arial Narrow"/>
        </w:rPr>
        <w:t>nenhum</w:t>
      </w:r>
      <w:r w:rsidRPr="004033B7">
        <w:rPr>
          <w:rFonts w:ascii="Arial Narrow" w:hAnsi="Arial Narrow"/>
        </w:rPr>
        <w:t xml:space="preserve"> eco o apelo de Jabotinsky para a formação de um exército judaico destinado a combater ao lado dos britânicos na guerra mundial. Isto revela, conclui</w:t>
      </w:r>
      <w:r>
        <w:rPr>
          <w:rFonts w:ascii="Arial Narrow" w:hAnsi="Arial Narrow"/>
        </w:rPr>
        <w:t>u</w:t>
      </w:r>
      <w:r w:rsidRPr="004033B7">
        <w:rPr>
          <w:rFonts w:ascii="Arial Narrow" w:hAnsi="Arial Narrow"/>
        </w:rPr>
        <w:t xml:space="preserve"> Feingold, que os judeus dos Estados Unidos se interessavam mais pelos problemas políticos gerais do que por aqueles que diziam respeito ao sionismo.</w:t>
      </w:r>
    </w:p>
  </w:footnote>
  <w:footnote w:id="190">
    <w:p w:rsidR="003F07DD" w:rsidRPr="00751A22"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G. Aly et al. (2006) 345 n. 31.</w:t>
      </w:r>
    </w:p>
  </w:footnote>
  <w:footnote w:id="191">
    <w:p w:rsidR="003F07DD" w:rsidRPr="00751A22"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E. Ringelblum (1964) 311.</w:t>
      </w:r>
    </w:p>
  </w:footnote>
  <w:footnote w:id="192">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26 e segs. Ver igualmente as págs. 188-190.</w:t>
      </w:r>
    </w:p>
  </w:footnote>
  <w:footnote w:id="193">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H. Arendt (1994) 59; L. Brenner (1983) 31. Segundo E. Black (1999) 177, 97% dos judeus alemães rejeitavam o sionismo e reivindicavam a integração na sociedade onde viviam</w:t>
      </w:r>
      <w:r>
        <w:rPr>
          <w:rFonts w:ascii="Arial Narrow" w:hAnsi="Arial Narrow"/>
        </w:rPr>
        <w:t xml:space="preserve"> e K. Polkehn (1976) 56 indicou que em 1925 </w:t>
      </w:r>
      <w:r w:rsidRPr="002B042E">
        <w:rPr>
          <w:rFonts w:ascii="Arial Narrow" w:hAnsi="Arial Narrow"/>
        </w:rPr>
        <w:t xml:space="preserve">menos de 2% dos judeus alemães </w:t>
      </w:r>
      <w:r>
        <w:rPr>
          <w:rFonts w:ascii="Arial Narrow" w:hAnsi="Arial Narrow"/>
        </w:rPr>
        <w:t xml:space="preserve">eram </w:t>
      </w:r>
      <w:r w:rsidRPr="002B042E">
        <w:rPr>
          <w:rFonts w:ascii="Arial Narrow" w:hAnsi="Arial Narrow"/>
        </w:rPr>
        <w:t>membros de organizações sionistas</w:t>
      </w:r>
      <w:r>
        <w:rPr>
          <w:rFonts w:ascii="Arial Narrow" w:hAnsi="Arial Narrow"/>
        </w:rPr>
        <w:t>.</w:t>
      </w:r>
    </w:p>
  </w:footnote>
  <w:footnote w:id="194">
    <w:p w:rsidR="003F07DD" w:rsidRPr="007D16CF"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7D16CF">
        <w:rPr>
          <w:rFonts w:ascii="Arial Narrow" w:hAnsi="Arial Narrow"/>
        </w:rPr>
        <w:t xml:space="preserve"> A. Pichot (2000) 402. Porém, K. A. Schleunes (1990) 38 indicou que no final da década de 1920, em Berlim e Frankfurt, onde se concentravam mais de 37% dos judeus alemães, um terço casava-se com não-judeus.</w:t>
      </w:r>
    </w:p>
  </w:footnote>
  <w:footnote w:id="195">
    <w:p w:rsidR="003F07DD" w:rsidRPr="003A1033" w:rsidRDefault="003F07DD">
      <w:pPr>
        <w:pStyle w:val="Textodenotaderodap"/>
        <w:rPr>
          <w:rFonts w:ascii="Arial Narrow" w:hAnsi="Arial Narrow"/>
          <w:lang w:val="en-US"/>
        </w:rPr>
      </w:pPr>
      <w:r w:rsidRPr="003A1033">
        <w:rPr>
          <w:rStyle w:val="Refdenotaderodap"/>
          <w:rFonts w:ascii="Arial Narrow" w:hAnsi="Arial Narrow"/>
        </w:rPr>
        <w:footnoteRef/>
      </w:r>
      <w:r w:rsidRPr="003A1033">
        <w:rPr>
          <w:rFonts w:ascii="Arial Narrow" w:hAnsi="Arial Narrow"/>
          <w:lang w:val="en-US"/>
        </w:rPr>
        <w:t xml:space="preserve"> </w:t>
      </w:r>
      <w:r w:rsidRPr="00043D91">
        <w:rPr>
          <w:rFonts w:ascii="Arial Narrow" w:hAnsi="Arial Narrow"/>
          <w:lang w:val="en-US"/>
        </w:rPr>
        <w:t>D. Welch (2002)</w:t>
      </w:r>
      <w:r>
        <w:rPr>
          <w:rFonts w:ascii="Arial Narrow" w:hAnsi="Arial Narrow"/>
          <w:lang w:val="en-US"/>
        </w:rPr>
        <w:t xml:space="preserve"> 92.</w:t>
      </w:r>
    </w:p>
  </w:footnote>
  <w:footnote w:id="196">
    <w:p w:rsidR="003F07DD" w:rsidRPr="004033B7" w:rsidRDefault="003F07DD" w:rsidP="00751A22">
      <w:pPr>
        <w:pStyle w:val="Textodenotaderodap"/>
        <w:ind w:firstLine="708"/>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E. Black (1999) 35; H. M. Sachar (1976) 193.</w:t>
      </w:r>
    </w:p>
  </w:footnote>
  <w:footnote w:id="197">
    <w:p w:rsidR="003F07DD" w:rsidRPr="001417B6"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1417B6">
        <w:rPr>
          <w:rFonts w:ascii="Arial Narrow" w:hAnsi="Arial Narrow"/>
          <w:lang w:val="en-US"/>
        </w:rPr>
        <w:t xml:space="preserve"> L. Brenner (1983) 86.</w:t>
      </w:r>
    </w:p>
  </w:footnote>
  <w:footnote w:id="198">
    <w:p w:rsidR="003F07DD" w:rsidRPr="00A93BF5" w:rsidRDefault="003F07DD">
      <w:pPr>
        <w:pStyle w:val="Textodenotaderodap"/>
        <w:rPr>
          <w:rFonts w:ascii="Arial Narrow" w:hAnsi="Arial Narrow"/>
          <w:lang w:val="en-US"/>
        </w:rPr>
      </w:pPr>
      <w:r w:rsidRPr="00A93BF5">
        <w:rPr>
          <w:rStyle w:val="Refdenotaderodap"/>
          <w:rFonts w:ascii="Arial Narrow" w:hAnsi="Arial Narrow"/>
        </w:rPr>
        <w:footnoteRef/>
      </w:r>
      <w:r w:rsidRPr="00A93BF5">
        <w:rPr>
          <w:rFonts w:ascii="Arial Narrow" w:hAnsi="Arial Narrow"/>
          <w:lang w:val="en-US"/>
        </w:rPr>
        <w:t xml:space="preserve"> K. A. Schleunes (1990)</w:t>
      </w:r>
      <w:r>
        <w:rPr>
          <w:rFonts w:ascii="Arial Narrow" w:hAnsi="Arial Narrow"/>
          <w:lang w:val="en-US"/>
        </w:rPr>
        <w:t xml:space="preserve"> 212.</w:t>
      </w:r>
    </w:p>
  </w:footnote>
  <w:footnote w:id="199">
    <w:p w:rsidR="003F07DD" w:rsidRPr="00751A22"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1417B6">
        <w:rPr>
          <w:rFonts w:ascii="Arial Narrow" w:hAnsi="Arial Narrow"/>
        </w:rPr>
        <w:t xml:space="preserve"> E. Black (1999) 166, 175, 255. </w:t>
      </w:r>
      <w:r w:rsidRPr="004033B7">
        <w:rPr>
          <w:rFonts w:ascii="Arial Narrow" w:hAnsi="Arial Narrow"/>
        </w:rPr>
        <w:t>Só 1,7% dos judeus da Alemanha trabalhava na agricultura, consoante indic</w:t>
      </w:r>
      <w:r>
        <w:rPr>
          <w:rFonts w:ascii="Arial Narrow" w:hAnsi="Arial Narrow"/>
        </w:rPr>
        <w:t>ou</w:t>
      </w:r>
      <w:r w:rsidRPr="004033B7">
        <w:rPr>
          <w:rFonts w:ascii="Arial Narrow" w:hAnsi="Arial Narrow"/>
        </w:rPr>
        <w:t xml:space="preserve"> H. L. Feingold (1995) 132. Em 9 de Julho de 1933 o judeu alemão Victor Klemperer escreveu no seu diário: «Agora ouve-se falar muito da Palestina; não nos seduz». E em 10 de Janeiro de 1939 explicou o motivo, considerando que «é um absurdo e um crime contra a natureza e contra a cultura se os emigrantes da Europa ocidental se destinarem agora a ser completamente convertidos em trabalhadores agrícolas». Ver M. Chalmers (org. 2006 a) 27 e 339 respectivamente. Klemperer insistiu no carácter retrógrado do sionismo no dia 30 de Maio de 1942 em id. </w:t>
      </w:r>
      <w:r w:rsidRPr="00751A22">
        <w:rPr>
          <w:rFonts w:ascii="Arial Narrow" w:hAnsi="Arial Narrow"/>
          <w:lang w:val="en-US"/>
        </w:rPr>
        <w:t>(org. 2006 b) 74.</w:t>
      </w:r>
    </w:p>
  </w:footnote>
  <w:footnote w:id="200">
    <w:p w:rsidR="003F07DD" w:rsidRPr="00751A22"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E. Black (1999) 73-75.</w:t>
      </w:r>
    </w:p>
  </w:footnote>
  <w:footnote w:id="201">
    <w:p w:rsidR="003F07DD" w:rsidRPr="00751A22"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Citado em L. Brenner (1983) 34.</w:t>
      </w:r>
    </w:p>
  </w:footnote>
  <w:footnote w:id="202">
    <w:p w:rsidR="003F07DD" w:rsidRPr="00751A22"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E. Black (1999) 226.</w:t>
      </w:r>
    </w:p>
  </w:footnote>
  <w:footnote w:id="20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751A22">
        <w:rPr>
          <w:rFonts w:ascii="Arial Narrow" w:hAnsi="Arial Narrow"/>
          <w:lang w:val="en-US"/>
        </w:rPr>
        <w:t xml:space="preserve"> L. Brenner (1983) 14. </w:t>
      </w:r>
      <w:r w:rsidRPr="004033B7">
        <w:rPr>
          <w:rFonts w:ascii="Arial Narrow" w:hAnsi="Arial Narrow"/>
        </w:rPr>
        <w:t xml:space="preserve">A estimativa do número de vítimas dos </w:t>
      </w:r>
      <w:r w:rsidRPr="004033B7">
        <w:rPr>
          <w:rFonts w:ascii="Arial Narrow" w:hAnsi="Arial Narrow"/>
          <w:i/>
        </w:rPr>
        <w:t>pogroms</w:t>
      </w:r>
      <w:r w:rsidRPr="004033B7">
        <w:rPr>
          <w:rFonts w:ascii="Arial Narrow" w:hAnsi="Arial Narrow"/>
        </w:rPr>
        <w:t xml:space="preserve"> na Ucrânia de Petlyura encontra-se em id. (1984) 67.</w:t>
      </w:r>
    </w:p>
  </w:footnote>
  <w:footnote w:id="204">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(1983) 109-110; id. (1984) 66-69. Segundo id., ibid., 70, Jabotinsky nunca deixou de defender a sua aliança com Petlyura.</w:t>
      </w:r>
    </w:p>
  </w:footnote>
  <w:footnote w:id="205">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(1984) 102; H. M. Sachar (1976) 186-187. A expressão vem mencionada em Lenni Brenner, </w:t>
      </w:r>
      <w:r w:rsidRPr="000E229F">
        <w:rPr>
          <w:rFonts w:ascii="Arial Narrow" w:hAnsi="Arial Narrow"/>
        </w:rPr>
        <w:t>op. cit.,</w:t>
      </w:r>
      <w:r w:rsidRPr="004033B7">
        <w:rPr>
          <w:rFonts w:ascii="Arial Narrow" w:hAnsi="Arial Narrow"/>
        </w:rPr>
        <w:t xml:space="preserve"> 102.</w:t>
      </w:r>
    </w:p>
  </w:footnote>
  <w:footnote w:id="206">
    <w:p w:rsidR="003F07DD" w:rsidRPr="00B20432"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w:t>
      </w:r>
      <w:r>
        <w:rPr>
          <w:rFonts w:ascii="Arial Narrow" w:hAnsi="Arial Narrow"/>
        </w:rPr>
        <w:t>a</w:t>
      </w:r>
      <w:r w:rsidRPr="004033B7">
        <w:rPr>
          <w:rFonts w:ascii="Arial Narrow" w:hAnsi="Arial Narrow"/>
        </w:rPr>
        <w:t xml:space="preserve"> em L. Brenner (1983) 197 e (1984) 103.</w:t>
      </w:r>
    </w:p>
  </w:footnote>
  <w:footnote w:id="207">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w:t>
      </w:r>
      <w:r>
        <w:rPr>
          <w:rFonts w:ascii="Arial Narrow" w:hAnsi="Arial Narrow"/>
        </w:rPr>
        <w:t xml:space="preserve">Id. </w:t>
      </w:r>
      <w:r w:rsidRPr="004033B7">
        <w:rPr>
          <w:rFonts w:ascii="Arial Narrow" w:hAnsi="Arial Narrow"/>
        </w:rPr>
        <w:t>(1984) 103, 196.</w:t>
      </w:r>
    </w:p>
  </w:footnote>
  <w:footnote w:id="208">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(1983) 195, 197; id. (1984) 102; Ł. Hirszowicz (1966) 34-35 n. Entretanto, segundo inform</w:t>
      </w:r>
      <w:r>
        <w:rPr>
          <w:rFonts w:ascii="Arial Narrow" w:hAnsi="Arial Narrow"/>
        </w:rPr>
        <w:t>ou</w:t>
      </w:r>
      <w:r w:rsidRPr="004033B7">
        <w:rPr>
          <w:rFonts w:ascii="Arial Narrow" w:hAnsi="Arial Narrow"/>
        </w:rPr>
        <w:t xml:space="preserve"> Benoist-Méchin (1964-1966) V 217, em Dezembro de 1937 o ministro polaco dos Negócios Estrangeiros pergunta</w:t>
      </w:r>
      <w:r>
        <w:rPr>
          <w:rFonts w:ascii="Arial Narrow" w:hAnsi="Arial Narrow"/>
        </w:rPr>
        <w:t>r</w:t>
      </w:r>
      <w:r w:rsidRPr="004033B7">
        <w:rPr>
          <w:rFonts w:ascii="Arial Narrow" w:hAnsi="Arial Narrow"/>
        </w:rPr>
        <w:t>a ao seu colega francês se aceitaria que todos os judeus polacos fossem deportados para Madagáscar.</w:t>
      </w:r>
      <w:r>
        <w:rPr>
          <w:rFonts w:ascii="Arial Narrow" w:hAnsi="Arial Narrow"/>
        </w:rPr>
        <w:t xml:space="preserve"> Também os nacionais-socialistas tiveram o mesmo plano, como se vê em J. Noakes et al. (orgs. 2008-2010) III 468 e segs. </w:t>
      </w:r>
      <w:r w:rsidRPr="007D16CF">
        <w:rPr>
          <w:rFonts w:ascii="Arial Narrow" w:hAnsi="Arial Narrow"/>
        </w:rPr>
        <w:t>J. C. Fest (1974) 1169 considerou, com razão, este plano incompatível com a ideologia de Hitler.</w:t>
      </w:r>
    </w:p>
  </w:footnote>
  <w:footnote w:id="209">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91; H. M. Sachar (1976) 195, 210.</w:t>
      </w:r>
    </w:p>
  </w:footnote>
  <w:footnote w:id="210">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223; H. M. Sachar (1976) 195.</w:t>
      </w:r>
    </w:p>
  </w:footnote>
  <w:footnote w:id="211">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212 observ</w:t>
      </w:r>
      <w:r>
        <w:rPr>
          <w:rFonts w:ascii="Arial Narrow" w:hAnsi="Arial Narrow"/>
        </w:rPr>
        <w:t>ou</w:t>
      </w:r>
      <w:r w:rsidRPr="004033B7">
        <w:rPr>
          <w:rFonts w:ascii="Arial Narrow" w:hAnsi="Arial Narrow"/>
        </w:rPr>
        <w:t xml:space="preserve"> que a política pró-árabe de Mussolini se dirigia contra a Grã-Bretanha e indic</w:t>
      </w:r>
      <w:r>
        <w:rPr>
          <w:rFonts w:ascii="Arial Narrow" w:hAnsi="Arial Narrow"/>
        </w:rPr>
        <w:t>ou</w:t>
      </w:r>
      <w:r w:rsidRPr="004033B7">
        <w:rPr>
          <w:rFonts w:ascii="Arial Narrow" w:hAnsi="Arial Narrow"/>
        </w:rPr>
        <w:t xml:space="preserve"> (pág. 201) que o Duce só apoiaria os sionistas se eles se virassem contra os interesses de Londres. Aliás, este historiador relat</w:t>
      </w:r>
      <w:r>
        <w:rPr>
          <w:rFonts w:ascii="Arial Narrow" w:hAnsi="Arial Narrow"/>
        </w:rPr>
        <w:t xml:space="preserve">ou (págs. </w:t>
      </w:r>
      <w:r w:rsidRPr="004033B7">
        <w:rPr>
          <w:rFonts w:ascii="Arial Narrow" w:hAnsi="Arial Narrow"/>
        </w:rPr>
        <w:t>237-238</w:t>
      </w:r>
      <w:r>
        <w:rPr>
          <w:rFonts w:ascii="Arial Narrow" w:hAnsi="Arial Narrow"/>
        </w:rPr>
        <w:t>)</w:t>
      </w:r>
      <w:r w:rsidRPr="004033B7">
        <w:rPr>
          <w:rFonts w:ascii="Arial Narrow" w:hAnsi="Arial Narrow"/>
        </w:rPr>
        <w:t xml:space="preserve"> que na mesma viagem à Líbia em que recebe</w:t>
      </w:r>
      <w:r>
        <w:rPr>
          <w:rFonts w:ascii="Arial Narrow" w:hAnsi="Arial Narrow"/>
        </w:rPr>
        <w:t>ra</w:t>
      </w:r>
      <w:r w:rsidRPr="004033B7">
        <w:rPr>
          <w:rFonts w:ascii="Arial Narrow" w:hAnsi="Arial Narrow"/>
        </w:rPr>
        <w:t xml:space="preserve"> a «espada do Islão» Mussolini visit</w:t>
      </w:r>
      <w:r>
        <w:rPr>
          <w:rFonts w:ascii="Arial Narrow" w:hAnsi="Arial Narrow"/>
        </w:rPr>
        <w:t>ara</w:t>
      </w:r>
      <w:r w:rsidRPr="004033B7">
        <w:rPr>
          <w:rFonts w:ascii="Arial Narrow" w:hAnsi="Arial Narrow"/>
        </w:rPr>
        <w:t xml:space="preserve"> o bairro judeu de Tripoli, onde proferi</w:t>
      </w:r>
      <w:r>
        <w:rPr>
          <w:rFonts w:ascii="Arial Narrow" w:hAnsi="Arial Narrow"/>
        </w:rPr>
        <w:t>ra</w:t>
      </w:r>
      <w:r w:rsidRPr="004033B7">
        <w:rPr>
          <w:rFonts w:ascii="Arial Narrow" w:hAnsi="Arial Narrow"/>
        </w:rPr>
        <w:t xml:space="preserve"> declarações de simpatia pela causa judaica.</w:t>
      </w:r>
    </w:p>
  </w:footnote>
  <w:footnote w:id="212">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202.</w:t>
      </w:r>
    </w:p>
  </w:footnote>
  <w:footnote w:id="213">
    <w:p w:rsidR="003F07DD" w:rsidRPr="004033B7" w:rsidRDefault="003F07DD" w:rsidP="00751A22">
      <w:pPr>
        <w:pStyle w:val="Textodenotaderodap"/>
        <w:ind w:firstLine="708"/>
        <w:rPr>
          <w:rFonts w:ascii="Arial Narrow" w:hAnsi="Arial Narrow"/>
          <w:lang w:val="es-ES"/>
        </w:rPr>
      </w:pPr>
      <w:r w:rsidRPr="004033B7">
        <w:rPr>
          <w:rStyle w:val="Refdenotaderodap"/>
          <w:rFonts w:ascii="Arial Narrow" w:hAnsi="Arial Narrow"/>
        </w:rPr>
        <w:footnoteRef/>
      </w:r>
      <w:r w:rsidRPr="004033B7">
        <w:rPr>
          <w:rFonts w:ascii="Arial Narrow" w:hAnsi="Arial Narrow"/>
        </w:rPr>
        <w:t xml:space="preserve"> Id., ibid., 103-104 e 196 mostr</w:t>
      </w:r>
      <w:r>
        <w:rPr>
          <w:rFonts w:ascii="Arial Narrow" w:hAnsi="Arial Narrow"/>
        </w:rPr>
        <w:t>ou</w:t>
      </w:r>
      <w:r w:rsidRPr="004033B7">
        <w:rPr>
          <w:rFonts w:ascii="Arial Narrow" w:hAnsi="Arial Narrow"/>
        </w:rPr>
        <w:t xml:space="preserve"> que, para compensar a influência britânica, os sionistas tinham todo o interesse no apoio político, económico e cultural que lhes era prestado pela Itália fascista. Por isso Mussolini </w:t>
      </w:r>
      <w:r>
        <w:rPr>
          <w:rFonts w:ascii="Arial Narrow" w:hAnsi="Arial Narrow"/>
        </w:rPr>
        <w:t xml:space="preserve">falsificou os factos </w:t>
      </w:r>
      <w:r w:rsidRPr="004033B7">
        <w:rPr>
          <w:rFonts w:ascii="Arial Narrow" w:hAnsi="Arial Narrow"/>
        </w:rPr>
        <w:t>quando afirm</w:t>
      </w:r>
      <w:r>
        <w:rPr>
          <w:rFonts w:ascii="Arial Narrow" w:hAnsi="Arial Narrow"/>
        </w:rPr>
        <w:t>ou</w:t>
      </w:r>
      <w:r w:rsidRPr="004033B7">
        <w:rPr>
          <w:rFonts w:ascii="Arial Narrow" w:hAnsi="Arial Narrow"/>
        </w:rPr>
        <w:t xml:space="preserve">, num discurso proferido em 18 de Setembro de 1938, que «nos últimos dezasseis anos o judaísmo mundial foi um inimigo irreconciliável do fascismo». </w:t>
      </w:r>
      <w:r w:rsidRPr="004033B7">
        <w:rPr>
          <w:rFonts w:ascii="Arial Narrow" w:hAnsi="Arial Narrow"/>
          <w:lang w:val="es-ES"/>
        </w:rPr>
        <w:t>Ver Ch. F. Delzell (org. 1971) 177.</w:t>
      </w:r>
    </w:p>
  </w:footnote>
  <w:footnote w:id="214">
    <w:p w:rsidR="003F07DD" w:rsidRPr="004033B7" w:rsidRDefault="003F07DD" w:rsidP="00751A22">
      <w:pPr>
        <w:pStyle w:val="Textodenotaderodap"/>
        <w:ind w:firstLine="708"/>
        <w:rPr>
          <w:rFonts w:ascii="Arial Narrow" w:hAnsi="Arial Narrow"/>
          <w:lang w:val="es-ES"/>
        </w:rPr>
      </w:pPr>
      <w:r w:rsidRPr="004033B7">
        <w:rPr>
          <w:rStyle w:val="Refdenotaderodap"/>
          <w:rFonts w:ascii="Arial Narrow" w:hAnsi="Arial Narrow"/>
        </w:rPr>
        <w:footnoteRef/>
      </w:r>
      <w:r w:rsidRPr="004033B7">
        <w:rPr>
          <w:rFonts w:ascii="Arial Narrow" w:hAnsi="Arial Narrow"/>
          <w:lang w:val="es-ES"/>
        </w:rPr>
        <w:t xml:space="preserve"> L. Brenner (1983) 39.</w:t>
      </w:r>
    </w:p>
  </w:footnote>
  <w:footnote w:id="215">
    <w:p w:rsidR="003F07DD" w:rsidRPr="004033B7" w:rsidRDefault="003F07DD" w:rsidP="00751A22">
      <w:pPr>
        <w:pStyle w:val="Textodenotaderodap"/>
        <w:ind w:firstLine="708"/>
        <w:rPr>
          <w:rFonts w:ascii="Arial Narrow" w:hAnsi="Arial Narrow"/>
          <w:lang w:val="es-ES"/>
        </w:rPr>
      </w:pPr>
      <w:r w:rsidRPr="004033B7">
        <w:rPr>
          <w:rStyle w:val="Refdenotaderodap"/>
          <w:rFonts w:ascii="Arial Narrow" w:hAnsi="Arial Narrow"/>
        </w:rPr>
        <w:footnoteRef/>
      </w:r>
      <w:r w:rsidRPr="004033B7">
        <w:rPr>
          <w:rFonts w:ascii="Arial Narrow" w:hAnsi="Arial Narrow"/>
          <w:lang w:val="es-ES"/>
        </w:rPr>
        <w:t xml:space="preserve"> Id., ibid., 39-40; R. De Felice (1977) 112-113; P. Milza (1999) 751.</w:t>
      </w:r>
    </w:p>
  </w:footnote>
  <w:footnote w:id="216">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lang w:val="es-ES"/>
        </w:rPr>
        <w:t xml:space="preserve"> R. De Felice (1977) 194-196. </w:t>
      </w:r>
      <w:r w:rsidRPr="004033B7">
        <w:rPr>
          <w:rFonts w:ascii="Arial Narrow" w:hAnsi="Arial Narrow"/>
        </w:rPr>
        <w:t>A frase citada vem na pág. 194. Para a definição de 1926 como a data desta mudança ver a pág. 198.</w:t>
      </w:r>
    </w:p>
  </w:footnote>
  <w:footnote w:id="217">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40-41; R. De Felice (1977) 113-114, 166, 170.</w:t>
      </w:r>
    </w:p>
  </w:footnote>
  <w:footnote w:id="218">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151, 153; R. De Felice (1977) 163.</w:t>
      </w:r>
    </w:p>
  </w:footnote>
  <w:footnote w:id="219">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154; R. De Felice (1977) 167; P. Milza (1999) 622, 643, 751.</w:t>
      </w:r>
    </w:p>
  </w:footnote>
  <w:footnote w:id="220">
    <w:p w:rsidR="003F07DD" w:rsidRPr="004F4A04" w:rsidRDefault="003F07DD" w:rsidP="00751A22">
      <w:pPr>
        <w:pStyle w:val="Textodenotaderodap"/>
        <w:ind w:firstLine="708"/>
        <w:rPr>
          <w:rFonts w:ascii="Arial Narrow" w:hAnsi="Arial Narrow"/>
        </w:rPr>
      </w:pPr>
      <w:r w:rsidRPr="004F4A04">
        <w:rPr>
          <w:rStyle w:val="Refdenotaderodap"/>
          <w:rFonts w:ascii="Arial Narrow" w:hAnsi="Arial Narrow"/>
        </w:rPr>
        <w:footnoteRef/>
      </w:r>
      <w:r w:rsidRPr="004F4A04">
        <w:rPr>
          <w:rFonts w:ascii="Arial Narrow" w:hAnsi="Arial Narrow"/>
        </w:rPr>
        <w:t xml:space="preserve"> </w:t>
      </w:r>
      <w:r>
        <w:rPr>
          <w:rFonts w:ascii="Arial Narrow" w:hAnsi="Arial Narrow"/>
        </w:rPr>
        <w:t>Ver a n. 87 no capítulo 3 da Parte 2.</w:t>
      </w:r>
    </w:p>
  </w:footnote>
  <w:footnote w:id="221">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O artigo de F. Giarrizzo no jornal </w:t>
      </w:r>
      <w:r w:rsidRPr="004033B7">
        <w:rPr>
          <w:rFonts w:ascii="Arial Narrow" w:hAnsi="Arial Narrow"/>
          <w:i/>
        </w:rPr>
        <w:t>L’Appello</w:t>
      </w:r>
      <w:r>
        <w:rPr>
          <w:rFonts w:ascii="Arial Narrow" w:hAnsi="Arial Narrow"/>
          <w:i/>
        </w:rPr>
        <w:t>,</w:t>
      </w:r>
      <w:r w:rsidRPr="004033B7">
        <w:rPr>
          <w:rFonts w:ascii="Arial Narrow" w:hAnsi="Arial Narrow"/>
        </w:rPr>
        <w:t xml:space="preserve"> 12 de Julho de 1937</w:t>
      </w:r>
      <w:r>
        <w:rPr>
          <w:rFonts w:ascii="Arial Narrow" w:hAnsi="Arial Narrow"/>
        </w:rPr>
        <w:t>,</w:t>
      </w:r>
      <w:r w:rsidRPr="004033B7">
        <w:rPr>
          <w:rFonts w:ascii="Arial Narrow" w:hAnsi="Arial Narrow"/>
        </w:rPr>
        <w:t xml:space="preserve"> está antologiado em A. Levi [1937] 137-141. A passagem citada encontra-se na pág. 138.</w:t>
      </w:r>
    </w:p>
  </w:footnote>
  <w:footnote w:id="222">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Artigo de Leone Carpi no jornal </w:t>
      </w:r>
      <w:r w:rsidRPr="004033B7">
        <w:rPr>
          <w:rFonts w:ascii="Arial Narrow" w:hAnsi="Arial Narrow"/>
          <w:i/>
        </w:rPr>
        <w:t>L’Idea Sionistica,</w:t>
      </w:r>
      <w:r w:rsidRPr="004033B7">
        <w:rPr>
          <w:rFonts w:ascii="Arial Narrow" w:hAnsi="Arial Narrow"/>
        </w:rPr>
        <w:t xml:space="preserve"> Junho de 1937, antologiado em id., ibid., 197-206. As passagens citadas encontram-se nas págs. 202-203.</w:t>
      </w:r>
    </w:p>
  </w:footnote>
  <w:footnote w:id="22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S. A. Marrach (org. 1999) 15-16.</w:t>
      </w:r>
    </w:p>
  </w:footnote>
  <w:footnote w:id="224">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lang w:val="fr-FR"/>
        </w:rPr>
        <w:t xml:space="preserve"> B. Avishai (1985) 124, 128, 138; L. Brenner (1983) 132; id. </w:t>
      </w:r>
      <w:r w:rsidRPr="004033B7">
        <w:rPr>
          <w:rFonts w:ascii="Arial Narrow" w:hAnsi="Arial Narrow"/>
        </w:rPr>
        <w:t>(1984) 72, 97, 98; H. M. Sachar (1976) 184-186. A dimensão do apoio aos revisionistas no congresso de 1931 encontra-se em L. Brenner (1984) 86, e no congresso de 1933 em E. Black (1999) 288 e 293.</w:t>
      </w:r>
    </w:p>
  </w:footnote>
  <w:footnote w:id="225">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R. De Felice (1977) 207.</w:t>
      </w:r>
    </w:p>
  </w:footnote>
  <w:footnote w:id="226">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w:t>
      </w:r>
      <w:r>
        <w:rPr>
          <w:rFonts w:ascii="Arial Narrow" w:hAnsi="Arial Narrow"/>
        </w:rPr>
        <w:t xml:space="preserve">Id., ibid., </w:t>
      </w:r>
      <w:r w:rsidRPr="004033B7">
        <w:rPr>
          <w:rFonts w:ascii="Arial Narrow" w:hAnsi="Arial Narrow"/>
        </w:rPr>
        <w:t>142 n. 2 inform</w:t>
      </w:r>
      <w:r>
        <w:rPr>
          <w:rFonts w:ascii="Arial Narrow" w:hAnsi="Arial Narrow"/>
        </w:rPr>
        <w:t>ou</w:t>
      </w:r>
      <w:r w:rsidRPr="004033B7">
        <w:rPr>
          <w:rFonts w:ascii="Arial Narrow" w:hAnsi="Arial Narrow"/>
        </w:rPr>
        <w:t xml:space="preserve"> que em Julho de 1922, portanto antes da Marcha sobre Roma e antes mesmo de se ter demitido do Executivo Sionista, Jabotinsky enviara a Mussolini uma carta propondo-lhe o estreitamento das relações da Itália com a Palestina judaica. Treze anos depois, segundo Renzo De Felice</w:t>
      </w:r>
      <w:r>
        <w:rPr>
          <w:rFonts w:ascii="Arial Narrow" w:hAnsi="Arial Narrow"/>
        </w:rPr>
        <w:t>,</w:t>
      </w:r>
      <w:r w:rsidRPr="004033B7">
        <w:rPr>
          <w:rFonts w:ascii="Arial Narrow" w:hAnsi="Arial Narrow"/>
        </w:rPr>
        <w:t xml:space="preserve"> </w:t>
      </w:r>
      <w:r w:rsidRPr="00A5704A">
        <w:rPr>
          <w:rFonts w:ascii="Arial Narrow" w:hAnsi="Arial Narrow"/>
        </w:rPr>
        <w:t>op. cit.,</w:t>
      </w:r>
      <w:r w:rsidRPr="004033B7">
        <w:rPr>
          <w:rFonts w:ascii="Arial Narrow" w:hAnsi="Arial Narrow"/>
        </w:rPr>
        <w:t xml:space="preserve"> 206, Jabotinsky declarou a um representante do Ministério dos Negócios Estrangeiros italiano que os revisionistas estavam em relação ao sionismo maioritário numa posição idêntica àquela que o fascismo italiano ocupava perante a democracia liberal e socialista. Por seu turno, B. Avishai (1985) 126 enumer</w:t>
      </w:r>
      <w:r>
        <w:rPr>
          <w:rFonts w:ascii="Arial Narrow" w:hAnsi="Arial Narrow"/>
        </w:rPr>
        <w:t>ou</w:t>
      </w:r>
      <w:r w:rsidRPr="004033B7">
        <w:rPr>
          <w:rFonts w:ascii="Arial Narrow" w:hAnsi="Arial Narrow"/>
        </w:rPr>
        <w:t xml:space="preserve"> as analogias entre a forma de organização dos revisionistas e a dos fascistas europeus. Também E. Black (1999) 143 consider</w:t>
      </w:r>
      <w:r>
        <w:rPr>
          <w:rFonts w:ascii="Arial Narrow" w:hAnsi="Arial Narrow"/>
        </w:rPr>
        <w:t>ou</w:t>
      </w:r>
      <w:r w:rsidRPr="004033B7">
        <w:rPr>
          <w:rFonts w:ascii="Arial Narrow" w:hAnsi="Arial Narrow"/>
        </w:rPr>
        <w:t xml:space="preserve"> que os revisionistas eram fascistas, profundamente influenciados por Mussolini. Todavia, L. Brenner (1983) 112-113 pretende</w:t>
      </w:r>
      <w:r>
        <w:rPr>
          <w:rFonts w:ascii="Arial Narrow" w:hAnsi="Arial Narrow"/>
        </w:rPr>
        <w:t>u</w:t>
      </w:r>
      <w:r w:rsidRPr="004033B7">
        <w:rPr>
          <w:rFonts w:ascii="Arial Narrow" w:hAnsi="Arial Narrow"/>
        </w:rPr>
        <w:t xml:space="preserve"> que, apesar de ter adoptado para o seu movimento uma estrutura semelhante à do fascismo, Jabotinsky não estimava o fascismo. Do mesmo modo, H. M. Sachar (1976) 187 sustent</w:t>
      </w:r>
      <w:r>
        <w:rPr>
          <w:rFonts w:ascii="Arial Narrow" w:hAnsi="Arial Narrow"/>
        </w:rPr>
        <w:t>ou</w:t>
      </w:r>
      <w:r w:rsidRPr="004033B7">
        <w:rPr>
          <w:rFonts w:ascii="Arial Narrow" w:hAnsi="Arial Narrow"/>
        </w:rPr>
        <w:t xml:space="preserve"> que ele não era fascista, embora os seus seguidores mais jovens estivessem muito perto do ideal fascista. Mas ao elucidar que os modelos políticos de Jabotinsky eram Mazzini e Garibaldi, este autor esquece</w:t>
      </w:r>
      <w:r>
        <w:rPr>
          <w:rFonts w:ascii="Arial Narrow" w:hAnsi="Arial Narrow"/>
        </w:rPr>
        <w:t>u</w:t>
      </w:r>
      <w:r w:rsidRPr="004033B7">
        <w:rPr>
          <w:rFonts w:ascii="Arial Narrow" w:hAnsi="Arial Narrow"/>
        </w:rPr>
        <w:t xml:space="preserve"> que aqueles dois personagens serviam igualmente de inspiração a Mussolini</w:t>
      </w:r>
      <w:r>
        <w:rPr>
          <w:rFonts w:ascii="Arial Narrow" w:hAnsi="Arial Narrow"/>
        </w:rPr>
        <w:t xml:space="preserve">, como indicaram </w:t>
      </w:r>
      <w:r w:rsidRPr="0055121D">
        <w:rPr>
          <w:rFonts w:ascii="Arial Narrow" w:hAnsi="Arial Narrow"/>
        </w:rPr>
        <w:t xml:space="preserve">G. Gentile (1928) </w:t>
      </w:r>
      <w:r w:rsidRPr="0055121D">
        <w:rPr>
          <w:rFonts w:ascii="Arial Narrow" w:hAnsi="Arial Narrow"/>
          <w:i/>
        </w:rPr>
        <w:t>passim,</w:t>
      </w:r>
      <w:r w:rsidRPr="0055121D">
        <w:rPr>
          <w:rFonts w:ascii="Arial Narrow" w:hAnsi="Arial Narrow"/>
        </w:rPr>
        <w:t xml:space="preserve"> </w:t>
      </w:r>
      <w:r w:rsidRPr="00F95336">
        <w:rPr>
          <w:rFonts w:ascii="Arial Narrow" w:hAnsi="Arial Narrow"/>
        </w:rPr>
        <w:t xml:space="preserve">P. Milza (1999) </w:t>
      </w:r>
      <w:r w:rsidRPr="00B427AA">
        <w:rPr>
          <w:rFonts w:ascii="Arial Narrow" w:hAnsi="Arial Narrow"/>
          <w:i/>
        </w:rPr>
        <w:t>passim,</w:t>
      </w:r>
      <w:r>
        <w:rPr>
          <w:rFonts w:ascii="Arial Narrow" w:hAnsi="Arial Narrow"/>
        </w:rPr>
        <w:t xml:space="preserve"> em especial </w:t>
      </w:r>
      <w:r w:rsidRPr="00F95336">
        <w:rPr>
          <w:rFonts w:ascii="Arial Narrow" w:hAnsi="Arial Narrow"/>
        </w:rPr>
        <w:t>31-32</w:t>
      </w:r>
      <w:r>
        <w:rPr>
          <w:rFonts w:ascii="Arial Narrow" w:hAnsi="Arial Narrow"/>
        </w:rPr>
        <w:t xml:space="preserve">, e </w:t>
      </w:r>
      <w:r w:rsidRPr="0055121D">
        <w:rPr>
          <w:rFonts w:ascii="Arial Narrow" w:hAnsi="Arial Narrow"/>
        </w:rPr>
        <w:t>J. B. Whisker (1983) 5, 13-14, 19</w:t>
      </w:r>
      <w:r>
        <w:rPr>
          <w:rFonts w:ascii="Arial Narrow" w:hAnsi="Arial Narrow"/>
        </w:rPr>
        <w:t xml:space="preserve">. Segundo J. Ploncard d’Assac (1971) 100, </w:t>
      </w:r>
      <w:r w:rsidRPr="004033B7">
        <w:rPr>
          <w:rFonts w:ascii="Arial Narrow" w:hAnsi="Arial Narrow"/>
        </w:rPr>
        <w:t>Mazzini e Garibaldi</w:t>
      </w:r>
      <w:r>
        <w:rPr>
          <w:rFonts w:ascii="Arial Narrow" w:hAnsi="Arial Narrow"/>
        </w:rPr>
        <w:t xml:space="preserve"> foram igualmente invocados por Corradini</w:t>
      </w:r>
      <w:r w:rsidRPr="004033B7">
        <w:rPr>
          <w:rFonts w:ascii="Arial Narrow" w:hAnsi="Arial Narrow"/>
        </w:rPr>
        <w:t>. Também Bernard Avishai</w:t>
      </w:r>
      <w:r>
        <w:rPr>
          <w:rFonts w:ascii="Arial Narrow" w:hAnsi="Arial Narrow"/>
        </w:rPr>
        <w:t>,</w:t>
      </w:r>
      <w:r w:rsidRPr="004033B7">
        <w:rPr>
          <w:rFonts w:ascii="Arial Narrow" w:hAnsi="Arial Narrow"/>
        </w:rPr>
        <w:t xml:space="preserve"> </w:t>
      </w:r>
      <w:r w:rsidRPr="00A5704A">
        <w:rPr>
          <w:rFonts w:ascii="Arial Narrow" w:hAnsi="Arial Narrow"/>
        </w:rPr>
        <w:t>op. cit.,</w:t>
      </w:r>
      <w:r w:rsidRPr="004033B7">
        <w:rPr>
          <w:rFonts w:ascii="Arial Narrow" w:hAnsi="Arial Narrow"/>
        </w:rPr>
        <w:t xml:space="preserve"> 120 e L. Brenner (1984) 5 chama</w:t>
      </w:r>
      <w:r>
        <w:rPr>
          <w:rFonts w:ascii="Arial Narrow" w:hAnsi="Arial Narrow"/>
        </w:rPr>
        <w:t>ra</w:t>
      </w:r>
      <w:r w:rsidRPr="004033B7">
        <w:rPr>
          <w:rFonts w:ascii="Arial Narrow" w:hAnsi="Arial Narrow"/>
        </w:rPr>
        <w:t>m a atenção para a admiração que Jabotinsky sentia por Garibaldi, e L. Brenner (1983) 112 cit</w:t>
      </w:r>
      <w:r>
        <w:rPr>
          <w:rFonts w:ascii="Arial Narrow" w:hAnsi="Arial Narrow"/>
        </w:rPr>
        <w:t>ou</w:t>
      </w:r>
      <w:r w:rsidRPr="004033B7">
        <w:rPr>
          <w:rFonts w:ascii="Arial Narrow" w:hAnsi="Arial Narrow"/>
        </w:rPr>
        <w:t xml:space="preserve"> ainda Mazzini e Cavour como modelos de Jabotinsky. Acrescent</w:t>
      </w:r>
      <w:r>
        <w:rPr>
          <w:rFonts w:ascii="Arial Narrow" w:hAnsi="Arial Narrow"/>
        </w:rPr>
        <w:t>ou</w:t>
      </w:r>
      <w:r w:rsidRPr="004033B7">
        <w:rPr>
          <w:rFonts w:ascii="Arial Narrow" w:hAnsi="Arial Narrow"/>
        </w:rPr>
        <w:t xml:space="preserve"> Avishai (pág. 121) que Jabotinsky simpatizava com o futurismo, precisamente outra das componentes do fascismo italiano. Depois de afirmar que Jabotinsky estava mais próximo do liberalismo conservador do que do fascismo, L. Brenner (1983) 113, 118 e (1984) 87 conclui</w:t>
      </w:r>
      <w:r>
        <w:rPr>
          <w:rFonts w:ascii="Arial Narrow" w:hAnsi="Arial Narrow"/>
        </w:rPr>
        <w:t>u</w:t>
      </w:r>
      <w:r w:rsidRPr="004033B7">
        <w:rPr>
          <w:rFonts w:ascii="Arial Narrow" w:hAnsi="Arial Narrow"/>
        </w:rPr>
        <w:t xml:space="preserve"> que, como os seus seguidores queriam fundar uma versão judaica do fascismo, o revisionismo acabou por se situar na órbita do fascismo. Aliás, continu</w:t>
      </w:r>
      <w:r>
        <w:rPr>
          <w:rFonts w:ascii="Arial Narrow" w:hAnsi="Arial Narrow"/>
        </w:rPr>
        <w:t>ou</w:t>
      </w:r>
      <w:r w:rsidRPr="004033B7">
        <w:rPr>
          <w:rFonts w:ascii="Arial Narrow" w:hAnsi="Arial Narrow"/>
        </w:rPr>
        <w:t xml:space="preserve"> id. (1984) 90-91, quando as autoridades britânicas proibiram Jabotinsky de regressar à Palestina, quem tomou aí o controlo ideológico do revisionismo foram pessoas que se declaravam publicamente fascistas. E pelo menos na Alemanha, na Áustria, na Itália, na Letónia, na Manchúria, na Palestina e na Polónia, enumer</w:t>
      </w:r>
      <w:r>
        <w:rPr>
          <w:rFonts w:ascii="Arial Narrow" w:hAnsi="Arial Narrow"/>
        </w:rPr>
        <w:t>ou</w:t>
      </w:r>
      <w:r w:rsidRPr="004033B7">
        <w:rPr>
          <w:rFonts w:ascii="Arial Narrow" w:hAnsi="Arial Narrow"/>
        </w:rPr>
        <w:t xml:space="preserve"> id. (1983) 118, a direcção do movimento revisionista não cabia a Jabotinsky mas a elementos declaradamente fascistas. Sobrava pouco.</w:t>
      </w:r>
    </w:p>
  </w:footnote>
  <w:footnote w:id="227">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L. Brenner (1983) 118 e (1984) 98.</w:t>
      </w:r>
    </w:p>
  </w:footnote>
  <w:footnote w:id="228">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B. Avishai (1985) 138 e H. M. Sachar (1976) 188. Ver igualmente E. Black (1999) 143.</w:t>
      </w:r>
    </w:p>
  </w:footnote>
  <w:footnote w:id="229">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L. Brenner (1983) 117, id. (1984) 98 e H. M. Sachar (1976) 187. Inform</w:t>
      </w:r>
      <w:r>
        <w:rPr>
          <w:rFonts w:ascii="Arial Narrow" w:hAnsi="Arial Narrow"/>
        </w:rPr>
        <w:t>ou</w:t>
      </w:r>
      <w:r w:rsidRPr="004033B7">
        <w:rPr>
          <w:rFonts w:ascii="Arial Narrow" w:hAnsi="Arial Narrow"/>
        </w:rPr>
        <w:t xml:space="preserve"> R. De Felice (1977) 205-206 que os relatórios oficiais italianos consideravam o revisionismo como uma imitação do fascismo.</w:t>
      </w:r>
    </w:p>
  </w:footnote>
  <w:footnote w:id="230">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B. Avishai (1985) 128, 137; L. Brenner (1983) 115; H. M. Sachar (1976) 187-188.</w:t>
      </w:r>
    </w:p>
  </w:footnote>
  <w:footnote w:id="231">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B. Avishai (1985) 124; L. Brenner (1983) 114; id. (1984) 78, 89-90; H. M. Sachar (1976) 187.</w:t>
      </w:r>
    </w:p>
  </w:footnote>
  <w:footnote w:id="232">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114; id. (1984) 87.</w:t>
      </w:r>
    </w:p>
  </w:footnote>
  <w:footnote w:id="233">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B. Avishai (1985) 126, 137; L. Brenner (1983) 114; id. (1984) 89; H. M. Sachar (1976) 187-188.</w:t>
      </w:r>
    </w:p>
  </w:footnote>
  <w:footnote w:id="234">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B. Avishai (1985) 136; L. Brenner (1983) 116; H. M. Sachar (1976) 188.</w:t>
      </w:r>
    </w:p>
  </w:footnote>
  <w:footnote w:id="235">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B. Avishai (1985) 136; H. M. Sachar (1976) 188. Afirm</w:t>
      </w:r>
      <w:r>
        <w:rPr>
          <w:rFonts w:ascii="Arial Narrow" w:hAnsi="Arial Narrow"/>
        </w:rPr>
        <w:t>ou</w:t>
      </w:r>
      <w:r w:rsidRPr="004033B7">
        <w:rPr>
          <w:rFonts w:ascii="Arial Narrow" w:hAnsi="Arial Narrow"/>
        </w:rPr>
        <w:t xml:space="preserve"> L. Brenner (1984) 89 que Jabotinsky nunca se interess</w:t>
      </w:r>
      <w:r>
        <w:rPr>
          <w:rFonts w:ascii="Arial Narrow" w:hAnsi="Arial Narrow"/>
        </w:rPr>
        <w:t>ara</w:t>
      </w:r>
      <w:r w:rsidRPr="004033B7">
        <w:rPr>
          <w:rFonts w:ascii="Arial Narrow" w:hAnsi="Arial Narrow"/>
        </w:rPr>
        <w:t xml:space="preserve"> pelo recrutamento de operários.</w:t>
      </w:r>
    </w:p>
  </w:footnote>
  <w:footnote w:id="236">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B. Avishai (1985) 125.</w:t>
      </w:r>
    </w:p>
  </w:footnote>
  <w:footnote w:id="237">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(1984) 99-100; H. M. Sachar (1976) 265-266.</w:t>
      </w:r>
    </w:p>
  </w:footnote>
  <w:footnote w:id="238">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112; id. (1984) 86; H. M. Sachar (1976) 185-186.</w:t>
      </w:r>
    </w:p>
  </w:footnote>
  <w:footnote w:id="239">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R. De Felice (1977) 76, 142-143 n. 2, 196.</w:t>
      </w:r>
    </w:p>
  </w:footnote>
  <w:footnote w:id="240">
    <w:p w:rsidR="003F07DD" w:rsidRPr="00304438" w:rsidRDefault="003F07DD" w:rsidP="00227B09">
      <w:pPr>
        <w:pStyle w:val="Textodenotaderodap"/>
        <w:rPr>
          <w:rFonts w:ascii="Arial Narrow" w:hAnsi="Arial Narrow"/>
        </w:rPr>
      </w:pPr>
      <w:r w:rsidRPr="002664EE">
        <w:rPr>
          <w:rStyle w:val="Refdenotaderodap"/>
          <w:rFonts w:ascii="Arial Narrow" w:hAnsi="Arial Narrow"/>
        </w:rPr>
        <w:footnoteRef/>
      </w:r>
      <w:r w:rsidRPr="00304438">
        <w:rPr>
          <w:rFonts w:ascii="Arial Narrow" w:hAnsi="Arial Narrow"/>
        </w:rPr>
        <w:t xml:space="preserve"> K. Polkehn (1976) 77 n. 92.</w:t>
      </w:r>
      <w:r>
        <w:rPr>
          <w:rFonts w:ascii="Arial Narrow" w:hAnsi="Arial Narrow"/>
        </w:rPr>
        <w:t xml:space="preserve"> Ver também </w:t>
      </w:r>
      <w:r w:rsidRPr="00E81446">
        <w:rPr>
          <w:rFonts w:ascii="Arial Narrow" w:hAnsi="Arial Narrow"/>
        </w:rPr>
        <w:t>J. F. Pollard (2005) 90.</w:t>
      </w:r>
    </w:p>
  </w:footnote>
  <w:footnote w:id="241">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R. De Felice (1977) 139, 204, 267 e segs.</w:t>
      </w:r>
    </w:p>
  </w:footnote>
  <w:footnote w:id="242">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116-117, 119; id. (1984) 93, 97; R. De Felice (1977) 205-206, 208-211.</w:t>
      </w:r>
    </w:p>
  </w:footnote>
  <w:footnote w:id="243">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R. De Felice (1977) 206.</w:t>
      </w:r>
    </w:p>
  </w:footnote>
  <w:footnote w:id="244">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122; R. De Felice (1977) 211</w:t>
      </w:r>
      <w:r>
        <w:rPr>
          <w:rFonts w:ascii="Arial Narrow" w:hAnsi="Arial Narrow"/>
          <w:lang w:val="fr-FR"/>
        </w:rPr>
        <w:t xml:space="preserve">; </w:t>
      </w:r>
      <w:r w:rsidRPr="00AD62D5">
        <w:rPr>
          <w:rFonts w:ascii="Arial Narrow" w:hAnsi="Arial Narrow"/>
          <w:bCs/>
        </w:rPr>
        <w:t xml:space="preserve">S. G. Payne </w:t>
      </w:r>
      <w:r w:rsidRPr="00AD62D5">
        <w:rPr>
          <w:rFonts w:ascii="Arial Narrow" w:hAnsi="Arial Narrow"/>
        </w:rPr>
        <w:t>(2003 b)</w:t>
      </w:r>
      <w:r>
        <w:rPr>
          <w:rFonts w:ascii="Arial Narrow" w:hAnsi="Arial Narrow"/>
        </w:rPr>
        <w:t xml:space="preserve"> 240</w:t>
      </w:r>
      <w:r w:rsidRPr="004033B7">
        <w:rPr>
          <w:rFonts w:ascii="Arial Narrow" w:hAnsi="Arial Narrow"/>
          <w:lang w:val="fr-FR"/>
        </w:rPr>
        <w:t>.</w:t>
      </w:r>
    </w:p>
  </w:footnote>
  <w:footnote w:id="245">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L. Brenner (1983) 29-32.</w:t>
      </w:r>
    </w:p>
  </w:footnote>
  <w:footnote w:id="246">
    <w:p w:rsidR="003F07DD" w:rsidRPr="00B42A52"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EF57D6">
        <w:rPr>
          <w:rFonts w:ascii="Arial Narrow" w:hAnsi="Arial Narrow"/>
          <w:lang w:val="de-DE"/>
        </w:rPr>
        <w:t xml:space="preserve"> Id., ibid., 54.</w:t>
      </w:r>
      <w:r>
        <w:rPr>
          <w:rFonts w:ascii="Arial Narrow" w:hAnsi="Arial Narrow"/>
          <w:lang w:val="de-DE"/>
        </w:rPr>
        <w:t xml:space="preserve"> </w:t>
      </w:r>
      <w:r w:rsidRPr="00B42A52">
        <w:rPr>
          <w:rFonts w:ascii="Arial Narrow" w:hAnsi="Arial Narrow"/>
        </w:rPr>
        <w:t>Escreveu K. A. Schleunes (1990) 201 que «o n</w:t>
      </w:r>
      <w:r>
        <w:rPr>
          <w:rFonts w:ascii="Arial Narrow" w:hAnsi="Arial Narrow"/>
        </w:rPr>
        <w:t>úmero de marxistas que usaram organizações judaicas como frentes para a actividade subversiva foi muito pequeno».</w:t>
      </w:r>
    </w:p>
  </w:footnote>
  <w:footnote w:id="247">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E. Black (1999) 72-73; L. Brenner (1983) 59-61</w:t>
      </w:r>
      <w:r>
        <w:rPr>
          <w:rFonts w:ascii="Arial Narrow" w:hAnsi="Arial Narrow"/>
          <w:lang w:val="de-DE"/>
        </w:rPr>
        <w:t>; K. Polkehn (1976) 57-59, 62</w:t>
      </w:r>
      <w:r w:rsidRPr="00EF57D6">
        <w:rPr>
          <w:rFonts w:ascii="Arial Narrow" w:hAnsi="Arial Narrow"/>
          <w:lang w:val="de-DE"/>
        </w:rPr>
        <w:t>.</w:t>
      </w:r>
    </w:p>
  </w:footnote>
  <w:footnote w:id="248">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H. Arendt (1994) 59.</w:t>
      </w:r>
    </w:p>
  </w:footnote>
  <w:footnote w:id="249">
    <w:p w:rsidR="003F07DD" w:rsidRPr="004033B7" w:rsidRDefault="003F07DD" w:rsidP="00751A22">
      <w:pPr>
        <w:pStyle w:val="Textodenotaderodap"/>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w:t>
      </w:r>
      <w:smartTag w:uri="urn:schemas-microsoft-com:office:smarttags" w:element="State">
        <w:smartTag w:uri="urn:schemas-microsoft-com:office:smarttags" w:element="place">
          <w:r w:rsidRPr="004033B7">
            <w:rPr>
              <w:rFonts w:ascii="Arial Narrow" w:hAnsi="Arial Narrow"/>
              <w:lang w:val="en-GB"/>
            </w:rPr>
            <w:t>Id.</w:t>
          </w:r>
        </w:smartTag>
      </w:smartTag>
      <w:r w:rsidRPr="004033B7">
        <w:rPr>
          <w:rFonts w:ascii="Arial Narrow" w:hAnsi="Arial Narrow"/>
          <w:lang w:val="en-GB"/>
        </w:rPr>
        <w:t>,</w:t>
      </w:r>
      <w:r>
        <w:rPr>
          <w:rFonts w:ascii="Arial Narrow" w:hAnsi="Arial Narrow"/>
          <w:lang w:val="en-GB"/>
        </w:rPr>
        <w:t xml:space="preserve"> ibid., 59; E. Black (1999) 174; K. Polkehn (1976) 62.</w:t>
      </w:r>
    </w:p>
  </w:footnote>
  <w:footnote w:id="250">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lang w:val="en-GB"/>
        </w:rPr>
        <w:t xml:space="preserve"> E. Black (1999) 78-82, 122, 177-178, 201, 289; L. Brenner (1983) 53-55; id. </w:t>
      </w:r>
      <w:r w:rsidRPr="004033B7">
        <w:rPr>
          <w:rFonts w:ascii="Arial Narrow" w:hAnsi="Arial Narrow"/>
        </w:rPr>
        <w:t>(1984) 91.</w:t>
      </w:r>
    </w:p>
  </w:footnote>
  <w:footnote w:id="251">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Ver numerosas </w:t>
      </w:r>
      <w:r>
        <w:rPr>
          <w:rFonts w:ascii="Arial Narrow" w:hAnsi="Arial Narrow"/>
        </w:rPr>
        <w:t xml:space="preserve">passagens </w:t>
      </w:r>
      <w:r w:rsidRPr="004033B7">
        <w:rPr>
          <w:rFonts w:ascii="Arial Narrow" w:hAnsi="Arial Narrow"/>
        </w:rPr>
        <w:t>deste artigo em E. Black (1999) 176-177. Ver igualmente H. Arendt (1994) 59.</w:t>
      </w:r>
    </w:p>
  </w:footnote>
  <w:footnote w:id="252">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E. Black (1999) 78. </w:t>
      </w:r>
      <w:r>
        <w:rPr>
          <w:rFonts w:ascii="Arial Narrow" w:hAnsi="Arial Narrow"/>
        </w:rPr>
        <w:t xml:space="preserve">Este autor </w:t>
      </w:r>
      <w:r w:rsidRPr="004033B7">
        <w:rPr>
          <w:rFonts w:ascii="Arial Narrow" w:hAnsi="Arial Narrow"/>
        </w:rPr>
        <w:t>acrescent</w:t>
      </w:r>
      <w:r>
        <w:rPr>
          <w:rFonts w:ascii="Arial Narrow" w:hAnsi="Arial Narrow"/>
        </w:rPr>
        <w:t>ou</w:t>
      </w:r>
      <w:r w:rsidRPr="004033B7">
        <w:rPr>
          <w:rFonts w:ascii="Arial Narrow" w:hAnsi="Arial Narrow"/>
        </w:rPr>
        <w:t xml:space="preserve"> (pág. 166)</w:t>
      </w:r>
      <w:r>
        <w:rPr>
          <w:rFonts w:ascii="Arial Narrow" w:hAnsi="Arial Narrow"/>
        </w:rPr>
        <w:t xml:space="preserve"> que</w:t>
      </w:r>
      <w:r w:rsidRPr="004033B7">
        <w:rPr>
          <w:rFonts w:ascii="Arial Narrow" w:hAnsi="Arial Narrow"/>
        </w:rPr>
        <w:t xml:space="preserve"> «as aspirações nacionais tanto dos nazis como dos sionistas dependiam do êxito na remoção dos judeus da Alemanha para a Palestina».</w:t>
      </w:r>
    </w:p>
  </w:footnote>
  <w:footnote w:id="253">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89-93.</w:t>
      </w:r>
    </w:p>
  </w:footnote>
  <w:footnote w:id="254">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260.</w:t>
      </w:r>
    </w:p>
  </w:footnote>
  <w:footnote w:id="255">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B. Avishai (1985) 152.</w:t>
      </w:r>
      <w:r>
        <w:rPr>
          <w:rFonts w:ascii="Arial Narrow" w:hAnsi="Arial Narrow"/>
        </w:rPr>
        <w:t xml:space="preserve"> Ver declarações no mesmo sentido proferidas por Ben-Gurion em Fevereiro de 1941 em </w:t>
      </w:r>
      <w:r w:rsidRPr="00E729F4">
        <w:rPr>
          <w:rFonts w:ascii="Arial Narrow" w:hAnsi="Arial Narrow"/>
        </w:rPr>
        <w:t>S. Friedländer (2008) 463-464.</w:t>
      </w:r>
    </w:p>
  </w:footnote>
  <w:footnote w:id="256">
    <w:p w:rsidR="003F07DD" w:rsidRPr="00EF56D6" w:rsidRDefault="003F07DD" w:rsidP="00751A22">
      <w:pPr>
        <w:pStyle w:val="Textodenotaderodap"/>
        <w:rPr>
          <w:rFonts w:ascii="Arial Narrow" w:hAnsi="Arial Narrow"/>
        </w:rPr>
      </w:pPr>
      <w:r w:rsidRPr="00EF56D6">
        <w:rPr>
          <w:rStyle w:val="Refdenotaderodap"/>
          <w:rFonts w:ascii="Arial Narrow" w:hAnsi="Arial Narrow"/>
        </w:rPr>
        <w:footnoteRef/>
      </w:r>
      <w:r w:rsidRPr="00EF56D6">
        <w:rPr>
          <w:rFonts w:ascii="Arial Narrow" w:hAnsi="Arial Narrow"/>
        </w:rPr>
        <w:t xml:space="preserve"> Ver</w:t>
      </w:r>
      <w:r>
        <w:rPr>
          <w:rFonts w:ascii="Arial Narrow" w:hAnsi="Arial Narrow"/>
        </w:rPr>
        <w:t xml:space="preserve"> a </w:t>
      </w:r>
      <w:r w:rsidRPr="00EF56D6">
        <w:rPr>
          <w:rFonts w:ascii="Arial Narrow" w:hAnsi="Arial Narrow"/>
        </w:rPr>
        <w:t>entrada de 30 de Outubro de 1933</w:t>
      </w:r>
      <w:r>
        <w:rPr>
          <w:rFonts w:ascii="Arial Narrow" w:hAnsi="Arial Narrow"/>
        </w:rPr>
        <w:t xml:space="preserve"> em </w:t>
      </w:r>
      <w:r w:rsidRPr="00EF56D6">
        <w:rPr>
          <w:rFonts w:ascii="Arial Narrow" w:hAnsi="Arial Narrow"/>
        </w:rPr>
        <w:t>M. Chalmers (org. 2006 a)</w:t>
      </w:r>
      <w:r>
        <w:rPr>
          <w:rFonts w:ascii="Arial Narrow" w:hAnsi="Arial Narrow"/>
        </w:rPr>
        <w:t xml:space="preserve"> </w:t>
      </w:r>
      <w:r w:rsidRPr="00EF56D6">
        <w:rPr>
          <w:rFonts w:ascii="Arial Narrow" w:hAnsi="Arial Narrow"/>
        </w:rPr>
        <w:t>47</w:t>
      </w:r>
      <w:r>
        <w:rPr>
          <w:rFonts w:ascii="Arial Narrow" w:hAnsi="Arial Narrow"/>
        </w:rPr>
        <w:t>.</w:t>
      </w:r>
    </w:p>
  </w:footnote>
  <w:footnote w:id="257">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w:t>
      </w:r>
      <w:r>
        <w:rPr>
          <w:rFonts w:ascii="Arial Narrow" w:hAnsi="Arial Narrow"/>
        </w:rPr>
        <w:t>As e</w:t>
      </w:r>
      <w:r w:rsidRPr="000210BD">
        <w:rPr>
          <w:rFonts w:ascii="Arial Narrow" w:hAnsi="Arial Narrow"/>
        </w:rPr>
        <w:t>ntrada</w:t>
      </w:r>
      <w:r>
        <w:rPr>
          <w:rFonts w:ascii="Arial Narrow" w:hAnsi="Arial Narrow"/>
        </w:rPr>
        <w:t>s</w:t>
      </w:r>
      <w:r w:rsidRPr="000210BD">
        <w:rPr>
          <w:rFonts w:ascii="Arial Narrow" w:hAnsi="Arial Narrow"/>
        </w:rPr>
        <w:t xml:space="preserve"> de 18 de Outubro de 1936</w:t>
      </w:r>
      <w:r>
        <w:rPr>
          <w:rFonts w:ascii="Arial Narrow" w:hAnsi="Arial Narrow"/>
        </w:rPr>
        <w:t xml:space="preserve"> </w:t>
      </w:r>
      <w:r w:rsidRPr="004033B7">
        <w:rPr>
          <w:rFonts w:ascii="Arial Narrow" w:hAnsi="Arial Narrow"/>
        </w:rPr>
        <w:t>e 1 de Janeiro de 1939 encontra</w:t>
      </w:r>
      <w:r>
        <w:rPr>
          <w:rFonts w:ascii="Arial Narrow" w:hAnsi="Arial Narrow"/>
        </w:rPr>
        <w:t>m</w:t>
      </w:r>
      <w:r w:rsidRPr="004033B7">
        <w:rPr>
          <w:rFonts w:ascii="Arial Narrow" w:hAnsi="Arial Narrow"/>
        </w:rPr>
        <w:t xml:space="preserve">-se em </w:t>
      </w:r>
      <w:r>
        <w:rPr>
          <w:rFonts w:ascii="Arial Narrow" w:hAnsi="Arial Narrow"/>
        </w:rPr>
        <w:t xml:space="preserve">id., ibid., </w:t>
      </w:r>
      <w:r w:rsidRPr="004033B7">
        <w:rPr>
          <w:rFonts w:ascii="Arial Narrow" w:hAnsi="Arial Narrow"/>
        </w:rPr>
        <w:t xml:space="preserve">231 </w:t>
      </w:r>
      <w:r>
        <w:rPr>
          <w:rFonts w:ascii="Arial Narrow" w:hAnsi="Arial Narrow"/>
        </w:rPr>
        <w:t xml:space="preserve">e </w:t>
      </w:r>
      <w:r w:rsidRPr="004033B7">
        <w:rPr>
          <w:rFonts w:ascii="Arial Narrow" w:hAnsi="Arial Narrow"/>
        </w:rPr>
        <w:t>337.</w:t>
      </w:r>
      <w:r w:rsidRPr="000210BD">
        <w:rPr>
          <w:rFonts w:ascii="Arial Narrow" w:hAnsi="Arial Narrow"/>
          <w:noProof/>
          <w:sz w:val="24"/>
          <w:szCs w:val="24"/>
          <w:lang w:eastAsia="en-US"/>
        </w:rPr>
        <w:t xml:space="preserve"> </w:t>
      </w:r>
      <w:r w:rsidRPr="000210BD">
        <w:rPr>
          <w:rFonts w:ascii="Arial Narrow" w:hAnsi="Arial Narrow"/>
        </w:rPr>
        <w:t xml:space="preserve">Acerca da similitude entre sionismo e </w:t>
      </w:r>
      <w:r>
        <w:rPr>
          <w:rFonts w:ascii="Arial Narrow" w:hAnsi="Arial Narrow"/>
        </w:rPr>
        <w:t>nacional-socialismo</w:t>
      </w:r>
      <w:r w:rsidRPr="000210BD">
        <w:rPr>
          <w:rFonts w:ascii="Arial Narrow" w:hAnsi="Arial Narrow"/>
        </w:rPr>
        <w:t xml:space="preserve"> ver ainda as págs. 78 e 135, referentes a 13 de Junho de 1934 e 22 de Abril de 1935.</w:t>
      </w:r>
    </w:p>
  </w:footnote>
  <w:footnote w:id="258">
    <w:p w:rsidR="003F07DD" w:rsidRPr="00BB1E63"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Esta entrada, correspondente a 10 de Janeiro de 1939, encontra-se em id.</w:t>
      </w:r>
      <w:r>
        <w:rPr>
          <w:rFonts w:ascii="Arial Narrow" w:hAnsi="Arial Narrow"/>
        </w:rPr>
        <w:t>,</w:t>
      </w:r>
      <w:r w:rsidRPr="004033B7">
        <w:rPr>
          <w:rFonts w:ascii="Arial Narrow" w:hAnsi="Arial Narrow"/>
        </w:rPr>
        <w:t xml:space="preserve"> </w:t>
      </w:r>
      <w:r>
        <w:rPr>
          <w:rFonts w:ascii="Arial Narrow" w:hAnsi="Arial Narrow"/>
        </w:rPr>
        <w:t xml:space="preserve">ibid., </w:t>
      </w:r>
      <w:r w:rsidRPr="004033B7">
        <w:rPr>
          <w:rFonts w:ascii="Arial Narrow" w:hAnsi="Arial Narrow"/>
        </w:rPr>
        <w:t>338-339. Em 27 de Junho de 1942 Klemperer manifestou o desejo de escrever um ensaio «a favor da Germânia e contra Sion, sob o ponto de vista contemporâneo do judeu alem</w:t>
      </w:r>
      <w:r>
        <w:rPr>
          <w:rFonts w:ascii="Arial Narrow" w:hAnsi="Arial Narrow"/>
        </w:rPr>
        <w:t>ão». Ver id. (org. 2006 b) 102.</w:t>
      </w:r>
    </w:p>
  </w:footnote>
  <w:footnote w:id="259">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Ver esta passagem da entrada de 26 de Maio de 1940 em id.</w:t>
      </w:r>
      <w:r>
        <w:rPr>
          <w:rFonts w:ascii="Arial Narrow" w:hAnsi="Arial Narrow"/>
        </w:rPr>
        <w:t xml:space="preserve"> </w:t>
      </w:r>
      <w:r w:rsidRPr="00D2506B">
        <w:rPr>
          <w:rFonts w:ascii="Arial Narrow" w:hAnsi="Arial Narrow"/>
        </w:rPr>
        <w:t xml:space="preserve">(org. 2006 a) </w:t>
      </w:r>
      <w:r w:rsidRPr="004033B7">
        <w:rPr>
          <w:rFonts w:ascii="Arial Narrow" w:hAnsi="Arial Narrow"/>
        </w:rPr>
        <w:t>396.</w:t>
      </w:r>
    </w:p>
  </w:footnote>
  <w:footnote w:id="260">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Na entrada de 17 de Dezembro de 1941 em id., ibid., 521.</w:t>
      </w:r>
    </w:p>
  </w:footnote>
  <w:footnote w:id="261">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Na entrada de 3 de Maio de 1942 em id. (org. 2006 b) 53.</w:t>
      </w:r>
    </w:p>
  </w:footnote>
  <w:footnote w:id="262">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Nas entradas de 23 e 25 de Junho e 1 de Julho de 1942 em id., ibid., 99, 100 e 104. Em 10 de Dezembro de 1940 Klemperer cita</w:t>
      </w:r>
      <w:r>
        <w:rPr>
          <w:rFonts w:ascii="Arial Narrow" w:hAnsi="Arial Narrow"/>
        </w:rPr>
        <w:t>ra</w:t>
      </w:r>
      <w:r w:rsidRPr="004033B7">
        <w:rPr>
          <w:rFonts w:ascii="Arial Narrow" w:hAnsi="Arial Narrow"/>
        </w:rPr>
        <w:t xml:space="preserve"> a opinião de outro judeu alemão, segundo o qual não fora o sionismo a inspirar-se no </w:t>
      </w:r>
      <w:r>
        <w:rPr>
          <w:rFonts w:ascii="Arial Narrow" w:hAnsi="Arial Narrow"/>
        </w:rPr>
        <w:t>nacional-socialismo</w:t>
      </w:r>
      <w:r w:rsidRPr="004033B7">
        <w:rPr>
          <w:rFonts w:ascii="Arial Narrow" w:hAnsi="Arial Narrow"/>
        </w:rPr>
        <w:t xml:space="preserve"> mas, em sentido inverso, as doutrinas raciais de Herzl a servirem de fonte ao </w:t>
      </w:r>
      <w:r>
        <w:rPr>
          <w:rFonts w:ascii="Arial Narrow" w:hAnsi="Arial Narrow"/>
        </w:rPr>
        <w:t>nacional-socialismo</w:t>
      </w:r>
      <w:r w:rsidRPr="004033B7">
        <w:rPr>
          <w:rFonts w:ascii="Arial Narrow" w:hAnsi="Arial Narrow"/>
        </w:rPr>
        <w:t>. Ver id. (org. 2006 a) 423. E</w:t>
      </w:r>
      <w:r>
        <w:rPr>
          <w:rFonts w:ascii="Arial Narrow" w:hAnsi="Arial Narrow"/>
        </w:rPr>
        <w:t xml:space="preserve"> e</w:t>
      </w:r>
      <w:r w:rsidRPr="004033B7">
        <w:rPr>
          <w:rFonts w:ascii="Arial Narrow" w:hAnsi="Arial Narrow"/>
        </w:rPr>
        <w:t>m 24 de Julho de 1942 Klemperer referiu «o prejuízo tremendo causado por Herzl» aos judeus alemães. Ver id. (org. 2006 b) 124.</w:t>
      </w:r>
    </w:p>
  </w:footnote>
  <w:footnote w:id="263">
    <w:p w:rsidR="003F07DD" w:rsidRPr="004033B7" w:rsidRDefault="003F07DD" w:rsidP="00751A22">
      <w:pPr>
        <w:pStyle w:val="Textodenotaderodap"/>
        <w:rPr>
          <w:rFonts w:ascii="Arial Narrow" w:hAnsi="Arial Narrow"/>
          <w:lang w:val="en-GB"/>
        </w:rPr>
      </w:pPr>
      <w:r w:rsidRPr="004033B7">
        <w:rPr>
          <w:rStyle w:val="Refdenotaderodap"/>
          <w:rFonts w:ascii="Arial Narrow" w:hAnsi="Arial Narrow"/>
        </w:rPr>
        <w:footnoteRef/>
      </w:r>
      <w:r w:rsidRPr="004033B7">
        <w:rPr>
          <w:rFonts w:ascii="Arial Narrow" w:hAnsi="Arial Narrow"/>
        </w:rPr>
        <w:t xml:space="preserve"> </w:t>
      </w:r>
      <w:r>
        <w:rPr>
          <w:rFonts w:ascii="Arial Narrow" w:hAnsi="Arial Narrow"/>
        </w:rPr>
        <w:t>A</w:t>
      </w:r>
      <w:r w:rsidRPr="004033B7">
        <w:rPr>
          <w:rFonts w:ascii="Arial Narrow" w:hAnsi="Arial Narrow"/>
        </w:rPr>
        <w:t xml:space="preserve"> entrada corresp</w:t>
      </w:r>
      <w:r>
        <w:rPr>
          <w:rFonts w:ascii="Arial Narrow" w:hAnsi="Arial Narrow"/>
        </w:rPr>
        <w:t>ondente a 10 de Janeiro de 1939</w:t>
      </w:r>
      <w:r w:rsidRPr="004033B7">
        <w:rPr>
          <w:rFonts w:ascii="Arial Narrow" w:hAnsi="Arial Narrow"/>
        </w:rPr>
        <w:t xml:space="preserve"> encontra-s</w:t>
      </w:r>
      <w:r>
        <w:rPr>
          <w:rFonts w:ascii="Arial Narrow" w:hAnsi="Arial Narrow"/>
        </w:rPr>
        <w:t xml:space="preserve">e em id. </w:t>
      </w:r>
      <w:r w:rsidRPr="00751A22">
        <w:rPr>
          <w:rFonts w:ascii="Arial Narrow" w:hAnsi="Arial Narrow"/>
          <w:lang w:val="en-US"/>
        </w:rPr>
        <w:t>(org. 2006 a) 338-339.</w:t>
      </w:r>
    </w:p>
  </w:footnote>
  <w:footnote w:id="264">
    <w:p w:rsidR="003F07DD" w:rsidRPr="004033B7" w:rsidRDefault="003F07DD" w:rsidP="00751A22">
      <w:pPr>
        <w:pStyle w:val="Textodenotaderodap"/>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E. Black (1999) 173.</w:t>
      </w:r>
    </w:p>
  </w:footnote>
  <w:footnote w:id="265">
    <w:p w:rsidR="003F07DD" w:rsidRPr="007D16CF"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lang w:val="en-GB"/>
        </w:rPr>
        <w:t xml:space="preserve"> </w:t>
      </w:r>
      <w:smartTag w:uri="urn:schemas-microsoft-com:office:smarttags" w:element="State">
        <w:smartTag w:uri="urn:schemas-microsoft-com:office:smarttags" w:element="place">
          <w:r w:rsidRPr="004033B7">
            <w:rPr>
              <w:rFonts w:ascii="Arial Narrow" w:hAnsi="Arial Narrow"/>
              <w:lang w:val="en-GB"/>
            </w:rPr>
            <w:t>Id.</w:t>
          </w:r>
        </w:smartTag>
      </w:smartTag>
      <w:r w:rsidRPr="004033B7">
        <w:rPr>
          <w:rFonts w:ascii="Arial Narrow" w:hAnsi="Arial Narrow"/>
          <w:lang w:val="en-GB"/>
        </w:rPr>
        <w:t>, ibid., 36 e segs., 79, 173; L. Brenner (1983) 46-47, 49, 55</w:t>
      </w:r>
      <w:r>
        <w:rPr>
          <w:rFonts w:ascii="Arial Narrow" w:hAnsi="Arial Narrow"/>
          <w:lang w:val="en-GB"/>
        </w:rPr>
        <w:t>; K. Polkehn (1976) 59-60, 70</w:t>
      </w:r>
      <w:r w:rsidRPr="004033B7">
        <w:rPr>
          <w:rFonts w:ascii="Arial Narrow" w:hAnsi="Arial Narrow"/>
          <w:lang w:val="en-GB"/>
        </w:rPr>
        <w:t>.</w:t>
      </w:r>
      <w:r>
        <w:rPr>
          <w:rFonts w:ascii="Arial Narrow" w:hAnsi="Arial Narrow"/>
          <w:lang w:val="en-GB"/>
        </w:rPr>
        <w:t xml:space="preserve"> </w:t>
      </w:r>
      <w:r w:rsidRPr="007D16CF">
        <w:rPr>
          <w:rFonts w:ascii="Arial Narrow" w:hAnsi="Arial Narrow"/>
        </w:rPr>
        <w:t>Por seu lado, K. A. Schleunes (1990) 77-78 pretendeu que os representantes das organizações assimilacionistas invocaram o facto de não terem contactos significativos no estrangeiro e o representante da organização sionista, embora se tivesse deslocado a Londres, nada conseguiu.</w:t>
      </w:r>
    </w:p>
  </w:footnote>
  <w:footnote w:id="266">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Citado em L. Brenner (1983) 48-49.</w:t>
      </w:r>
      <w:r>
        <w:rPr>
          <w:rFonts w:ascii="Arial Narrow" w:hAnsi="Arial Narrow"/>
          <w:lang w:val="de-DE"/>
        </w:rPr>
        <w:t xml:space="preserve"> Ver também </w:t>
      </w:r>
      <w:r w:rsidRPr="007D16CF">
        <w:rPr>
          <w:rFonts w:ascii="Arial Narrow" w:hAnsi="Arial Narrow"/>
        </w:rPr>
        <w:t>K. A. Schleunes (1990) 126.</w:t>
      </w:r>
    </w:p>
  </w:footnote>
  <w:footnote w:id="267">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R. Hilberg (1961) 32.</w:t>
      </w:r>
    </w:p>
  </w:footnote>
  <w:footnote w:id="268">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H. Arendt (1994) 60.</w:t>
      </w:r>
    </w:p>
  </w:footnote>
  <w:footnote w:id="269">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L. Brenner (1983) 86, 136</w:t>
      </w:r>
      <w:r>
        <w:rPr>
          <w:rFonts w:ascii="Arial Narrow" w:hAnsi="Arial Narrow"/>
          <w:lang w:val="de-DE"/>
        </w:rPr>
        <w:t xml:space="preserve">; K. Polkehn (1976) 60-61; </w:t>
      </w:r>
      <w:r w:rsidRPr="00AE5356">
        <w:rPr>
          <w:rFonts w:ascii="Arial Narrow" w:hAnsi="Arial Narrow"/>
          <w:lang w:val="en-US"/>
        </w:rPr>
        <w:t>K. A. Schleunes (1990)</w:t>
      </w:r>
      <w:r>
        <w:rPr>
          <w:rFonts w:ascii="Arial Narrow" w:hAnsi="Arial Narrow"/>
          <w:lang w:val="en-US"/>
        </w:rPr>
        <w:t xml:space="preserve"> 179 e segs</w:t>
      </w:r>
      <w:r w:rsidRPr="00EF57D6">
        <w:rPr>
          <w:rFonts w:ascii="Arial Narrow" w:hAnsi="Arial Narrow"/>
          <w:lang w:val="de-DE"/>
        </w:rPr>
        <w:t>.</w:t>
      </w:r>
      <w:r>
        <w:rPr>
          <w:rFonts w:ascii="Arial Narrow" w:hAnsi="Arial Narrow"/>
          <w:lang w:val="de-DE"/>
        </w:rPr>
        <w:t>, 191, 193.</w:t>
      </w:r>
    </w:p>
  </w:footnote>
  <w:footnote w:id="270">
    <w:p w:rsidR="003F07DD" w:rsidRPr="00DA793A" w:rsidRDefault="003F07DD">
      <w:pPr>
        <w:pStyle w:val="Textodenotaderodap"/>
        <w:rPr>
          <w:rFonts w:ascii="Arial Narrow" w:hAnsi="Arial Narrow"/>
          <w:lang w:val="en-US"/>
        </w:rPr>
      </w:pPr>
      <w:r w:rsidRPr="00DD4104">
        <w:rPr>
          <w:rStyle w:val="Refdenotaderodap"/>
          <w:rFonts w:ascii="Arial Narrow" w:hAnsi="Arial Narrow"/>
        </w:rPr>
        <w:footnoteRef/>
      </w:r>
      <w:r w:rsidRPr="00DD4104">
        <w:rPr>
          <w:rFonts w:ascii="Arial Narrow" w:hAnsi="Arial Narrow"/>
        </w:rPr>
        <w:t xml:space="preserve"> Este artigo, publicado em </w:t>
      </w:r>
      <w:r w:rsidRPr="00DD4104">
        <w:rPr>
          <w:rFonts w:ascii="Arial Narrow" w:hAnsi="Arial Narrow"/>
          <w:i/>
        </w:rPr>
        <w:t>Das Schwarze Ko</w:t>
      </w:r>
      <w:r>
        <w:rPr>
          <w:rFonts w:ascii="Arial Narrow" w:hAnsi="Arial Narrow"/>
          <w:i/>
        </w:rPr>
        <w:t>r</w:t>
      </w:r>
      <w:r w:rsidRPr="00DD4104">
        <w:rPr>
          <w:rFonts w:ascii="Arial Narrow" w:hAnsi="Arial Narrow"/>
          <w:i/>
        </w:rPr>
        <w:t>p</w:t>
      </w:r>
      <w:r>
        <w:rPr>
          <w:rFonts w:ascii="Arial Narrow" w:hAnsi="Arial Narrow"/>
          <w:i/>
        </w:rPr>
        <w:t>s,</w:t>
      </w:r>
      <w:r w:rsidRPr="00DD4104">
        <w:rPr>
          <w:rFonts w:ascii="Arial Narrow" w:hAnsi="Arial Narrow"/>
        </w:rPr>
        <w:t xml:space="preserve"> 15 de Maio de 1935, encontra-se em J. </w:t>
      </w:r>
      <w:r>
        <w:rPr>
          <w:rFonts w:ascii="Arial Narrow" w:hAnsi="Arial Narrow"/>
        </w:rPr>
        <w:t xml:space="preserve">Noakes et al. </w:t>
      </w:r>
      <w:r>
        <w:rPr>
          <w:rFonts w:ascii="Arial Narrow" w:hAnsi="Arial Narrow"/>
          <w:lang w:val="en-US"/>
        </w:rPr>
        <w:t xml:space="preserve">(orgs. 2008-2010) II 353-354 e </w:t>
      </w:r>
      <w:r w:rsidRPr="009B4DCD">
        <w:rPr>
          <w:rFonts w:ascii="Arial Narrow" w:hAnsi="Arial Narrow"/>
          <w:lang w:val="en-US"/>
        </w:rPr>
        <w:t>K. A. Schleunes (1990)</w:t>
      </w:r>
      <w:r>
        <w:rPr>
          <w:rFonts w:ascii="Arial Narrow" w:hAnsi="Arial Narrow"/>
          <w:lang w:val="en-US"/>
        </w:rPr>
        <w:t xml:space="preserve"> 194.</w:t>
      </w:r>
    </w:p>
  </w:footnote>
  <w:footnote w:id="271">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4033B7">
        <w:rPr>
          <w:rFonts w:ascii="Arial Narrow" w:hAnsi="Arial Narrow"/>
          <w:lang w:val="en-GB"/>
        </w:rPr>
        <w:t xml:space="preserve"> Benoist-Méchin (1964-1966) III 310; E. Black (1999) 175</w:t>
      </w:r>
      <w:r>
        <w:rPr>
          <w:rFonts w:ascii="Arial Narrow" w:hAnsi="Arial Narrow"/>
          <w:lang w:val="en-GB"/>
        </w:rPr>
        <w:t xml:space="preserve">; J. Noakes et al. </w:t>
      </w:r>
      <w:r w:rsidRPr="00EC71CA">
        <w:rPr>
          <w:rFonts w:ascii="Arial Narrow" w:hAnsi="Arial Narrow"/>
        </w:rPr>
        <w:t xml:space="preserve">(orgs. 2008-2010) II 342. </w:t>
      </w:r>
      <w:r>
        <w:rPr>
          <w:rFonts w:ascii="Arial Narrow" w:hAnsi="Arial Narrow"/>
          <w:lang w:val="de-DE"/>
        </w:rPr>
        <w:t xml:space="preserve">Consultar </w:t>
      </w:r>
      <w:r w:rsidRPr="00EF57D6">
        <w:rPr>
          <w:rFonts w:ascii="Arial Narrow" w:hAnsi="Arial Narrow"/>
          <w:lang w:val="de-DE"/>
        </w:rPr>
        <w:t>ainda L. Brenner (1983) 85</w:t>
      </w:r>
      <w:r>
        <w:rPr>
          <w:rFonts w:ascii="Arial Narrow" w:hAnsi="Arial Narrow"/>
          <w:lang w:val="de-DE"/>
        </w:rPr>
        <w:t xml:space="preserve"> e</w:t>
      </w:r>
      <w:r w:rsidRPr="00EF57D6">
        <w:rPr>
          <w:rFonts w:ascii="Arial Narrow" w:hAnsi="Arial Narrow"/>
          <w:lang w:val="de-DE"/>
        </w:rPr>
        <w:t xml:space="preserve"> R. Hilberg (1961) 120.</w:t>
      </w:r>
      <w:r>
        <w:rPr>
          <w:rFonts w:ascii="Arial Narrow" w:hAnsi="Arial Narrow"/>
          <w:lang w:val="de-DE"/>
        </w:rPr>
        <w:t xml:space="preserve"> Ao mesmo tempo, como se vê em Jeremy Noakes et al.,</w:t>
      </w:r>
      <w:r w:rsidRPr="004B53A4">
        <w:rPr>
          <w:rFonts w:ascii="Arial Narrow" w:hAnsi="Arial Narrow"/>
          <w:lang w:val="de-DE"/>
        </w:rPr>
        <w:t xml:space="preserve"> op. cit.,</w:t>
      </w:r>
      <w:r>
        <w:rPr>
          <w:rFonts w:ascii="Arial Narrow" w:hAnsi="Arial Narrow"/>
          <w:lang w:val="de-DE"/>
        </w:rPr>
        <w:t xml:space="preserve"> II 340 e 342, o mesmo artigo proibiu os judeus de desfraldar a bandeira do Reich.</w:t>
      </w:r>
    </w:p>
  </w:footnote>
  <w:footnote w:id="272">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E. Black (1999) 174-175; L. Brenner (1983) 84-85, 88-89, 136</w:t>
      </w:r>
      <w:r>
        <w:rPr>
          <w:rFonts w:ascii="Arial Narrow" w:hAnsi="Arial Narrow"/>
          <w:lang w:val="de-DE"/>
        </w:rPr>
        <w:t>; K. Polkehn (1976) 78</w:t>
      </w:r>
      <w:r w:rsidRPr="00EF57D6">
        <w:rPr>
          <w:rFonts w:ascii="Arial Narrow" w:hAnsi="Arial Narrow"/>
          <w:lang w:val="de-DE"/>
        </w:rPr>
        <w:t>.</w:t>
      </w:r>
    </w:p>
  </w:footnote>
  <w:footnote w:id="273">
    <w:p w:rsidR="003F07DD" w:rsidRPr="003714A9" w:rsidRDefault="003F07DD" w:rsidP="00751A22">
      <w:pPr>
        <w:pStyle w:val="Textodenotaderodap"/>
        <w:rPr>
          <w:rFonts w:ascii="Arial Narrow" w:hAnsi="Arial Narrow"/>
        </w:rPr>
      </w:pPr>
      <w:r w:rsidRPr="004033B7">
        <w:rPr>
          <w:rStyle w:val="Refdenotaderodap"/>
          <w:rFonts w:ascii="Arial Narrow" w:hAnsi="Arial Narrow"/>
        </w:rPr>
        <w:footnoteRef/>
      </w:r>
      <w:r w:rsidRPr="003714A9">
        <w:rPr>
          <w:rFonts w:ascii="Arial Narrow" w:hAnsi="Arial Narrow"/>
        </w:rPr>
        <w:t xml:space="preserve"> E. Black (1999) 373.</w:t>
      </w:r>
      <w:r>
        <w:rPr>
          <w:rFonts w:ascii="Arial Narrow" w:hAnsi="Arial Narrow"/>
        </w:rPr>
        <w:t xml:space="preserve"> Ver também </w:t>
      </w:r>
      <w:r w:rsidRPr="007D16CF">
        <w:rPr>
          <w:rFonts w:ascii="Arial Narrow" w:hAnsi="Arial Narrow"/>
        </w:rPr>
        <w:t>K. A. Schleunes (1990) 180</w:t>
      </w:r>
      <w:r>
        <w:rPr>
          <w:rFonts w:ascii="Arial Narrow" w:hAnsi="Arial Narrow"/>
        </w:rPr>
        <w:t>, 192, 193</w:t>
      </w:r>
      <w:r w:rsidRPr="007D16CF">
        <w:rPr>
          <w:rFonts w:ascii="Arial Narrow" w:hAnsi="Arial Narrow"/>
        </w:rPr>
        <w:t>.</w:t>
      </w:r>
    </w:p>
  </w:footnote>
  <w:footnote w:id="274">
    <w:p w:rsidR="003F07DD" w:rsidRPr="00B96FB8" w:rsidRDefault="003F07DD">
      <w:pPr>
        <w:pStyle w:val="Textodenotaderodap"/>
        <w:rPr>
          <w:rFonts w:ascii="Arial Narrow" w:hAnsi="Arial Narrow"/>
        </w:rPr>
      </w:pPr>
      <w:r w:rsidRPr="00B96FB8">
        <w:rPr>
          <w:rStyle w:val="Refdenotaderodap"/>
          <w:rFonts w:ascii="Arial Narrow" w:hAnsi="Arial Narrow"/>
        </w:rPr>
        <w:footnoteRef/>
      </w:r>
      <w:r w:rsidRPr="00B96FB8">
        <w:rPr>
          <w:rFonts w:ascii="Arial Narrow" w:hAnsi="Arial Narrow"/>
        </w:rPr>
        <w:t xml:space="preserve"> </w:t>
      </w:r>
      <w:r w:rsidRPr="00DF77D7">
        <w:rPr>
          <w:rFonts w:ascii="Arial Narrow" w:hAnsi="Arial Narrow"/>
        </w:rPr>
        <w:t>S. Friedländer (2008) 168.</w:t>
      </w:r>
    </w:p>
  </w:footnote>
  <w:footnote w:id="275">
    <w:p w:rsidR="003F07DD" w:rsidRPr="003714A9"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4033B7">
        <w:rPr>
          <w:rFonts w:ascii="Arial Narrow" w:hAnsi="Arial Narrow"/>
        </w:rPr>
        <w:t xml:space="preserve"> Victor Klemperer registou este cartaz na entrada do seu diário com data de 25 de Abril de 1933. </w:t>
      </w:r>
      <w:r w:rsidRPr="003714A9">
        <w:rPr>
          <w:rFonts w:ascii="Arial Narrow" w:hAnsi="Arial Narrow"/>
          <w:lang w:val="en-US"/>
        </w:rPr>
        <w:t>Ver M. Chalmers (org. 2006 a) 15.</w:t>
      </w:r>
    </w:p>
  </w:footnote>
  <w:footnote w:id="276">
    <w:p w:rsidR="003F07DD" w:rsidRPr="001417B6" w:rsidRDefault="003F07DD" w:rsidP="00751A22">
      <w:pPr>
        <w:pStyle w:val="Textodenotaderodap"/>
        <w:rPr>
          <w:rFonts w:ascii="Arial Narrow" w:hAnsi="Arial Narrow"/>
        </w:rPr>
      </w:pPr>
      <w:r w:rsidRPr="004033B7">
        <w:rPr>
          <w:rStyle w:val="Refdenotaderodap"/>
          <w:rFonts w:ascii="Arial Narrow" w:hAnsi="Arial Narrow"/>
        </w:rPr>
        <w:footnoteRef/>
      </w:r>
      <w:r w:rsidRPr="003714A9">
        <w:rPr>
          <w:rFonts w:ascii="Arial Narrow" w:hAnsi="Arial Narrow"/>
          <w:lang w:val="en-US"/>
        </w:rPr>
        <w:t xml:space="preserve"> H. Arendt (1994) 63; E. Black (1999) 378; K. Polkehn (1976) 75-76. </w:t>
      </w:r>
      <w:r w:rsidRPr="001417B6">
        <w:rPr>
          <w:rFonts w:ascii="Arial Narrow" w:hAnsi="Arial Narrow"/>
        </w:rPr>
        <w:t>Ver ainda J. Noakes et al. (orgs. 2008-2010) II 373.</w:t>
      </w:r>
    </w:p>
  </w:footnote>
  <w:footnote w:id="277">
    <w:p w:rsidR="003F07DD" w:rsidRPr="001417B6" w:rsidRDefault="003F07DD" w:rsidP="00751A22">
      <w:pPr>
        <w:pStyle w:val="Textodenotaderodap"/>
        <w:rPr>
          <w:rFonts w:ascii="Arial Narrow" w:hAnsi="Arial Narrow"/>
        </w:rPr>
      </w:pPr>
      <w:r w:rsidRPr="004033B7">
        <w:rPr>
          <w:rStyle w:val="Refdenotaderodap"/>
          <w:rFonts w:ascii="Arial Narrow" w:hAnsi="Arial Narrow"/>
        </w:rPr>
        <w:footnoteRef/>
      </w:r>
      <w:r w:rsidRPr="001417B6">
        <w:rPr>
          <w:rFonts w:ascii="Arial Narrow" w:hAnsi="Arial Narrow"/>
        </w:rPr>
        <w:t xml:space="preserve"> H. Arendt (1994) 60-61; L. Brenner (1983) 94; H. M. Sachar (1976) 197.</w:t>
      </w:r>
    </w:p>
  </w:footnote>
  <w:footnote w:id="278">
    <w:p w:rsidR="003F07DD" w:rsidRPr="00511A38" w:rsidRDefault="003F07DD" w:rsidP="00751A22">
      <w:pPr>
        <w:pStyle w:val="Textodenotaderodap"/>
        <w:rPr>
          <w:rFonts w:ascii="Arial Narrow" w:hAnsi="Arial Narrow"/>
        </w:rPr>
      </w:pPr>
      <w:r w:rsidRPr="004033B7">
        <w:rPr>
          <w:rStyle w:val="Refdenotaderodap"/>
          <w:rFonts w:ascii="Arial Narrow" w:hAnsi="Arial Narrow"/>
        </w:rPr>
        <w:footnoteRef/>
      </w:r>
      <w:r w:rsidRPr="00511A38">
        <w:rPr>
          <w:rFonts w:ascii="Arial Narrow" w:hAnsi="Arial Narrow"/>
        </w:rPr>
        <w:t xml:space="preserve"> H. Arendt (1994) 60, 61. Ver também K. A. Schleunes (1990)</w:t>
      </w:r>
      <w:r>
        <w:rPr>
          <w:rFonts w:ascii="Arial Narrow" w:hAnsi="Arial Narrow"/>
        </w:rPr>
        <w:t xml:space="preserve"> 196-197.</w:t>
      </w:r>
    </w:p>
  </w:footnote>
  <w:footnote w:id="279">
    <w:p w:rsidR="003F07DD" w:rsidRPr="004033B7" w:rsidRDefault="003F07DD" w:rsidP="00751A22">
      <w:pPr>
        <w:pStyle w:val="Textodenotaderodap"/>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w:t>
      </w:r>
      <w:r w:rsidRPr="001417B6">
        <w:rPr>
          <w:rFonts w:ascii="Arial Narrow" w:hAnsi="Arial Narrow"/>
          <w:lang w:val="en-US"/>
        </w:rPr>
        <w:t xml:space="preserve">H. Arendt (1994) </w:t>
      </w:r>
      <w:r w:rsidRPr="004033B7">
        <w:rPr>
          <w:rFonts w:ascii="Arial Narrow" w:hAnsi="Arial Narrow"/>
          <w:lang w:val="en-GB"/>
        </w:rPr>
        <w:t>61.</w:t>
      </w:r>
    </w:p>
  </w:footnote>
  <w:footnote w:id="280">
    <w:p w:rsidR="003F07DD" w:rsidRPr="003714A9"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lang w:val="en-GB"/>
        </w:rPr>
        <w:t xml:space="preserve"> </w:t>
      </w:r>
      <w:smartTag w:uri="urn:schemas-microsoft-com:office:smarttags" w:element="State">
        <w:smartTag w:uri="urn:schemas-microsoft-com:office:smarttags" w:element="place">
          <w:r w:rsidRPr="004033B7">
            <w:rPr>
              <w:rFonts w:ascii="Arial Narrow" w:hAnsi="Arial Narrow"/>
              <w:lang w:val="en-GB"/>
            </w:rPr>
            <w:t>Id.</w:t>
          </w:r>
        </w:smartTag>
      </w:smartTag>
      <w:r w:rsidRPr="004033B7">
        <w:rPr>
          <w:rFonts w:ascii="Arial Narrow" w:hAnsi="Arial Narrow"/>
          <w:lang w:val="en-GB"/>
        </w:rPr>
        <w:t xml:space="preserve">, ibid., 60-61; </w:t>
      </w:r>
      <w:r>
        <w:rPr>
          <w:rFonts w:ascii="Arial Narrow" w:hAnsi="Arial Narrow"/>
          <w:lang w:val="en-GB"/>
        </w:rPr>
        <w:t xml:space="preserve">A. Bramwell (1985) 182, 193; </w:t>
      </w:r>
      <w:r w:rsidRPr="004033B7">
        <w:rPr>
          <w:rFonts w:ascii="Arial Narrow" w:hAnsi="Arial Narrow"/>
          <w:lang w:val="en-GB"/>
        </w:rPr>
        <w:t>H. M. Sachar (1976) 197.</w:t>
      </w:r>
      <w:r>
        <w:rPr>
          <w:rFonts w:ascii="Arial Narrow" w:hAnsi="Arial Narrow"/>
          <w:lang w:val="en-GB"/>
        </w:rPr>
        <w:t xml:space="preserve"> </w:t>
      </w:r>
      <w:r w:rsidRPr="003714A9">
        <w:rPr>
          <w:rFonts w:ascii="Arial Narrow" w:hAnsi="Arial Narrow"/>
        </w:rPr>
        <w:t>Segundo K. Polkehn (1976) 76, no final de 1938 cerca de mil jovens judeus haviam sido formados nestas fazendas experimentais.</w:t>
      </w:r>
    </w:p>
  </w:footnote>
  <w:footnote w:id="281">
    <w:p w:rsidR="003F07DD" w:rsidRPr="00403F2E" w:rsidRDefault="003F07DD">
      <w:pPr>
        <w:pStyle w:val="Textodenotaderodap"/>
        <w:rPr>
          <w:rFonts w:ascii="Arial Narrow" w:hAnsi="Arial Narrow"/>
          <w:lang w:val="en-US"/>
        </w:rPr>
      </w:pPr>
      <w:r w:rsidRPr="00DB78DD">
        <w:rPr>
          <w:rStyle w:val="Refdenotaderodap"/>
          <w:rFonts w:ascii="Arial Narrow" w:hAnsi="Arial Narrow"/>
        </w:rPr>
        <w:footnoteRef/>
      </w:r>
      <w:r w:rsidRPr="00403F2E">
        <w:rPr>
          <w:rFonts w:ascii="Arial Narrow" w:hAnsi="Arial Narrow"/>
          <w:lang w:val="en-US"/>
        </w:rPr>
        <w:t xml:space="preserve"> M. Gilbert (2011 b) I 379-380.</w:t>
      </w:r>
    </w:p>
  </w:footnote>
  <w:footnote w:id="282">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E. Black (1999) 174; L. Brenner (1984) 93</w:t>
      </w:r>
      <w:r>
        <w:rPr>
          <w:rFonts w:ascii="Arial Narrow" w:hAnsi="Arial Narrow"/>
          <w:lang w:val="fr-FR"/>
        </w:rPr>
        <w:t xml:space="preserve">; </w:t>
      </w:r>
      <w:r w:rsidRPr="00896B07">
        <w:rPr>
          <w:rFonts w:ascii="Arial Narrow" w:hAnsi="Arial Narrow"/>
          <w:lang w:val="en-US"/>
        </w:rPr>
        <w:t>K. Polkehn (1976)</w:t>
      </w:r>
      <w:r>
        <w:rPr>
          <w:rFonts w:ascii="Arial Narrow" w:hAnsi="Arial Narrow"/>
          <w:lang w:val="en-US"/>
        </w:rPr>
        <w:t xml:space="preserve"> 70-71</w:t>
      </w:r>
      <w:r w:rsidRPr="004033B7">
        <w:rPr>
          <w:rFonts w:ascii="Arial Narrow" w:hAnsi="Arial Narrow"/>
          <w:lang w:val="fr-FR"/>
        </w:rPr>
        <w:t>.</w:t>
      </w:r>
    </w:p>
  </w:footnote>
  <w:footnote w:id="283">
    <w:p w:rsidR="003F07DD" w:rsidRPr="00F54883" w:rsidRDefault="003F07DD">
      <w:pPr>
        <w:pStyle w:val="Textodenotaderodap"/>
        <w:rPr>
          <w:rFonts w:ascii="Arial Narrow" w:hAnsi="Arial Narrow"/>
          <w:lang w:val="en-US"/>
        </w:rPr>
      </w:pPr>
      <w:r w:rsidRPr="0079029F">
        <w:rPr>
          <w:rStyle w:val="Refdenotaderodap"/>
          <w:rFonts w:ascii="Arial Narrow" w:hAnsi="Arial Narrow"/>
        </w:rPr>
        <w:footnoteRef/>
      </w:r>
      <w:r w:rsidRPr="00F54883">
        <w:rPr>
          <w:rFonts w:ascii="Arial Narrow" w:hAnsi="Arial Narrow"/>
          <w:lang w:val="en-US"/>
        </w:rPr>
        <w:t xml:space="preserve"> K. Polkehn (1976) 70.</w:t>
      </w:r>
    </w:p>
  </w:footnote>
  <w:footnote w:id="284">
    <w:p w:rsidR="003F07DD" w:rsidRPr="00A805EF" w:rsidRDefault="003F07DD">
      <w:pPr>
        <w:pStyle w:val="Textodenotaderodap"/>
        <w:rPr>
          <w:rFonts w:ascii="Arial Narrow" w:hAnsi="Arial Narrow"/>
          <w:lang w:val="en-US"/>
        </w:rPr>
      </w:pPr>
      <w:r w:rsidRPr="00A805EF">
        <w:rPr>
          <w:rStyle w:val="Refdenotaderodap"/>
          <w:rFonts w:ascii="Arial Narrow" w:hAnsi="Arial Narrow"/>
        </w:rPr>
        <w:footnoteRef/>
      </w:r>
      <w:r w:rsidRPr="00A805EF">
        <w:rPr>
          <w:rFonts w:ascii="Arial Narrow" w:hAnsi="Arial Narrow"/>
          <w:lang w:val="en-US"/>
        </w:rPr>
        <w:t xml:space="preserve"> </w:t>
      </w:r>
      <w:r>
        <w:rPr>
          <w:rFonts w:ascii="Arial Narrow" w:hAnsi="Arial Narrow"/>
          <w:lang w:val="en-US"/>
        </w:rPr>
        <w:t>Sh. Sand (2010) 265.</w:t>
      </w:r>
    </w:p>
  </w:footnote>
  <w:footnote w:id="285">
    <w:p w:rsidR="003F07DD" w:rsidRPr="00F54883" w:rsidRDefault="003F07DD">
      <w:pPr>
        <w:pStyle w:val="Textodenotaderodap"/>
        <w:rPr>
          <w:rFonts w:ascii="Arial Narrow" w:hAnsi="Arial Narrow"/>
          <w:lang w:val="en-US"/>
        </w:rPr>
      </w:pPr>
      <w:r w:rsidRPr="00F54883">
        <w:rPr>
          <w:rStyle w:val="Refdenotaderodap"/>
          <w:rFonts w:ascii="Arial Narrow" w:hAnsi="Arial Narrow"/>
        </w:rPr>
        <w:footnoteRef/>
      </w:r>
      <w:r w:rsidRPr="00F54883">
        <w:rPr>
          <w:rFonts w:ascii="Arial Narrow" w:hAnsi="Arial Narrow"/>
          <w:lang w:val="en-US"/>
        </w:rPr>
        <w:t xml:space="preserve"> </w:t>
      </w:r>
      <w:r>
        <w:rPr>
          <w:rFonts w:ascii="Arial Narrow" w:hAnsi="Arial Narrow"/>
          <w:lang w:val="en-US"/>
        </w:rPr>
        <w:t xml:space="preserve">K. Polkehn (1976) 71-72; </w:t>
      </w:r>
      <w:r w:rsidRPr="0012044A">
        <w:rPr>
          <w:rFonts w:ascii="Arial Narrow" w:hAnsi="Arial Narrow"/>
          <w:lang w:val="en-US"/>
        </w:rPr>
        <w:t>K. A. Schleunes (1990)</w:t>
      </w:r>
      <w:r>
        <w:rPr>
          <w:rFonts w:ascii="Arial Narrow" w:hAnsi="Arial Narrow"/>
          <w:lang w:val="en-US"/>
        </w:rPr>
        <w:t xml:space="preserve"> 208, 210.</w:t>
      </w:r>
    </w:p>
  </w:footnote>
  <w:footnote w:id="286">
    <w:p w:rsidR="003F07DD" w:rsidRPr="00B96FB8" w:rsidRDefault="003F07DD">
      <w:pPr>
        <w:pStyle w:val="Textodenotaderodap"/>
        <w:rPr>
          <w:rFonts w:ascii="Arial Narrow" w:hAnsi="Arial Narrow"/>
          <w:lang w:val="en-US"/>
        </w:rPr>
      </w:pPr>
      <w:r w:rsidRPr="004E4DDA">
        <w:rPr>
          <w:rStyle w:val="Refdenotaderodap"/>
          <w:rFonts w:ascii="Arial Narrow" w:hAnsi="Arial Narrow"/>
        </w:rPr>
        <w:footnoteRef/>
      </w:r>
      <w:r w:rsidRPr="00B96FB8">
        <w:rPr>
          <w:rFonts w:ascii="Arial Narrow" w:hAnsi="Arial Narrow"/>
          <w:lang w:val="en-US"/>
        </w:rPr>
        <w:t xml:space="preserve"> S. Friedländer (2008) 152-153; </w:t>
      </w:r>
      <w:r>
        <w:rPr>
          <w:rFonts w:ascii="Arial Narrow" w:hAnsi="Arial Narrow"/>
          <w:lang w:val="en-US"/>
        </w:rPr>
        <w:t xml:space="preserve">K. Polkehn (1976) </w:t>
      </w:r>
      <w:r w:rsidRPr="00B96FB8">
        <w:rPr>
          <w:rFonts w:ascii="Arial Narrow" w:hAnsi="Arial Narrow"/>
          <w:lang w:val="en-US"/>
        </w:rPr>
        <w:t>75-76.</w:t>
      </w:r>
    </w:p>
  </w:footnote>
  <w:footnote w:id="287">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94-95; H. M. Sachar (1976) 197, 210.</w:t>
      </w:r>
      <w:r>
        <w:rPr>
          <w:rFonts w:ascii="Arial Narrow" w:hAnsi="Arial Narrow"/>
          <w:lang w:val="fr-FR"/>
        </w:rPr>
        <w:t xml:space="preserve"> </w:t>
      </w:r>
      <w:r w:rsidRPr="00D37B1E">
        <w:rPr>
          <w:rFonts w:ascii="Arial Narrow" w:hAnsi="Arial Narrow"/>
        </w:rPr>
        <w:t xml:space="preserve">K. A. Schleunes (1990) </w:t>
      </w:r>
      <w:r>
        <w:rPr>
          <w:rFonts w:ascii="Arial Narrow" w:hAnsi="Arial Narrow"/>
        </w:rPr>
        <w:t xml:space="preserve">209 cometeu o anacronismo de atribuir este memorando a von Ribbentrop. </w:t>
      </w:r>
      <w:r>
        <w:rPr>
          <w:rFonts w:ascii="Arial Narrow" w:hAnsi="Arial Narrow"/>
          <w:lang w:val="fr-FR"/>
        </w:rPr>
        <w:t>Encontra-se a mesma tese num memorando de um alto funcionário do Ministério dos Negócios Estrangeiros de 9 de Julho de 1940, como se vê em J. Noakes et al. (orgs. 2008-2010) III 469. Consultar ainda Jeremy Noakes et al.,</w:t>
      </w:r>
      <w:r w:rsidRPr="00AE4D0E">
        <w:rPr>
          <w:rFonts w:ascii="Arial Narrow" w:hAnsi="Arial Narrow"/>
          <w:lang w:val="fr-FR"/>
        </w:rPr>
        <w:t xml:space="preserve"> op. cit.,</w:t>
      </w:r>
      <w:r>
        <w:rPr>
          <w:rFonts w:ascii="Arial Narrow" w:hAnsi="Arial Narrow"/>
          <w:lang w:val="fr-FR"/>
        </w:rPr>
        <w:t xml:space="preserve"> II 373. Ver igualmente K. Polkehn (1976) 67.</w:t>
      </w:r>
    </w:p>
  </w:footnote>
  <w:footnote w:id="288">
    <w:p w:rsidR="003F07DD" w:rsidRPr="00B96FB8" w:rsidRDefault="003F07DD">
      <w:pPr>
        <w:pStyle w:val="Textodenotaderodap"/>
        <w:rPr>
          <w:rFonts w:ascii="Arial Narrow" w:hAnsi="Arial Narrow"/>
          <w:lang w:val="en-US"/>
        </w:rPr>
      </w:pPr>
      <w:r w:rsidRPr="00146F6D">
        <w:rPr>
          <w:rStyle w:val="Refdenotaderodap"/>
          <w:rFonts w:ascii="Arial Narrow" w:hAnsi="Arial Narrow"/>
        </w:rPr>
        <w:footnoteRef/>
      </w:r>
      <w:r w:rsidRPr="00B96FB8">
        <w:rPr>
          <w:rFonts w:ascii="Arial Narrow" w:hAnsi="Arial Narrow"/>
          <w:lang w:val="en-US"/>
        </w:rPr>
        <w:t xml:space="preserve"> K. Polkehn (1976) 68.</w:t>
      </w:r>
    </w:p>
  </w:footnote>
  <w:footnote w:id="289">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84.</w:t>
      </w:r>
    </w:p>
  </w:footnote>
  <w:footnote w:id="290">
    <w:p w:rsidR="003F07DD" w:rsidRPr="00D37B1E" w:rsidRDefault="003F07DD">
      <w:pPr>
        <w:pStyle w:val="Textodenotaderodap"/>
        <w:rPr>
          <w:rFonts w:ascii="Arial Narrow" w:hAnsi="Arial Narrow"/>
        </w:rPr>
      </w:pPr>
      <w:r w:rsidRPr="00146F6D">
        <w:rPr>
          <w:rStyle w:val="Refdenotaderodap"/>
          <w:rFonts w:ascii="Arial Narrow" w:hAnsi="Arial Narrow"/>
        </w:rPr>
        <w:footnoteRef/>
      </w:r>
      <w:r w:rsidRPr="001417B6">
        <w:rPr>
          <w:rFonts w:ascii="Arial Narrow" w:hAnsi="Arial Narrow"/>
          <w:lang w:val="en-US"/>
        </w:rPr>
        <w:t xml:space="preserve"> S. Friedländer (2008) 152; K. Polkehn (1976) 68-69. </w:t>
      </w:r>
      <w:r w:rsidRPr="00D37B1E">
        <w:rPr>
          <w:rFonts w:ascii="Arial Narrow" w:hAnsi="Arial Narrow"/>
        </w:rPr>
        <w:t>Por seu lado, K. A. Schleunes (1990)</w:t>
      </w:r>
      <w:r>
        <w:rPr>
          <w:rFonts w:ascii="Arial Narrow" w:hAnsi="Arial Narrow"/>
        </w:rPr>
        <w:t xml:space="preserve"> 209 atribuiu a Hitler uma posição inversa nessa data, o que é mais uma das bizarrias deste historiador.</w:t>
      </w:r>
    </w:p>
  </w:footnote>
  <w:footnote w:id="291">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lang w:val="fr-FR"/>
        </w:rPr>
        <w:t xml:space="preserve"> H. Arendt (1994) 62; L. Brenner (1983) 98-99</w:t>
      </w:r>
      <w:r>
        <w:rPr>
          <w:rFonts w:ascii="Arial Narrow" w:hAnsi="Arial Narrow"/>
          <w:lang w:val="fr-FR"/>
        </w:rPr>
        <w:t xml:space="preserve">; K. Polkehn (1976) 72-75; </w:t>
      </w:r>
      <w:r w:rsidRPr="008E0430">
        <w:rPr>
          <w:rFonts w:ascii="Arial Narrow" w:hAnsi="Arial Narrow"/>
          <w:lang w:val="en-US"/>
        </w:rPr>
        <w:t>K. A. Schleunes (1990)</w:t>
      </w:r>
      <w:r>
        <w:rPr>
          <w:rFonts w:ascii="Arial Narrow" w:hAnsi="Arial Narrow"/>
          <w:lang w:val="en-US"/>
        </w:rPr>
        <w:t xml:space="preserve"> 210-211</w:t>
      </w:r>
      <w:r w:rsidRPr="004033B7">
        <w:rPr>
          <w:rFonts w:ascii="Arial Narrow" w:hAnsi="Arial Narrow"/>
          <w:lang w:val="fr-FR"/>
        </w:rPr>
        <w:t xml:space="preserve">. </w:t>
      </w:r>
      <w:r w:rsidRPr="004033B7">
        <w:rPr>
          <w:rFonts w:ascii="Arial Narrow" w:hAnsi="Arial Narrow"/>
        </w:rPr>
        <w:t>Quanto ao facto de Eichmann ter exercido funções nos SS sob as ordens de von Mildenstein ver E. Black (1999) 174</w:t>
      </w:r>
      <w:r>
        <w:rPr>
          <w:rFonts w:ascii="Arial Narrow" w:hAnsi="Arial Narrow"/>
        </w:rPr>
        <w:t xml:space="preserve"> e </w:t>
      </w:r>
      <w:r w:rsidRPr="008E0430">
        <w:rPr>
          <w:rFonts w:ascii="Arial Narrow" w:hAnsi="Arial Narrow"/>
        </w:rPr>
        <w:t>Karl Schleunes</w:t>
      </w:r>
      <w:r>
        <w:rPr>
          <w:rFonts w:ascii="Arial Narrow" w:hAnsi="Arial Narrow"/>
        </w:rPr>
        <w:t>, op. cit., 203</w:t>
      </w:r>
      <w:r w:rsidRPr="004033B7">
        <w:rPr>
          <w:rFonts w:ascii="Arial Narrow" w:hAnsi="Arial Narrow"/>
        </w:rPr>
        <w:t>.</w:t>
      </w:r>
    </w:p>
  </w:footnote>
  <w:footnote w:id="292">
    <w:p w:rsidR="003F07DD" w:rsidRPr="00205A4D" w:rsidRDefault="003F07DD">
      <w:pPr>
        <w:pStyle w:val="Textodenotaderodap"/>
        <w:rPr>
          <w:rFonts w:ascii="Arial Narrow" w:hAnsi="Arial Narrow"/>
        </w:rPr>
      </w:pPr>
      <w:r w:rsidRPr="00205A4D">
        <w:rPr>
          <w:rStyle w:val="Refdenotaderodap"/>
          <w:rFonts w:ascii="Arial Narrow" w:hAnsi="Arial Narrow"/>
        </w:rPr>
        <w:footnoteRef/>
      </w:r>
      <w:r w:rsidRPr="00205A4D">
        <w:rPr>
          <w:rFonts w:ascii="Arial Narrow" w:hAnsi="Arial Narrow"/>
        </w:rPr>
        <w:t xml:space="preserve"> </w:t>
      </w:r>
      <w:r>
        <w:rPr>
          <w:rFonts w:ascii="Arial Narrow" w:hAnsi="Arial Narrow"/>
          <w:lang w:val="fr-FR"/>
        </w:rPr>
        <w:t xml:space="preserve">Segundo K. Polkehn (1976) 73-74, uma das razões que levou o governo israelita a realizar em Israel o julgamento de Eichmann foi para manter o mito de que ele havia ido </w:t>
      </w:r>
      <w:r w:rsidRPr="00D87EB9">
        <w:rPr>
          <w:rFonts w:ascii="Arial Narrow" w:hAnsi="Arial Narrow"/>
        </w:rPr>
        <w:t>à Palestina para ter contactos com os árabes</w:t>
      </w:r>
      <w:r>
        <w:rPr>
          <w:rFonts w:ascii="Arial Narrow" w:hAnsi="Arial Narrow"/>
        </w:rPr>
        <w:t xml:space="preserve"> e</w:t>
      </w:r>
      <w:r w:rsidRPr="00D87EB9">
        <w:rPr>
          <w:rFonts w:ascii="Arial Narrow" w:hAnsi="Arial Narrow"/>
        </w:rPr>
        <w:t xml:space="preserve"> nomeadamente com o mufti de Jerusalém, e </w:t>
      </w:r>
      <w:r>
        <w:rPr>
          <w:rFonts w:ascii="Arial Narrow" w:hAnsi="Arial Narrow"/>
        </w:rPr>
        <w:t>não a convite de agentes sionistas.</w:t>
      </w:r>
    </w:p>
  </w:footnote>
  <w:footnote w:id="293">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H. Arendt (1994) 41. E. Black (1999) 174 escreve</w:t>
      </w:r>
      <w:r>
        <w:rPr>
          <w:rFonts w:ascii="Arial Narrow" w:hAnsi="Arial Narrow"/>
        </w:rPr>
        <w:t>u</w:t>
      </w:r>
      <w:r w:rsidRPr="004033B7">
        <w:rPr>
          <w:rFonts w:ascii="Arial Narrow" w:hAnsi="Arial Narrow"/>
        </w:rPr>
        <w:t xml:space="preserve"> que o barão von Mildenstein insistia junto aos seus subordinados para que lessem a obra de Herzl.</w:t>
      </w:r>
    </w:p>
  </w:footnote>
  <w:footnote w:id="294">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E. Ringelblum (1964) 90.</w:t>
      </w:r>
    </w:p>
  </w:footnote>
  <w:footnote w:id="295">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L. Brenner (1984) 106.</w:t>
      </w:r>
    </w:p>
  </w:footnote>
  <w:footnote w:id="296">
    <w:p w:rsidR="003F07DD" w:rsidRPr="00BD4D1D"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Acerca do sistema comercial e financeiro que sustentava a emigração de judeus do Reich para a Palestina ver: H. Arendt (1994) 60; E. Black (1999) 197, 249, 373, 379; L. Brenner (1983) 64-65; R. Hilberg (1961) 95; Ł. Hirszowicz (1966) 26; </w:t>
      </w:r>
      <w:r>
        <w:rPr>
          <w:rFonts w:ascii="Arial Narrow" w:hAnsi="Arial Narrow"/>
        </w:rPr>
        <w:t xml:space="preserve">K. Polkehn (1976) 63-68; </w:t>
      </w:r>
      <w:r w:rsidRPr="004033B7">
        <w:rPr>
          <w:rFonts w:ascii="Arial Narrow" w:hAnsi="Arial Narrow"/>
        </w:rPr>
        <w:t>H. M. Sachar (1976) 190, 197</w:t>
      </w:r>
      <w:r>
        <w:rPr>
          <w:rFonts w:ascii="Arial Narrow" w:hAnsi="Arial Narrow"/>
        </w:rPr>
        <w:t xml:space="preserve">; </w:t>
      </w:r>
      <w:r w:rsidRPr="00BD4D1D">
        <w:rPr>
          <w:rFonts w:ascii="Arial Narrow" w:hAnsi="Arial Narrow"/>
        </w:rPr>
        <w:t>K. A. Schleunes (1990)</w:t>
      </w:r>
      <w:r>
        <w:rPr>
          <w:rFonts w:ascii="Arial Narrow" w:hAnsi="Arial Narrow"/>
        </w:rPr>
        <w:t xml:space="preserve"> 197-198; </w:t>
      </w:r>
      <w:r w:rsidRPr="001417B6">
        <w:rPr>
          <w:rFonts w:ascii="Arial Narrow" w:hAnsi="Arial Narrow"/>
        </w:rPr>
        <w:t>A. Tooze (2006)</w:t>
      </w:r>
      <w:r>
        <w:rPr>
          <w:rFonts w:ascii="Arial Narrow" w:hAnsi="Arial Narrow"/>
        </w:rPr>
        <w:t xml:space="preserve"> 89-90</w:t>
      </w:r>
      <w:r w:rsidRPr="004033B7">
        <w:rPr>
          <w:rFonts w:ascii="Arial Narrow" w:hAnsi="Arial Narrow"/>
        </w:rPr>
        <w:t xml:space="preserve">. As estimativas </w:t>
      </w:r>
      <w:r>
        <w:rPr>
          <w:rFonts w:ascii="Arial Narrow" w:hAnsi="Arial Narrow"/>
        </w:rPr>
        <w:t>d</w:t>
      </w:r>
      <w:r w:rsidRPr="004033B7">
        <w:rPr>
          <w:rFonts w:ascii="Arial Narrow" w:hAnsi="Arial Narrow"/>
        </w:rPr>
        <w:t xml:space="preserve">o montante de dólares investido na Palestina directa ou indirectamente através da Ha’avara encontram-se em Edwin Black, </w:t>
      </w:r>
      <w:r w:rsidRPr="005B34FE">
        <w:rPr>
          <w:rFonts w:ascii="Arial Narrow" w:hAnsi="Arial Narrow"/>
        </w:rPr>
        <w:t>op. cit.,</w:t>
      </w:r>
      <w:r w:rsidRPr="004033B7">
        <w:rPr>
          <w:rFonts w:ascii="Arial Narrow" w:hAnsi="Arial Narrow"/>
        </w:rPr>
        <w:t xml:space="preserve"> 379. Todavia, Howard Sachar</w:t>
      </w:r>
      <w:r>
        <w:rPr>
          <w:rFonts w:ascii="Arial Narrow" w:hAnsi="Arial Narrow"/>
        </w:rPr>
        <w:t>,</w:t>
      </w:r>
      <w:r w:rsidRPr="004033B7">
        <w:rPr>
          <w:rFonts w:ascii="Arial Narrow" w:hAnsi="Arial Narrow"/>
        </w:rPr>
        <w:t xml:space="preserve"> </w:t>
      </w:r>
      <w:r w:rsidRPr="005B34FE">
        <w:rPr>
          <w:rFonts w:ascii="Arial Narrow" w:hAnsi="Arial Narrow"/>
        </w:rPr>
        <w:t>op. cit.,</w:t>
      </w:r>
      <w:r w:rsidRPr="004033B7">
        <w:rPr>
          <w:rFonts w:ascii="Arial Narrow" w:hAnsi="Arial Narrow"/>
        </w:rPr>
        <w:t xml:space="preserve"> 190 escreve</w:t>
      </w:r>
      <w:r>
        <w:rPr>
          <w:rFonts w:ascii="Arial Narrow" w:hAnsi="Arial Narrow"/>
        </w:rPr>
        <w:t>u</w:t>
      </w:r>
      <w:r w:rsidRPr="004033B7">
        <w:rPr>
          <w:rFonts w:ascii="Arial Narrow" w:hAnsi="Arial Narrow"/>
        </w:rPr>
        <w:t xml:space="preserve"> que o capital transferido para a Palestina através da Ha’avara representou sessenta e três milhões de libras esterlinas, o que representaria trezentos e quinze milhões de dólares</w:t>
      </w:r>
      <w:r>
        <w:rPr>
          <w:rFonts w:ascii="Arial Narrow" w:hAnsi="Arial Narrow"/>
        </w:rPr>
        <w:t xml:space="preserve">, e </w:t>
      </w:r>
      <w:r w:rsidRPr="001417B6">
        <w:rPr>
          <w:rFonts w:ascii="Arial Narrow" w:hAnsi="Arial Narrow"/>
        </w:rPr>
        <w:t>Adam Tooze</w:t>
      </w:r>
      <w:r>
        <w:rPr>
          <w:rFonts w:ascii="Arial Narrow" w:hAnsi="Arial Narrow"/>
        </w:rPr>
        <w:t>, op. cit., 90 referiu cento e seis milhões de marcos</w:t>
      </w:r>
      <w:r w:rsidRPr="004033B7">
        <w:rPr>
          <w:rFonts w:ascii="Arial Narrow" w:hAnsi="Arial Narrow"/>
        </w:rPr>
        <w:t>.</w:t>
      </w:r>
      <w:r>
        <w:rPr>
          <w:rFonts w:ascii="Arial Narrow" w:hAnsi="Arial Narrow"/>
        </w:rPr>
        <w:t xml:space="preserve"> </w:t>
      </w:r>
      <w:r w:rsidRPr="00BD4D1D">
        <w:rPr>
          <w:rFonts w:ascii="Arial Narrow" w:hAnsi="Arial Narrow"/>
        </w:rPr>
        <w:t xml:space="preserve">K. A. Schleunes (1990) 198 </w:t>
      </w:r>
      <w:r>
        <w:rPr>
          <w:rFonts w:ascii="Arial Narrow" w:hAnsi="Arial Narrow"/>
        </w:rPr>
        <w:t xml:space="preserve">calculou que a Ha’avara tivesse transferido para a Palestina um pouco mais de vinte e dois milhões de dólares e </w:t>
      </w:r>
      <w:r w:rsidRPr="00BD4D1D">
        <w:rPr>
          <w:rFonts w:ascii="Arial Narrow" w:hAnsi="Arial Narrow"/>
        </w:rPr>
        <w:t xml:space="preserve">pretendeu que </w:t>
      </w:r>
      <w:r>
        <w:rPr>
          <w:rFonts w:ascii="Arial Narrow" w:hAnsi="Arial Narrow"/>
        </w:rPr>
        <w:t xml:space="preserve">esta instituição </w:t>
      </w:r>
      <w:r w:rsidRPr="00BD4D1D">
        <w:rPr>
          <w:rFonts w:ascii="Arial Narrow" w:hAnsi="Arial Narrow"/>
        </w:rPr>
        <w:t xml:space="preserve">se manteve em vigor </w:t>
      </w:r>
      <w:r>
        <w:rPr>
          <w:rFonts w:ascii="Arial Narrow" w:hAnsi="Arial Narrow"/>
        </w:rPr>
        <w:t xml:space="preserve">somente </w:t>
      </w:r>
      <w:r w:rsidRPr="00BD4D1D">
        <w:rPr>
          <w:rFonts w:ascii="Arial Narrow" w:hAnsi="Arial Narrow"/>
        </w:rPr>
        <w:t>at</w:t>
      </w:r>
      <w:r>
        <w:rPr>
          <w:rFonts w:ascii="Arial Narrow" w:hAnsi="Arial Narrow"/>
        </w:rPr>
        <w:t>é Novembro de 1938.</w:t>
      </w:r>
    </w:p>
  </w:footnote>
  <w:footnote w:id="297">
    <w:p w:rsidR="003F07DD" w:rsidRPr="00083FEA" w:rsidRDefault="003F07DD">
      <w:pPr>
        <w:pStyle w:val="Textodenotaderodap"/>
        <w:rPr>
          <w:rFonts w:ascii="Arial Narrow" w:hAnsi="Arial Narrow"/>
        </w:rPr>
      </w:pPr>
      <w:r w:rsidRPr="00083FEA">
        <w:rPr>
          <w:rStyle w:val="Refdenotaderodap"/>
          <w:rFonts w:ascii="Arial Narrow" w:hAnsi="Arial Narrow"/>
        </w:rPr>
        <w:footnoteRef/>
      </w:r>
      <w:r w:rsidRPr="00083FEA">
        <w:rPr>
          <w:rFonts w:ascii="Arial Narrow" w:hAnsi="Arial Narrow"/>
        </w:rPr>
        <w:t xml:space="preserve"> </w:t>
      </w:r>
      <w:r>
        <w:rPr>
          <w:rFonts w:ascii="Arial Narrow" w:hAnsi="Arial Narrow"/>
        </w:rPr>
        <w:t>Citado em K. Polkehn (1976) 68.</w:t>
      </w:r>
    </w:p>
  </w:footnote>
  <w:footnote w:id="298">
    <w:p w:rsidR="003F07DD" w:rsidRPr="00B04558" w:rsidRDefault="003F07DD" w:rsidP="00751A22">
      <w:pPr>
        <w:pStyle w:val="Textodenotaderodap"/>
        <w:rPr>
          <w:rFonts w:ascii="Arial Narrow" w:hAnsi="Arial Narrow"/>
        </w:rPr>
      </w:pPr>
      <w:r w:rsidRPr="004033B7">
        <w:rPr>
          <w:rStyle w:val="Refdenotaderodap"/>
          <w:rFonts w:ascii="Arial Narrow" w:hAnsi="Arial Narrow"/>
        </w:rPr>
        <w:footnoteRef/>
      </w:r>
      <w:r w:rsidRPr="00B04558">
        <w:rPr>
          <w:rFonts w:ascii="Arial Narrow" w:hAnsi="Arial Narrow"/>
        </w:rPr>
        <w:t xml:space="preserve"> E. Black (1999) xxiii, 380.</w:t>
      </w:r>
    </w:p>
  </w:footnote>
  <w:footnote w:id="299">
    <w:p w:rsidR="003F07DD" w:rsidRPr="00B04558" w:rsidRDefault="003F07DD" w:rsidP="00751A22">
      <w:pPr>
        <w:pStyle w:val="Textodenotaderodap"/>
        <w:rPr>
          <w:rFonts w:ascii="Arial Narrow" w:hAnsi="Arial Narrow"/>
        </w:rPr>
      </w:pPr>
      <w:r w:rsidRPr="004033B7">
        <w:rPr>
          <w:rStyle w:val="Refdenotaderodap"/>
          <w:rFonts w:ascii="Arial Narrow" w:hAnsi="Arial Narrow"/>
        </w:rPr>
        <w:footnoteRef/>
      </w:r>
      <w:r w:rsidRPr="00B04558">
        <w:rPr>
          <w:rFonts w:ascii="Arial Narrow" w:hAnsi="Arial Narrow"/>
        </w:rPr>
        <w:t xml:space="preserve"> Id., ibid., 74.</w:t>
      </w:r>
    </w:p>
  </w:footnote>
  <w:footnote w:id="300">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id., ibid., 83.</w:t>
      </w:r>
    </w:p>
  </w:footnote>
  <w:footnote w:id="301">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Como observ</w:t>
      </w:r>
      <w:r>
        <w:rPr>
          <w:rFonts w:ascii="Arial Narrow" w:hAnsi="Arial Narrow"/>
        </w:rPr>
        <w:t>ou</w:t>
      </w:r>
      <w:r w:rsidRPr="004033B7">
        <w:rPr>
          <w:rFonts w:ascii="Arial Narrow" w:hAnsi="Arial Narrow"/>
        </w:rPr>
        <w:t xml:space="preserve"> id., ibid., 312, «a massa pauperizada de judeus alemães, que tradicionalmente não participava no programa de treino da juventude sionista, teria grande dificuldade em ser seleccionada [pelas autoridades sionistas] para entrar na Palestina».</w:t>
      </w:r>
    </w:p>
  </w:footnote>
  <w:footnote w:id="302">
    <w:p w:rsidR="003F07DD" w:rsidRPr="009053BD"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E. Black (1999) 379</w:t>
      </w:r>
      <w:r>
        <w:rPr>
          <w:rFonts w:ascii="Arial Narrow" w:hAnsi="Arial Narrow"/>
        </w:rPr>
        <w:t>.</w:t>
      </w:r>
      <w:r w:rsidRPr="004033B7">
        <w:rPr>
          <w:rFonts w:ascii="Arial Narrow" w:hAnsi="Arial Narrow"/>
        </w:rPr>
        <w:t xml:space="preserve"> Segundo L. Brenner (1983) 65, </w:t>
      </w:r>
      <w:r>
        <w:rPr>
          <w:rFonts w:ascii="Arial Narrow" w:hAnsi="Arial Narrow"/>
        </w:rPr>
        <w:t>teriam sido</w:t>
      </w:r>
      <w:r w:rsidRPr="004033B7">
        <w:rPr>
          <w:rFonts w:ascii="Arial Narrow" w:hAnsi="Arial Narrow"/>
        </w:rPr>
        <w:t xml:space="preserve"> 16.529 os judeus abastados que recorreram à Ha’avara para emigrar do Reich para a Palestina.</w:t>
      </w:r>
      <w:r>
        <w:rPr>
          <w:rFonts w:ascii="Arial Narrow" w:hAnsi="Arial Narrow"/>
        </w:rPr>
        <w:t xml:space="preserve"> </w:t>
      </w:r>
      <w:r w:rsidRPr="009053BD">
        <w:rPr>
          <w:rFonts w:ascii="Arial Narrow" w:hAnsi="Arial Narrow"/>
        </w:rPr>
        <w:t xml:space="preserve">K. A. Schleunes (1990) 198 indicou 45.000, mas no contexto não se percebe se todos eles </w:t>
      </w:r>
      <w:r>
        <w:rPr>
          <w:rFonts w:ascii="Arial Narrow" w:hAnsi="Arial Narrow"/>
        </w:rPr>
        <w:t xml:space="preserve">teriam </w:t>
      </w:r>
      <w:r w:rsidRPr="009053BD">
        <w:rPr>
          <w:rFonts w:ascii="Arial Narrow" w:hAnsi="Arial Narrow"/>
        </w:rPr>
        <w:t>recorr</w:t>
      </w:r>
      <w:r>
        <w:rPr>
          <w:rFonts w:ascii="Arial Narrow" w:hAnsi="Arial Narrow"/>
        </w:rPr>
        <w:t>ido</w:t>
      </w:r>
      <w:r w:rsidRPr="009053BD">
        <w:rPr>
          <w:rFonts w:ascii="Arial Narrow" w:hAnsi="Arial Narrow"/>
        </w:rPr>
        <w:t xml:space="preserve"> </w:t>
      </w:r>
      <w:r>
        <w:rPr>
          <w:rFonts w:ascii="Arial Narrow" w:hAnsi="Arial Narrow"/>
        </w:rPr>
        <w:t xml:space="preserve">à Ha’avara. Por seu lado, </w:t>
      </w:r>
      <w:r w:rsidRPr="00135F66">
        <w:rPr>
          <w:rFonts w:ascii="Arial Narrow" w:hAnsi="Arial Narrow"/>
        </w:rPr>
        <w:t>A. Tooze (2006)</w:t>
      </w:r>
      <w:r>
        <w:rPr>
          <w:rFonts w:ascii="Arial Narrow" w:hAnsi="Arial Narrow"/>
        </w:rPr>
        <w:t xml:space="preserve"> 90 considerou que 50.000 judeus usaram a Ha’avara para sair do Reich.</w:t>
      </w:r>
    </w:p>
  </w:footnote>
  <w:footnote w:id="303">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E. Black (1999) 306.</w:t>
      </w:r>
    </w:p>
  </w:footnote>
  <w:footnote w:id="304">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377.</w:t>
      </w:r>
    </w:p>
  </w:footnote>
  <w:footnote w:id="305">
    <w:p w:rsidR="003F07DD" w:rsidRPr="004033B7" w:rsidRDefault="003F07DD" w:rsidP="00751A22">
      <w:pPr>
        <w:pStyle w:val="Textodenotaderodap"/>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G. Aly et al. (2006) 73.</w:t>
      </w:r>
    </w:p>
  </w:footnote>
  <w:footnote w:id="306">
    <w:p w:rsidR="003F07DD" w:rsidRPr="004033B7" w:rsidRDefault="003F07DD" w:rsidP="00751A22">
      <w:pPr>
        <w:pStyle w:val="Textodenotaderodap"/>
        <w:ind w:firstLine="708"/>
        <w:rPr>
          <w:rFonts w:ascii="Arial Narrow" w:hAnsi="Arial Narrow"/>
          <w:lang w:val="fr-FR"/>
        </w:rPr>
      </w:pPr>
      <w:r w:rsidRPr="004033B7">
        <w:rPr>
          <w:rStyle w:val="Refdenotaderodap"/>
          <w:rFonts w:ascii="Arial Narrow" w:hAnsi="Arial Narrow"/>
        </w:rPr>
        <w:footnoteRef/>
      </w:r>
      <w:r w:rsidRPr="004033B7">
        <w:rPr>
          <w:rFonts w:ascii="Arial Narrow" w:hAnsi="Arial Narrow"/>
          <w:lang w:val="fr-FR"/>
        </w:rPr>
        <w:t xml:space="preserve"> L. Brenner (1983) 76.</w:t>
      </w:r>
    </w:p>
  </w:footnote>
  <w:footnote w:id="307">
    <w:p w:rsidR="003F07DD" w:rsidRPr="004033B7" w:rsidRDefault="003F07DD" w:rsidP="00751A22">
      <w:pPr>
        <w:pStyle w:val="Textodenotaderodap"/>
        <w:ind w:firstLine="708"/>
        <w:rPr>
          <w:rFonts w:ascii="Arial Narrow" w:hAnsi="Arial Narrow"/>
          <w:lang w:val="en-GB"/>
        </w:rPr>
      </w:pPr>
      <w:r w:rsidRPr="004033B7">
        <w:rPr>
          <w:rStyle w:val="Refdenotaderodap"/>
          <w:rFonts w:ascii="Arial Narrow" w:hAnsi="Arial Narrow"/>
        </w:rPr>
        <w:footnoteRef/>
      </w:r>
      <w:r w:rsidRPr="001417B6">
        <w:rPr>
          <w:rFonts w:ascii="Arial Narrow" w:hAnsi="Arial Narrow"/>
          <w:lang w:val="en-US"/>
        </w:rPr>
        <w:t xml:space="preserve"> Id., ibid., 66-67, 70</w:t>
      </w:r>
      <w:r w:rsidRPr="004033B7">
        <w:rPr>
          <w:rFonts w:ascii="Arial Narrow" w:hAnsi="Arial Narrow"/>
          <w:lang w:val="en-GB"/>
        </w:rPr>
        <w:t>-74; R. Hilberg (1961) 95.</w:t>
      </w:r>
    </w:p>
  </w:footnote>
  <w:footnote w:id="308">
    <w:p w:rsidR="003F07DD" w:rsidRPr="00F430B7" w:rsidRDefault="003F07DD">
      <w:pPr>
        <w:pStyle w:val="Textodenotaderodap"/>
        <w:rPr>
          <w:rFonts w:ascii="Arial Narrow" w:hAnsi="Arial Narrow"/>
          <w:lang w:val="en-US"/>
        </w:rPr>
      </w:pPr>
      <w:r w:rsidRPr="00F430B7">
        <w:rPr>
          <w:rStyle w:val="Refdenotaderodap"/>
          <w:rFonts w:ascii="Arial Narrow" w:hAnsi="Arial Narrow"/>
        </w:rPr>
        <w:footnoteRef/>
      </w:r>
      <w:r w:rsidRPr="00F430B7">
        <w:rPr>
          <w:rFonts w:ascii="Arial Narrow" w:hAnsi="Arial Narrow"/>
          <w:lang w:val="en-US"/>
        </w:rPr>
        <w:t xml:space="preserve"> H. L. Feingold (1995) 219</w:t>
      </w:r>
      <w:r>
        <w:rPr>
          <w:rFonts w:ascii="Arial Narrow" w:hAnsi="Arial Narrow"/>
          <w:lang w:val="en-US"/>
        </w:rPr>
        <w:t>,</w:t>
      </w:r>
    </w:p>
  </w:footnote>
  <w:footnote w:id="309">
    <w:p w:rsidR="003F07DD" w:rsidRPr="004033B7" w:rsidRDefault="003F07DD" w:rsidP="00751A22">
      <w:pPr>
        <w:pStyle w:val="Textodenotaderodap"/>
        <w:ind w:firstLine="708"/>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R. Hilberg (1961) 95.</w:t>
      </w:r>
    </w:p>
  </w:footnote>
  <w:footnote w:id="310">
    <w:p w:rsidR="003F07DD" w:rsidRPr="00F430B7"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F430B7">
        <w:rPr>
          <w:rFonts w:ascii="Arial Narrow" w:hAnsi="Arial Narrow"/>
          <w:lang w:val="en-US"/>
        </w:rPr>
        <w:t xml:space="preserve"> E. Black (1999) 253.</w:t>
      </w:r>
    </w:p>
  </w:footnote>
  <w:footnote w:id="311">
    <w:p w:rsidR="003F07DD" w:rsidRPr="00751A22"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Ł. Hirszowicz (1966) 26.</w:t>
      </w:r>
    </w:p>
  </w:footnote>
  <w:footnote w:id="312">
    <w:p w:rsidR="003F07DD" w:rsidRPr="00751A22"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E. Black (1999) 373.</w:t>
      </w:r>
    </w:p>
  </w:footnote>
  <w:footnote w:id="313">
    <w:p w:rsidR="003F07DD" w:rsidRPr="00751A22" w:rsidRDefault="003F07DD" w:rsidP="00751A22">
      <w:pPr>
        <w:pStyle w:val="Textodenotaderodap"/>
        <w:ind w:firstLine="708"/>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L. Brenner (1983) 65, 74-75</w:t>
      </w:r>
      <w:r>
        <w:rPr>
          <w:rFonts w:ascii="Arial Narrow" w:hAnsi="Arial Narrow"/>
          <w:lang w:val="en-US"/>
        </w:rPr>
        <w:t>; K. Polkehn (1976) 65</w:t>
      </w:r>
      <w:r w:rsidRPr="00751A22">
        <w:rPr>
          <w:rFonts w:ascii="Arial Narrow" w:hAnsi="Arial Narrow"/>
          <w:lang w:val="en-US"/>
        </w:rPr>
        <w:t>.</w:t>
      </w:r>
    </w:p>
  </w:footnote>
  <w:footnote w:id="314">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751A22">
        <w:rPr>
          <w:rFonts w:ascii="Arial Narrow" w:hAnsi="Arial Narrow"/>
          <w:lang w:val="en-US"/>
        </w:rPr>
        <w:t xml:space="preserve"> E. Black (1999) 122-123, 143-144; L. Brenner (1983) 128, 131; id. </w:t>
      </w:r>
      <w:r w:rsidRPr="004033B7">
        <w:rPr>
          <w:rFonts w:ascii="Arial Narrow" w:hAnsi="Arial Narrow"/>
        </w:rPr>
        <w:t>(1984) 91, 93; H. M. Sachar (1976) 187. Todavia, leio em Edwin Black,</w:t>
      </w:r>
      <w:r w:rsidRPr="00666617">
        <w:rPr>
          <w:rFonts w:ascii="Arial Narrow" w:hAnsi="Arial Narrow"/>
        </w:rPr>
        <w:t xml:space="preserve"> op. cit.,</w:t>
      </w:r>
      <w:r w:rsidRPr="004033B7">
        <w:rPr>
          <w:rFonts w:ascii="Arial Narrow" w:hAnsi="Arial Narrow"/>
        </w:rPr>
        <w:t xml:space="preserve"> 79 que a delegação sionista alemã que nos últimos dias de Março de 1933 partiu para Londres com o objectivo de pôr termo ao boicote das mercadorias alemãs e facilitar assim um entendimento com as autoridades naciona</w:t>
      </w:r>
      <w:r>
        <w:rPr>
          <w:rFonts w:ascii="Arial Narrow" w:hAnsi="Arial Narrow"/>
        </w:rPr>
        <w:t>l</w:t>
      </w:r>
      <w:r w:rsidRPr="004033B7">
        <w:rPr>
          <w:rFonts w:ascii="Arial Narrow" w:hAnsi="Arial Narrow"/>
        </w:rPr>
        <w:t>-socialistas incluía um dirigente revisionista.</w:t>
      </w:r>
    </w:p>
  </w:footnote>
  <w:footnote w:id="315">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E. Black (1999) 157; L. Brenner (1983) 63, 129-130; id. (1984) 91.</w:t>
      </w:r>
    </w:p>
  </w:footnote>
  <w:footnote w:id="316">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L. Brenner (1983) 62-63.</w:t>
      </w:r>
    </w:p>
  </w:footnote>
  <w:footnote w:id="317">
    <w:p w:rsidR="003F07DD" w:rsidRPr="00751A22"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751A22">
        <w:rPr>
          <w:rFonts w:ascii="Arial Narrow" w:hAnsi="Arial Narrow"/>
          <w:lang w:val="en-US"/>
        </w:rPr>
        <w:t xml:space="preserve"> E. Black (1999) 294, 301.</w:t>
      </w:r>
    </w:p>
  </w:footnote>
  <w:footnote w:id="318">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751A22">
        <w:rPr>
          <w:rFonts w:ascii="Arial Narrow" w:hAnsi="Arial Narrow"/>
          <w:lang w:val="en-US"/>
        </w:rPr>
        <w:t xml:space="preserve"> H. Arendt (1994) 44-46. </w:t>
      </w:r>
      <w:r w:rsidRPr="004033B7">
        <w:rPr>
          <w:rFonts w:ascii="Arial Narrow" w:hAnsi="Arial Narrow"/>
        </w:rPr>
        <w:t>Acerca de outras formas de extorsão ver as págs. 142-144, 158, 183 e 204.</w:t>
      </w:r>
    </w:p>
  </w:footnote>
  <w:footnote w:id="319">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61.</w:t>
      </w:r>
    </w:p>
  </w:footnote>
  <w:footnote w:id="320">
    <w:p w:rsidR="003F07DD" w:rsidRPr="00BD35BA" w:rsidRDefault="003F07DD">
      <w:pPr>
        <w:pStyle w:val="Textodenotaderodap"/>
        <w:rPr>
          <w:rFonts w:ascii="Arial Narrow" w:hAnsi="Arial Narrow"/>
        </w:rPr>
      </w:pPr>
      <w:r w:rsidRPr="00BD35BA">
        <w:rPr>
          <w:rStyle w:val="Refdenotaderodap"/>
          <w:rFonts w:ascii="Arial Narrow" w:hAnsi="Arial Narrow"/>
        </w:rPr>
        <w:footnoteRef/>
      </w:r>
      <w:r w:rsidRPr="00BD35BA">
        <w:rPr>
          <w:rFonts w:ascii="Arial Narrow" w:hAnsi="Arial Narrow"/>
        </w:rPr>
        <w:t xml:space="preserve"> J. C. Fest (1974) 827.</w:t>
      </w:r>
    </w:p>
  </w:footnote>
  <w:footnote w:id="321">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w:t>
      </w:r>
      <w:r>
        <w:rPr>
          <w:rFonts w:ascii="Arial Narrow" w:hAnsi="Arial Narrow"/>
        </w:rPr>
        <w:t xml:space="preserve">Em tudo o que se segue, para a </w:t>
      </w:r>
      <w:r w:rsidRPr="004033B7">
        <w:rPr>
          <w:rFonts w:ascii="Arial Narrow" w:hAnsi="Arial Narrow"/>
        </w:rPr>
        <w:t xml:space="preserve">análise crítica da colaboração </w:t>
      </w:r>
      <w:r>
        <w:rPr>
          <w:rFonts w:ascii="Arial Narrow" w:hAnsi="Arial Narrow"/>
        </w:rPr>
        <w:t>dos</w:t>
      </w:r>
      <w:r w:rsidRPr="004033B7">
        <w:rPr>
          <w:rFonts w:ascii="Arial Narrow" w:hAnsi="Arial Narrow"/>
        </w:rPr>
        <w:t xml:space="preserve"> </w:t>
      </w:r>
      <w:r>
        <w:rPr>
          <w:rFonts w:ascii="Arial Narrow" w:hAnsi="Arial Narrow"/>
        </w:rPr>
        <w:t xml:space="preserve">dirigentes sionistas </w:t>
      </w:r>
      <w:r w:rsidRPr="004033B7">
        <w:rPr>
          <w:rFonts w:ascii="Arial Narrow" w:hAnsi="Arial Narrow"/>
        </w:rPr>
        <w:t>com o programa anti-semita do nacional-socialismo basei</w:t>
      </w:r>
      <w:r>
        <w:rPr>
          <w:rFonts w:ascii="Arial Narrow" w:hAnsi="Arial Narrow"/>
        </w:rPr>
        <w:t>o</w:t>
      </w:r>
      <w:r w:rsidRPr="004033B7">
        <w:rPr>
          <w:rFonts w:ascii="Arial Narrow" w:hAnsi="Arial Narrow"/>
        </w:rPr>
        <w:t>-</w:t>
      </w:r>
      <w:r>
        <w:rPr>
          <w:rFonts w:ascii="Arial Narrow" w:hAnsi="Arial Narrow"/>
        </w:rPr>
        <w:t>m</w:t>
      </w:r>
      <w:r w:rsidRPr="004033B7">
        <w:rPr>
          <w:rFonts w:ascii="Arial Narrow" w:hAnsi="Arial Narrow"/>
        </w:rPr>
        <w:t xml:space="preserve">e em: </w:t>
      </w:r>
      <w:r w:rsidRPr="00BD35BA">
        <w:rPr>
          <w:rFonts w:ascii="Arial Narrow" w:hAnsi="Arial Narrow"/>
        </w:rPr>
        <w:t xml:space="preserve">H. Arendt (1994) </w:t>
      </w:r>
      <w:r w:rsidRPr="004033B7">
        <w:rPr>
          <w:rFonts w:ascii="Arial Narrow" w:hAnsi="Arial Narrow"/>
        </w:rPr>
        <w:t xml:space="preserve">117-119, 158, 169, 214; R. Hilberg (1961) 122-125, 128, 145-146, 155, 163, 279 e segs., 310, 315, 668; </w:t>
      </w:r>
      <w:r>
        <w:rPr>
          <w:rFonts w:ascii="Arial Narrow" w:hAnsi="Arial Narrow"/>
          <w:lang w:val="de-DE"/>
        </w:rPr>
        <w:t xml:space="preserve">J. Noakes et al. (orgs. 2008-2010) II 373, III 455, 508, 523-524, 526-527, 532, 567-568, 607; </w:t>
      </w:r>
      <w:r w:rsidRPr="004033B7">
        <w:rPr>
          <w:rFonts w:ascii="Arial Narrow" w:hAnsi="Arial Narrow"/>
        </w:rPr>
        <w:t>E. Ringelblum (1964) 39, 41, 48, 51, 53, 54, 56-57, 66, 69, 72-73, 75, 92-93, 127, 132, 184-190, 230, 251-252, 292, 323, 331, 335, 347, 348-354; S. Wiesenthal (1989) 238-240.</w:t>
      </w:r>
    </w:p>
  </w:footnote>
  <w:footnote w:id="322">
    <w:p w:rsidR="003F07DD" w:rsidRPr="00BE51F2" w:rsidRDefault="003F07DD" w:rsidP="00F740D6">
      <w:pPr>
        <w:pStyle w:val="Textodenotaderodap"/>
        <w:rPr>
          <w:rFonts w:ascii="Arial Narrow" w:hAnsi="Arial Narrow"/>
        </w:rPr>
      </w:pPr>
      <w:r w:rsidRPr="00BE51F2">
        <w:rPr>
          <w:rStyle w:val="Refdenotaderodap"/>
          <w:rFonts w:ascii="Arial Narrow" w:hAnsi="Arial Narrow"/>
        </w:rPr>
        <w:footnoteRef/>
      </w:r>
      <w:r w:rsidRPr="00BE51F2">
        <w:rPr>
          <w:rFonts w:ascii="Arial Narrow" w:hAnsi="Arial Narrow"/>
        </w:rPr>
        <w:t xml:space="preserve"> </w:t>
      </w:r>
      <w:r>
        <w:rPr>
          <w:rFonts w:ascii="Arial Narrow" w:hAnsi="Arial Narrow"/>
        </w:rPr>
        <w:t xml:space="preserve">Esta passagem do diário de Philip Mechanicus encontra-se em </w:t>
      </w:r>
      <w:r w:rsidRPr="001C2BA7">
        <w:rPr>
          <w:rFonts w:ascii="Arial Narrow" w:hAnsi="Arial Narrow"/>
        </w:rPr>
        <w:t xml:space="preserve">S. Friedländer (2008) </w:t>
      </w:r>
      <w:r>
        <w:rPr>
          <w:rFonts w:ascii="Arial Narrow" w:hAnsi="Arial Narrow"/>
        </w:rPr>
        <w:t>812.</w:t>
      </w:r>
    </w:p>
  </w:footnote>
  <w:footnote w:id="32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As citações encontram-se em R. Hilberg (1961) 122.</w:t>
      </w:r>
      <w:r>
        <w:rPr>
          <w:rFonts w:ascii="Arial Narrow" w:hAnsi="Arial Narrow"/>
        </w:rPr>
        <w:t xml:space="preserve"> K. Polkehn (1976) 61 sublinhou que a iniciativa se devera aos sionistas e não às novas autoridades do Reich.</w:t>
      </w:r>
    </w:p>
  </w:footnote>
  <w:footnote w:id="324">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H. L. Feingold (1995) 45</w:t>
      </w:r>
      <w:r>
        <w:rPr>
          <w:rFonts w:ascii="Arial Narrow" w:hAnsi="Arial Narrow"/>
          <w:lang w:val="de-DE"/>
        </w:rPr>
        <w:t>; M. Gilbert (2011 b) 14; J. Noakes et al. (orgs. 2008-2010) III 444.</w:t>
      </w:r>
    </w:p>
  </w:footnote>
  <w:footnote w:id="325">
    <w:p w:rsidR="003F07DD" w:rsidRPr="00B75278" w:rsidRDefault="003F07DD" w:rsidP="00E477A2">
      <w:pPr>
        <w:pStyle w:val="Textodenotaderodap"/>
        <w:rPr>
          <w:rFonts w:ascii="Arial Narrow" w:hAnsi="Arial Narrow"/>
        </w:rPr>
      </w:pPr>
      <w:r w:rsidRPr="006906DC">
        <w:rPr>
          <w:rStyle w:val="Refdenotaderodap"/>
          <w:rFonts w:ascii="Arial Narrow" w:hAnsi="Arial Narrow"/>
        </w:rPr>
        <w:footnoteRef/>
      </w:r>
      <w:r w:rsidRPr="00B75278">
        <w:rPr>
          <w:rFonts w:ascii="Arial Narrow" w:hAnsi="Arial Narrow"/>
        </w:rPr>
        <w:t xml:space="preserve"> S. Friedländer (2008) 111. </w:t>
      </w:r>
      <w:r>
        <w:rPr>
          <w:rFonts w:ascii="Arial Narrow" w:hAnsi="Arial Narrow"/>
        </w:rPr>
        <w:t>Mas note-se que este autor defendeu a actuação dos Conselhos Judaicos.</w:t>
      </w:r>
    </w:p>
  </w:footnote>
  <w:footnote w:id="326">
    <w:p w:rsidR="003F07DD" w:rsidRPr="00C62755" w:rsidRDefault="003F07DD">
      <w:pPr>
        <w:pStyle w:val="Textodenotaderodap"/>
        <w:rPr>
          <w:rFonts w:ascii="Arial Narrow" w:hAnsi="Arial Narrow"/>
        </w:rPr>
      </w:pPr>
      <w:r w:rsidRPr="00992EA1">
        <w:rPr>
          <w:rStyle w:val="Refdenotaderodap"/>
          <w:rFonts w:ascii="Arial Narrow" w:hAnsi="Arial Narrow"/>
        </w:rPr>
        <w:footnoteRef/>
      </w:r>
      <w:r w:rsidRPr="00EC71CA">
        <w:rPr>
          <w:rFonts w:ascii="Arial Narrow" w:hAnsi="Arial Narrow"/>
          <w:lang w:val="en-US"/>
        </w:rPr>
        <w:t xml:space="preserve"> </w:t>
      </w:r>
      <w:r>
        <w:rPr>
          <w:rFonts w:ascii="Arial Narrow" w:hAnsi="Arial Narrow"/>
          <w:lang w:val="de-DE"/>
        </w:rPr>
        <w:t>J. Noakes et al. (orgs. 2008-2010) III 456, 531.</w:t>
      </w:r>
    </w:p>
  </w:footnote>
  <w:footnote w:id="327">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EF57D6">
        <w:rPr>
          <w:rFonts w:ascii="Arial Narrow" w:hAnsi="Arial Narrow"/>
          <w:lang w:val="de-DE"/>
        </w:rPr>
        <w:t xml:space="preserve"> E. Ringelblum (1964) 92, 190. </w:t>
      </w:r>
      <w:r w:rsidRPr="004033B7">
        <w:rPr>
          <w:rFonts w:ascii="Arial Narrow" w:hAnsi="Arial Narrow"/>
        </w:rPr>
        <w:t>Ver ainda a pág. 134.</w:t>
      </w:r>
    </w:p>
  </w:footnote>
  <w:footnote w:id="328">
    <w:p w:rsidR="003F07DD" w:rsidRPr="00DF77D7" w:rsidRDefault="003F07DD">
      <w:pPr>
        <w:pStyle w:val="Textodenotaderodap"/>
        <w:rPr>
          <w:rFonts w:ascii="Arial Narrow" w:hAnsi="Arial Narrow"/>
        </w:rPr>
      </w:pPr>
      <w:r w:rsidRPr="00DF77D7">
        <w:rPr>
          <w:rStyle w:val="Refdenotaderodap"/>
          <w:rFonts w:ascii="Arial Narrow" w:hAnsi="Arial Narrow"/>
        </w:rPr>
        <w:footnoteRef/>
      </w:r>
      <w:r w:rsidRPr="00DF77D7">
        <w:rPr>
          <w:rFonts w:ascii="Arial Narrow" w:hAnsi="Arial Narrow"/>
        </w:rPr>
        <w:t xml:space="preserve"> </w:t>
      </w:r>
      <w:r w:rsidRPr="00492F4A">
        <w:rPr>
          <w:rFonts w:ascii="Arial Narrow" w:hAnsi="Arial Narrow"/>
        </w:rPr>
        <w:t xml:space="preserve">S. Friedländer (2008) </w:t>
      </w:r>
      <w:r w:rsidRPr="00DF77D7">
        <w:rPr>
          <w:rFonts w:ascii="Arial Narrow" w:hAnsi="Arial Narrow"/>
        </w:rPr>
        <w:t>83</w:t>
      </w:r>
      <w:r>
        <w:rPr>
          <w:rFonts w:ascii="Arial Narrow" w:hAnsi="Arial Narrow"/>
        </w:rPr>
        <w:t xml:space="preserve">, </w:t>
      </w:r>
      <w:r w:rsidRPr="00DF77D7">
        <w:rPr>
          <w:rFonts w:ascii="Arial Narrow" w:hAnsi="Arial Narrow"/>
        </w:rPr>
        <w:t>85-86</w:t>
      </w:r>
      <w:r>
        <w:rPr>
          <w:rFonts w:ascii="Arial Narrow" w:hAnsi="Arial Narrow"/>
        </w:rPr>
        <w:t>.</w:t>
      </w:r>
    </w:p>
  </w:footnote>
  <w:footnote w:id="329">
    <w:p w:rsidR="003F07DD" w:rsidRPr="004033B7" w:rsidRDefault="003F07DD" w:rsidP="00A502B2">
      <w:pPr>
        <w:pStyle w:val="Textodenotaderodap"/>
        <w:rPr>
          <w:rFonts w:ascii="Arial Narrow" w:hAnsi="Arial Narrow"/>
        </w:rPr>
      </w:pPr>
      <w:r w:rsidRPr="004033B7">
        <w:rPr>
          <w:rStyle w:val="Refdenotaderodap"/>
          <w:rFonts w:ascii="Arial Narrow" w:hAnsi="Arial Narrow"/>
        </w:rPr>
        <w:footnoteRef/>
      </w:r>
      <w:r w:rsidRPr="00383593">
        <w:rPr>
          <w:rFonts w:ascii="Arial Narrow" w:hAnsi="Arial Narrow"/>
        </w:rPr>
        <w:t xml:space="preserve"> S. Wiesenthal (1989) 231. </w:t>
      </w:r>
      <w:r w:rsidRPr="004033B7">
        <w:rPr>
          <w:rFonts w:ascii="Arial Narrow" w:hAnsi="Arial Narrow"/>
        </w:rPr>
        <w:t>Segundo H. L. Feingold (1995) 46, decorridos seis meses depois da data da criação dos Conselhos Judaicos, haviam-se suicidado 1,2% dos seus membros.</w:t>
      </w:r>
    </w:p>
  </w:footnote>
  <w:footnote w:id="330">
    <w:p w:rsidR="003F07DD" w:rsidRPr="00CE59AC" w:rsidRDefault="003F07DD">
      <w:pPr>
        <w:pStyle w:val="Textodenotaderodap"/>
        <w:rPr>
          <w:rFonts w:ascii="Arial Narrow" w:hAnsi="Arial Narrow"/>
          <w:lang w:val="en-US"/>
        </w:rPr>
      </w:pPr>
      <w:r w:rsidRPr="002F2E76">
        <w:rPr>
          <w:rStyle w:val="Refdenotaderodap"/>
          <w:rFonts w:ascii="Arial Narrow" w:hAnsi="Arial Narrow"/>
        </w:rPr>
        <w:footnoteRef/>
      </w:r>
      <w:r w:rsidRPr="00CE59AC">
        <w:rPr>
          <w:rFonts w:ascii="Arial Narrow" w:hAnsi="Arial Narrow"/>
          <w:lang w:val="en-US"/>
        </w:rPr>
        <w:t xml:space="preserve"> </w:t>
      </w:r>
      <w:r w:rsidRPr="00C62755">
        <w:rPr>
          <w:rFonts w:ascii="Arial Narrow" w:hAnsi="Arial Narrow"/>
          <w:lang w:val="en-US"/>
        </w:rPr>
        <w:t xml:space="preserve">S. Friedländer (2008) </w:t>
      </w:r>
      <w:r w:rsidRPr="00CE59AC">
        <w:rPr>
          <w:rFonts w:ascii="Arial Narrow" w:hAnsi="Arial Narrow"/>
          <w:lang w:val="en-US"/>
        </w:rPr>
        <w:t>246.</w:t>
      </w:r>
    </w:p>
  </w:footnote>
  <w:footnote w:id="331">
    <w:p w:rsidR="003F07DD" w:rsidRPr="00CE59AC" w:rsidRDefault="003F07DD">
      <w:pPr>
        <w:pStyle w:val="Textodenotaderodap"/>
        <w:rPr>
          <w:rFonts w:ascii="Arial Narrow" w:hAnsi="Arial Narrow"/>
          <w:lang w:val="en-US"/>
        </w:rPr>
      </w:pPr>
      <w:r w:rsidRPr="00FD4EB4">
        <w:rPr>
          <w:rStyle w:val="Refdenotaderodap"/>
          <w:rFonts w:ascii="Arial Narrow" w:hAnsi="Arial Narrow"/>
        </w:rPr>
        <w:footnoteRef/>
      </w:r>
      <w:r w:rsidRPr="00CE59AC">
        <w:rPr>
          <w:rFonts w:ascii="Arial Narrow" w:hAnsi="Arial Narrow"/>
          <w:lang w:val="en-US"/>
        </w:rPr>
        <w:t xml:space="preserve"> Id., ibid., 250.</w:t>
      </w:r>
    </w:p>
  </w:footnote>
  <w:footnote w:id="332">
    <w:p w:rsidR="003F07DD" w:rsidRPr="00AE0E34" w:rsidRDefault="003F07DD">
      <w:pPr>
        <w:pStyle w:val="Textodenotaderodap"/>
        <w:rPr>
          <w:rFonts w:ascii="Arial Narrow" w:hAnsi="Arial Narrow"/>
        </w:rPr>
      </w:pPr>
      <w:r w:rsidRPr="00AE0E34">
        <w:rPr>
          <w:rStyle w:val="Refdenotaderodap"/>
          <w:rFonts w:ascii="Arial Narrow" w:hAnsi="Arial Narrow"/>
        </w:rPr>
        <w:footnoteRef/>
      </w:r>
      <w:r w:rsidRPr="00383593">
        <w:rPr>
          <w:rFonts w:ascii="Arial Narrow" w:hAnsi="Arial Narrow"/>
          <w:lang w:val="en-US"/>
        </w:rPr>
        <w:t xml:space="preserve"> Id., ibid., 650-651, 652. </w:t>
      </w:r>
      <w:r>
        <w:rPr>
          <w:rFonts w:ascii="Arial Narrow" w:hAnsi="Arial Narrow"/>
        </w:rPr>
        <w:t>O autor encontrou motivos, alguns de ordem teológica, para justificar aquela actuação (págs. 651-652).</w:t>
      </w:r>
    </w:p>
  </w:footnote>
  <w:footnote w:id="333">
    <w:p w:rsidR="003F07DD" w:rsidRPr="00F8223C" w:rsidRDefault="003F07DD">
      <w:pPr>
        <w:pStyle w:val="Textodenotaderodap"/>
        <w:rPr>
          <w:rFonts w:ascii="Arial Narrow" w:hAnsi="Arial Narrow"/>
        </w:rPr>
      </w:pPr>
      <w:r w:rsidRPr="00F8223C">
        <w:rPr>
          <w:rStyle w:val="Refdenotaderodap"/>
          <w:rFonts w:ascii="Arial Narrow" w:hAnsi="Arial Narrow"/>
        </w:rPr>
        <w:footnoteRef/>
      </w:r>
      <w:r w:rsidRPr="00F8223C">
        <w:rPr>
          <w:rFonts w:ascii="Arial Narrow" w:hAnsi="Arial Narrow"/>
        </w:rPr>
        <w:t xml:space="preserve"> </w:t>
      </w:r>
      <w:r>
        <w:rPr>
          <w:rFonts w:ascii="Arial Narrow" w:hAnsi="Arial Narrow"/>
        </w:rPr>
        <w:t>Id., ibid., 723.</w:t>
      </w:r>
    </w:p>
  </w:footnote>
  <w:footnote w:id="334">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Prefácio de Jacob Sloan a E. Ringelblum (1964) 17. Escreve</w:t>
      </w:r>
      <w:r>
        <w:rPr>
          <w:rFonts w:ascii="Arial Narrow" w:hAnsi="Arial Narrow"/>
        </w:rPr>
        <w:t>u</w:t>
      </w:r>
      <w:r w:rsidRPr="004033B7">
        <w:rPr>
          <w:rFonts w:ascii="Arial Narrow" w:hAnsi="Arial Narrow"/>
        </w:rPr>
        <w:t xml:space="preserve"> Emmanuel Ringelblum</w:t>
      </w:r>
      <w:r>
        <w:rPr>
          <w:rFonts w:ascii="Arial Narrow" w:hAnsi="Arial Narrow"/>
        </w:rPr>
        <w:t>,</w:t>
      </w:r>
      <w:r w:rsidRPr="004033B7">
        <w:rPr>
          <w:rFonts w:ascii="Arial Narrow" w:hAnsi="Arial Narrow"/>
        </w:rPr>
        <w:t xml:space="preserve"> </w:t>
      </w:r>
      <w:r w:rsidRPr="009F19B4">
        <w:rPr>
          <w:rFonts w:ascii="Arial Narrow" w:hAnsi="Arial Narrow"/>
        </w:rPr>
        <w:t>op. cit.,</w:t>
      </w:r>
      <w:r w:rsidRPr="004033B7">
        <w:rPr>
          <w:rFonts w:ascii="Arial Narrow" w:hAnsi="Arial Narrow"/>
        </w:rPr>
        <w:t xml:space="preserve"> 92-93: «O Conselho Judaico de Varsóvia não manifesta o menor interesse pelo seu povo. O melhor dos Conselhos é o de Radom, que fornece aos trabalhadores forçados judeus pão, medicamentos, etc.».</w:t>
      </w:r>
    </w:p>
  </w:footnote>
  <w:footnote w:id="335">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142. Numa página relativa a Março de 1941 Emmanuel Ringelblum acrescent</w:t>
      </w:r>
      <w:r>
        <w:rPr>
          <w:rFonts w:ascii="Arial Narrow" w:hAnsi="Arial Narrow"/>
        </w:rPr>
        <w:t>ou</w:t>
      </w:r>
      <w:r w:rsidRPr="004033B7">
        <w:rPr>
          <w:rFonts w:ascii="Arial Narrow" w:hAnsi="Arial Narrow"/>
        </w:rPr>
        <w:t xml:space="preserve"> (pág. 166) que no interior do </w:t>
      </w:r>
      <w:r w:rsidRPr="004033B7">
        <w:rPr>
          <w:rFonts w:ascii="Arial Narrow" w:hAnsi="Arial Narrow"/>
          <w:i/>
        </w:rPr>
        <w:t>ghetto</w:t>
      </w:r>
      <w:r w:rsidRPr="004033B7">
        <w:rPr>
          <w:rFonts w:ascii="Arial Narrow" w:hAnsi="Arial Narrow"/>
        </w:rPr>
        <w:t xml:space="preserve"> «a produção literária dirigida contra o Conselho Judaico intensifica-se».</w:t>
      </w:r>
    </w:p>
  </w:footnote>
  <w:footnote w:id="336">
    <w:p w:rsidR="003F07DD" w:rsidRPr="00A0230B" w:rsidRDefault="003F07DD">
      <w:pPr>
        <w:pStyle w:val="Textodenotaderodap"/>
        <w:rPr>
          <w:rFonts w:ascii="Arial Narrow" w:hAnsi="Arial Narrow"/>
          <w:lang w:val="en-US"/>
        </w:rPr>
      </w:pPr>
      <w:r w:rsidRPr="00A0230B">
        <w:rPr>
          <w:rStyle w:val="Refdenotaderodap"/>
          <w:rFonts w:ascii="Arial Narrow" w:hAnsi="Arial Narrow"/>
        </w:rPr>
        <w:footnoteRef/>
      </w:r>
      <w:r w:rsidRPr="00A0230B">
        <w:rPr>
          <w:rFonts w:ascii="Arial Narrow" w:hAnsi="Arial Narrow"/>
          <w:lang w:val="en-US"/>
        </w:rPr>
        <w:t xml:space="preserve"> S. Friedländer (2008)</w:t>
      </w:r>
      <w:r>
        <w:rPr>
          <w:rFonts w:ascii="Arial Narrow" w:hAnsi="Arial Narrow"/>
          <w:lang w:val="en-US"/>
        </w:rPr>
        <w:t xml:space="preserve"> </w:t>
      </w:r>
      <w:r w:rsidRPr="00CE59AC">
        <w:rPr>
          <w:rFonts w:ascii="Arial Narrow" w:hAnsi="Arial Narrow"/>
          <w:lang w:val="en-US"/>
        </w:rPr>
        <w:t>246-247.</w:t>
      </w:r>
    </w:p>
  </w:footnote>
  <w:footnote w:id="337">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A0230B">
        <w:rPr>
          <w:rFonts w:ascii="Arial Narrow" w:hAnsi="Arial Narrow"/>
          <w:lang w:val="en-US"/>
        </w:rPr>
        <w:t xml:space="preserve"> </w:t>
      </w:r>
      <w:r w:rsidR="00831C5D">
        <w:rPr>
          <w:rFonts w:ascii="Arial Narrow" w:hAnsi="Arial Narrow"/>
          <w:lang w:val="en-US"/>
        </w:rPr>
        <w:t xml:space="preserve">Id., ibid., </w:t>
      </w:r>
      <w:r>
        <w:rPr>
          <w:rFonts w:ascii="Arial Narrow" w:hAnsi="Arial Narrow"/>
          <w:lang w:val="en-US"/>
        </w:rPr>
        <w:t xml:space="preserve">770-776; </w:t>
      </w:r>
      <w:r w:rsidRPr="00A0230B">
        <w:rPr>
          <w:rFonts w:ascii="Arial Narrow" w:hAnsi="Arial Narrow"/>
          <w:lang w:val="en-US"/>
        </w:rPr>
        <w:t>R. Hilberg (1961) 318, 322; E. Kogon (2002) 251</w:t>
      </w:r>
      <w:r>
        <w:rPr>
          <w:rFonts w:ascii="Arial Narrow" w:hAnsi="Arial Narrow"/>
          <w:lang w:val="en-US"/>
        </w:rPr>
        <w:t xml:space="preserve">; </w:t>
      </w:r>
      <w:r w:rsidRPr="00AC622B">
        <w:rPr>
          <w:rFonts w:ascii="Arial Narrow" w:hAnsi="Arial Narrow"/>
          <w:lang w:val="en-US"/>
        </w:rPr>
        <w:t>E. Ringelblum (1964) 329</w:t>
      </w:r>
      <w:r>
        <w:rPr>
          <w:rFonts w:ascii="Arial Narrow" w:hAnsi="Arial Narrow"/>
          <w:lang w:val="en-US"/>
        </w:rPr>
        <w:t xml:space="preserve">, </w:t>
      </w:r>
      <w:r w:rsidRPr="00AC622B">
        <w:rPr>
          <w:rFonts w:ascii="Arial Narrow" w:hAnsi="Arial Narrow"/>
          <w:lang w:val="en-US"/>
        </w:rPr>
        <w:t>352-353</w:t>
      </w:r>
      <w:r w:rsidRPr="00A0230B">
        <w:rPr>
          <w:rFonts w:ascii="Arial Narrow" w:hAnsi="Arial Narrow"/>
          <w:lang w:val="en-US"/>
        </w:rPr>
        <w:t xml:space="preserve">. </w:t>
      </w:r>
      <w:r>
        <w:rPr>
          <w:rFonts w:ascii="Arial Narrow" w:hAnsi="Arial Narrow"/>
        </w:rPr>
        <w:t xml:space="preserve">A citação de </w:t>
      </w:r>
      <w:r w:rsidRPr="00ED19A0">
        <w:rPr>
          <w:rFonts w:ascii="Arial Narrow" w:hAnsi="Arial Narrow"/>
        </w:rPr>
        <w:t xml:space="preserve">Jehoshua Perle </w:t>
      </w:r>
      <w:r>
        <w:rPr>
          <w:rFonts w:ascii="Arial Narrow" w:hAnsi="Arial Narrow"/>
        </w:rPr>
        <w:t xml:space="preserve">encontra-se em J. Noakes et al. (orgs. 2008-2010) III 569. </w:t>
      </w:r>
      <w:r w:rsidRPr="004033B7">
        <w:rPr>
          <w:rFonts w:ascii="Arial Narrow" w:hAnsi="Arial Narrow"/>
        </w:rPr>
        <w:t>Segundo Raul Hilberg</w:t>
      </w:r>
      <w:r>
        <w:rPr>
          <w:rFonts w:ascii="Arial Narrow" w:hAnsi="Arial Narrow"/>
        </w:rPr>
        <w:t>,</w:t>
      </w:r>
      <w:r w:rsidRPr="004033B7">
        <w:rPr>
          <w:rFonts w:ascii="Arial Narrow" w:hAnsi="Arial Narrow"/>
        </w:rPr>
        <w:t xml:space="preserve"> </w:t>
      </w:r>
      <w:r w:rsidRPr="00156A99">
        <w:rPr>
          <w:rFonts w:ascii="Arial Narrow" w:hAnsi="Arial Narrow"/>
        </w:rPr>
        <w:t>op. cit.,</w:t>
      </w:r>
      <w:r w:rsidRPr="004033B7">
        <w:rPr>
          <w:rFonts w:ascii="Arial Narrow" w:hAnsi="Arial Narrow"/>
        </w:rPr>
        <w:t xml:space="preserve"> 145, o presidente do Conselho Judaico de Varsóvia era sionista</w:t>
      </w:r>
      <w:r>
        <w:rPr>
          <w:rFonts w:ascii="Arial Narrow" w:hAnsi="Arial Narrow"/>
        </w:rPr>
        <w:t>,</w:t>
      </w:r>
      <w:r w:rsidRPr="004033B7">
        <w:rPr>
          <w:rFonts w:ascii="Arial Narrow" w:hAnsi="Arial Narrow"/>
        </w:rPr>
        <w:t xml:space="preserve"> </w:t>
      </w:r>
      <w:r>
        <w:rPr>
          <w:rFonts w:ascii="Arial Narrow" w:hAnsi="Arial Narrow"/>
        </w:rPr>
        <w:t xml:space="preserve">mas </w:t>
      </w:r>
      <w:r w:rsidRPr="004033B7">
        <w:rPr>
          <w:rFonts w:ascii="Arial Narrow" w:hAnsi="Arial Narrow"/>
        </w:rPr>
        <w:t>registe-se</w:t>
      </w:r>
      <w:r>
        <w:rPr>
          <w:rFonts w:ascii="Arial Narrow" w:hAnsi="Arial Narrow"/>
        </w:rPr>
        <w:t xml:space="preserve"> também </w:t>
      </w:r>
      <w:r w:rsidRPr="004033B7">
        <w:rPr>
          <w:rFonts w:ascii="Arial Narrow" w:hAnsi="Arial Narrow"/>
        </w:rPr>
        <w:t xml:space="preserve">que «a alma do movimento de resistência» responsável pela insurreição do </w:t>
      </w:r>
      <w:r w:rsidRPr="004033B7">
        <w:rPr>
          <w:rFonts w:ascii="Arial Narrow" w:hAnsi="Arial Narrow"/>
          <w:i/>
        </w:rPr>
        <w:t>ghetto</w:t>
      </w:r>
      <w:r w:rsidRPr="004033B7">
        <w:rPr>
          <w:rFonts w:ascii="Arial Narrow" w:hAnsi="Arial Narrow"/>
        </w:rPr>
        <w:t xml:space="preserve"> foi o «chefe dos sionistas da Polónia», segundo um testemunho reproduzido em Eugen Kogon, </w:t>
      </w:r>
      <w:r w:rsidRPr="00156A99">
        <w:rPr>
          <w:rFonts w:ascii="Arial Narrow" w:hAnsi="Arial Narrow"/>
        </w:rPr>
        <w:t>op.cit.,</w:t>
      </w:r>
      <w:r w:rsidRPr="004033B7">
        <w:rPr>
          <w:rFonts w:ascii="Arial Narrow" w:hAnsi="Arial Narrow"/>
        </w:rPr>
        <w:t xml:space="preserve"> 251.</w:t>
      </w:r>
    </w:p>
  </w:footnote>
  <w:footnote w:id="338">
    <w:p w:rsidR="003F07DD" w:rsidRPr="00E0432C" w:rsidRDefault="003F07DD">
      <w:pPr>
        <w:pStyle w:val="Textodenotaderodap"/>
        <w:rPr>
          <w:rFonts w:ascii="Arial Narrow" w:hAnsi="Arial Narrow"/>
          <w:lang w:val="en-US"/>
        </w:rPr>
      </w:pPr>
      <w:r w:rsidRPr="003B6AEB">
        <w:rPr>
          <w:rStyle w:val="Refdenotaderodap"/>
          <w:rFonts w:ascii="Arial Narrow" w:hAnsi="Arial Narrow"/>
        </w:rPr>
        <w:footnoteRef/>
      </w:r>
      <w:r w:rsidRPr="00E0432C">
        <w:rPr>
          <w:lang w:val="en-US"/>
        </w:rPr>
        <w:t xml:space="preserve"> </w:t>
      </w:r>
      <w:r w:rsidRPr="00FC7A38">
        <w:rPr>
          <w:rFonts w:ascii="Arial Narrow" w:hAnsi="Arial Narrow"/>
          <w:lang w:val="en-US"/>
        </w:rPr>
        <w:t xml:space="preserve">S. Friedländer (2008) 937; </w:t>
      </w:r>
      <w:r w:rsidRPr="00E0432C">
        <w:rPr>
          <w:rFonts w:ascii="Arial Narrow" w:hAnsi="Arial Narrow"/>
          <w:lang w:val="en-US"/>
        </w:rPr>
        <w:t>M. Gilbert (2011 b) II 691-692.</w:t>
      </w:r>
    </w:p>
  </w:footnote>
  <w:footnote w:id="339">
    <w:p w:rsidR="003F07DD" w:rsidRPr="00FC7A38" w:rsidRDefault="003F07DD">
      <w:pPr>
        <w:pStyle w:val="Textodenotaderodap"/>
        <w:rPr>
          <w:rFonts w:ascii="Arial Narrow" w:hAnsi="Arial Narrow"/>
        </w:rPr>
      </w:pPr>
      <w:r w:rsidRPr="00283F1B">
        <w:rPr>
          <w:rStyle w:val="Refdenotaderodap"/>
          <w:rFonts w:ascii="Arial Narrow" w:hAnsi="Arial Narrow"/>
        </w:rPr>
        <w:footnoteRef/>
      </w:r>
      <w:r w:rsidRPr="00FC7A38">
        <w:rPr>
          <w:rFonts w:ascii="Arial Narrow" w:hAnsi="Arial Narrow"/>
        </w:rPr>
        <w:t xml:space="preserve"> S. Friedländer (2008) 731.</w:t>
      </w:r>
    </w:p>
  </w:footnote>
  <w:footnote w:id="340">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Vários autores recorre</w:t>
      </w:r>
      <w:r>
        <w:rPr>
          <w:rFonts w:ascii="Arial Narrow" w:hAnsi="Arial Narrow"/>
        </w:rPr>
        <w:t>ra</w:t>
      </w:r>
      <w:r w:rsidRPr="004033B7">
        <w:rPr>
          <w:rFonts w:ascii="Arial Narrow" w:hAnsi="Arial Narrow"/>
        </w:rPr>
        <w:t>m a este argumento, por exemplo H. L. Feingold (1995) 6</w:t>
      </w:r>
      <w:r>
        <w:rPr>
          <w:rFonts w:ascii="Arial Narrow" w:hAnsi="Arial Narrow"/>
        </w:rPr>
        <w:t>,</w:t>
      </w:r>
      <w:r w:rsidRPr="004033B7">
        <w:rPr>
          <w:rFonts w:ascii="Arial Narrow" w:hAnsi="Arial Narrow"/>
        </w:rPr>
        <w:t xml:space="preserve"> 167</w:t>
      </w:r>
      <w:r>
        <w:rPr>
          <w:rFonts w:ascii="Arial Narrow" w:hAnsi="Arial Narrow"/>
        </w:rPr>
        <w:t xml:space="preserve"> e </w:t>
      </w:r>
      <w:r w:rsidRPr="00917705">
        <w:rPr>
          <w:rFonts w:ascii="Arial Narrow" w:hAnsi="Arial Narrow"/>
        </w:rPr>
        <w:t>S. Friedländer (2008)</w:t>
      </w:r>
      <w:r>
        <w:rPr>
          <w:rFonts w:ascii="Arial Narrow" w:hAnsi="Arial Narrow"/>
        </w:rPr>
        <w:t xml:space="preserve"> </w:t>
      </w:r>
      <w:r w:rsidRPr="00917705">
        <w:rPr>
          <w:rFonts w:ascii="Arial Narrow" w:hAnsi="Arial Narrow"/>
        </w:rPr>
        <w:t>300-302</w:t>
      </w:r>
      <w:r>
        <w:rPr>
          <w:rFonts w:ascii="Arial Narrow" w:hAnsi="Arial Narrow"/>
        </w:rPr>
        <w:t xml:space="preserve">. </w:t>
      </w:r>
      <w:r w:rsidRPr="00917705">
        <w:rPr>
          <w:rFonts w:ascii="Arial Narrow" w:hAnsi="Arial Narrow"/>
        </w:rPr>
        <w:t>S</w:t>
      </w:r>
      <w:r>
        <w:rPr>
          <w:rFonts w:ascii="Arial Narrow" w:hAnsi="Arial Narrow"/>
        </w:rPr>
        <w:t>aul</w:t>
      </w:r>
      <w:r w:rsidRPr="00917705">
        <w:rPr>
          <w:rFonts w:ascii="Arial Narrow" w:hAnsi="Arial Narrow"/>
        </w:rPr>
        <w:t xml:space="preserve"> Friedländer argumento</w:t>
      </w:r>
      <w:r>
        <w:rPr>
          <w:rFonts w:ascii="Arial Narrow" w:hAnsi="Arial Narrow"/>
        </w:rPr>
        <w:t>u</w:t>
      </w:r>
      <w:r w:rsidRPr="00917705">
        <w:rPr>
          <w:rFonts w:ascii="Arial Narrow" w:hAnsi="Arial Narrow"/>
        </w:rPr>
        <w:t xml:space="preserve"> que no começo da guerra os Conselhos Judaicos e as demais lideranças sionistas julgavam que estavam a deparar com uma situação familiar e </w:t>
      </w:r>
      <w:r>
        <w:rPr>
          <w:rFonts w:ascii="Arial Narrow" w:hAnsi="Arial Narrow"/>
        </w:rPr>
        <w:t xml:space="preserve">além disso </w:t>
      </w:r>
      <w:r w:rsidRPr="00917705">
        <w:rPr>
          <w:rFonts w:ascii="Arial Narrow" w:hAnsi="Arial Narrow"/>
        </w:rPr>
        <w:t>estavam habituados a obedecer às autoridades</w:t>
      </w:r>
      <w:r>
        <w:rPr>
          <w:rFonts w:ascii="Arial Narrow" w:hAnsi="Arial Narrow"/>
        </w:rPr>
        <w:t xml:space="preserve"> e acrescentou que </w:t>
      </w:r>
      <w:r w:rsidRPr="00917705">
        <w:rPr>
          <w:rFonts w:ascii="Arial Narrow" w:hAnsi="Arial Narrow"/>
        </w:rPr>
        <w:t>a demissão destes Conselhos ou a sua auto-dissolução não eram uma solução porque</w:t>
      </w:r>
      <w:r>
        <w:rPr>
          <w:rFonts w:ascii="Arial Narrow" w:hAnsi="Arial Narrow"/>
        </w:rPr>
        <w:t xml:space="preserve"> se encarregavam de </w:t>
      </w:r>
      <w:r w:rsidRPr="00917705">
        <w:rPr>
          <w:rFonts w:ascii="Arial Narrow" w:hAnsi="Arial Narrow"/>
        </w:rPr>
        <w:t>acções de benemer</w:t>
      </w:r>
      <w:r>
        <w:rPr>
          <w:rFonts w:ascii="Arial Narrow" w:hAnsi="Arial Narrow"/>
        </w:rPr>
        <w:t>ê</w:t>
      </w:r>
      <w:r w:rsidRPr="00917705">
        <w:rPr>
          <w:rFonts w:ascii="Arial Narrow" w:hAnsi="Arial Narrow"/>
        </w:rPr>
        <w:t xml:space="preserve">ncia </w:t>
      </w:r>
      <w:r>
        <w:rPr>
          <w:rFonts w:ascii="Arial Narrow" w:hAnsi="Arial Narrow"/>
        </w:rPr>
        <w:t>e</w:t>
      </w:r>
      <w:r w:rsidRPr="00917705">
        <w:rPr>
          <w:rFonts w:ascii="Arial Narrow" w:hAnsi="Arial Narrow"/>
        </w:rPr>
        <w:t xml:space="preserve"> os nacionais-socialistas exerceriam retaliações contra judeus tomados como reféns.</w:t>
      </w:r>
    </w:p>
  </w:footnote>
  <w:footnote w:id="341">
    <w:p w:rsidR="003F07DD" w:rsidRPr="001C2BA7" w:rsidRDefault="003F07DD">
      <w:pPr>
        <w:pStyle w:val="Textodenotaderodap"/>
        <w:rPr>
          <w:rFonts w:ascii="Arial Narrow" w:hAnsi="Arial Narrow"/>
        </w:rPr>
      </w:pPr>
      <w:r w:rsidRPr="000C5B8D">
        <w:rPr>
          <w:rStyle w:val="Refdenotaderodap"/>
          <w:rFonts w:ascii="Arial Narrow" w:hAnsi="Arial Narrow"/>
        </w:rPr>
        <w:footnoteRef/>
      </w:r>
      <w:r w:rsidRPr="001C2BA7">
        <w:rPr>
          <w:rFonts w:ascii="Arial Narrow" w:hAnsi="Arial Narrow"/>
        </w:rPr>
        <w:t xml:space="preserve"> S. Friedländer (2008) </w:t>
      </w:r>
      <w:r w:rsidRPr="001C2BA7">
        <w:rPr>
          <w:rFonts w:ascii="Arial Narrow" w:hAnsi="Arial Narrow"/>
          <w:i/>
        </w:rPr>
        <w:t>passim</w:t>
      </w:r>
      <w:r w:rsidRPr="001C2BA7">
        <w:rPr>
          <w:rFonts w:ascii="Arial Narrow" w:hAnsi="Arial Narrow"/>
        </w:rPr>
        <w:t>.</w:t>
      </w:r>
    </w:p>
  </w:footnote>
  <w:footnote w:id="342">
    <w:p w:rsidR="003F07DD" w:rsidRPr="001C2BA7" w:rsidRDefault="003F07DD">
      <w:pPr>
        <w:pStyle w:val="Textodenotaderodap"/>
        <w:rPr>
          <w:rFonts w:ascii="Arial Narrow" w:hAnsi="Arial Narrow"/>
        </w:rPr>
      </w:pPr>
      <w:r w:rsidRPr="005A10D0">
        <w:rPr>
          <w:rStyle w:val="Refdenotaderodap"/>
          <w:rFonts w:ascii="Arial Narrow" w:hAnsi="Arial Narrow"/>
        </w:rPr>
        <w:footnoteRef/>
      </w:r>
      <w:r w:rsidRPr="001C2BA7">
        <w:rPr>
          <w:rFonts w:ascii="Arial Narrow" w:hAnsi="Arial Narrow"/>
        </w:rPr>
        <w:t xml:space="preserve"> Id., ibid., 530, 564-565, 605-608.</w:t>
      </w:r>
    </w:p>
  </w:footnote>
  <w:footnote w:id="343">
    <w:p w:rsidR="003F07DD" w:rsidRPr="007C3513" w:rsidRDefault="003F07DD">
      <w:pPr>
        <w:pStyle w:val="Textodenotaderodap"/>
        <w:rPr>
          <w:rFonts w:ascii="Arial Narrow" w:hAnsi="Arial Narrow"/>
        </w:rPr>
      </w:pPr>
      <w:r w:rsidRPr="0075046A">
        <w:rPr>
          <w:rStyle w:val="Refdenotaderodap"/>
          <w:rFonts w:ascii="Arial Narrow" w:hAnsi="Arial Narrow"/>
        </w:rPr>
        <w:footnoteRef/>
      </w:r>
      <w:r w:rsidRPr="007C3513">
        <w:rPr>
          <w:rFonts w:ascii="Arial Narrow" w:hAnsi="Arial Narrow"/>
        </w:rPr>
        <w:t xml:space="preserve"> Id., ibid., 479-480.</w:t>
      </w:r>
    </w:p>
  </w:footnote>
  <w:footnote w:id="344">
    <w:p w:rsidR="003F07DD" w:rsidRPr="0075046A" w:rsidRDefault="003F07DD">
      <w:pPr>
        <w:pStyle w:val="Textodenotaderodap"/>
        <w:rPr>
          <w:rFonts w:ascii="Arial Narrow" w:hAnsi="Arial Narrow"/>
        </w:rPr>
      </w:pPr>
      <w:r w:rsidRPr="0075046A">
        <w:rPr>
          <w:rStyle w:val="Refdenotaderodap"/>
          <w:rFonts w:ascii="Arial Narrow" w:hAnsi="Arial Narrow"/>
        </w:rPr>
        <w:footnoteRef/>
      </w:r>
      <w:r w:rsidRPr="0075046A">
        <w:rPr>
          <w:rFonts w:ascii="Arial Narrow" w:hAnsi="Arial Narrow"/>
        </w:rPr>
        <w:t xml:space="preserve"> </w:t>
      </w:r>
      <w:r>
        <w:rPr>
          <w:rFonts w:ascii="Arial Narrow" w:hAnsi="Arial Narrow"/>
        </w:rPr>
        <w:t xml:space="preserve">O discurso de Chaim Rumkowski, chefe do Ältestenrat, encontra-se em id., ibid., </w:t>
      </w:r>
      <w:r w:rsidRPr="0075046A">
        <w:rPr>
          <w:rFonts w:ascii="Arial Narrow" w:hAnsi="Arial Narrow"/>
        </w:rPr>
        <w:t>476-477</w:t>
      </w:r>
      <w:r>
        <w:rPr>
          <w:rFonts w:ascii="Arial Narrow" w:hAnsi="Arial Narrow"/>
        </w:rPr>
        <w:t>. A frase citada vem na pág. 476. Ainda acerca da actuação de Rumkowski ver id., ibid., 583.</w:t>
      </w:r>
    </w:p>
  </w:footnote>
  <w:footnote w:id="345">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8E492B">
        <w:rPr>
          <w:rFonts w:ascii="Arial Narrow" w:hAnsi="Arial Narrow"/>
          <w:lang w:val="de-DE"/>
        </w:rPr>
        <w:t xml:space="preserve"> H. Arendt (1994) 139, 147, 176, 195 e segs.; R. Hilberg (1961) 290, 465. </w:t>
      </w:r>
      <w:r w:rsidRPr="004033B7">
        <w:rPr>
          <w:rFonts w:ascii="Arial Narrow" w:hAnsi="Arial Narrow"/>
        </w:rPr>
        <w:t>M. Baumont (1951) 43, F. L. Carsten (1967) 170</w:t>
      </w:r>
      <w:r>
        <w:rPr>
          <w:rFonts w:ascii="Arial Narrow" w:hAnsi="Arial Narrow"/>
        </w:rPr>
        <w:t>,</w:t>
      </w:r>
      <w:r w:rsidRPr="004033B7">
        <w:rPr>
          <w:rFonts w:ascii="Arial Narrow" w:hAnsi="Arial Narrow"/>
        </w:rPr>
        <w:t xml:space="preserve"> I. Deák (1965) 371 </w:t>
      </w:r>
      <w:r>
        <w:rPr>
          <w:rFonts w:ascii="Arial Narrow" w:hAnsi="Arial Narrow"/>
        </w:rPr>
        <w:t xml:space="preserve">e </w:t>
      </w:r>
      <w:r w:rsidRPr="00221E41">
        <w:rPr>
          <w:rFonts w:ascii="Arial Narrow" w:hAnsi="Arial Narrow"/>
        </w:rPr>
        <w:t xml:space="preserve">S. Friedländer (2008) 357-358 </w:t>
      </w:r>
      <w:r w:rsidRPr="004033B7">
        <w:rPr>
          <w:rFonts w:ascii="Arial Narrow" w:hAnsi="Arial Narrow"/>
        </w:rPr>
        <w:t>refer</w:t>
      </w:r>
      <w:r>
        <w:rPr>
          <w:rFonts w:ascii="Arial Narrow" w:hAnsi="Arial Narrow"/>
        </w:rPr>
        <w:t>ira</w:t>
      </w:r>
      <w:r w:rsidRPr="004033B7">
        <w:rPr>
          <w:rFonts w:ascii="Arial Narrow" w:hAnsi="Arial Narrow"/>
        </w:rPr>
        <w:t xml:space="preserve">m os </w:t>
      </w:r>
      <w:r w:rsidRPr="004033B7">
        <w:rPr>
          <w:rFonts w:ascii="Arial Narrow" w:hAnsi="Arial Narrow"/>
          <w:i/>
        </w:rPr>
        <w:t>pogroms</w:t>
      </w:r>
      <w:r w:rsidRPr="004033B7">
        <w:rPr>
          <w:rFonts w:ascii="Arial Narrow" w:hAnsi="Arial Narrow"/>
        </w:rPr>
        <w:t xml:space="preserve"> organizados em 1919 pelas tropas de Horthy durante a luta contra a república soviética animada por Béla Kun e no contexto da repressão generalizada que se seguiu à derrota dos comunistas. Mas isto não impediu que, estabilizado o regime fascista, o anti-semitismo fosse posto de parte, como record</w:t>
      </w:r>
      <w:r>
        <w:rPr>
          <w:rFonts w:ascii="Arial Narrow" w:hAnsi="Arial Narrow"/>
        </w:rPr>
        <w:t>ou</w:t>
      </w:r>
      <w:r w:rsidRPr="004033B7">
        <w:rPr>
          <w:rFonts w:ascii="Arial Narrow" w:hAnsi="Arial Narrow"/>
        </w:rPr>
        <w:t xml:space="preserve"> István Deák</w:t>
      </w:r>
      <w:r>
        <w:rPr>
          <w:rFonts w:ascii="Arial Narrow" w:hAnsi="Arial Narrow"/>
        </w:rPr>
        <w:t>,</w:t>
      </w:r>
      <w:r w:rsidRPr="004033B7">
        <w:rPr>
          <w:rFonts w:ascii="Arial Narrow" w:hAnsi="Arial Narrow"/>
        </w:rPr>
        <w:t xml:space="preserve"> </w:t>
      </w:r>
      <w:r w:rsidRPr="00615D1D">
        <w:rPr>
          <w:rFonts w:ascii="Arial Narrow" w:hAnsi="Arial Narrow"/>
        </w:rPr>
        <w:t>op. cit.,</w:t>
      </w:r>
      <w:r w:rsidRPr="004033B7">
        <w:rPr>
          <w:rFonts w:ascii="Arial Narrow" w:hAnsi="Arial Narrow"/>
        </w:rPr>
        <w:t xml:space="preserve"> 376-377. A respeito da situação favorável de que os judeus </w:t>
      </w:r>
      <w:r>
        <w:rPr>
          <w:rFonts w:ascii="Arial Narrow" w:hAnsi="Arial Narrow"/>
        </w:rPr>
        <w:t xml:space="preserve">haviam passado a </w:t>
      </w:r>
      <w:r w:rsidRPr="004033B7">
        <w:rPr>
          <w:rFonts w:ascii="Arial Narrow" w:hAnsi="Arial Narrow"/>
        </w:rPr>
        <w:t>goza</w:t>
      </w:r>
      <w:r>
        <w:rPr>
          <w:rFonts w:ascii="Arial Narrow" w:hAnsi="Arial Narrow"/>
        </w:rPr>
        <w:t>r</w:t>
      </w:r>
      <w:r w:rsidRPr="004033B7">
        <w:rPr>
          <w:rFonts w:ascii="Arial Narrow" w:hAnsi="Arial Narrow"/>
        </w:rPr>
        <w:t xml:space="preserve"> na Hungria ver G. Aly et al. </w:t>
      </w:r>
      <w:r w:rsidRPr="00615D1D">
        <w:rPr>
          <w:rFonts w:ascii="Arial Narrow" w:hAnsi="Arial Narrow"/>
          <w:lang w:val="en-US"/>
        </w:rPr>
        <w:t xml:space="preserve">(2006) 260, Hannah Arendt, op., cit., 139, 147, 176, 195 e segs. e Raul Hilberg, op., cit., 199, 290 e 455. </w:t>
      </w:r>
      <w:r w:rsidRPr="004033B7">
        <w:rPr>
          <w:rFonts w:ascii="Arial Narrow" w:hAnsi="Arial Narrow"/>
        </w:rPr>
        <w:t>Este último autor acrescent</w:t>
      </w:r>
      <w:r>
        <w:rPr>
          <w:rFonts w:ascii="Arial Narrow" w:hAnsi="Arial Narrow"/>
        </w:rPr>
        <w:t>ou</w:t>
      </w:r>
      <w:r w:rsidRPr="004033B7">
        <w:rPr>
          <w:rFonts w:ascii="Arial Narrow" w:hAnsi="Arial Narrow"/>
        </w:rPr>
        <w:t xml:space="preserve"> (pág. 465) que até ao final de 1942 cerca de um décimo dos judeus eslovacos encontrara protecção na Hungria. Também István Deák</w:t>
      </w:r>
      <w:r>
        <w:rPr>
          <w:rFonts w:ascii="Arial Narrow" w:hAnsi="Arial Narrow"/>
        </w:rPr>
        <w:t>,</w:t>
      </w:r>
      <w:r w:rsidRPr="004033B7">
        <w:rPr>
          <w:rFonts w:ascii="Arial Narrow" w:hAnsi="Arial Narrow"/>
        </w:rPr>
        <w:t xml:space="preserve"> </w:t>
      </w:r>
      <w:r w:rsidRPr="00615D1D">
        <w:rPr>
          <w:rFonts w:ascii="Arial Narrow" w:hAnsi="Arial Narrow"/>
        </w:rPr>
        <w:t>op. cit.,</w:t>
      </w:r>
      <w:r w:rsidRPr="004033B7">
        <w:rPr>
          <w:rFonts w:ascii="Arial Narrow" w:hAnsi="Arial Narrow"/>
        </w:rPr>
        <w:t xml:space="preserve"> 365 salient</w:t>
      </w:r>
      <w:r>
        <w:rPr>
          <w:rFonts w:ascii="Arial Narrow" w:hAnsi="Arial Narrow"/>
        </w:rPr>
        <w:t>ou</w:t>
      </w:r>
      <w:r w:rsidRPr="004033B7">
        <w:rPr>
          <w:rFonts w:ascii="Arial Narrow" w:hAnsi="Arial Narrow"/>
        </w:rPr>
        <w:t xml:space="preserve"> a tolerância que o regime de Horthy manifest</w:t>
      </w:r>
      <w:r>
        <w:rPr>
          <w:rFonts w:ascii="Arial Narrow" w:hAnsi="Arial Narrow"/>
        </w:rPr>
        <w:t>ara</w:t>
      </w:r>
      <w:r w:rsidRPr="004033B7">
        <w:rPr>
          <w:rFonts w:ascii="Arial Narrow" w:hAnsi="Arial Narrow"/>
        </w:rPr>
        <w:t xml:space="preserve"> para com os judeus. </w:t>
      </w:r>
      <w:r w:rsidRPr="004A241A">
        <w:rPr>
          <w:rFonts w:ascii="Arial Narrow" w:hAnsi="Arial Narrow"/>
        </w:rPr>
        <w:t xml:space="preserve">Raul </w:t>
      </w:r>
      <w:r w:rsidRPr="004033B7">
        <w:rPr>
          <w:rFonts w:ascii="Arial Narrow" w:hAnsi="Arial Narrow"/>
        </w:rPr>
        <w:t>Hilberg</w:t>
      </w:r>
      <w:r>
        <w:rPr>
          <w:rFonts w:ascii="Arial Narrow" w:hAnsi="Arial Narrow"/>
        </w:rPr>
        <w:t>,</w:t>
      </w:r>
      <w:r w:rsidRPr="004033B7">
        <w:rPr>
          <w:rFonts w:ascii="Arial Narrow" w:hAnsi="Arial Narrow"/>
        </w:rPr>
        <w:t xml:space="preserve"> </w:t>
      </w:r>
      <w:r w:rsidRPr="00825364">
        <w:rPr>
          <w:rFonts w:ascii="Arial Narrow" w:hAnsi="Arial Narrow"/>
        </w:rPr>
        <w:t>op. cit.,</w:t>
      </w:r>
      <w:r w:rsidRPr="004033B7">
        <w:rPr>
          <w:rFonts w:ascii="Arial Narrow" w:hAnsi="Arial Narrow"/>
        </w:rPr>
        <w:t xml:space="preserve"> 514 pretende</w:t>
      </w:r>
      <w:r>
        <w:rPr>
          <w:rFonts w:ascii="Arial Narrow" w:hAnsi="Arial Narrow"/>
        </w:rPr>
        <w:t>u</w:t>
      </w:r>
      <w:r w:rsidRPr="004033B7">
        <w:rPr>
          <w:rFonts w:ascii="Arial Narrow" w:hAnsi="Arial Narrow"/>
        </w:rPr>
        <w:t xml:space="preserve"> que a relativa benevolência com que os judeus eram tratados na Hungria se deve</w:t>
      </w:r>
      <w:r>
        <w:rPr>
          <w:rFonts w:ascii="Arial Narrow" w:hAnsi="Arial Narrow"/>
        </w:rPr>
        <w:t>ra</w:t>
      </w:r>
      <w:r w:rsidRPr="004033B7">
        <w:rPr>
          <w:rFonts w:ascii="Arial Narrow" w:hAnsi="Arial Narrow"/>
        </w:rPr>
        <w:t xml:space="preserve"> ao facto de ocuparem uma posição decisiva nos negócios e nas profissões liberais, a tal ponto que a sua deportação ou o seu extermínio teriam as mais graves consequências sobre a vida económica do país. </w:t>
      </w:r>
      <w:r>
        <w:rPr>
          <w:rFonts w:ascii="Arial Narrow" w:hAnsi="Arial Narrow"/>
        </w:rPr>
        <w:t xml:space="preserve">Quanto à importância dos judeus na economia húngara ver </w:t>
      </w:r>
      <w:r w:rsidRPr="00221E41">
        <w:rPr>
          <w:rFonts w:ascii="Arial Narrow" w:hAnsi="Arial Narrow"/>
        </w:rPr>
        <w:t xml:space="preserve">M. Mann (2004) 251. </w:t>
      </w:r>
      <w:r w:rsidRPr="004033B7">
        <w:rPr>
          <w:rFonts w:ascii="Arial Narrow" w:hAnsi="Arial Narrow"/>
        </w:rPr>
        <w:t xml:space="preserve">É curioso verificar que a mesma situação </w:t>
      </w:r>
      <w:r>
        <w:rPr>
          <w:rFonts w:ascii="Arial Narrow" w:hAnsi="Arial Narrow"/>
        </w:rPr>
        <w:t>foi</w:t>
      </w:r>
      <w:r w:rsidRPr="004033B7">
        <w:rPr>
          <w:rFonts w:ascii="Arial Narrow" w:hAnsi="Arial Narrow"/>
        </w:rPr>
        <w:t xml:space="preserve"> invocada por </w:t>
      </w:r>
      <w:r>
        <w:rPr>
          <w:rFonts w:ascii="Arial Narrow" w:hAnsi="Arial Narrow"/>
        </w:rPr>
        <w:t xml:space="preserve">Francis Ludwig </w:t>
      </w:r>
      <w:r w:rsidRPr="004033B7">
        <w:rPr>
          <w:rFonts w:ascii="Arial Narrow" w:hAnsi="Arial Narrow"/>
        </w:rPr>
        <w:t>Carsten</w:t>
      </w:r>
      <w:r>
        <w:rPr>
          <w:rFonts w:ascii="Arial Narrow" w:hAnsi="Arial Narrow"/>
        </w:rPr>
        <w:t>,</w:t>
      </w:r>
      <w:r w:rsidRPr="004033B7">
        <w:rPr>
          <w:rFonts w:ascii="Arial Narrow" w:hAnsi="Arial Narrow"/>
        </w:rPr>
        <w:t xml:space="preserve"> </w:t>
      </w:r>
      <w:r w:rsidRPr="00825364">
        <w:rPr>
          <w:rFonts w:ascii="Arial Narrow" w:hAnsi="Arial Narrow"/>
        </w:rPr>
        <w:t>op. cit.,</w:t>
      </w:r>
      <w:r w:rsidRPr="004033B7">
        <w:rPr>
          <w:rFonts w:ascii="Arial Narrow" w:hAnsi="Arial Narrow"/>
        </w:rPr>
        <w:t xml:space="preserve"> 170-171 e 174-175 com objectivos exactamente contrários, para justificar o anti-semitismo prevalecente nas facções mais fanáticas d</w:t>
      </w:r>
      <w:r w:rsidR="00D96004">
        <w:rPr>
          <w:rFonts w:ascii="Arial Narrow" w:hAnsi="Arial Narrow"/>
        </w:rPr>
        <w:t xml:space="preserve">o fascismo </w:t>
      </w:r>
      <w:r w:rsidRPr="004033B7">
        <w:rPr>
          <w:rFonts w:ascii="Arial Narrow" w:hAnsi="Arial Narrow"/>
        </w:rPr>
        <w:t>magiar. Est</w:t>
      </w:r>
      <w:r>
        <w:rPr>
          <w:rFonts w:ascii="Arial Narrow" w:hAnsi="Arial Narrow"/>
        </w:rPr>
        <w:t>a</w:t>
      </w:r>
      <w:r w:rsidRPr="004033B7">
        <w:rPr>
          <w:rFonts w:ascii="Arial Narrow" w:hAnsi="Arial Narrow"/>
        </w:rPr>
        <w:t xml:space="preserve"> </w:t>
      </w:r>
      <w:r>
        <w:rPr>
          <w:rFonts w:ascii="Arial Narrow" w:hAnsi="Arial Narrow"/>
        </w:rPr>
        <w:t xml:space="preserve">contradição </w:t>
      </w:r>
      <w:r w:rsidRPr="004033B7">
        <w:rPr>
          <w:rFonts w:ascii="Arial Narrow" w:hAnsi="Arial Narrow"/>
        </w:rPr>
        <w:t>demonstra, uma vez mais, a inutilidade de invocar questões económicas reais para explicar uma aversão aos judeus que se devia a causas exclusivamente ideológicas. A legislação anti-semita começou a ser promulgada na Hungria em 1938, devido à pressão directa dos dirigentes do Reich, como indica</w:t>
      </w:r>
      <w:r>
        <w:rPr>
          <w:rFonts w:ascii="Arial Narrow" w:hAnsi="Arial Narrow"/>
        </w:rPr>
        <w:t>ra</w:t>
      </w:r>
      <w:r w:rsidRPr="004033B7">
        <w:rPr>
          <w:rFonts w:ascii="Arial Narrow" w:hAnsi="Arial Narrow"/>
        </w:rPr>
        <w:t>m István Deák</w:t>
      </w:r>
      <w:r>
        <w:rPr>
          <w:rFonts w:ascii="Arial Narrow" w:hAnsi="Arial Narrow"/>
        </w:rPr>
        <w:t>,</w:t>
      </w:r>
      <w:r w:rsidRPr="004033B7">
        <w:rPr>
          <w:rFonts w:ascii="Arial Narrow" w:hAnsi="Arial Narrow"/>
        </w:rPr>
        <w:t xml:space="preserve"> </w:t>
      </w:r>
      <w:r w:rsidRPr="00825364">
        <w:rPr>
          <w:rFonts w:ascii="Arial Narrow" w:hAnsi="Arial Narrow"/>
        </w:rPr>
        <w:t>op. cit.,</w:t>
      </w:r>
      <w:r w:rsidRPr="004033B7">
        <w:rPr>
          <w:rFonts w:ascii="Arial Narrow" w:hAnsi="Arial Narrow"/>
        </w:rPr>
        <w:t xml:space="preserve"> 382-383 e </w:t>
      </w:r>
      <w:r w:rsidRPr="004A241A">
        <w:rPr>
          <w:rFonts w:ascii="Arial Narrow" w:hAnsi="Arial Narrow"/>
        </w:rPr>
        <w:t xml:space="preserve">Raul </w:t>
      </w:r>
      <w:r w:rsidRPr="004033B7">
        <w:rPr>
          <w:rFonts w:ascii="Arial Narrow" w:hAnsi="Arial Narrow"/>
        </w:rPr>
        <w:t>Hilberg</w:t>
      </w:r>
      <w:r>
        <w:rPr>
          <w:rFonts w:ascii="Arial Narrow" w:hAnsi="Arial Narrow"/>
        </w:rPr>
        <w:t>,</w:t>
      </w:r>
      <w:r w:rsidRPr="004033B7">
        <w:rPr>
          <w:rFonts w:ascii="Arial Narrow" w:hAnsi="Arial Narrow"/>
        </w:rPr>
        <w:t xml:space="preserve"> </w:t>
      </w:r>
      <w:r w:rsidRPr="00825364">
        <w:rPr>
          <w:rFonts w:ascii="Arial Narrow" w:hAnsi="Arial Narrow"/>
        </w:rPr>
        <w:t>op. cit.,</w:t>
      </w:r>
      <w:r w:rsidRPr="004033B7">
        <w:rPr>
          <w:rFonts w:ascii="Arial Narrow" w:hAnsi="Arial Narrow"/>
        </w:rPr>
        <w:t xml:space="preserve"> 511, mas Hilberg esclarece</w:t>
      </w:r>
      <w:r>
        <w:rPr>
          <w:rFonts w:ascii="Arial Narrow" w:hAnsi="Arial Narrow"/>
        </w:rPr>
        <w:t>u</w:t>
      </w:r>
      <w:r w:rsidRPr="004033B7">
        <w:rPr>
          <w:rFonts w:ascii="Arial Narrow" w:hAnsi="Arial Narrow"/>
        </w:rPr>
        <w:t xml:space="preserve"> (págs. 520-521) que o governo magiar só participou na política de «solução final» em 1941 e no início de 1942, enquanto Bárdossy foi primeiro-ministro. Quando o regente Horthy ficou definitivamente convencido da inelutabilidade da derrota </w:t>
      </w:r>
      <w:r>
        <w:rPr>
          <w:rFonts w:ascii="Arial Narrow" w:hAnsi="Arial Narrow"/>
        </w:rPr>
        <w:t>do Reich</w:t>
      </w:r>
      <w:r w:rsidRPr="004033B7">
        <w:rPr>
          <w:rFonts w:ascii="Arial Narrow" w:hAnsi="Arial Narrow"/>
        </w:rPr>
        <w:t xml:space="preserve"> e nomeou, em Março de 1942, um governo destinado a preparar a passagem para o campo dos Aliados, a Hungria tornou-se, durante dois anos, um lugar de acolhimento para judeus fugitivos e outras vítimas do </w:t>
      </w:r>
      <w:r>
        <w:rPr>
          <w:rFonts w:ascii="Arial Narrow" w:hAnsi="Arial Narrow"/>
        </w:rPr>
        <w:t>nacional-socialismo</w:t>
      </w:r>
      <w:r w:rsidRPr="004033B7">
        <w:rPr>
          <w:rFonts w:ascii="Arial Narrow" w:hAnsi="Arial Narrow"/>
        </w:rPr>
        <w:t xml:space="preserve">. Ver a este respeito </w:t>
      </w:r>
      <w:r w:rsidRPr="008562CB">
        <w:rPr>
          <w:rFonts w:ascii="Arial Narrow" w:hAnsi="Arial Narrow"/>
        </w:rPr>
        <w:t>N</w:t>
      </w:r>
      <w:r>
        <w:rPr>
          <w:rFonts w:ascii="Arial Narrow" w:hAnsi="Arial Narrow"/>
        </w:rPr>
        <w:t>.</w:t>
      </w:r>
      <w:r w:rsidRPr="008562CB">
        <w:rPr>
          <w:rFonts w:ascii="Arial Narrow" w:hAnsi="Arial Narrow"/>
        </w:rPr>
        <w:t xml:space="preserve"> Cohn (1992) 245</w:t>
      </w:r>
      <w:r>
        <w:rPr>
          <w:rFonts w:ascii="Arial Narrow" w:hAnsi="Arial Narrow"/>
        </w:rPr>
        <w:t xml:space="preserve">, </w:t>
      </w:r>
      <w:r w:rsidRPr="004033B7">
        <w:rPr>
          <w:rFonts w:ascii="Arial Narrow" w:hAnsi="Arial Narrow"/>
        </w:rPr>
        <w:t>István Deák</w:t>
      </w:r>
      <w:r>
        <w:rPr>
          <w:rFonts w:ascii="Arial Narrow" w:hAnsi="Arial Narrow"/>
        </w:rPr>
        <w:t>,</w:t>
      </w:r>
      <w:r w:rsidRPr="004033B7">
        <w:rPr>
          <w:rFonts w:ascii="Arial Narrow" w:hAnsi="Arial Narrow"/>
        </w:rPr>
        <w:t xml:space="preserve"> </w:t>
      </w:r>
      <w:r w:rsidRPr="004A241A">
        <w:rPr>
          <w:rFonts w:ascii="Arial Narrow" w:hAnsi="Arial Narrow"/>
        </w:rPr>
        <w:t>op. cit.,</w:t>
      </w:r>
      <w:r w:rsidRPr="004033B7">
        <w:rPr>
          <w:rFonts w:ascii="Arial Narrow" w:hAnsi="Arial Narrow"/>
        </w:rPr>
        <w:t xml:space="preserve"> 398 e Raul Hilberg</w:t>
      </w:r>
      <w:r>
        <w:rPr>
          <w:rFonts w:ascii="Arial Narrow" w:hAnsi="Arial Narrow"/>
        </w:rPr>
        <w:t>,</w:t>
      </w:r>
      <w:r w:rsidRPr="004033B7">
        <w:rPr>
          <w:rFonts w:ascii="Arial Narrow" w:hAnsi="Arial Narrow"/>
        </w:rPr>
        <w:t xml:space="preserve"> </w:t>
      </w:r>
      <w:r w:rsidRPr="004A241A">
        <w:rPr>
          <w:rFonts w:ascii="Arial Narrow" w:hAnsi="Arial Narrow"/>
        </w:rPr>
        <w:t>op. cit.,</w:t>
      </w:r>
      <w:r w:rsidRPr="004033B7">
        <w:rPr>
          <w:rFonts w:ascii="Arial Narrow" w:hAnsi="Arial Narrow"/>
        </w:rPr>
        <w:t xml:space="preserve"> 509, 521 e segs. Só a ocupação do país pelas tropas do Reich, em Março de 1944, pôs cobro a tal situação e, apesar disso, Horthy levantou alguns obstáculos à deportação dos judeus, como se lê em István Deák, </w:t>
      </w:r>
      <w:r w:rsidRPr="004A241A">
        <w:rPr>
          <w:rFonts w:ascii="Arial Narrow" w:hAnsi="Arial Narrow"/>
        </w:rPr>
        <w:t>op. cit.,</w:t>
      </w:r>
      <w:r w:rsidRPr="004033B7">
        <w:rPr>
          <w:rFonts w:ascii="Arial Narrow" w:hAnsi="Arial Narrow"/>
        </w:rPr>
        <w:t xml:space="preserve"> 399-400. Aliás, se for possível ter confiança em M. Bardèche et al. (1969) 24-26, o profundo anti-semitismo dos seguidores de Ferenc Szálasi não os levou a participar na perseguição aos judeus até tomarem o poder no golpe de Estado de Outubro de 1944, e só a partir de então colaboraram na «solução final», mesmo assim com certas reticências dos principais chefes do partido. Acerca das objecções levantadas por Szálasi ao genocídio dos judeus ver </w:t>
      </w:r>
      <w:r>
        <w:rPr>
          <w:rFonts w:ascii="Arial Narrow" w:hAnsi="Arial Narrow"/>
        </w:rPr>
        <w:t xml:space="preserve">Francis Ludwig </w:t>
      </w:r>
      <w:r w:rsidRPr="004033B7">
        <w:rPr>
          <w:rFonts w:ascii="Arial Narrow" w:hAnsi="Arial Narrow"/>
        </w:rPr>
        <w:t xml:space="preserve">Carsten, </w:t>
      </w:r>
      <w:r w:rsidRPr="004A241A">
        <w:rPr>
          <w:rFonts w:ascii="Arial Narrow" w:hAnsi="Arial Narrow"/>
        </w:rPr>
        <w:t>op. cit.,</w:t>
      </w:r>
      <w:r w:rsidRPr="004033B7">
        <w:rPr>
          <w:rFonts w:ascii="Arial Narrow" w:hAnsi="Arial Narrow"/>
        </w:rPr>
        <w:t xml:space="preserve"> 180.</w:t>
      </w:r>
    </w:p>
  </w:footnote>
  <w:footnote w:id="346">
    <w:p w:rsidR="003F07DD" w:rsidRPr="00183AD9" w:rsidRDefault="003F07DD">
      <w:pPr>
        <w:pStyle w:val="Textodenotaderodap"/>
        <w:rPr>
          <w:rFonts w:ascii="Arial Narrow" w:hAnsi="Arial Narrow"/>
          <w:lang w:val="en-US"/>
        </w:rPr>
      </w:pPr>
      <w:r w:rsidRPr="00183AD9">
        <w:rPr>
          <w:rStyle w:val="Refdenotaderodap"/>
          <w:rFonts w:ascii="Arial Narrow" w:hAnsi="Arial Narrow"/>
        </w:rPr>
        <w:footnoteRef/>
      </w:r>
      <w:r w:rsidRPr="00183AD9">
        <w:rPr>
          <w:rFonts w:ascii="Arial Narrow" w:hAnsi="Arial Narrow"/>
          <w:lang w:val="en-US"/>
        </w:rPr>
        <w:t xml:space="preserve"> </w:t>
      </w:r>
      <w:r w:rsidRPr="00C27F6A">
        <w:rPr>
          <w:rFonts w:ascii="Arial Narrow" w:hAnsi="Arial Narrow"/>
          <w:lang w:val="en-US"/>
        </w:rPr>
        <w:t>S. Friedländer (2008) 904-905.</w:t>
      </w:r>
    </w:p>
  </w:footnote>
  <w:footnote w:id="347">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H. L. Feingold (1995) 147, 167.</w:t>
      </w:r>
    </w:p>
  </w:footnote>
  <w:footnote w:id="348">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H. Arendt (1994) 199; </w:t>
      </w:r>
      <w:r w:rsidRPr="00AE5364">
        <w:rPr>
          <w:rFonts w:ascii="Arial Narrow" w:hAnsi="Arial Narrow"/>
          <w:lang w:val="en-US"/>
        </w:rPr>
        <w:t xml:space="preserve">S. Friedländer (2008) </w:t>
      </w:r>
      <w:r>
        <w:rPr>
          <w:rFonts w:ascii="Arial Narrow" w:hAnsi="Arial Narrow"/>
          <w:lang w:val="en-US"/>
        </w:rPr>
        <w:t xml:space="preserve">906; </w:t>
      </w:r>
      <w:r w:rsidRPr="00EF57D6">
        <w:rPr>
          <w:rFonts w:ascii="Arial Narrow" w:hAnsi="Arial Narrow"/>
          <w:lang w:val="de-DE"/>
        </w:rPr>
        <w:t>R. Hilberg (1961) 529 e segs.</w:t>
      </w:r>
    </w:p>
  </w:footnote>
  <w:footnote w:id="349">
    <w:p w:rsidR="003F07DD" w:rsidRPr="00737173" w:rsidRDefault="003F07DD">
      <w:pPr>
        <w:pStyle w:val="Textodenotaderodap"/>
        <w:rPr>
          <w:rFonts w:ascii="Arial Narrow" w:hAnsi="Arial Narrow"/>
        </w:rPr>
      </w:pPr>
      <w:r w:rsidRPr="00737173">
        <w:rPr>
          <w:rStyle w:val="Refdenotaderodap"/>
          <w:rFonts w:ascii="Arial Narrow" w:hAnsi="Arial Narrow"/>
        </w:rPr>
        <w:footnoteRef/>
      </w:r>
      <w:r w:rsidRPr="00737173">
        <w:rPr>
          <w:rFonts w:ascii="Arial Narrow" w:hAnsi="Arial Narrow"/>
        </w:rPr>
        <w:t xml:space="preserve"> S. Friedländer (2008)</w:t>
      </w:r>
      <w:r>
        <w:rPr>
          <w:rFonts w:ascii="Arial Narrow" w:hAnsi="Arial Narrow"/>
        </w:rPr>
        <w:t xml:space="preserve"> 904.</w:t>
      </w:r>
    </w:p>
  </w:footnote>
  <w:footnote w:id="350">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Citado em R. Hilberg (1961) 530.</w:t>
      </w:r>
    </w:p>
  </w:footnote>
  <w:footnote w:id="351">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H. Arendt (1994) 42, 118, 143; L. Brenner (1983) 257-258; R. Hilberg (1961) 529, 543-544, 727.</w:t>
      </w:r>
    </w:p>
  </w:footnote>
  <w:footnote w:id="352">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A entrevista de Adolf Eichmann, publicada na </w:t>
      </w:r>
      <w:r w:rsidRPr="004033B7">
        <w:rPr>
          <w:rFonts w:ascii="Arial Narrow" w:hAnsi="Arial Narrow"/>
          <w:i/>
        </w:rPr>
        <w:t>Life</w:t>
      </w:r>
      <w:r>
        <w:rPr>
          <w:rFonts w:ascii="Arial Narrow" w:hAnsi="Arial Narrow"/>
          <w:i/>
        </w:rPr>
        <w:t>,</w:t>
      </w:r>
      <w:r w:rsidRPr="004033B7">
        <w:rPr>
          <w:rFonts w:ascii="Arial Narrow" w:hAnsi="Arial Narrow"/>
        </w:rPr>
        <w:t xml:space="preserve"> 5 de Dezembro de 1960, vem citada em L. Brenner (1983) 258.</w:t>
      </w:r>
    </w:p>
  </w:footnote>
  <w:footnote w:id="353">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Id., ibid., 258-259</w:t>
      </w:r>
      <w:r>
        <w:rPr>
          <w:rFonts w:ascii="Arial Narrow" w:hAnsi="Arial Narrow"/>
        </w:rPr>
        <w:t xml:space="preserve">; </w:t>
      </w:r>
      <w:r w:rsidRPr="00C27F6A">
        <w:rPr>
          <w:rFonts w:ascii="Arial Narrow" w:hAnsi="Arial Narrow"/>
        </w:rPr>
        <w:t>S. Friedländer (2008)</w:t>
      </w:r>
      <w:r>
        <w:rPr>
          <w:rFonts w:ascii="Arial Narrow" w:hAnsi="Arial Narrow"/>
        </w:rPr>
        <w:t xml:space="preserve"> 920-921</w:t>
      </w:r>
      <w:r w:rsidRPr="004033B7">
        <w:rPr>
          <w:rFonts w:ascii="Arial Narrow" w:hAnsi="Arial Narrow"/>
        </w:rPr>
        <w:t xml:space="preserve">. </w:t>
      </w:r>
      <w:r w:rsidRPr="00C27F6A">
        <w:rPr>
          <w:rFonts w:ascii="Arial Narrow" w:hAnsi="Arial Narrow"/>
        </w:rPr>
        <w:t>Lenni Brenner, op.</w:t>
      </w:r>
      <w:r>
        <w:rPr>
          <w:rFonts w:ascii="Arial Narrow" w:hAnsi="Arial Narrow"/>
        </w:rPr>
        <w:t xml:space="preserve"> cit., </w:t>
      </w:r>
      <w:r w:rsidRPr="004033B7">
        <w:rPr>
          <w:rFonts w:ascii="Arial Narrow" w:hAnsi="Arial Narrow"/>
        </w:rPr>
        <w:t>259</w:t>
      </w:r>
      <w:r w:rsidRPr="00C27F6A">
        <w:rPr>
          <w:rFonts w:ascii="Arial Narrow" w:hAnsi="Arial Narrow"/>
        </w:rPr>
        <w:t xml:space="preserve"> </w:t>
      </w:r>
      <w:r w:rsidRPr="004033B7">
        <w:rPr>
          <w:rFonts w:ascii="Arial Narrow" w:hAnsi="Arial Narrow"/>
        </w:rPr>
        <w:t>afirm</w:t>
      </w:r>
      <w:r>
        <w:rPr>
          <w:rFonts w:ascii="Arial Narrow" w:hAnsi="Arial Narrow"/>
        </w:rPr>
        <w:t>ou</w:t>
      </w:r>
      <w:r w:rsidRPr="004033B7">
        <w:rPr>
          <w:rFonts w:ascii="Arial Narrow" w:hAnsi="Arial Narrow"/>
        </w:rPr>
        <w:t xml:space="preserve"> que o comboio de refugiados levava 1.700 judeus, mas no processo em tribunal que teve lugar depois da guerra foi dito repetidamente (págs. 261, 262) que o comboio levava 600 pessoas. Por seu lado, R. Hilberg (1961) 543 refer</w:t>
      </w:r>
      <w:r>
        <w:rPr>
          <w:rFonts w:ascii="Arial Narrow" w:hAnsi="Arial Narrow"/>
        </w:rPr>
        <w:t>iu</w:t>
      </w:r>
      <w:r w:rsidRPr="004033B7">
        <w:rPr>
          <w:rFonts w:ascii="Arial Narrow" w:hAnsi="Arial Narrow"/>
        </w:rPr>
        <w:t xml:space="preserve"> que, segundo o acordo estabelecido entre Kastner e Eichmann, se salvariam 1.600 judeus.</w:t>
      </w:r>
      <w:r>
        <w:rPr>
          <w:rFonts w:ascii="Arial Narrow" w:hAnsi="Arial Narrow"/>
        </w:rPr>
        <w:t xml:space="preserve"> </w:t>
      </w:r>
      <w:r w:rsidRPr="00C27F6A">
        <w:rPr>
          <w:rFonts w:ascii="Arial Narrow" w:hAnsi="Arial Narrow"/>
        </w:rPr>
        <w:t>S</w:t>
      </w:r>
      <w:r>
        <w:rPr>
          <w:rFonts w:ascii="Arial Narrow" w:hAnsi="Arial Narrow"/>
        </w:rPr>
        <w:t>aul</w:t>
      </w:r>
      <w:r w:rsidRPr="00C27F6A">
        <w:rPr>
          <w:rFonts w:ascii="Arial Narrow" w:hAnsi="Arial Narrow"/>
        </w:rPr>
        <w:t xml:space="preserve"> Friedländer</w:t>
      </w:r>
      <w:r>
        <w:rPr>
          <w:rFonts w:ascii="Arial Narrow" w:hAnsi="Arial Narrow"/>
        </w:rPr>
        <w:t>, op. cit., 258 indicou que foram salvos 1.684 judeus e esclareceu (pág. 259) que seguiram dois comboios, o primeiro transportando 600 pessoas.</w:t>
      </w:r>
    </w:p>
  </w:footnote>
  <w:footnote w:id="354">
    <w:p w:rsidR="003F07DD" w:rsidRPr="003F75E5" w:rsidRDefault="003F07DD">
      <w:pPr>
        <w:pStyle w:val="Textodenotaderodap"/>
        <w:rPr>
          <w:rFonts w:ascii="Arial Narrow" w:hAnsi="Arial Narrow"/>
          <w:lang w:val="en-US"/>
        </w:rPr>
      </w:pPr>
      <w:r w:rsidRPr="003F75E5">
        <w:rPr>
          <w:rStyle w:val="Refdenotaderodap"/>
          <w:rFonts w:ascii="Arial Narrow" w:hAnsi="Arial Narrow"/>
        </w:rPr>
        <w:footnoteRef/>
      </w:r>
      <w:r w:rsidRPr="003F75E5">
        <w:rPr>
          <w:rFonts w:ascii="Arial Narrow" w:hAnsi="Arial Narrow"/>
          <w:lang w:val="en-US"/>
        </w:rPr>
        <w:t xml:space="preserve"> S. Friedländer (2008)</w:t>
      </w:r>
      <w:r>
        <w:rPr>
          <w:rFonts w:ascii="Arial Narrow" w:hAnsi="Arial Narrow"/>
          <w:lang w:val="en-US"/>
        </w:rPr>
        <w:t xml:space="preserve"> </w:t>
      </w:r>
      <w:r w:rsidRPr="00CE59AC">
        <w:rPr>
          <w:rFonts w:ascii="Arial Narrow" w:hAnsi="Arial Narrow"/>
          <w:lang w:val="en-US"/>
        </w:rPr>
        <w:t>84-85.</w:t>
      </w:r>
    </w:p>
  </w:footnote>
  <w:footnote w:id="355">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S. Beauvoir [s. d.] 14.</w:t>
      </w:r>
    </w:p>
  </w:footnote>
  <w:footnote w:id="356">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H. L. Feingold (1995) 29.</w:t>
      </w:r>
    </w:p>
  </w:footnote>
  <w:footnote w:id="357">
    <w:p w:rsidR="003F07DD" w:rsidRPr="00EF57D6"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EF57D6">
        <w:rPr>
          <w:rFonts w:ascii="Arial Narrow" w:hAnsi="Arial Narrow"/>
        </w:rPr>
        <w:t xml:space="preserve"> </w:t>
      </w:r>
      <w:r>
        <w:rPr>
          <w:rFonts w:ascii="Arial Narrow" w:hAnsi="Arial Narrow"/>
        </w:rPr>
        <w:t xml:space="preserve">Citada em </w:t>
      </w:r>
      <w:r w:rsidRPr="00EF57D6">
        <w:rPr>
          <w:rFonts w:ascii="Arial Narrow" w:hAnsi="Arial Narrow"/>
        </w:rPr>
        <w:t>D. Guérin (1969) I 83.</w:t>
      </w:r>
    </w:p>
  </w:footnote>
  <w:footnote w:id="358">
    <w:p w:rsidR="003F07DD" w:rsidRPr="00CE59AC" w:rsidRDefault="003F07DD">
      <w:pPr>
        <w:pStyle w:val="Textodenotaderodap"/>
        <w:rPr>
          <w:rFonts w:ascii="Arial Narrow" w:hAnsi="Arial Narrow"/>
          <w:lang w:val="en-US"/>
        </w:rPr>
      </w:pPr>
      <w:r w:rsidRPr="00044D48">
        <w:rPr>
          <w:rStyle w:val="Refdenotaderodap"/>
          <w:rFonts w:ascii="Arial Narrow" w:hAnsi="Arial Narrow"/>
        </w:rPr>
        <w:footnoteRef/>
      </w:r>
      <w:r w:rsidRPr="00CE59AC">
        <w:rPr>
          <w:rFonts w:ascii="Arial Narrow" w:hAnsi="Arial Narrow"/>
          <w:lang w:val="en-US"/>
        </w:rPr>
        <w:t xml:space="preserve"> </w:t>
      </w:r>
      <w:r w:rsidRPr="00044D48">
        <w:rPr>
          <w:rFonts w:ascii="Arial Narrow" w:hAnsi="Arial Narrow"/>
          <w:lang w:val="en-US"/>
        </w:rPr>
        <w:t>S. Friedländer (2008)</w:t>
      </w:r>
      <w:r>
        <w:rPr>
          <w:rFonts w:ascii="Arial Narrow" w:hAnsi="Arial Narrow"/>
          <w:lang w:val="en-US"/>
        </w:rPr>
        <w:t xml:space="preserve"> </w:t>
      </w:r>
      <w:r w:rsidRPr="00CE59AC">
        <w:rPr>
          <w:rFonts w:ascii="Arial Narrow" w:hAnsi="Arial Narrow"/>
          <w:lang w:val="en-US"/>
        </w:rPr>
        <w:t>87, 303.</w:t>
      </w:r>
    </w:p>
  </w:footnote>
  <w:footnote w:id="359">
    <w:p w:rsidR="003F07DD" w:rsidRPr="00CE59AC"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CE59AC">
        <w:rPr>
          <w:rFonts w:ascii="Arial Narrow" w:hAnsi="Arial Narrow"/>
          <w:lang w:val="en-US"/>
        </w:rPr>
        <w:t xml:space="preserve"> H. Arendt (1994) 125. </w:t>
      </w:r>
    </w:p>
  </w:footnote>
  <w:footnote w:id="360">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w:t>
      </w:r>
      <w:r>
        <w:rPr>
          <w:rFonts w:ascii="Arial Narrow" w:hAnsi="Arial Narrow"/>
          <w:lang w:val="de-DE"/>
        </w:rPr>
        <w:t xml:space="preserve">Id., ibid., </w:t>
      </w:r>
      <w:r w:rsidRPr="00EF57D6">
        <w:rPr>
          <w:rFonts w:ascii="Arial Narrow" w:hAnsi="Arial Narrow"/>
          <w:lang w:val="de-DE"/>
        </w:rPr>
        <w:t>124, 125, 169-170.</w:t>
      </w:r>
    </w:p>
  </w:footnote>
  <w:footnote w:id="361">
    <w:p w:rsidR="003F07DD" w:rsidRPr="004131D4" w:rsidRDefault="003F07DD">
      <w:pPr>
        <w:pStyle w:val="Textodenotaderodap"/>
        <w:rPr>
          <w:rFonts w:ascii="Arial Narrow" w:hAnsi="Arial Narrow"/>
          <w:lang w:val="en-US"/>
        </w:rPr>
      </w:pPr>
      <w:r w:rsidRPr="00996F49">
        <w:rPr>
          <w:rStyle w:val="Refdenotaderodap"/>
          <w:rFonts w:ascii="Arial Narrow" w:hAnsi="Arial Narrow"/>
        </w:rPr>
        <w:footnoteRef/>
      </w:r>
      <w:r w:rsidRPr="00996F49">
        <w:rPr>
          <w:rFonts w:ascii="Arial Narrow" w:hAnsi="Arial Narrow"/>
        </w:rPr>
        <w:t xml:space="preserve"> </w:t>
      </w:r>
      <w:r>
        <w:rPr>
          <w:rFonts w:ascii="Arial Narrow" w:hAnsi="Arial Narrow"/>
        </w:rPr>
        <w:t xml:space="preserve">Citado em J. Noakes et al. </w:t>
      </w:r>
      <w:r w:rsidRPr="004131D4">
        <w:rPr>
          <w:rFonts w:ascii="Arial Narrow" w:hAnsi="Arial Narrow"/>
          <w:lang w:val="en-US"/>
        </w:rPr>
        <w:t>(orgs. 200</w:t>
      </w:r>
      <w:r>
        <w:rPr>
          <w:rFonts w:ascii="Arial Narrow" w:hAnsi="Arial Narrow"/>
          <w:lang w:val="en-US"/>
        </w:rPr>
        <w:t>8-2010</w:t>
      </w:r>
      <w:r w:rsidRPr="004131D4">
        <w:rPr>
          <w:rFonts w:ascii="Arial Narrow" w:hAnsi="Arial Narrow"/>
          <w:lang w:val="en-US"/>
        </w:rPr>
        <w:t xml:space="preserve">) </w:t>
      </w:r>
      <w:r>
        <w:rPr>
          <w:rFonts w:ascii="Arial Narrow" w:hAnsi="Arial Narrow"/>
          <w:lang w:val="en-US"/>
        </w:rPr>
        <w:t xml:space="preserve">III </w:t>
      </w:r>
      <w:r w:rsidRPr="004131D4">
        <w:rPr>
          <w:rFonts w:ascii="Arial Narrow" w:hAnsi="Arial Narrow"/>
          <w:lang w:val="en-US"/>
        </w:rPr>
        <w:t>458-459.</w:t>
      </w:r>
    </w:p>
  </w:footnote>
  <w:footnote w:id="362">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H. L. Feingold (1995) 47.</w:t>
      </w:r>
    </w:p>
  </w:footnote>
  <w:footnote w:id="363">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L. Brenner (1984) 106; H. L. Feingold (1995) 245.</w:t>
      </w:r>
    </w:p>
  </w:footnote>
  <w:footnote w:id="364">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B. Avishai (1985) 101; H. M. Sachar (1976) 91, 102, 112.</w:t>
      </w:r>
    </w:p>
  </w:footnote>
  <w:footnote w:id="365">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Acerca de Stern e da sua rede terrorista ver: B. Avishai (1985) 144, 165; L. Brenner (1983) 265-266, 268-269; id. (1984) 103, 106, 117, 193-194, 199; H. M. Sachar (1976) 247-248, 265.</w:t>
      </w:r>
    </w:p>
  </w:footnote>
  <w:footnote w:id="366">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Este documento, intitulado </w:t>
      </w:r>
      <w:r w:rsidRPr="004033B7">
        <w:rPr>
          <w:rFonts w:ascii="Arial Narrow" w:hAnsi="Arial Narrow"/>
          <w:i/>
        </w:rPr>
        <w:t>Aspectos Fundamentais da Proposta da Organização Nacional Militar na Palestina (Irgun Zvai Leumi) a respeito da Solução do Problema Judaico na Europa e da Participação da ONM na Guerra ao lado da Alemanha,</w:t>
      </w:r>
      <w:r w:rsidRPr="004033B7">
        <w:rPr>
          <w:rFonts w:ascii="Arial Narrow" w:hAnsi="Arial Narrow"/>
        </w:rPr>
        <w:t xml:space="preserve"> encontra-se integralmente transcrito em L. Brenner (1984) 195-197. As passagens citadas vêm nas págs. 195 e 197. Ver também id. (1983) 267-268</w:t>
      </w:r>
      <w:r>
        <w:rPr>
          <w:rFonts w:ascii="Arial Narrow" w:hAnsi="Arial Narrow"/>
        </w:rPr>
        <w:t xml:space="preserve"> e K. Polkehn (1976) 79-80</w:t>
      </w:r>
      <w:r w:rsidRPr="004033B7">
        <w:rPr>
          <w:rFonts w:ascii="Arial Narrow" w:hAnsi="Arial Narrow"/>
        </w:rPr>
        <w:t xml:space="preserve">. Traduzi por «judaísmo racial e nacional» o que </w:t>
      </w:r>
      <w:r>
        <w:rPr>
          <w:rFonts w:ascii="Arial Narrow" w:hAnsi="Arial Narrow"/>
        </w:rPr>
        <w:t xml:space="preserve">está consignado no original alemão como </w:t>
      </w:r>
      <w:r w:rsidRPr="000C6F93">
        <w:rPr>
          <w:rFonts w:ascii="Arial Narrow" w:hAnsi="Arial Narrow"/>
          <w:i/>
        </w:rPr>
        <w:t>«völkisch-nationalen-Hebräertum»</w:t>
      </w:r>
      <w:r>
        <w:rPr>
          <w:rFonts w:ascii="Arial Narrow" w:hAnsi="Arial Narrow"/>
        </w:rPr>
        <w:t xml:space="preserve"> e </w:t>
      </w:r>
      <w:r w:rsidRPr="004033B7">
        <w:rPr>
          <w:rFonts w:ascii="Arial Narrow" w:hAnsi="Arial Narrow"/>
        </w:rPr>
        <w:t xml:space="preserve">na versão em língua inglesa se apresenta como </w:t>
      </w:r>
      <w:r w:rsidRPr="004033B7">
        <w:rPr>
          <w:rFonts w:ascii="Arial Narrow" w:hAnsi="Arial Narrow"/>
          <w:i/>
        </w:rPr>
        <w:t>«folkish-national Hebraium»</w:t>
      </w:r>
      <w:r w:rsidRPr="004033B7">
        <w:rPr>
          <w:rFonts w:ascii="Arial Narrow" w:hAnsi="Arial Narrow"/>
        </w:rPr>
        <w:t>.</w:t>
      </w:r>
    </w:p>
  </w:footnote>
  <w:footnote w:id="367">
    <w:p w:rsidR="003F07DD" w:rsidRPr="00E87D24" w:rsidRDefault="003F07DD" w:rsidP="00751A22">
      <w:pPr>
        <w:pStyle w:val="Textodenotaderodap"/>
        <w:ind w:firstLine="708"/>
        <w:rPr>
          <w:rFonts w:ascii="Arial Narrow" w:hAnsi="Arial Narrow"/>
          <w:lang w:val="en-GB"/>
        </w:rPr>
      </w:pPr>
      <w:r w:rsidRPr="004033B7">
        <w:rPr>
          <w:rStyle w:val="Refdenotaderodap"/>
          <w:rFonts w:ascii="Arial Narrow" w:hAnsi="Arial Narrow"/>
        </w:rPr>
        <w:footnoteRef/>
      </w:r>
      <w:r w:rsidRPr="00E87D24">
        <w:rPr>
          <w:rFonts w:ascii="Arial Narrow" w:hAnsi="Arial Narrow"/>
          <w:lang w:val="en-GB"/>
        </w:rPr>
        <w:t xml:space="preserve"> </w:t>
      </w:r>
      <w:r w:rsidRPr="00B04558">
        <w:rPr>
          <w:rFonts w:ascii="Arial Narrow" w:hAnsi="Arial Narrow"/>
          <w:lang w:val="en-US"/>
        </w:rPr>
        <w:t xml:space="preserve">L. Brenner </w:t>
      </w:r>
      <w:r w:rsidRPr="00E87D24">
        <w:rPr>
          <w:rFonts w:ascii="Arial Narrow" w:hAnsi="Arial Narrow"/>
          <w:lang w:val="en-GB"/>
        </w:rPr>
        <w:t>(1983) 268; id. (1984) 197.</w:t>
      </w:r>
    </w:p>
  </w:footnote>
  <w:footnote w:id="368">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E. Black (1999) 8 e segs., 108-109.</w:t>
      </w:r>
    </w:p>
  </w:footnote>
  <w:footnote w:id="369">
    <w:p w:rsidR="003F07DD" w:rsidRPr="00175971" w:rsidRDefault="003F07DD">
      <w:pPr>
        <w:pStyle w:val="Textodenotaderodap"/>
        <w:rPr>
          <w:rFonts w:ascii="Arial Narrow" w:hAnsi="Arial Narrow"/>
        </w:rPr>
      </w:pPr>
      <w:r w:rsidRPr="00175971">
        <w:rPr>
          <w:rStyle w:val="Refdenotaderodap"/>
          <w:rFonts w:ascii="Arial Narrow" w:hAnsi="Arial Narrow"/>
        </w:rPr>
        <w:footnoteRef/>
      </w:r>
      <w:r w:rsidRPr="00175971">
        <w:rPr>
          <w:rFonts w:ascii="Arial Narrow" w:hAnsi="Arial Narrow"/>
        </w:rPr>
        <w:t xml:space="preserve"> </w:t>
      </w:r>
      <w:r w:rsidRPr="00F8223C">
        <w:rPr>
          <w:rFonts w:ascii="Arial Narrow" w:hAnsi="Arial Narrow"/>
        </w:rPr>
        <w:t>S. Friedländer (2008) 680.</w:t>
      </w:r>
    </w:p>
  </w:footnote>
  <w:footnote w:id="370">
    <w:p w:rsidR="003F07DD" w:rsidRPr="00E729F4"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EF57D6">
        <w:rPr>
          <w:rFonts w:ascii="Arial Narrow" w:hAnsi="Arial Narrow"/>
          <w:lang w:val="de-DE"/>
        </w:rPr>
        <w:t xml:space="preserve"> </w:t>
      </w:r>
      <w:r>
        <w:rPr>
          <w:rFonts w:ascii="Arial Narrow" w:hAnsi="Arial Narrow"/>
          <w:lang w:val="de-DE"/>
        </w:rPr>
        <w:t>L</w:t>
      </w:r>
      <w:r w:rsidRPr="00EF57D6">
        <w:rPr>
          <w:rFonts w:ascii="Arial Narrow" w:hAnsi="Arial Narrow"/>
          <w:lang w:val="de-DE"/>
        </w:rPr>
        <w:t xml:space="preserve">. Brenner (1983) 230-231. </w:t>
      </w:r>
      <w:r w:rsidRPr="004033B7">
        <w:rPr>
          <w:rFonts w:ascii="Arial Narrow" w:hAnsi="Arial Narrow"/>
        </w:rPr>
        <w:t>A citação encontra-se na pág. 230.</w:t>
      </w:r>
      <w:r>
        <w:rPr>
          <w:rFonts w:ascii="Arial Narrow" w:hAnsi="Arial Narrow"/>
        </w:rPr>
        <w:t xml:space="preserve"> </w:t>
      </w:r>
      <w:r w:rsidR="00742D3B">
        <w:rPr>
          <w:rFonts w:ascii="Arial Narrow" w:hAnsi="Arial Narrow"/>
          <w:lang w:val="de-DE"/>
        </w:rPr>
        <w:t xml:space="preserve">Acerca da passividade da Agência Judaica </w:t>
      </w:r>
      <w:r w:rsidR="00742D3B" w:rsidRPr="006E2FC7">
        <w:rPr>
          <w:rFonts w:ascii="Arial Narrow" w:hAnsi="Arial Narrow"/>
        </w:rPr>
        <w:t>da Palestina</w:t>
      </w:r>
      <w:r w:rsidR="00742D3B">
        <w:rPr>
          <w:rFonts w:ascii="Arial Narrow" w:hAnsi="Arial Narrow"/>
        </w:rPr>
        <w:t xml:space="preserve"> </w:t>
      </w:r>
      <w:r w:rsidR="00742D3B">
        <w:rPr>
          <w:rFonts w:ascii="Arial Narrow" w:hAnsi="Arial Narrow"/>
          <w:lang w:val="de-DE"/>
        </w:rPr>
        <w:t xml:space="preserve">perante as notícias do genocídio ver </w:t>
      </w:r>
      <w:r w:rsidR="00742D3B" w:rsidRPr="00E729F4">
        <w:rPr>
          <w:rFonts w:ascii="Arial Narrow" w:hAnsi="Arial Narrow"/>
        </w:rPr>
        <w:t>S. Friedländer (2008) 462-465.</w:t>
      </w:r>
      <w:r w:rsidR="00742D3B">
        <w:rPr>
          <w:rFonts w:ascii="Arial Narrow" w:hAnsi="Arial Narrow"/>
        </w:rPr>
        <w:t xml:space="preserve"> </w:t>
      </w:r>
      <w:r>
        <w:rPr>
          <w:rFonts w:ascii="Arial Narrow" w:hAnsi="Arial Narrow"/>
        </w:rPr>
        <w:t xml:space="preserve">Contudo, no final de 1942 </w:t>
      </w:r>
      <w:r w:rsidRPr="006E2FC7">
        <w:rPr>
          <w:rFonts w:ascii="Arial Narrow" w:hAnsi="Arial Narrow"/>
        </w:rPr>
        <w:t xml:space="preserve">funcionários da Agência Judaica </w:t>
      </w:r>
      <w:r>
        <w:rPr>
          <w:rFonts w:ascii="Arial Narrow" w:hAnsi="Arial Narrow"/>
        </w:rPr>
        <w:t xml:space="preserve">já divulgaram notícias acerca do genocídio. </w:t>
      </w:r>
      <w:r w:rsidRPr="00E729F4">
        <w:rPr>
          <w:rFonts w:ascii="Arial Narrow" w:hAnsi="Arial Narrow"/>
        </w:rPr>
        <w:t>Ver Lenni</w:t>
      </w:r>
      <w:r w:rsidRPr="00B2463D">
        <w:rPr>
          <w:rFonts w:ascii="Arial Narrow" w:hAnsi="Arial Narrow"/>
          <w:lang w:val="de-DE"/>
        </w:rPr>
        <w:t xml:space="preserve"> Brenner</w:t>
      </w:r>
      <w:r>
        <w:rPr>
          <w:rFonts w:ascii="Arial Narrow" w:hAnsi="Arial Narrow"/>
          <w:lang w:val="de-DE"/>
        </w:rPr>
        <w:t xml:space="preserve">, op. cit., </w:t>
      </w:r>
      <w:r w:rsidRPr="00B2463D">
        <w:rPr>
          <w:rFonts w:ascii="Arial Narrow" w:hAnsi="Arial Narrow"/>
          <w:lang w:val="de-DE"/>
        </w:rPr>
        <w:t>231</w:t>
      </w:r>
      <w:r>
        <w:rPr>
          <w:rFonts w:ascii="Arial Narrow" w:hAnsi="Arial Narrow"/>
          <w:lang w:val="de-DE"/>
        </w:rPr>
        <w:t>,</w:t>
      </w:r>
      <w:r w:rsidRPr="00B2463D">
        <w:rPr>
          <w:rFonts w:ascii="Arial Narrow" w:hAnsi="Arial Narrow"/>
          <w:lang w:val="de-DE"/>
        </w:rPr>
        <w:t xml:space="preserve"> </w:t>
      </w:r>
      <w:r>
        <w:rPr>
          <w:rFonts w:ascii="Arial Narrow" w:hAnsi="Arial Narrow"/>
          <w:lang w:val="de-DE"/>
        </w:rPr>
        <w:t xml:space="preserve">M. Gilbert (2011 b) I 408, </w:t>
      </w:r>
      <w:r w:rsidRPr="00B2463D">
        <w:rPr>
          <w:rFonts w:ascii="Arial Narrow" w:hAnsi="Arial Narrow"/>
          <w:lang w:val="de-DE"/>
        </w:rPr>
        <w:t>R. Hilberg (1961) 718</w:t>
      </w:r>
      <w:r>
        <w:rPr>
          <w:rFonts w:ascii="Arial Narrow" w:hAnsi="Arial Narrow"/>
          <w:lang w:val="de-DE"/>
        </w:rPr>
        <w:t xml:space="preserve"> e </w:t>
      </w:r>
      <w:r w:rsidRPr="00B2463D">
        <w:rPr>
          <w:rFonts w:ascii="Arial Narrow" w:hAnsi="Arial Narrow"/>
          <w:lang w:val="de-DE"/>
        </w:rPr>
        <w:t>H. M. Sachar (1976) 238.</w:t>
      </w:r>
    </w:p>
  </w:footnote>
  <w:footnote w:id="371">
    <w:p w:rsidR="003F07DD" w:rsidRPr="004033B7" w:rsidRDefault="003F07DD" w:rsidP="00751A22">
      <w:pPr>
        <w:pStyle w:val="Textodenotaderodap"/>
        <w:ind w:firstLine="708"/>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w:t>
      </w:r>
      <w:r>
        <w:rPr>
          <w:rFonts w:ascii="Arial Narrow" w:hAnsi="Arial Narrow"/>
          <w:lang w:val="de-DE"/>
        </w:rPr>
        <w:t>L</w:t>
      </w:r>
      <w:r w:rsidRPr="00EF57D6">
        <w:rPr>
          <w:rFonts w:ascii="Arial Narrow" w:hAnsi="Arial Narrow"/>
          <w:lang w:val="de-DE"/>
        </w:rPr>
        <w:t xml:space="preserve">. Brenner (1983) </w:t>
      </w:r>
      <w:r w:rsidRPr="004033B7">
        <w:rPr>
          <w:rFonts w:ascii="Arial Narrow" w:hAnsi="Arial Narrow"/>
          <w:lang w:val="en-GB"/>
        </w:rPr>
        <w:t>231-232; R. Hilberg (1961) 718-719.</w:t>
      </w:r>
    </w:p>
  </w:footnote>
  <w:footnote w:id="372">
    <w:p w:rsidR="003F07DD" w:rsidRPr="001D4F36" w:rsidRDefault="003F07DD">
      <w:pPr>
        <w:pStyle w:val="Textodenotaderodap"/>
        <w:rPr>
          <w:rFonts w:ascii="Arial Narrow" w:hAnsi="Arial Narrow"/>
          <w:lang w:val="en-US"/>
        </w:rPr>
      </w:pPr>
      <w:r w:rsidRPr="00DA14DF">
        <w:rPr>
          <w:rStyle w:val="Refdenotaderodap"/>
          <w:rFonts w:ascii="Arial Narrow" w:hAnsi="Arial Narrow"/>
        </w:rPr>
        <w:footnoteRef/>
      </w:r>
      <w:r w:rsidRPr="001D4F36">
        <w:rPr>
          <w:rFonts w:ascii="Arial Narrow" w:hAnsi="Arial Narrow"/>
          <w:lang w:val="en-US"/>
        </w:rPr>
        <w:t xml:space="preserve"> </w:t>
      </w:r>
      <w:r w:rsidRPr="00DA14DF">
        <w:rPr>
          <w:rFonts w:ascii="Arial Narrow" w:hAnsi="Arial Narrow"/>
          <w:lang w:val="en-US"/>
        </w:rPr>
        <w:t>S. Friedländer (2008)</w:t>
      </w:r>
      <w:r>
        <w:rPr>
          <w:rFonts w:ascii="Arial Narrow" w:hAnsi="Arial Narrow"/>
          <w:lang w:val="en-US"/>
        </w:rPr>
        <w:t xml:space="preserve"> 680-681.</w:t>
      </w:r>
    </w:p>
  </w:footnote>
  <w:footnote w:id="373">
    <w:p w:rsidR="003F07DD" w:rsidRPr="004033B7" w:rsidRDefault="003F07DD" w:rsidP="00751A22">
      <w:pPr>
        <w:pStyle w:val="Textodenotaderodap"/>
        <w:ind w:firstLine="708"/>
        <w:rPr>
          <w:rFonts w:ascii="Arial Narrow" w:hAnsi="Arial Narrow"/>
          <w:lang w:val="en-GB"/>
        </w:rPr>
      </w:pPr>
      <w:r w:rsidRPr="004033B7">
        <w:rPr>
          <w:rStyle w:val="Refdenotaderodap"/>
          <w:rFonts w:ascii="Arial Narrow" w:hAnsi="Arial Narrow"/>
        </w:rPr>
        <w:footnoteRef/>
      </w:r>
      <w:r w:rsidRPr="004033B7">
        <w:rPr>
          <w:rFonts w:ascii="Arial Narrow" w:hAnsi="Arial Narrow"/>
          <w:lang w:val="en-GB"/>
        </w:rPr>
        <w:t xml:space="preserve"> R. Hilberg (1961) 719, 721.</w:t>
      </w:r>
    </w:p>
  </w:footnote>
  <w:footnote w:id="374">
    <w:p w:rsidR="003F07DD" w:rsidRPr="00C27F6A" w:rsidRDefault="003F07DD">
      <w:pPr>
        <w:pStyle w:val="Textodenotaderodap"/>
        <w:rPr>
          <w:rFonts w:ascii="Arial Narrow" w:hAnsi="Arial Narrow"/>
          <w:lang w:val="en-US"/>
        </w:rPr>
      </w:pPr>
      <w:r w:rsidRPr="00957A9C">
        <w:rPr>
          <w:rStyle w:val="Refdenotaderodap"/>
          <w:rFonts w:ascii="Arial Narrow" w:hAnsi="Arial Narrow"/>
        </w:rPr>
        <w:footnoteRef/>
      </w:r>
      <w:r w:rsidRPr="00C27F6A">
        <w:rPr>
          <w:rFonts w:ascii="Arial Narrow" w:hAnsi="Arial Narrow"/>
          <w:lang w:val="en-US"/>
        </w:rPr>
        <w:t xml:space="preserve"> </w:t>
      </w:r>
      <w:r w:rsidRPr="001D4F36">
        <w:rPr>
          <w:rFonts w:ascii="Arial Narrow" w:hAnsi="Arial Narrow"/>
          <w:lang w:val="en-US"/>
        </w:rPr>
        <w:t>S. Friedländer (2008)</w:t>
      </w:r>
      <w:r>
        <w:rPr>
          <w:rFonts w:ascii="Arial Narrow" w:hAnsi="Arial Narrow"/>
          <w:lang w:val="en-US"/>
        </w:rPr>
        <w:t xml:space="preserve"> 882.</w:t>
      </w:r>
    </w:p>
  </w:footnote>
  <w:footnote w:id="375">
    <w:p w:rsidR="003F07DD" w:rsidRPr="00C27F6A" w:rsidRDefault="003F07DD">
      <w:pPr>
        <w:pStyle w:val="Textodenotaderodap"/>
        <w:rPr>
          <w:rFonts w:ascii="Arial Narrow" w:hAnsi="Arial Narrow"/>
          <w:lang w:val="en-US"/>
        </w:rPr>
      </w:pPr>
      <w:r w:rsidRPr="001D4F36">
        <w:rPr>
          <w:rStyle w:val="Refdenotaderodap"/>
          <w:rFonts w:ascii="Arial Narrow" w:hAnsi="Arial Narrow"/>
        </w:rPr>
        <w:footnoteRef/>
      </w:r>
      <w:r w:rsidRPr="00C27F6A">
        <w:rPr>
          <w:rFonts w:ascii="Arial Narrow" w:hAnsi="Arial Narrow"/>
          <w:lang w:val="en-US"/>
        </w:rPr>
        <w:t xml:space="preserve"> Id., ibid., 681.</w:t>
      </w:r>
    </w:p>
  </w:footnote>
  <w:footnote w:id="376">
    <w:p w:rsidR="003F07DD" w:rsidRPr="00C27F6A"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C27F6A">
        <w:rPr>
          <w:rFonts w:ascii="Arial Narrow" w:hAnsi="Arial Narrow"/>
          <w:lang w:val="en-US"/>
        </w:rPr>
        <w:t xml:space="preserve"> H. L. Feingold (1995) 89-90.</w:t>
      </w:r>
    </w:p>
  </w:footnote>
  <w:footnote w:id="377">
    <w:p w:rsidR="003F07DD" w:rsidRPr="00423DBF" w:rsidRDefault="003F07DD" w:rsidP="00751A22">
      <w:pPr>
        <w:pStyle w:val="Textodenotaderodap"/>
        <w:rPr>
          <w:rFonts w:ascii="Arial Narrow" w:hAnsi="Arial Narrow"/>
        </w:rPr>
      </w:pPr>
      <w:r w:rsidRPr="004033B7">
        <w:rPr>
          <w:rStyle w:val="Refdenotaderodap"/>
          <w:rFonts w:ascii="Arial Narrow" w:hAnsi="Arial Narrow"/>
        </w:rPr>
        <w:footnoteRef/>
      </w:r>
      <w:r w:rsidRPr="00C27F6A">
        <w:rPr>
          <w:rFonts w:ascii="Arial Narrow" w:hAnsi="Arial Narrow"/>
          <w:lang w:val="en-US"/>
        </w:rPr>
        <w:t xml:space="preserve"> Id., ibid., 79; S. Friedländer (2008) 149-150. </w:t>
      </w:r>
      <w:r w:rsidRPr="0021135B">
        <w:rPr>
          <w:rFonts w:ascii="Arial Narrow" w:hAnsi="Arial Narrow"/>
        </w:rPr>
        <w:t>Segundo Saul Friedländer, o rabi Wise argumentava que, como uma parte da opinião pública norte-americana se opunha à admissão de judeus e pessoas de esquerda, era muito mais importante que Roosevelt ganhasse a próxima eleição do que fosse obtida a concessão de mais alguns vistos.</w:t>
      </w:r>
    </w:p>
  </w:footnote>
  <w:footnote w:id="378">
    <w:p w:rsidR="003F07DD" w:rsidRPr="00910950" w:rsidRDefault="003F07DD">
      <w:pPr>
        <w:pStyle w:val="Textodenotaderodap"/>
        <w:rPr>
          <w:rFonts w:ascii="Arial Narrow" w:hAnsi="Arial Narrow"/>
          <w:lang w:val="en-US"/>
        </w:rPr>
      </w:pPr>
      <w:r w:rsidRPr="00910950">
        <w:rPr>
          <w:rStyle w:val="Refdenotaderodap"/>
          <w:rFonts w:ascii="Arial Narrow" w:hAnsi="Arial Narrow"/>
        </w:rPr>
        <w:footnoteRef/>
      </w:r>
      <w:r w:rsidRPr="00910950">
        <w:rPr>
          <w:rFonts w:ascii="Arial Narrow" w:hAnsi="Arial Narrow"/>
          <w:lang w:val="en-US"/>
        </w:rPr>
        <w:t xml:space="preserve"> S. Friedländer (2008)</w:t>
      </w:r>
      <w:r>
        <w:rPr>
          <w:rFonts w:ascii="Arial Narrow" w:hAnsi="Arial Narrow"/>
          <w:lang w:val="en-US"/>
        </w:rPr>
        <w:t xml:space="preserve"> 150.</w:t>
      </w:r>
    </w:p>
  </w:footnote>
  <w:footnote w:id="379">
    <w:p w:rsidR="003F07DD" w:rsidRPr="00910950" w:rsidRDefault="003F07DD" w:rsidP="00751A22">
      <w:pPr>
        <w:pStyle w:val="Textodenotaderodap"/>
        <w:rPr>
          <w:rFonts w:ascii="Arial Narrow" w:hAnsi="Arial Narrow"/>
          <w:lang w:val="en-US"/>
        </w:rPr>
      </w:pPr>
      <w:r w:rsidRPr="004033B7">
        <w:rPr>
          <w:rStyle w:val="Refdenotaderodap"/>
          <w:rFonts w:ascii="Arial Narrow" w:hAnsi="Arial Narrow"/>
        </w:rPr>
        <w:footnoteRef/>
      </w:r>
      <w:r w:rsidRPr="00910950">
        <w:rPr>
          <w:rFonts w:ascii="Arial Narrow" w:hAnsi="Arial Narrow"/>
          <w:lang w:val="en-US"/>
        </w:rPr>
        <w:t xml:space="preserve"> H. L. Feingold (1995) 194-195, 238, 247.</w:t>
      </w:r>
    </w:p>
  </w:footnote>
  <w:footnote w:id="380">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w:t>
      </w:r>
      <w:r w:rsidR="00197F4F">
        <w:rPr>
          <w:rFonts w:ascii="Arial Narrow" w:hAnsi="Arial Narrow"/>
        </w:rPr>
        <w:t>o em P. Brenner (1983) 249-250.</w:t>
      </w:r>
    </w:p>
  </w:footnote>
  <w:footnote w:id="381">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w:t>
      </w:r>
      <w:r>
        <w:rPr>
          <w:rFonts w:ascii="Arial Narrow" w:hAnsi="Arial Narrow"/>
        </w:rPr>
        <w:t>Foi</w:t>
      </w:r>
      <w:r w:rsidRPr="004033B7">
        <w:rPr>
          <w:rFonts w:ascii="Arial Narrow" w:hAnsi="Arial Narrow"/>
        </w:rPr>
        <w:t xml:space="preserve"> o que f</w:t>
      </w:r>
      <w:r>
        <w:rPr>
          <w:rFonts w:ascii="Arial Narrow" w:hAnsi="Arial Narrow"/>
        </w:rPr>
        <w:t>e</w:t>
      </w:r>
      <w:r w:rsidRPr="004033B7">
        <w:rPr>
          <w:rFonts w:ascii="Arial Narrow" w:hAnsi="Arial Narrow"/>
        </w:rPr>
        <w:t xml:space="preserve">z, por exemplo, Benoist-Méchin (1964-1966) VI 40-41, fundamentando-se no curioso princípio de que «um judeu nunca está só» (pág. 36) e citando em seu abono Schopenhauer, que também havia pretendido que «a pátria dos judeus é o conjunto dos judeus» (pág. 40). Todavia, numa análise minuciosa dos acontecimentos ocorridos em 1933, E. Black (1999) </w:t>
      </w:r>
      <w:r w:rsidRPr="004033B7">
        <w:rPr>
          <w:rFonts w:ascii="Arial Narrow" w:hAnsi="Arial Narrow"/>
          <w:i/>
        </w:rPr>
        <w:t>passim</w:t>
      </w:r>
      <w:r w:rsidRPr="004033B7">
        <w:rPr>
          <w:rFonts w:ascii="Arial Narrow" w:hAnsi="Arial Narrow"/>
        </w:rPr>
        <w:t xml:space="preserve"> mostr</w:t>
      </w:r>
      <w:r>
        <w:rPr>
          <w:rFonts w:ascii="Arial Narrow" w:hAnsi="Arial Narrow"/>
        </w:rPr>
        <w:t>ou</w:t>
      </w:r>
      <w:r w:rsidRPr="004033B7">
        <w:rPr>
          <w:rFonts w:ascii="Arial Narrow" w:hAnsi="Arial Narrow"/>
        </w:rPr>
        <w:t xml:space="preserve"> que em todos os casos, sem excepção, as acções de protesto e as iniciativas de boicote devidas a certas personalidades ou certas organizações judaicas depararam com apelos à moderação e à manutenção da vida comercial normal emanados de personalidades e organizações não menos judaicas.</w:t>
      </w:r>
    </w:p>
  </w:footnote>
  <w:footnote w:id="382">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H. Arendt (1994) 42, 143; L. Brenner (1983) 261-262.</w:t>
      </w:r>
      <w:r w:rsidR="002203F7">
        <w:rPr>
          <w:rFonts w:ascii="Arial Narrow" w:hAnsi="Arial Narrow"/>
          <w:lang w:val="de-DE"/>
        </w:rPr>
        <w:t xml:space="preserve"> A citação está em Lenni Brenner, op. cit., 261.</w:t>
      </w:r>
    </w:p>
  </w:footnote>
  <w:footnote w:id="383">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H. Arendt (1994) 284.</w:t>
      </w:r>
    </w:p>
  </w:footnote>
  <w:footnote w:id="384">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S. Wiesenthal (1989) 231.</w:t>
      </w:r>
    </w:p>
  </w:footnote>
  <w:footnote w:id="385">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Acerca da carreira política de Begin ver: B. Avishai (1985) 166-167; L. Brenner (1984) 117, 129-130, 146; «Irgun», em I. C. B. Dear et al. (orgs. 1995) 571; H. M. Sachar (1976) 266.</w:t>
      </w:r>
    </w:p>
  </w:footnote>
  <w:footnote w:id="386">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A carta assinada por Hannah Arendt, Einstein, Sidney Hook, Seymour Melm</w:t>
      </w:r>
      <w:r>
        <w:rPr>
          <w:rFonts w:ascii="Arial Narrow" w:hAnsi="Arial Narrow"/>
        </w:rPr>
        <w:t>a</w:t>
      </w:r>
      <w:r w:rsidRPr="004033B7">
        <w:rPr>
          <w:rFonts w:ascii="Arial Narrow" w:hAnsi="Arial Narrow"/>
        </w:rPr>
        <w:t>n e outr</w:t>
      </w:r>
      <w:r>
        <w:rPr>
          <w:rFonts w:ascii="Arial Narrow" w:hAnsi="Arial Narrow"/>
        </w:rPr>
        <w:t>a</w:t>
      </w:r>
      <w:r w:rsidRPr="004033B7">
        <w:rPr>
          <w:rFonts w:ascii="Arial Narrow" w:hAnsi="Arial Narrow"/>
        </w:rPr>
        <w:t xml:space="preserve">s </w:t>
      </w:r>
      <w:r>
        <w:rPr>
          <w:rFonts w:ascii="Arial Narrow" w:hAnsi="Arial Narrow"/>
        </w:rPr>
        <w:t xml:space="preserve">vinte e três personalidades </w:t>
      </w:r>
      <w:r w:rsidRPr="004033B7">
        <w:rPr>
          <w:rFonts w:ascii="Arial Narrow" w:hAnsi="Arial Narrow"/>
        </w:rPr>
        <w:t xml:space="preserve">foi publicada em </w:t>
      </w:r>
      <w:r w:rsidRPr="004033B7">
        <w:rPr>
          <w:rFonts w:ascii="Arial Narrow" w:hAnsi="Arial Narrow"/>
          <w:i/>
        </w:rPr>
        <w:t>The New York Times</w:t>
      </w:r>
      <w:r>
        <w:rPr>
          <w:rFonts w:ascii="Arial Narrow" w:hAnsi="Arial Narrow"/>
          <w:i/>
        </w:rPr>
        <w:t>,</w:t>
      </w:r>
      <w:r w:rsidRPr="004033B7">
        <w:rPr>
          <w:rFonts w:ascii="Arial Narrow" w:hAnsi="Arial Narrow"/>
        </w:rPr>
        <w:t xml:space="preserve"> 4 de Dezembro de 1948</w:t>
      </w:r>
      <w:r>
        <w:rPr>
          <w:rFonts w:ascii="Arial Narrow" w:hAnsi="Arial Narrow"/>
        </w:rPr>
        <w:t xml:space="preserve">. Ver </w:t>
      </w:r>
      <w:r w:rsidRPr="00064FC1">
        <w:rPr>
          <w:rFonts w:ascii="Arial Narrow" w:hAnsi="Arial Narrow"/>
          <w:lang w:val="fr-FR"/>
        </w:rPr>
        <w:t>I</w:t>
      </w:r>
      <w:r>
        <w:rPr>
          <w:rFonts w:ascii="Arial Narrow" w:hAnsi="Arial Narrow"/>
          <w:lang w:val="fr-FR"/>
        </w:rPr>
        <w:t xml:space="preserve">. </w:t>
      </w:r>
      <w:r w:rsidRPr="00064FC1">
        <w:rPr>
          <w:rFonts w:ascii="Arial Narrow" w:hAnsi="Arial Narrow"/>
          <w:lang w:val="fr-FR"/>
        </w:rPr>
        <w:t>Abramowitz et al. (1948)</w:t>
      </w:r>
      <w:r>
        <w:rPr>
          <w:rFonts w:ascii="Arial Narrow" w:hAnsi="Arial Narrow"/>
          <w:lang w:val="fr-FR"/>
        </w:rPr>
        <w:t xml:space="preserve">. </w:t>
      </w:r>
      <w:r>
        <w:rPr>
          <w:rFonts w:ascii="Arial Narrow" w:hAnsi="Arial Narrow"/>
        </w:rPr>
        <w:t xml:space="preserve">Ver igualmente </w:t>
      </w:r>
      <w:r w:rsidRPr="004033B7">
        <w:rPr>
          <w:rFonts w:ascii="Arial Narrow" w:hAnsi="Arial Narrow"/>
        </w:rPr>
        <w:t>L. Brenner (1983) 123 e (1984) 146-147.</w:t>
      </w:r>
    </w:p>
  </w:footnote>
  <w:footnote w:id="387">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L. Brenner (1983) 269; id. (1984) 129, 193, 199.</w:t>
      </w:r>
    </w:p>
  </w:footnote>
  <w:footnote w:id="388">
    <w:p w:rsidR="003F07DD" w:rsidRPr="004033B7" w:rsidRDefault="003F07DD" w:rsidP="00751A22">
      <w:pPr>
        <w:pStyle w:val="Textodenotaderodap"/>
        <w:rPr>
          <w:rFonts w:ascii="Arial Narrow" w:hAnsi="Arial Narrow"/>
        </w:rPr>
      </w:pPr>
      <w:r w:rsidRPr="004033B7">
        <w:rPr>
          <w:rStyle w:val="Refdenotaderodap"/>
          <w:rFonts w:ascii="Arial Narrow" w:hAnsi="Arial Narrow"/>
        </w:rPr>
        <w:footnoteRef/>
      </w:r>
      <w:r w:rsidRPr="004033B7">
        <w:rPr>
          <w:rFonts w:ascii="Arial Narrow" w:hAnsi="Arial Narrow"/>
        </w:rPr>
        <w:t xml:space="preserve"> Ver esta passagem da entrada de 13 de Junho de 1934 em M. Chalmers (org. 2006 a) 78. Klemperer empregou o termo «Sion», carregado de conotações históricas e religiosas, porque estava também a denunciar o carácter retrógrado do sionismo.</w:t>
      </w:r>
    </w:p>
  </w:footnote>
  <w:footnote w:id="389">
    <w:p w:rsidR="003F07DD" w:rsidRPr="00EF57D6" w:rsidRDefault="003F07DD" w:rsidP="00751A22">
      <w:pPr>
        <w:pStyle w:val="Textodenotaderodap"/>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H. Arendt (1994) 7-8.</w:t>
      </w:r>
      <w:r>
        <w:rPr>
          <w:rFonts w:ascii="Arial Narrow" w:hAnsi="Arial Narrow"/>
          <w:lang w:val="de-DE"/>
        </w:rPr>
        <w:t xml:space="preserve"> Também K. Polkehn (1976) 57 mencionou a </w:t>
      </w:r>
      <w:r w:rsidRPr="008D64EF">
        <w:rPr>
          <w:rFonts w:ascii="Arial Narrow" w:hAnsi="Arial Narrow"/>
        </w:rPr>
        <w:t>convergência entre as perspectivas raciais dos sionistas e dos hitlerianos</w:t>
      </w:r>
      <w:r>
        <w:rPr>
          <w:rFonts w:ascii="Arial Narrow" w:hAnsi="Arial Narrow"/>
        </w:rPr>
        <w:t>.</w:t>
      </w:r>
    </w:p>
  </w:footnote>
  <w:footnote w:id="390">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L. Brenner (1983) 19</w:t>
      </w:r>
      <w:r>
        <w:rPr>
          <w:rFonts w:ascii="Arial Narrow" w:hAnsi="Arial Narrow"/>
          <w:lang w:val="de-DE"/>
        </w:rPr>
        <w:t>; S. G. Payne (2003 a) 126-127; Sh. Sand (2010) 255, 256 e segs.</w:t>
      </w:r>
    </w:p>
  </w:footnote>
  <w:footnote w:id="391">
    <w:p w:rsidR="00197F4F" w:rsidRPr="00197F4F" w:rsidRDefault="00197F4F">
      <w:pPr>
        <w:pStyle w:val="Textodenotaderodap"/>
        <w:rPr>
          <w:rFonts w:ascii="Arial Narrow" w:hAnsi="Arial Narrow"/>
        </w:rPr>
      </w:pPr>
      <w:r w:rsidRPr="00197F4F">
        <w:rPr>
          <w:rStyle w:val="Refdenotaderodap"/>
          <w:rFonts w:ascii="Arial Narrow" w:hAnsi="Arial Narrow"/>
        </w:rPr>
        <w:footnoteRef/>
      </w:r>
      <w:r w:rsidRPr="00197F4F">
        <w:rPr>
          <w:rFonts w:ascii="Arial Narrow" w:hAnsi="Arial Narrow"/>
        </w:rPr>
        <w:t xml:space="preserve"> </w:t>
      </w:r>
      <w:r w:rsidRPr="004033B7">
        <w:rPr>
          <w:rFonts w:ascii="Arial Narrow" w:hAnsi="Arial Narrow"/>
        </w:rPr>
        <w:t>Record</w:t>
      </w:r>
      <w:r>
        <w:rPr>
          <w:rFonts w:ascii="Arial Narrow" w:hAnsi="Arial Narrow"/>
        </w:rPr>
        <w:t>o</w:t>
      </w:r>
      <w:r w:rsidRPr="004033B7">
        <w:rPr>
          <w:rFonts w:ascii="Arial Narrow" w:hAnsi="Arial Narrow"/>
        </w:rPr>
        <w:t xml:space="preserve"> que o rabi </w:t>
      </w:r>
      <w:r>
        <w:rPr>
          <w:rFonts w:ascii="Arial Narrow" w:hAnsi="Arial Narrow"/>
        </w:rPr>
        <w:t xml:space="preserve">Stephen </w:t>
      </w:r>
      <w:r w:rsidRPr="004033B7">
        <w:rPr>
          <w:rFonts w:ascii="Arial Narrow" w:hAnsi="Arial Narrow"/>
        </w:rPr>
        <w:t>Wise era, ou fora, adepto da eugenia. Ver E. Black (2003) 129.</w:t>
      </w:r>
    </w:p>
  </w:footnote>
  <w:footnote w:id="392">
    <w:p w:rsidR="003F07DD" w:rsidRPr="00EF57D6" w:rsidRDefault="003F07DD" w:rsidP="00751A22">
      <w:pPr>
        <w:pStyle w:val="Textodenotaderodap"/>
        <w:ind w:firstLine="708"/>
        <w:rPr>
          <w:rFonts w:ascii="Arial Narrow" w:hAnsi="Arial Narrow"/>
          <w:lang w:val="de-DE"/>
        </w:rPr>
      </w:pPr>
      <w:r w:rsidRPr="004033B7">
        <w:rPr>
          <w:rStyle w:val="Refdenotaderodap"/>
          <w:rFonts w:ascii="Arial Narrow" w:hAnsi="Arial Narrow"/>
        </w:rPr>
        <w:footnoteRef/>
      </w:r>
      <w:r w:rsidRPr="00EF57D6">
        <w:rPr>
          <w:rFonts w:ascii="Arial Narrow" w:hAnsi="Arial Narrow"/>
          <w:lang w:val="de-DE"/>
        </w:rPr>
        <w:t xml:space="preserve"> L. Brenner (1983) 22.</w:t>
      </w:r>
    </w:p>
  </w:footnote>
  <w:footnote w:id="393">
    <w:p w:rsidR="003F07DD" w:rsidRPr="00E7358F" w:rsidRDefault="003F07DD">
      <w:pPr>
        <w:pStyle w:val="Textodenotaderodap"/>
        <w:rPr>
          <w:rFonts w:ascii="Arial Narrow" w:hAnsi="Arial Narrow"/>
        </w:rPr>
      </w:pPr>
      <w:r w:rsidRPr="00E7358F">
        <w:rPr>
          <w:rStyle w:val="Refdenotaderodap"/>
          <w:rFonts w:ascii="Arial Narrow" w:hAnsi="Arial Narrow"/>
        </w:rPr>
        <w:footnoteRef/>
      </w:r>
      <w:r w:rsidRPr="00756DF0">
        <w:rPr>
          <w:rFonts w:ascii="Arial Narrow" w:hAnsi="Arial Narrow"/>
          <w:lang w:val="en-US"/>
        </w:rPr>
        <w:t xml:space="preserve"> </w:t>
      </w:r>
      <w:r>
        <w:rPr>
          <w:rFonts w:ascii="Arial Narrow" w:hAnsi="Arial Narrow"/>
          <w:lang w:val="de-DE"/>
        </w:rPr>
        <w:t>Sh. Sand (2010) 256. Ver também a pág. 266.</w:t>
      </w:r>
    </w:p>
  </w:footnote>
  <w:footnote w:id="394">
    <w:p w:rsidR="003F07DD" w:rsidRPr="00AC0358" w:rsidRDefault="003F07DD">
      <w:pPr>
        <w:pStyle w:val="Textodenotaderodap"/>
        <w:rPr>
          <w:rFonts w:ascii="Arial Narrow" w:hAnsi="Arial Narrow"/>
        </w:rPr>
      </w:pPr>
      <w:r w:rsidRPr="00AC0358">
        <w:rPr>
          <w:rStyle w:val="Refdenotaderodap"/>
          <w:rFonts w:ascii="Arial Narrow" w:hAnsi="Arial Narrow"/>
        </w:rPr>
        <w:footnoteRef/>
      </w:r>
      <w:r w:rsidRPr="00AC0358">
        <w:rPr>
          <w:rFonts w:ascii="Arial Narrow" w:hAnsi="Arial Narrow"/>
        </w:rPr>
        <w:t xml:space="preserve"> </w:t>
      </w:r>
      <w:r>
        <w:rPr>
          <w:rFonts w:ascii="Arial Narrow" w:hAnsi="Arial Narrow"/>
        </w:rPr>
        <w:t>Citado em id., ibid., 257.</w:t>
      </w:r>
    </w:p>
  </w:footnote>
  <w:footnote w:id="395">
    <w:p w:rsidR="003F07DD" w:rsidRPr="00DF76D3" w:rsidRDefault="003F07DD">
      <w:pPr>
        <w:pStyle w:val="Textodenotaderodap"/>
        <w:rPr>
          <w:rFonts w:ascii="Arial Narrow" w:hAnsi="Arial Narrow"/>
        </w:rPr>
      </w:pPr>
      <w:r w:rsidRPr="00DF76D3">
        <w:rPr>
          <w:rStyle w:val="Refdenotaderodap"/>
          <w:rFonts w:ascii="Arial Narrow" w:hAnsi="Arial Narrow"/>
        </w:rPr>
        <w:footnoteRef/>
      </w:r>
      <w:r w:rsidRPr="00DF76D3">
        <w:rPr>
          <w:rFonts w:ascii="Arial Narrow" w:hAnsi="Arial Narrow"/>
        </w:rPr>
        <w:t xml:space="preserve"> </w:t>
      </w:r>
      <w:r>
        <w:rPr>
          <w:rFonts w:ascii="Arial Narrow" w:hAnsi="Arial Narrow"/>
        </w:rPr>
        <w:t>Id., ibid., 258.</w:t>
      </w:r>
    </w:p>
  </w:footnote>
  <w:footnote w:id="396">
    <w:p w:rsidR="003F07DD" w:rsidRPr="00A769F5" w:rsidRDefault="003F07DD">
      <w:pPr>
        <w:pStyle w:val="Textodenotaderodap"/>
        <w:rPr>
          <w:rFonts w:ascii="Arial Narrow" w:hAnsi="Arial Narrow"/>
        </w:rPr>
      </w:pPr>
      <w:r w:rsidRPr="00A769F5">
        <w:rPr>
          <w:rStyle w:val="Refdenotaderodap"/>
          <w:rFonts w:ascii="Arial Narrow" w:hAnsi="Arial Narrow"/>
        </w:rPr>
        <w:footnoteRef/>
      </w:r>
      <w:r w:rsidRPr="00A769F5">
        <w:rPr>
          <w:rFonts w:ascii="Arial Narrow" w:hAnsi="Arial Narrow"/>
        </w:rPr>
        <w:t xml:space="preserve"> </w:t>
      </w:r>
      <w:r>
        <w:rPr>
          <w:rFonts w:ascii="Arial Narrow" w:hAnsi="Arial Narrow"/>
        </w:rPr>
        <w:t>Id., ibid., 266.</w:t>
      </w:r>
    </w:p>
  </w:footnote>
  <w:footnote w:id="397">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w:t>
      </w:r>
      <w:r w:rsidRPr="00EF57D6">
        <w:rPr>
          <w:rFonts w:ascii="Arial Narrow" w:hAnsi="Arial Narrow"/>
          <w:lang w:val="de-DE"/>
        </w:rPr>
        <w:t xml:space="preserve">L. Brenner </w:t>
      </w:r>
      <w:r w:rsidRPr="004033B7">
        <w:rPr>
          <w:rFonts w:ascii="Arial Narrow" w:hAnsi="Arial Narrow"/>
        </w:rPr>
        <w:t>(1984) 29-30.</w:t>
      </w:r>
      <w:r>
        <w:rPr>
          <w:rFonts w:ascii="Arial Narrow" w:hAnsi="Arial Narrow"/>
        </w:rPr>
        <w:t xml:space="preserve"> Ver igualmente </w:t>
      </w:r>
      <w:r>
        <w:rPr>
          <w:rFonts w:ascii="Arial Narrow" w:hAnsi="Arial Narrow"/>
          <w:lang w:val="de-DE"/>
        </w:rPr>
        <w:t>Sh. Sand (2010) 260-261.</w:t>
      </w:r>
    </w:p>
  </w:footnote>
  <w:footnote w:id="398">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Citado em </w:t>
      </w:r>
      <w:r w:rsidRPr="00EF57D6">
        <w:rPr>
          <w:rFonts w:ascii="Arial Narrow" w:hAnsi="Arial Narrow"/>
          <w:lang w:val="de-DE"/>
        </w:rPr>
        <w:t xml:space="preserve">L. Brenner </w:t>
      </w:r>
      <w:r w:rsidRPr="004033B7">
        <w:rPr>
          <w:rFonts w:ascii="Arial Narrow" w:hAnsi="Arial Narrow"/>
        </w:rPr>
        <w:t>(1983) 20</w:t>
      </w:r>
      <w:r>
        <w:rPr>
          <w:rFonts w:ascii="Arial Narrow" w:hAnsi="Arial Narrow"/>
        </w:rPr>
        <w:t xml:space="preserve"> e </w:t>
      </w:r>
      <w:r>
        <w:rPr>
          <w:rFonts w:ascii="Arial Narrow" w:hAnsi="Arial Narrow"/>
          <w:lang w:val="de-DE"/>
        </w:rPr>
        <w:t>Sh. Sand (2010) 260</w:t>
      </w:r>
      <w:r w:rsidRPr="004033B7">
        <w:rPr>
          <w:rFonts w:ascii="Arial Narrow" w:hAnsi="Arial Narrow"/>
        </w:rPr>
        <w:t xml:space="preserve">. Ver também </w:t>
      </w:r>
      <w:r w:rsidRPr="00EF57D6">
        <w:rPr>
          <w:rFonts w:ascii="Arial Narrow" w:hAnsi="Arial Narrow"/>
          <w:lang w:val="de-DE"/>
        </w:rPr>
        <w:t xml:space="preserve">L. Brenner </w:t>
      </w:r>
      <w:r w:rsidRPr="004033B7">
        <w:rPr>
          <w:rFonts w:ascii="Arial Narrow" w:hAnsi="Arial Narrow"/>
        </w:rPr>
        <w:t>(1984) 31.</w:t>
      </w:r>
    </w:p>
  </w:footnote>
  <w:footnote w:id="399">
    <w:p w:rsidR="003F07DD" w:rsidRPr="004033B7" w:rsidRDefault="003F07DD" w:rsidP="00751A22">
      <w:pPr>
        <w:pStyle w:val="Textodenotaderodap"/>
        <w:ind w:firstLine="708"/>
        <w:rPr>
          <w:rFonts w:ascii="Arial Narrow" w:hAnsi="Arial Narrow"/>
        </w:rPr>
      </w:pPr>
      <w:r w:rsidRPr="004033B7">
        <w:rPr>
          <w:rStyle w:val="Refdenotaderodap"/>
          <w:rFonts w:ascii="Arial Narrow" w:hAnsi="Arial Narrow"/>
        </w:rPr>
        <w:footnoteRef/>
      </w:r>
      <w:r w:rsidRPr="004033B7">
        <w:rPr>
          <w:rFonts w:ascii="Arial Narrow" w:hAnsi="Arial Narrow"/>
        </w:rPr>
        <w:t xml:space="preserve"> </w:t>
      </w:r>
      <w:r w:rsidRPr="00EF57D6">
        <w:rPr>
          <w:rFonts w:ascii="Arial Narrow" w:hAnsi="Arial Narrow"/>
          <w:lang w:val="de-DE"/>
        </w:rPr>
        <w:t xml:space="preserve">L. Brenner </w:t>
      </w:r>
      <w:r w:rsidRPr="004033B7">
        <w:rPr>
          <w:rFonts w:ascii="Arial Narrow" w:hAnsi="Arial Narrow"/>
        </w:rPr>
        <w:t>(1983) 24-25.</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751A22"/>
    <w:rsid w:val="000002F6"/>
    <w:rsid w:val="00000E0B"/>
    <w:rsid w:val="000024E9"/>
    <w:rsid w:val="00002A8E"/>
    <w:rsid w:val="00002BA5"/>
    <w:rsid w:val="00003B2D"/>
    <w:rsid w:val="000041B9"/>
    <w:rsid w:val="00004B18"/>
    <w:rsid w:val="00005061"/>
    <w:rsid w:val="000060E0"/>
    <w:rsid w:val="00006362"/>
    <w:rsid w:val="000075E2"/>
    <w:rsid w:val="00012669"/>
    <w:rsid w:val="00012759"/>
    <w:rsid w:val="00014285"/>
    <w:rsid w:val="00016315"/>
    <w:rsid w:val="00016EC5"/>
    <w:rsid w:val="00017FFD"/>
    <w:rsid w:val="000202BC"/>
    <w:rsid w:val="00021A09"/>
    <w:rsid w:val="00021B45"/>
    <w:rsid w:val="0002316F"/>
    <w:rsid w:val="000257E2"/>
    <w:rsid w:val="00026B50"/>
    <w:rsid w:val="00030440"/>
    <w:rsid w:val="000309B5"/>
    <w:rsid w:val="00033266"/>
    <w:rsid w:val="000359C1"/>
    <w:rsid w:val="00035D9E"/>
    <w:rsid w:val="00040FF7"/>
    <w:rsid w:val="00043D91"/>
    <w:rsid w:val="000441E4"/>
    <w:rsid w:val="00044D48"/>
    <w:rsid w:val="00044E7B"/>
    <w:rsid w:val="00047145"/>
    <w:rsid w:val="00053150"/>
    <w:rsid w:val="00057D5A"/>
    <w:rsid w:val="00061019"/>
    <w:rsid w:val="0006108B"/>
    <w:rsid w:val="00063AC4"/>
    <w:rsid w:val="00063EE2"/>
    <w:rsid w:val="00064FC1"/>
    <w:rsid w:val="0006612D"/>
    <w:rsid w:val="000674A1"/>
    <w:rsid w:val="00067606"/>
    <w:rsid w:val="00071F42"/>
    <w:rsid w:val="00073335"/>
    <w:rsid w:val="00073385"/>
    <w:rsid w:val="000749B2"/>
    <w:rsid w:val="00075EEC"/>
    <w:rsid w:val="00076A6C"/>
    <w:rsid w:val="000838D5"/>
    <w:rsid w:val="00083FEA"/>
    <w:rsid w:val="00085A68"/>
    <w:rsid w:val="00085C32"/>
    <w:rsid w:val="00086A05"/>
    <w:rsid w:val="00086E2B"/>
    <w:rsid w:val="00093168"/>
    <w:rsid w:val="000967FB"/>
    <w:rsid w:val="000968D3"/>
    <w:rsid w:val="000A19DA"/>
    <w:rsid w:val="000A352E"/>
    <w:rsid w:val="000A550A"/>
    <w:rsid w:val="000A58E4"/>
    <w:rsid w:val="000A7A62"/>
    <w:rsid w:val="000B3839"/>
    <w:rsid w:val="000C0163"/>
    <w:rsid w:val="000C144E"/>
    <w:rsid w:val="000C344C"/>
    <w:rsid w:val="000C4E31"/>
    <w:rsid w:val="000C53E3"/>
    <w:rsid w:val="000C5B8D"/>
    <w:rsid w:val="000C6AA3"/>
    <w:rsid w:val="000C6F93"/>
    <w:rsid w:val="000D020B"/>
    <w:rsid w:val="000D190D"/>
    <w:rsid w:val="000D1990"/>
    <w:rsid w:val="000D21C3"/>
    <w:rsid w:val="000D3225"/>
    <w:rsid w:val="000D5F1C"/>
    <w:rsid w:val="000E229F"/>
    <w:rsid w:val="000E3AEB"/>
    <w:rsid w:val="000E5143"/>
    <w:rsid w:val="000E5C2E"/>
    <w:rsid w:val="000E6620"/>
    <w:rsid w:val="000E6914"/>
    <w:rsid w:val="000E707C"/>
    <w:rsid w:val="000E796E"/>
    <w:rsid w:val="000E7BF9"/>
    <w:rsid w:val="000F0594"/>
    <w:rsid w:val="000F32B9"/>
    <w:rsid w:val="000F38CB"/>
    <w:rsid w:val="000F5B6A"/>
    <w:rsid w:val="000F6C38"/>
    <w:rsid w:val="000F7848"/>
    <w:rsid w:val="00100246"/>
    <w:rsid w:val="001019A7"/>
    <w:rsid w:val="0011277E"/>
    <w:rsid w:val="00113AFC"/>
    <w:rsid w:val="001161DA"/>
    <w:rsid w:val="00116538"/>
    <w:rsid w:val="0011794D"/>
    <w:rsid w:val="0012044A"/>
    <w:rsid w:val="00120526"/>
    <w:rsid w:val="00122245"/>
    <w:rsid w:val="00122C62"/>
    <w:rsid w:val="00125358"/>
    <w:rsid w:val="00125BC6"/>
    <w:rsid w:val="00125CD2"/>
    <w:rsid w:val="00126521"/>
    <w:rsid w:val="00126CBE"/>
    <w:rsid w:val="001306F3"/>
    <w:rsid w:val="00133F71"/>
    <w:rsid w:val="001347C8"/>
    <w:rsid w:val="00135872"/>
    <w:rsid w:val="00135F66"/>
    <w:rsid w:val="001362C2"/>
    <w:rsid w:val="00137DBB"/>
    <w:rsid w:val="001400AB"/>
    <w:rsid w:val="001403EB"/>
    <w:rsid w:val="00140A3F"/>
    <w:rsid w:val="001417B6"/>
    <w:rsid w:val="00141F24"/>
    <w:rsid w:val="001431E0"/>
    <w:rsid w:val="0014446E"/>
    <w:rsid w:val="0014464D"/>
    <w:rsid w:val="00144C06"/>
    <w:rsid w:val="001450C8"/>
    <w:rsid w:val="00145E13"/>
    <w:rsid w:val="00146704"/>
    <w:rsid w:val="00146F6D"/>
    <w:rsid w:val="001471DB"/>
    <w:rsid w:val="00150382"/>
    <w:rsid w:val="0015456D"/>
    <w:rsid w:val="00154892"/>
    <w:rsid w:val="00156A99"/>
    <w:rsid w:val="00157FEF"/>
    <w:rsid w:val="00160D03"/>
    <w:rsid w:val="00161D34"/>
    <w:rsid w:val="00163F0E"/>
    <w:rsid w:val="0016571D"/>
    <w:rsid w:val="00166948"/>
    <w:rsid w:val="00167134"/>
    <w:rsid w:val="00170D71"/>
    <w:rsid w:val="00171CDD"/>
    <w:rsid w:val="001733E9"/>
    <w:rsid w:val="00173D6A"/>
    <w:rsid w:val="00175971"/>
    <w:rsid w:val="00176612"/>
    <w:rsid w:val="00181FB0"/>
    <w:rsid w:val="00182D94"/>
    <w:rsid w:val="00183AD9"/>
    <w:rsid w:val="00185012"/>
    <w:rsid w:val="001852CB"/>
    <w:rsid w:val="00186362"/>
    <w:rsid w:val="00187B0D"/>
    <w:rsid w:val="00191943"/>
    <w:rsid w:val="00191EE4"/>
    <w:rsid w:val="00192815"/>
    <w:rsid w:val="00194C54"/>
    <w:rsid w:val="001970E4"/>
    <w:rsid w:val="001975E4"/>
    <w:rsid w:val="001977A2"/>
    <w:rsid w:val="001979E3"/>
    <w:rsid w:val="00197F4F"/>
    <w:rsid w:val="001A26BE"/>
    <w:rsid w:val="001A2E42"/>
    <w:rsid w:val="001A48CE"/>
    <w:rsid w:val="001B402B"/>
    <w:rsid w:val="001B55F3"/>
    <w:rsid w:val="001B5FD5"/>
    <w:rsid w:val="001B6CE5"/>
    <w:rsid w:val="001B6F94"/>
    <w:rsid w:val="001B7257"/>
    <w:rsid w:val="001C0704"/>
    <w:rsid w:val="001C2BA7"/>
    <w:rsid w:val="001C6366"/>
    <w:rsid w:val="001C72DD"/>
    <w:rsid w:val="001C7ED9"/>
    <w:rsid w:val="001D0355"/>
    <w:rsid w:val="001D24CF"/>
    <w:rsid w:val="001D4F36"/>
    <w:rsid w:val="001D5E96"/>
    <w:rsid w:val="001D658F"/>
    <w:rsid w:val="001D691C"/>
    <w:rsid w:val="001D7F93"/>
    <w:rsid w:val="001E2147"/>
    <w:rsid w:val="001E3C01"/>
    <w:rsid w:val="001E7445"/>
    <w:rsid w:val="001F3253"/>
    <w:rsid w:val="001F5224"/>
    <w:rsid w:val="001F585F"/>
    <w:rsid w:val="001F6C39"/>
    <w:rsid w:val="001F71FE"/>
    <w:rsid w:val="001F7640"/>
    <w:rsid w:val="00200764"/>
    <w:rsid w:val="00200C47"/>
    <w:rsid w:val="002018F2"/>
    <w:rsid w:val="00202010"/>
    <w:rsid w:val="00202FBF"/>
    <w:rsid w:val="002038E3"/>
    <w:rsid w:val="00205A4D"/>
    <w:rsid w:val="002068BC"/>
    <w:rsid w:val="00206F79"/>
    <w:rsid w:val="0021135B"/>
    <w:rsid w:val="002117FF"/>
    <w:rsid w:val="00211B43"/>
    <w:rsid w:val="0021422E"/>
    <w:rsid w:val="00214CE3"/>
    <w:rsid w:val="00217F34"/>
    <w:rsid w:val="002203F7"/>
    <w:rsid w:val="00221E41"/>
    <w:rsid w:val="0022201F"/>
    <w:rsid w:val="00222E6D"/>
    <w:rsid w:val="00222FF9"/>
    <w:rsid w:val="00223B81"/>
    <w:rsid w:val="002253D3"/>
    <w:rsid w:val="002278DF"/>
    <w:rsid w:val="00227B09"/>
    <w:rsid w:val="00230692"/>
    <w:rsid w:val="00231982"/>
    <w:rsid w:val="00232999"/>
    <w:rsid w:val="002329FA"/>
    <w:rsid w:val="00232F04"/>
    <w:rsid w:val="00234B5A"/>
    <w:rsid w:val="00235CF8"/>
    <w:rsid w:val="00236A99"/>
    <w:rsid w:val="00240F5E"/>
    <w:rsid w:val="00241AA0"/>
    <w:rsid w:val="002428D1"/>
    <w:rsid w:val="00243380"/>
    <w:rsid w:val="0024388E"/>
    <w:rsid w:val="00245996"/>
    <w:rsid w:val="00247B47"/>
    <w:rsid w:val="00254DA0"/>
    <w:rsid w:val="0025524F"/>
    <w:rsid w:val="0025608D"/>
    <w:rsid w:val="002562CC"/>
    <w:rsid w:val="0026146B"/>
    <w:rsid w:val="002621B3"/>
    <w:rsid w:val="002622B9"/>
    <w:rsid w:val="00262F98"/>
    <w:rsid w:val="00263F7E"/>
    <w:rsid w:val="002653D9"/>
    <w:rsid w:val="002664EE"/>
    <w:rsid w:val="00266528"/>
    <w:rsid w:val="0027185B"/>
    <w:rsid w:val="00271E45"/>
    <w:rsid w:val="00273674"/>
    <w:rsid w:val="002737C0"/>
    <w:rsid w:val="00274346"/>
    <w:rsid w:val="00275A62"/>
    <w:rsid w:val="0027602B"/>
    <w:rsid w:val="0027681E"/>
    <w:rsid w:val="002774A8"/>
    <w:rsid w:val="002778D7"/>
    <w:rsid w:val="00277A24"/>
    <w:rsid w:val="00277B72"/>
    <w:rsid w:val="00280C79"/>
    <w:rsid w:val="00281020"/>
    <w:rsid w:val="0028255A"/>
    <w:rsid w:val="00283F1B"/>
    <w:rsid w:val="0028410D"/>
    <w:rsid w:val="00284B94"/>
    <w:rsid w:val="00285694"/>
    <w:rsid w:val="00285A2F"/>
    <w:rsid w:val="00285D45"/>
    <w:rsid w:val="00286849"/>
    <w:rsid w:val="002869B8"/>
    <w:rsid w:val="00286C67"/>
    <w:rsid w:val="00287452"/>
    <w:rsid w:val="0028796B"/>
    <w:rsid w:val="00287B68"/>
    <w:rsid w:val="00291441"/>
    <w:rsid w:val="00292AD5"/>
    <w:rsid w:val="00292ED3"/>
    <w:rsid w:val="00293E78"/>
    <w:rsid w:val="0029408E"/>
    <w:rsid w:val="002949D9"/>
    <w:rsid w:val="00294CEA"/>
    <w:rsid w:val="00294F20"/>
    <w:rsid w:val="002953DC"/>
    <w:rsid w:val="00296F89"/>
    <w:rsid w:val="0029772B"/>
    <w:rsid w:val="002A0BA4"/>
    <w:rsid w:val="002A159D"/>
    <w:rsid w:val="002A42A0"/>
    <w:rsid w:val="002B042E"/>
    <w:rsid w:val="002B1994"/>
    <w:rsid w:val="002B3B70"/>
    <w:rsid w:val="002B4F01"/>
    <w:rsid w:val="002B604A"/>
    <w:rsid w:val="002B628A"/>
    <w:rsid w:val="002C11B1"/>
    <w:rsid w:val="002C431C"/>
    <w:rsid w:val="002C4501"/>
    <w:rsid w:val="002C455A"/>
    <w:rsid w:val="002C4B84"/>
    <w:rsid w:val="002C5819"/>
    <w:rsid w:val="002C67A0"/>
    <w:rsid w:val="002D0462"/>
    <w:rsid w:val="002D14AE"/>
    <w:rsid w:val="002D2DDA"/>
    <w:rsid w:val="002D3741"/>
    <w:rsid w:val="002D50F4"/>
    <w:rsid w:val="002D73DE"/>
    <w:rsid w:val="002E111A"/>
    <w:rsid w:val="002E28CF"/>
    <w:rsid w:val="002E29F9"/>
    <w:rsid w:val="002E42EA"/>
    <w:rsid w:val="002E4E7F"/>
    <w:rsid w:val="002E6D20"/>
    <w:rsid w:val="002E7F21"/>
    <w:rsid w:val="002F1E58"/>
    <w:rsid w:val="002F2642"/>
    <w:rsid w:val="002F2E76"/>
    <w:rsid w:val="002F3CD6"/>
    <w:rsid w:val="002F7832"/>
    <w:rsid w:val="0030005C"/>
    <w:rsid w:val="003017E4"/>
    <w:rsid w:val="00302ED3"/>
    <w:rsid w:val="00304438"/>
    <w:rsid w:val="003047A6"/>
    <w:rsid w:val="00306918"/>
    <w:rsid w:val="00307768"/>
    <w:rsid w:val="003100F2"/>
    <w:rsid w:val="003103CA"/>
    <w:rsid w:val="00313EEB"/>
    <w:rsid w:val="00314977"/>
    <w:rsid w:val="00314E63"/>
    <w:rsid w:val="003150B0"/>
    <w:rsid w:val="003152D5"/>
    <w:rsid w:val="00315D14"/>
    <w:rsid w:val="00316AD6"/>
    <w:rsid w:val="00317704"/>
    <w:rsid w:val="00321CE4"/>
    <w:rsid w:val="003256AC"/>
    <w:rsid w:val="00326593"/>
    <w:rsid w:val="00331122"/>
    <w:rsid w:val="00331C3C"/>
    <w:rsid w:val="00331E4A"/>
    <w:rsid w:val="003335E9"/>
    <w:rsid w:val="00335196"/>
    <w:rsid w:val="00335ECA"/>
    <w:rsid w:val="00342CCB"/>
    <w:rsid w:val="00343B47"/>
    <w:rsid w:val="00344AE7"/>
    <w:rsid w:val="003452CE"/>
    <w:rsid w:val="003504AE"/>
    <w:rsid w:val="00350FD5"/>
    <w:rsid w:val="003517FA"/>
    <w:rsid w:val="00352FEA"/>
    <w:rsid w:val="00353AA1"/>
    <w:rsid w:val="00354420"/>
    <w:rsid w:val="00357BB5"/>
    <w:rsid w:val="00364AAA"/>
    <w:rsid w:val="00364B18"/>
    <w:rsid w:val="0036678D"/>
    <w:rsid w:val="00366A16"/>
    <w:rsid w:val="00370BCE"/>
    <w:rsid w:val="00370BDF"/>
    <w:rsid w:val="003714A9"/>
    <w:rsid w:val="0037173E"/>
    <w:rsid w:val="00373701"/>
    <w:rsid w:val="00373DC8"/>
    <w:rsid w:val="00374094"/>
    <w:rsid w:val="00374F78"/>
    <w:rsid w:val="00377EE8"/>
    <w:rsid w:val="00381815"/>
    <w:rsid w:val="00381F43"/>
    <w:rsid w:val="00383593"/>
    <w:rsid w:val="003836B2"/>
    <w:rsid w:val="00385149"/>
    <w:rsid w:val="003851C4"/>
    <w:rsid w:val="00386CA5"/>
    <w:rsid w:val="003903F6"/>
    <w:rsid w:val="003934BC"/>
    <w:rsid w:val="00394974"/>
    <w:rsid w:val="00397B3F"/>
    <w:rsid w:val="003A1033"/>
    <w:rsid w:val="003A2BFE"/>
    <w:rsid w:val="003A37FE"/>
    <w:rsid w:val="003A6364"/>
    <w:rsid w:val="003A7840"/>
    <w:rsid w:val="003B0C79"/>
    <w:rsid w:val="003B1CFD"/>
    <w:rsid w:val="003B2FF5"/>
    <w:rsid w:val="003B4AE1"/>
    <w:rsid w:val="003B52C1"/>
    <w:rsid w:val="003B5783"/>
    <w:rsid w:val="003B5E57"/>
    <w:rsid w:val="003B6AEB"/>
    <w:rsid w:val="003C20D1"/>
    <w:rsid w:val="003C2DD5"/>
    <w:rsid w:val="003C483C"/>
    <w:rsid w:val="003C4CFD"/>
    <w:rsid w:val="003D3D93"/>
    <w:rsid w:val="003D50C8"/>
    <w:rsid w:val="003D593E"/>
    <w:rsid w:val="003E072A"/>
    <w:rsid w:val="003E1A01"/>
    <w:rsid w:val="003E26C7"/>
    <w:rsid w:val="003E3675"/>
    <w:rsid w:val="003E43D0"/>
    <w:rsid w:val="003E47AA"/>
    <w:rsid w:val="003E4DF9"/>
    <w:rsid w:val="003E5212"/>
    <w:rsid w:val="003E7B14"/>
    <w:rsid w:val="003F0486"/>
    <w:rsid w:val="003F04F9"/>
    <w:rsid w:val="003F07DD"/>
    <w:rsid w:val="003F27B8"/>
    <w:rsid w:val="003F2D2F"/>
    <w:rsid w:val="003F2D90"/>
    <w:rsid w:val="003F3DF9"/>
    <w:rsid w:val="003F5F0E"/>
    <w:rsid w:val="003F6671"/>
    <w:rsid w:val="003F75E5"/>
    <w:rsid w:val="003F7EB5"/>
    <w:rsid w:val="004009C7"/>
    <w:rsid w:val="00403924"/>
    <w:rsid w:val="00403DF9"/>
    <w:rsid w:val="00403F2E"/>
    <w:rsid w:val="0040630E"/>
    <w:rsid w:val="0040684A"/>
    <w:rsid w:val="00406A3A"/>
    <w:rsid w:val="00406F51"/>
    <w:rsid w:val="0040787F"/>
    <w:rsid w:val="00410053"/>
    <w:rsid w:val="00411916"/>
    <w:rsid w:val="0041231A"/>
    <w:rsid w:val="004131D4"/>
    <w:rsid w:val="00414AE4"/>
    <w:rsid w:val="00415089"/>
    <w:rsid w:val="00416896"/>
    <w:rsid w:val="0042191E"/>
    <w:rsid w:val="004229F4"/>
    <w:rsid w:val="00423DBF"/>
    <w:rsid w:val="0042565F"/>
    <w:rsid w:val="00427EEE"/>
    <w:rsid w:val="00430C50"/>
    <w:rsid w:val="004314CB"/>
    <w:rsid w:val="00433F1F"/>
    <w:rsid w:val="0043433F"/>
    <w:rsid w:val="004363F3"/>
    <w:rsid w:val="00436A24"/>
    <w:rsid w:val="004439C1"/>
    <w:rsid w:val="00443CF9"/>
    <w:rsid w:val="00444061"/>
    <w:rsid w:val="00444A8E"/>
    <w:rsid w:val="00445B73"/>
    <w:rsid w:val="00445EDC"/>
    <w:rsid w:val="004461C9"/>
    <w:rsid w:val="00452207"/>
    <w:rsid w:val="004524FE"/>
    <w:rsid w:val="0045350C"/>
    <w:rsid w:val="0045590E"/>
    <w:rsid w:val="0045653A"/>
    <w:rsid w:val="00456BB6"/>
    <w:rsid w:val="00460773"/>
    <w:rsid w:val="00460C49"/>
    <w:rsid w:val="00470564"/>
    <w:rsid w:val="00471874"/>
    <w:rsid w:val="00476D86"/>
    <w:rsid w:val="00476DA7"/>
    <w:rsid w:val="00480C35"/>
    <w:rsid w:val="0048460E"/>
    <w:rsid w:val="00486273"/>
    <w:rsid w:val="00486CDC"/>
    <w:rsid w:val="00486CE9"/>
    <w:rsid w:val="004876E0"/>
    <w:rsid w:val="004901BE"/>
    <w:rsid w:val="00491339"/>
    <w:rsid w:val="0049199E"/>
    <w:rsid w:val="00492D1E"/>
    <w:rsid w:val="00492E9F"/>
    <w:rsid w:val="00492F4A"/>
    <w:rsid w:val="00496265"/>
    <w:rsid w:val="004A1BA6"/>
    <w:rsid w:val="004A241A"/>
    <w:rsid w:val="004A2C1C"/>
    <w:rsid w:val="004A2D91"/>
    <w:rsid w:val="004A345A"/>
    <w:rsid w:val="004A3CDD"/>
    <w:rsid w:val="004A4827"/>
    <w:rsid w:val="004A740E"/>
    <w:rsid w:val="004A74D0"/>
    <w:rsid w:val="004A74EF"/>
    <w:rsid w:val="004B040A"/>
    <w:rsid w:val="004B2B02"/>
    <w:rsid w:val="004B4CF7"/>
    <w:rsid w:val="004B53A4"/>
    <w:rsid w:val="004B6A13"/>
    <w:rsid w:val="004C1D32"/>
    <w:rsid w:val="004C21CC"/>
    <w:rsid w:val="004C3241"/>
    <w:rsid w:val="004C4CF2"/>
    <w:rsid w:val="004C5394"/>
    <w:rsid w:val="004C6239"/>
    <w:rsid w:val="004C6ADB"/>
    <w:rsid w:val="004C6CB4"/>
    <w:rsid w:val="004C76A8"/>
    <w:rsid w:val="004D3414"/>
    <w:rsid w:val="004D3B10"/>
    <w:rsid w:val="004D58E7"/>
    <w:rsid w:val="004D7382"/>
    <w:rsid w:val="004E2E9D"/>
    <w:rsid w:val="004E36E4"/>
    <w:rsid w:val="004E4DDA"/>
    <w:rsid w:val="004E732F"/>
    <w:rsid w:val="004F0A1C"/>
    <w:rsid w:val="004F119C"/>
    <w:rsid w:val="004F68A2"/>
    <w:rsid w:val="004F69D8"/>
    <w:rsid w:val="00500BEF"/>
    <w:rsid w:val="00502028"/>
    <w:rsid w:val="005116FC"/>
    <w:rsid w:val="005117CD"/>
    <w:rsid w:val="00511A38"/>
    <w:rsid w:val="00511FD9"/>
    <w:rsid w:val="00513101"/>
    <w:rsid w:val="00513690"/>
    <w:rsid w:val="00513D22"/>
    <w:rsid w:val="005200B0"/>
    <w:rsid w:val="00520E8D"/>
    <w:rsid w:val="00522A4F"/>
    <w:rsid w:val="005254FF"/>
    <w:rsid w:val="0052577B"/>
    <w:rsid w:val="0052615B"/>
    <w:rsid w:val="00533725"/>
    <w:rsid w:val="00537910"/>
    <w:rsid w:val="005379CF"/>
    <w:rsid w:val="00537B95"/>
    <w:rsid w:val="00543277"/>
    <w:rsid w:val="005437BF"/>
    <w:rsid w:val="00545144"/>
    <w:rsid w:val="005465D6"/>
    <w:rsid w:val="0054665A"/>
    <w:rsid w:val="00546DA8"/>
    <w:rsid w:val="00547064"/>
    <w:rsid w:val="00547723"/>
    <w:rsid w:val="0055121D"/>
    <w:rsid w:val="005515ED"/>
    <w:rsid w:val="00551B5C"/>
    <w:rsid w:val="005530F4"/>
    <w:rsid w:val="00556F00"/>
    <w:rsid w:val="0056381B"/>
    <w:rsid w:val="00563BA0"/>
    <w:rsid w:val="00565180"/>
    <w:rsid w:val="00567928"/>
    <w:rsid w:val="005708D5"/>
    <w:rsid w:val="00573503"/>
    <w:rsid w:val="005744F7"/>
    <w:rsid w:val="00574D79"/>
    <w:rsid w:val="005762F9"/>
    <w:rsid w:val="005836E3"/>
    <w:rsid w:val="00584E63"/>
    <w:rsid w:val="00587B0B"/>
    <w:rsid w:val="00587FBD"/>
    <w:rsid w:val="0059086B"/>
    <w:rsid w:val="00591181"/>
    <w:rsid w:val="00591418"/>
    <w:rsid w:val="00593E6E"/>
    <w:rsid w:val="00595F79"/>
    <w:rsid w:val="005969F2"/>
    <w:rsid w:val="00596BD2"/>
    <w:rsid w:val="005978A3"/>
    <w:rsid w:val="005A108E"/>
    <w:rsid w:val="005A10D0"/>
    <w:rsid w:val="005A2B61"/>
    <w:rsid w:val="005A5B38"/>
    <w:rsid w:val="005A7EA3"/>
    <w:rsid w:val="005B1BAB"/>
    <w:rsid w:val="005B2B2A"/>
    <w:rsid w:val="005B34FE"/>
    <w:rsid w:val="005B3C36"/>
    <w:rsid w:val="005B53CD"/>
    <w:rsid w:val="005B55E3"/>
    <w:rsid w:val="005B795D"/>
    <w:rsid w:val="005C2422"/>
    <w:rsid w:val="005C3208"/>
    <w:rsid w:val="005C339B"/>
    <w:rsid w:val="005C4931"/>
    <w:rsid w:val="005C7F75"/>
    <w:rsid w:val="005D15B2"/>
    <w:rsid w:val="005D1E19"/>
    <w:rsid w:val="005D2CA4"/>
    <w:rsid w:val="005D357A"/>
    <w:rsid w:val="005D5507"/>
    <w:rsid w:val="005D644E"/>
    <w:rsid w:val="005D6A3C"/>
    <w:rsid w:val="005D7B16"/>
    <w:rsid w:val="005D7BC2"/>
    <w:rsid w:val="005E0C00"/>
    <w:rsid w:val="005E122B"/>
    <w:rsid w:val="005E21E6"/>
    <w:rsid w:val="005E2DEC"/>
    <w:rsid w:val="005E4015"/>
    <w:rsid w:val="005E49B2"/>
    <w:rsid w:val="005E5634"/>
    <w:rsid w:val="005E6C4D"/>
    <w:rsid w:val="005E7D58"/>
    <w:rsid w:val="005F1792"/>
    <w:rsid w:val="005F3D02"/>
    <w:rsid w:val="005F4E0C"/>
    <w:rsid w:val="005F53CF"/>
    <w:rsid w:val="005F5972"/>
    <w:rsid w:val="005F6756"/>
    <w:rsid w:val="005F6B5E"/>
    <w:rsid w:val="006020C2"/>
    <w:rsid w:val="006021AC"/>
    <w:rsid w:val="00603B84"/>
    <w:rsid w:val="006061E9"/>
    <w:rsid w:val="0061452F"/>
    <w:rsid w:val="006145AE"/>
    <w:rsid w:val="00615645"/>
    <w:rsid w:val="00615D1D"/>
    <w:rsid w:val="006161C7"/>
    <w:rsid w:val="006179B6"/>
    <w:rsid w:val="00617DED"/>
    <w:rsid w:val="0062071A"/>
    <w:rsid w:val="0062699D"/>
    <w:rsid w:val="0062705A"/>
    <w:rsid w:val="006275B9"/>
    <w:rsid w:val="0064028C"/>
    <w:rsid w:val="00640C6B"/>
    <w:rsid w:val="00640DEE"/>
    <w:rsid w:val="00640EAD"/>
    <w:rsid w:val="00646148"/>
    <w:rsid w:val="00647A95"/>
    <w:rsid w:val="00647E13"/>
    <w:rsid w:val="006506EB"/>
    <w:rsid w:val="006510F7"/>
    <w:rsid w:val="006521D8"/>
    <w:rsid w:val="006523C8"/>
    <w:rsid w:val="00653AA5"/>
    <w:rsid w:val="00657DEE"/>
    <w:rsid w:val="006615E7"/>
    <w:rsid w:val="00662ADB"/>
    <w:rsid w:val="00663048"/>
    <w:rsid w:val="00663064"/>
    <w:rsid w:val="00663248"/>
    <w:rsid w:val="00665FB0"/>
    <w:rsid w:val="00666334"/>
    <w:rsid w:val="00666534"/>
    <w:rsid w:val="00666617"/>
    <w:rsid w:val="00666839"/>
    <w:rsid w:val="00667921"/>
    <w:rsid w:val="00670372"/>
    <w:rsid w:val="006707F2"/>
    <w:rsid w:val="006729AF"/>
    <w:rsid w:val="00674CF2"/>
    <w:rsid w:val="0067539B"/>
    <w:rsid w:val="00676924"/>
    <w:rsid w:val="00677AC8"/>
    <w:rsid w:val="00680CAF"/>
    <w:rsid w:val="006820B5"/>
    <w:rsid w:val="00682B75"/>
    <w:rsid w:val="006837F9"/>
    <w:rsid w:val="006851FB"/>
    <w:rsid w:val="00685A77"/>
    <w:rsid w:val="00685C52"/>
    <w:rsid w:val="006906DC"/>
    <w:rsid w:val="00690BFC"/>
    <w:rsid w:val="00691A2B"/>
    <w:rsid w:val="00692186"/>
    <w:rsid w:val="00693F8F"/>
    <w:rsid w:val="0069414F"/>
    <w:rsid w:val="00696005"/>
    <w:rsid w:val="006967F6"/>
    <w:rsid w:val="006977AF"/>
    <w:rsid w:val="006A0482"/>
    <w:rsid w:val="006A0E4A"/>
    <w:rsid w:val="006A2787"/>
    <w:rsid w:val="006A53E7"/>
    <w:rsid w:val="006A5550"/>
    <w:rsid w:val="006B1C8A"/>
    <w:rsid w:val="006B250D"/>
    <w:rsid w:val="006B5412"/>
    <w:rsid w:val="006B7016"/>
    <w:rsid w:val="006C1418"/>
    <w:rsid w:val="006C17BC"/>
    <w:rsid w:val="006C1BD2"/>
    <w:rsid w:val="006C263F"/>
    <w:rsid w:val="006C36A6"/>
    <w:rsid w:val="006C47D2"/>
    <w:rsid w:val="006C562F"/>
    <w:rsid w:val="006C56AE"/>
    <w:rsid w:val="006C5BB2"/>
    <w:rsid w:val="006C6021"/>
    <w:rsid w:val="006C7632"/>
    <w:rsid w:val="006D0185"/>
    <w:rsid w:val="006D24D4"/>
    <w:rsid w:val="006D2594"/>
    <w:rsid w:val="006D4CE2"/>
    <w:rsid w:val="006D55BC"/>
    <w:rsid w:val="006D636E"/>
    <w:rsid w:val="006E06D6"/>
    <w:rsid w:val="006E0E01"/>
    <w:rsid w:val="006E2FC7"/>
    <w:rsid w:val="006E5B19"/>
    <w:rsid w:val="006E66B7"/>
    <w:rsid w:val="006E6A91"/>
    <w:rsid w:val="006E6B18"/>
    <w:rsid w:val="006E6ED3"/>
    <w:rsid w:val="006E7E11"/>
    <w:rsid w:val="006F1DFD"/>
    <w:rsid w:val="006F497B"/>
    <w:rsid w:val="006F4CD0"/>
    <w:rsid w:val="006F5591"/>
    <w:rsid w:val="006F7401"/>
    <w:rsid w:val="006F7A6E"/>
    <w:rsid w:val="00700CC8"/>
    <w:rsid w:val="00700DF8"/>
    <w:rsid w:val="00703118"/>
    <w:rsid w:val="00705C12"/>
    <w:rsid w:val="00710716"/>
    <w:rsid w:val="00714199"/>
    <w:rsid w:val="00714C67"/>
    <w:rsid w:val="00716786"/>
    <w:rsid w:val="00716D64"/>
    <w:rsid w:val="00717099"/>
    <w:rsid w:val="007170C1"/>
    <w:rsid w:val="00717350"/>
    <w:rsid w:val="007176B6"/>
    <w:rsid w:val="007205C9"/>
    <w:rsid w:val="00721967"/>
    <w:rsid w:val="00721B48"/>
    <w:rsid w:val="00721F72"/>
    <w:rsid w:val="0072418E"/>
    <w:rsid w:val="007242F5"/>
    <w:rsid w:val="00724580"/>
    <w:rsid w:val="00730176"/>
    <w:rsid w:val="00731715"/>
    <w:rsid w:val="007341A1"/>
    <w:rsid w:val="00735430"/>
    <w:rsid w:val="00737173"/>
    <w:rsid w:val="00737C98"/>
    <w:rsid w:val="00740AF9"/>
    <w:rsid w:val="00741009"/>
    <w:rsid w:val="00741255"/>
    <w:rsid w:val="00741DE0"/>
    <w:rsid w:val="00742D3B"/>
    <w:rsid w:val="007432E0"/>
    <w:rsid w:val="0074358A"/>
    <w:rsid w:val="007437BE"/>
    <w:rsid w:val="0074691E"/>
    <w:rsid w:val="0075046A"/>
    <w:rsid w:val="00751814"/>
    <w:rsid w:val="00751A22"/>
    <w:rsid w:val="00751DF5"/>
    <w:rsid w:val="00752260"/>
    <w:rsid w:val="007532BD"/>
    <w:rsid w:val="007551A5"/>
    <w:rsid w:val="00756DF0"/>
    <w:rsid w:val="007613DE"/>
    <w:rsid w:val="00763F30"/>
    <w:rsid w:val="00764025"/>
    <w:rsid w:val="0077001F"/>
    <w:rsid w:val="00771833"/>
    <w:rsid w:val="007720D8"/>
    <w:rsid w:val="0077249F"/>
    <w:rsid w:val="00774777"/>
    <w:rsid w:val="007748CD"/>
    <w:rsid w:val="00775FD5"/>
    <w:rsid w:val="007762B0"/>
    <w:rsid w:val="007770E5"/>
    <w:rsid w:val="00777B18"/>
    <w:rsid w:val="00777F33"/>
    <w:rsid w:val="00780C22"/>
    <w:rsid w:val="00782A59"/>
    <w:rsid w:val="00783392"/>
    <w:rsid w:val="007833B5"/>
    <w:rsid w:val="007843A1"/>
    <w:rsid w:val="007848FB"/>
    <w:rsid w:val="00784FD5"/>
    <w:rsid w:val="00786827"/>
    <w:rsid w:val="0079029F"/>
    <w:rsid w:val="00792EED"/>
    <w:rsid w:val="00793A57"/>
    <w:rsid w:val="00794F59"/>
    <w:rsid w:val="007A10FF"/>
    <w:rsid w:val="007A11D4"/>
    <w:rsid w:val="007A2B8E"/>
    <w:rsid w:val="007A2D44"/>
    <w:rsid w:val="007A4800"/>
    <w:rsid w:val="007A4857"/>
    <w:rsid w:val="007A7004"/>
    <w:rsid w:val="007A7011"/>
    <w:rsid w:val="007A77FB"/>
    <w:rsid w:val="007B2BB4"/>
    <w:rsid w:val="007B42F8"/>
    <w:rsid w:val="007B5E9C"/>
    <w:rsid w:val="007B65C3"/>
    <w:rsid w:val="007B6917"/>
    <w:rsid w:val="007B7164"/>
    <w:rsid w:val="007C1A0E"/>
    <w:rsid w:val="007C284B"/>
    <w:rsid w:val="007C33EA"/>
    <w:rsid w:val="007C3513"/>
    <w:rsid w:val="007C49A5"/>
    <w:rsid w:val="007C4B47"/>
    <w:rsid w:val="007C564D"/>
    <w:rsid w:val="007C7E07"/>
    <w:rsid w:val="007D11BA"/>
    <w:rsid w:val="007D16CF"/>
    <w:rsid w:val="007D22CE"/>
    <w:rsid w:val="007D3147"/>
    <w:rsid w:val="007D4BF8"/>
    <w:rsid w:val="007D5AE4"/>
    <w:rsid w:val="007D69D4"/>
    <w:rsid w:val="007E161C"/>
    <w:rsid w:val="007E2D05"/>
    <w:rsid w:val="007E503C"/>
    <w:rsid w:val="007F099B"/>
    <w:rsid w:val="007F19B1"/>
    <w:rsid w:val="007F2234"/>
    <w:rsid w:val="007F2614"/>
    <w:rsid w:val="007F39DE"/>
    <w:rsid w:val="007F3C12"/>
    <w:rsid w:val="007F61B6"/>
    <w:rsid w:val="00800AA7"/>
    <w:rsid w:val="00800CD3"/>
    <w:rsid w:val="00801098"/>
    <w:rsid w:val="00802610"/>
    <w:rsid w:val="00803027"/>
    <w:rsid w:val="00803B1C"/>
    <w:rsid w:val="008042FD"/>
    <w:rsid w:val="00806667"/>
    <w:rsid w:val="00807D03"/>
    <w:rsid w:val="008106BD"/>
    <w:rsid w:val="00812C9E"/>
    <w:rsid w:val="0081698E"/>
    <w:rsid w:val="00816E84"/>
    <w:rsid w:val="00817508"/>
    <w:rsid w:val="0082110C"/>
    <w:rsid w:val="0082158B"/>
    <w:rsid w:val="00821E9A"/>
    <w:rsid w:val="00822082"/>
    <w:rsid w:val="0082219E"/>
    <w:rsid w:val="00822435"/>
    <w:rsid w:val="0082401E"/>
    <w:rsid w:val="00825364"/>
    <w:rsid w:val="00825496"/>
    <w:rsid w:val="00830E58"/>
    <w:rsid w:val="00831C5D"/>
    <w:rsid w:val="0083260B"/>
    <w:rsid w:val="00832757"/>
    <w:rsid w:val="00837815"/>
    <w:rsid w:val="00837C19"/>
    <w:rsid w:val="0084007B"/>
    <w:rsid w:val="00840820"/>
    <w:rsid w:val="00840CFD"/>
    <w:rsid w:val="008427DC"/>
    <w:rsid w:val="008441F5"/>
    <w:rsid w:val="0084523C"/>
    <w:rsid w:val="00850D25"/>
    <w:rsid w:val="00854275"/>
    <w:rsid w:val="00855071"/>
    <w:rsid w:val="00856612"/>
    <w:rsid w:val="0085675C"/>
    <w:rsid w:val="0085677D"/>
    <w:rsid w:val="008568AF"/>
    <w:rsid w:val="00856E10"/>
    <w:rsid w:val="00857524"/>
    <w:rsid w:val="008639C8"/>
    <w:rsid w:val="00863D3C"/>
    <w:rsid w:val="0087036B"/>
    <w:rsid w:val="00871658"/>
    <w:rsid w:val="00872516"/>
    <w:rsid w:val="00874323"/>
    <w:rsid w:val="0087511F"/>
    <w:rsid w:val="008759D8"/>
    <w:rsid w:val="0088050F"/>
    <w:rsid w:val="008805FA"/>
    <w:rsid w:val="00881309"/>
    <w:rsid w:val="00881BE1"/>
    <w:rsid w:val="00886738"/>
    <w:rsid w:val="00890960"/>
    <w:rsid w:val="008928B1"/>
    <w:rsid w:val="00893CAD"/>
    <w:rsid w:val="008963A9"/>
    <w:rsid w:val="00896B07"/>
    <w:rsid w:val="008A1F51"/>
    <w:rsid w:val="008A37C3"/>
    <w:rsid w:val="008A3C0A"/>
    <w:rsid w:val="008B0AD9"/>
    <w:rsid w:val="008B1CF3"/>
    <w:rsid w:val="008B40EC"/>
    <w:rsid w:val="008B68EB"/>
    <w:rsid w:val="008B6B63"/>
    <w:rsid w:val="008C056D"/>
    <w:rsid w:val="008C0672"/>
    <w:rsid w:val="008C1100"/>
    <w:rsid w:val="008C1753"/>
    <w:rsid w:val="008C1827"/>
    <w:rsid w:val="008C1AAF"/>
    <w:rsid w:val="008C35E1"/>
    <w:rsid w:val="008C3757"/>
    <w:rsid w:val="008C55EB"/>
    <w:rsid w:val="008C5A6D"/>
    <w:rsid w:val="008D0835"/>
    <w:rsid w:val="008D1F4B"/>
    <w:rsid w:val="008D4A56"/>
    <w:rsid w:val="008D64EF"/>
    <w:rsid w:val="008D6CF4"/>
    <w:rsid w:val="008D7E91"/>
    <w:rsid w:val="008E026A"/>
    <w:rsid w:val="008E0430"/>
    <w:rsid w:val="008E2A9B"/>
    <w:rsid w:val="008E4851"/>
    <w:rsid w:val="008E5112"/>
    <w:rsid w:val="008E64B0"/>
    <w:rsid w:val="008E69A4"/>
    <w:rsid w:val="008E72B5"/>
    <w:rsid w:val="008E7B5D"/>
    <w:rsid w:val="008F2B3B"/>
    <w:rsid w:val="008F3BD8"/>
    <w:rsid w:val="008F591E"/>
    <w:rsid w:val="008F70D6"/>
    <w:rsid w:val="008F7C96"/>
    <w:rsid w:val="00900F5B"/>
    <w:rsid w:val="00901A6F"/>
    <w:rsid w:val="009025EA"/>
    <w:rsid w:val="00903F36"/>
    <w:rsid w:val="009048D0"/>
    <w:rsid w:val="009053BD"/>
    <w:rsid w:val="00905924"/>
    <w:rsid w:val="00907068"/>
    <w:rsid w:val="00910950"/>
    <w:rsid w:val="00910AD4"/>
    <w:rsid w:val="009111C8"/>
    <w:rsid w:val="009127F6"/>
    <w:rsid w:val="00912A46"/>
    <w:rsid w:val="00913181"/>
    <w:rsid w:val="00917705"/>
    <w:rsid w:val="00917AE2"/>
    <w:rsid w:val="00917B1C"/>
    <w:rsid w:val="00917B36"/>
    <w:rsid w:val="009233DD"/>
    <w:rsid w:val="0092358F"/>
    <w:rsid w:val="00926C7E"/>
    <w:rsid w:val="0093033B"/>
    <w:rsid w:val="009308D9"/>
    <w:rsid w:val="00931464"/>
    <w:rsid w:val="009317B4"/>
    <w:rsid w:val="0093220A"/>
    <w:rsid w:val="00932DC4"/>
    <w:rsid w:val="009339EC"/>
    <w:rsid w:val="00933FE6"/>
    <w:rsid w:val="00933FF1"/>
    <w:rsid w:val="0093489C"/>
    <w:rsid w:val="0094094B"/>
    <w:rsid w:val="00940F3E"/>
    <w:rsid w:val="00941C9F"/>
    <w:rsid w:val="00941EF3"/>
    <w:rsid w:val="00942336"/>
    <w:rsid w:val="00942635"/>
    <w:rsid w:val="009437A2"/>
    <w:rsid w:val="009445AB"/>
    <w:rsid w:val="00947C56"/>
    <w:rsid w:val="00947FA7"/>
    <w:rsid w:val="0095038E"/>
    <w:rsid w:val="00953E5F"/>
    <w:rsid w:val="0095417D"/>
    <w:rsid w:val="00954C07"/>
    <w:rsid w:val="00954F28"/>
    <w:rsid w:val="00955505"/>
    <w:rsid w:val="009568BB"/>
    <w:rsid w:val="00957A9C"/>
    <w:rsid w:val="0096134C"/>
    <w:rsid w:val="00962924"/>
    <w:rsid w:val="00962C9B"/>
    <w:rsid w:val="00965ADC"/>
    <w:rsid w:val="00966F86"/>
    <w:rsid w:val="00970AC5"/>
    <w:rsid w:val="00972009"/>
    <w:rsid w:val="00972288"/>
    <w:rsid w:val="009724F6"/>
    <w:rsid w:val="0097262C"/>
    <w:rsid w:val="00972EC8"/>
    <w:rsid w:val="00973C6F"/>
    <w:rsid w:val="00974171"/>
    <w:rsid w:val="00974921"/>
    <w:rsid w:val="009752CD"/>
    <w:rsid w:val="00975662"/>
    <w:rsid w:val="00976D54"/>
    <w:rsid w:val="00980943"/>
    <w:rsid w:val="009811F1"/>
    <w:rsid w:val="00981657"/>
    <w:rsid w:val="0098175C"/>
    <w:rsid w:val="00981964"/>
    <w:rsid w:val="00983B74"/>
    <w:rsid w:val="00985C7A"/>
    <w:rsid w:val="0098602C"/>
    <w:rsid w:val="00986059"/>
    <w:rsid w:val="00986BEB"/>
    <w:rsid w:val="00986F0E"/>
    <w:rsid w:val="009904ED"/>
    <w:rsid w:val="00992D7C"/>
    <w:rsid w:val="00992EA1"/>
    <w:rsid w:val="009931AE"/>
    <w:rsid w:val="00996F49"/>
    <w:rsid w:val="009A2182"/>
    <w:rsid w:val="009A3273"/>
    <w:rsid w:val="009A34A0"/>
    <w:rsid w:val="009A5028"/>
    <w:rsid w:val="009A5932"/>
    <w:rsid w:val="009A5F1C"/>
    <w:rsid w:val="009A7CB8"/>
    <w:rsid w:val="009A7FF4"/>
    <w:rsid w:val="009B1192"/>
    <w:rsid w:val="009B1FB7"/>
    <w:rsid w:val="009B479E"/>
    <w:rsid w:val="009B49D0"/>
    <w:rsid w:val="009B4DCD"/>
    <w:rsid w:val="009C0A05"/>
    <w:rsid w:val="009C216B"/>
    <w:rsid w:val="009C310E"/>
    <w:rsid w:val="009C44E1"/>
    <w:rsid w:val="009C4573"/>
    <w:rsid w:val="009D0045"/>
    <w:rsid w:val="009D07F3"/>
    <w:rsid w:val="009D4700"/>
    <w:rsid w:val="009D742A"/>
    <w:rsid w:val="009D7E02"/>
    <w:rsid w:val="009E2639"/>
    <w:rsid w:val="009E355F"/>
    <w:rsid w:val="009E4465"/>
    <w:rsid w:val="009E69C0"/>
    <w:rsid w:val="009E6FDB"/>
    <w:rsid w:val="009E7FC7"/>
    <w:rsid w:val="009F0C25"/>
    <w:rsid w:val="009F0CD0"/>
    <w:rsid w:val="009F19B4"/>
    <w:rsid w:val="009F421F"/>
    <w:rsid w:val="009F70AE"/>
    <w:rsid w:val="00A01ECA"/>
    <w:rsid w:val="00A0218B"/>
    <w:rsid w:val="00A0230B"/>
    <w:rsid w:val="00A02953"/>
    <w:rsid w:val="00A04127"/>
    <w:rsid w:val="00A06205"/>
    <w:rsid w:val="00A06701"/>
    <w:rsid w:val="00A10E27"/>
    <w:rsid w:val="00A11969"/>
    <w:rsid w:val="00A11DF9"/>
    <w:rsid w:val="00A15F1D"/>
    <w:rsid w:val="00A174FB"/>
    <w:rsid w:val="00A1778A"/>
    <w:rsid w:val="00A20F35"/>
    <w:rsid w:val="00A21F60"/>
    <w:rsid w:val="00A22B84"/>
    <w:rsid w:val="00A23DDA"/>
    <w:rsid w:val="00A24D47"/>
    <w:rsid w:val="00A25B74"/>
    <w:rsid w:val="00A276A4"/>
    <w:rsid w:val="00A31753"/>
    <w:rsid w:val="00A32A15"/>
    <w:rsid w:val="00A3377A"/>
    <w:rsid w:val="00A40CC0"/>
    <w:rsid w:val="00A446DC"/>
    <w:rsid w:val="00A4533F"/>
    <w:rsid w:val="00A453CC"/>
    <w:rsid w:val="00A502B2"/>
    <w:rsid w:val="00A5675A"/>
    <w:rsid w:val="00A5704A"/>
    <w:rsid w:val="00A60FCD"/>
    <w:rsid w:val="00A633D3"/>
    <w:rsid w:val="00A63671"/>
    <w:rsid w:val="00A64A27"/>
    <w:rsid w:val="00A66241"/>
    <w:rsid w:val="00A70A45"/>
    <w:rsid w:val="00A70BA6"/>
    <w:rsid w:val="00A70C99"/>
    <w:rsid w:val="00A73B34"/>
    <w:rsid w:val="00A73E25"/>
    <w:rsid w:val="00A74129"/>
    <w:rsid w:val="00A74323"/>
    <w:rsid w:val="00A769F5"/>
    <w:rsid w:val="00A805EF"/>
    <w:rsid w:val="00A80CCF"/>
    <w:rsid w:val="00A8308D"/>
    <w:rsid w:val="00A83EBD"/>
    <w:rsid w:val="00A8425C"/>
    <w:rsid w:val="00A84551"/>
    <w:rsid w:val="00A87417"/>
    <w:rsid w:val="00A87995"/>
    <w:rsid w:val="00A90325"/>
    <w:rsid w:val="00A92116"/>
    <w:rsid w:val="00A93BF5"/>
    <w:rsid w:val="00A941C6"/>
    <w:rsid w:val="00A95489"/>
    <w:rsid w:val="00A95C94"/>
    <w:rsid w:val="00AA13C4"/>
    <w:rsid w:val="00AA4CB7"/>
    <w:rsid w:val="00AA52C1"/>
    <w:rsid w:val="00AA6135"/>
    <w:rsid w:val="00AA6320"/>
    <w:rsid w:val="00AB1909"/>
    <w:rsid w:val="00AB3940"/>
    <w:rsid w:val="00AB45FE"/>
    <w:rsid w:val="00AB4E62"/>
    <w:rsid w:val="00AB50FD"/>
    <w:rsid w:val="00AB7BA7"/>
    <w:rsid w:val="00AB7DD8"/>
    <w:rsid w:val="00AC0358"/>
    <w:rsid w:val="00AC0BAA"/>
    <w:rsid w:val="00AC14A7"/>
    <w:rsid w:val="00AC2702"/>
    <w:rsid w:val="00AC292E"/>
    <w:rsid w:val="00AC33A6"/>
    <w:rsid w:val="00AC3479"/>
    <w:rsid w:val="00AC622B"/>
    <w:rsid w:val="00AC6DB2"/>
    <w:rsid w:val="00AC77BE"/>
    <w:rsid w:val="00AD2409"/>
    <w:rsid w:val="00AD2EE5"/>
    <w:rsid w:val="00AD3DC1"/>
    <w:rsid w:val="00AD4E9B"/>
    <w:rsid w:val="00AD62D5"/>
    <w:rsid w:val="00AD7E01"/>
    <w:rsid w:val="00AE0E34"/>
    <w:rsid w:val="00AE2096"/>
    <w:rsid w:val="00AE3F37"/>
    <w:rsid w:val="00AE4D0E"/>
    <w:rsid w:val="00AE5356"/>
    <w:rsid w:val="00AE5364"/>
    <w:rsid w:val="00AF3B8A"/>
    <w:rsid w:val="00AF5DF3"/>
    <w:rsid w:val="00AF72AD"/>
    <w:rsid w:val="00AF7629"/>
    <w:rsid w:val="00B0303F"/>
    <w:rsid w:val="00B03B30"/>
    <w:rsid w:val="00B04558"/>
    <w:rsid w:val="00B045C3"/>
    <w:rsid w:val="00B04951"/>
    <w:rsid w:val="00B06E51"/>
    <w:rsid w:val="00B11D90"/>
    <w:rsid w:val="00B126DB"/>
    <w:rsid w:val="00B126DD"/>
    <w:rsid w:val="00B13687"/>
    <w:rsid w:val="00B13ADB"/>
    <w:rsid w:val="00B1687B"/>
    <w:rsid w:val="00B20432"/>
    <w:rsid w:val="00B20A30"/>
    <w:rsid w:val="00B20C86"/>
    <w:rsid w:val="00B22DFB"/>
    <w:rsid w:val="00B24910"/>
    <w:rsid w:val="00B25861"/>
    <w:rsid w:val="00B304D9"/>
    <w:rsid w:val="00B30680"/>
    <w:rsid w:val="00B317D3"/>
    <w:rsid w:val="00B31B9E"/>
    <w:rsid w:val="00B31C2A"/>
    <w:rsid w:val="00B320B7"/>
    <w:rsid w:val="00B3235E"/>
    <w:rsid w:val="00B3241D"/>
    <w:rsid w:val="00B32456"/>
    <w:rsid w:val="00B3269E"/>
    <w:rsid w:val="00B33878"/>
    <w:rsid w:val="00B338D7"/>
    <w:rsid w:val="00B37E1E"/>
    <w:rsid w:val="00B414F7"/>
    <w:rsid w:val="00B41505"/>
    <w:rsid w:val="00B427AA"/>
    <w:rsid w:val="00B42A52"/>
    <w:rsid w:val="00B43553"/>
    <w:rsid w:val="00B444A1"/>
    <w:rsid w:val="00B45E0A"/>
    <w:rsid w:val="00B52061"/>
    <w:rsid w:val="00B5462B"/>
    <w:rsid w:val="00B55B8E"/>
    <w:rsid w:val="00B56113"/>
    <w:rsid w:val="00B564D5"/>
    <w:rsid w:val="00B643EA"/>
    <w:rsid w:val="00B71270"/>
    <w:rsid w:val="00B71DEA"/>
    <w:rsid w:val="00B72E4C"/>
    <w:rsid w:val="00B73C63"/>
    <w:rsid w:val="00B75278"/>
    <w:rsid w:val="00B75C4E"/>
    <w:rsid w:val="00B76D86"/>
    <w:rsid w:val="00B816A9"/>
    <w:rsid w:val="00B82466"/>
    <w:rsid w:val="00B82689"/>
    <w:rsid w:val="00B83946"/>
    <w:rsid w:val="00B83AF7"/>
    <w:rsid w:val="00B90009"/>
    <w:rsid w:val="00B91DEA"/>
    <w:rsid w:val="00B91ED2"/>
    <w:rsid w:val="00B938EC"/>
    <w:rsid w:val="00B94708"/>
    <w:rsid w:val="00B95B95"/>
    <w:rsid w:val="00B9618D"/>
    <w:rsid w:val="00B96FB8"/>
    <w:rsid w:val="00B976DF"/>
    <w:rsid w:val="00BA0A16"/>
    <w:rsid w:val="00BA2C58"/>
    <w:rsid w:val="00BA31D3"/>
    <w:rsid w:val="00BA512D"/>
    <w:rsid w:val="00BA5438"/>
    <w:rsid w:val="00BA68A3"/>
    <w:rsid w:val="00BA7F67"/>
    <w:rsid w:val="00BB1DA8"/>
    <w:rsid w:val="00BB387B"/>
    <w:rsid w:val="00BB403E"/>
    <w:rsid w:val="00BB4398"/>
    <w:rsid w:val="00BB4D61"/>
    <w:rsid w:val="00BC072F"/>
    <w:rsid w:val="00BC23CB"/>
    <w:rsid w:val="00BC2647"/>
    <w:rsid w:val="00BC384A"/>
    <w:rsid w:val="00BC55F5"/>
    <w:rsid w:val="00BC68C9"/>
    <w:rsid w:val="00BC7697"/>
    <w:rsid w:val="00BC79FC"/>
    <w:rsid w:val="00BD14FD"/>
    <w:rsid w:val="00BD1A83"/>
    <w:rsid w:val="00BD1C10"/>
    <w:rsid w:val="00BD2E00"/>
    <w:rsid w:val="00BD35BA"/>
    <w:rsid w:val="00BD48F3"/>
    <w:rsid w:val="00BD4D1D"/>
    <w:rsid w:val="00BD5E1C"/>
    <w:rsid w:val="00BD5FD8"/>
    <w:rsid w:val="00BD78F6"/>
    <w:rsid w:val="00BE1D1D"/>
    <w:rsid w:val="00BE448D"/>
    <w:rsid w:val="00BE4F38"/>
    <w:rsid w:val="00BE51F2"/>
    <w:rsid w:val="00BE7856"/>
    <w:rsid w:val="00BF0726"/>
    <w:rsid w:val="00BF2315"/>
    <w:rsid w:val="00BF2CB8"/>
    <w:rsid w:val="00BF5050"/>
    <w:rsid w:val="00BF5841"/>
    <w:rsid w:val="00BF6304"/>
    <w:rsid w:val="00BF744D"/>
    <w:rsid w:val="00C0289D"/>
    <w:rsid w:val="00C05B44"/>
    <w:rsid w:val="00C10148"/>
    <w:rsid w:val="00C103B1"/>
    <w:rsid w:val="00C113D0"/>
    <w:rsid w:val="00C1257C"/>
    <w:rsid w:val="00C13415"/>
    <w:rsid w:val="00C201A9"/>
    <w:rsid w:val="00C20570"/>
    <w:rsid w:val="00C21BF1"/>
    <w:rsid w:val="00C22299"/>
    <w:rsid w:val="00C22F8C"/>
    <w:rsid w:val="00C239E1"/>
    <w:rsid w:val="00C27F6A"/>
    <w:rsid w:val="00C31D5A"/>
    <w:rsid w:val="00C32D89"/>
    <w:rsid w:val="00C33E91"/>
    <w:rsid w:val="00C3577D"/>
    <w:rsid w:val="00C4197B"/>
    <w:rsid w:val="00C45084"/>
    <w:rsid w:val="00C46380"/>
    <w:rsid w:val="00C46662"/>
    <w:rsid w:val="00C466E9"/>
    <w:rsid w:val="00C46842"/>
    <w:rsid w:val="00C470FA"/>
    <w:rsid w:val="00C4747C"/>
    <w:rsid w:val="00C47FEF"/>
    <w:rsid w:val="00C515F9"/>
    <w:rsid w:val="00C5197F"/>
    <w:rsid w:val="00C51CF1"/>
    <w:rsid w:val="00C53CCE"/>
    <w:rsid w:val="00C5640B"/>
    <w:rsid w:val="00C56A25"/>
    <w:rsid w:val="00C573F0"/>
    <w:rsid w:val="00C608F7"/>
    <w:rsid w:val="00C62755"/>
    <w:rsid w:val="00C63E31"/>
    <w:rsid w:val="00C67262"/>
    <w:rsid w:val="00C67CC0"/>
    <w:rsid w:val="00C67F8B"/>
    <w:rsid w:val="00C71E66"/>
    <w:rsid w:val="00C72964"/>
    <w:rsid w:val="00C73B90"/>
    <w:rsid w:val="00C841C8"/>
    <w:rsid w:val="00C846EF"/>
    <w:rsid w:val="00C84A2C"/>
    <w:rsid w:val="00C85FB3"/>
    <w:rsid w:val="00C8603A"/>
    <w:rsid w:val="00C8669B"/>
    <w:rsid w:val="00C877DD"/>
    <w:rsid w:val="00C87B6B"/>
    <w:rsid w:val="00C87C36"/>
    <w:rsid w:val="00C87D0A"/>
    <w:rsid w:val="00C91808"/>
    <w:rsid w:val="00C95517"/>
    <w:rsid w:val="00C967A0"/>
    <w:rsid w:val="00CA143A"/>
    <w:rsid w:val="00CA36D4"/>
    <w:rsid w:val="00CA3D33"/>
    <w:rsid w:val="00CA3DDB"/>
    <w:rsid w:val="00CA403A"/>
    <w:rsid w:val="00CA40D7"/>
    <w:rsid w:val="00CB015A"/>
    <w:rsid w:val="00CB0535"/>
    <w:rsid w:val="00CB2038"/>
    <w:rsid w:val="00CB2F7D"/>
    <w:rsid w:val="00CB4AF8"/>
    <w:rsid w:val="00CB54FF"/>
    <w:rsid w:val="00CC1249"/>
    <w:rsid w:val="00CC69B4"/>
    <w:rsid w:val="00CC7CD3"/>
    <w:rsid w:val="00CD1789"/>
    <w:rsid w:val="00CD2BBF"/>
    <w:rsid w:val="00CD2CDE"/>
    <w:rsid w:val="00CD2EF2"/>
    <w:rsid w:val="00CD312C"/>
    <w:rsid w:val="00CD427E"/>
    <w:rsid w:val="00CD4914"/>
    <w:rsid w:val="00CD6561"/>
    <w:rsid w:val="00CD6A39"/>
    <w:rsid w:val="00CE0D9A"/>
    <w:rsid w:val="00CE1A11"/>
    <w:rsid w:val="00CE1C0D"/>
    <w:rsid w:val="00CE25FB"/>
    <w:rsid w:val="00CE346E"/>
    <w:rsid w:val="00CE4D8F"/>
    <w:rsid w:val="00CE5754"/>
    <w:rsid w:val="00CE59AC"/>
    <w:rsid w:val="00CE6E45"/>
    <w:rsid w:val="00CE6EE7"/>
    <w:rsid w:val="00CE710B"/>
    <w:rsid w:val="00CE76DF"/>
    <w:rsid w:val="00CF1050"/>
    <w:rsid w:val="00CF6DE8"/>
    <w:rsid w:val="00CF7250"/>
    <w:rsid w:val="00CF7A07"/>
    <w:rsid w:val="00D01504"/>
    <w:rsid w:val="00D01D4B"/>
    <w:rsid w:val="00D02901"/>
    <w:rsid w:val="00D04EC9"/>
    <w:rsid w:val="00D05912"/>
    <w:rsid w:val="00D0637F"/>
    <w:rsid w:val="00D07555"/>
    <w:rsid w:val="00D115C5"/>
    <w:rsid w:val="00D1341B"/>
    <w:rsid w:val="00D20559"/>
    <w:rsid w:val="00D21F81"/>
    <w:rsid w:val="00D2382F"/>
    <w:rsid w:val="00D26617"/>
    <w:rsid w:val="00D300D2"/>
    <w:rsid w:val="00D3194F"/>
    <w:rsid w:val="00D31E7B"/>
    <w:rsid w:val="00D32058"/>
    <w:rsid w:val="00D35B80"/>
    <w:rsid w:val="00D37B1E"/>
    <w:rsid w:val="00D40208"/>
    <w:rsid w:val="00D40F11"/>
    <w:rsid w:val="00D4307E"/>
    <w:rsid w:val="00D43CFF"/>
    <w:rsid w:val="00D44005"/>
    <w:rsid w:val="00D44597"/>
    <w:rsid w:val="00D458BC"/>
    <w:rsid w:val="00D47265"/>
    <w:rsid w:val="00D47EE3"/>
    <w:rsid w:val="00D50B8D"/>
    <w:rsid w:val="00D5172C"/>
    <w:rsid w:val="00D53ACE"/>
    <w:rsid w:val="00D5527F"/>
    <w:rsid w:val="00D60632"/>
    <w:rsid w:val="00D61160"/>
    <w:rsid w:val="00D61E38"/>
    <w:rsid w:val="00D62503"/>
    <w:rsid w:val="00D62E65"/>
    <w:rsid w:val="00D63E37"/>
    <w:rsid w:val="00D66371"/>
    <w:rsid w:val="00D71115"/>
    <w:rsid w:val="00D71F9C"/>
    <w:rsid w:val="00D7468D"/>
    <w:rsid w:val="00D756AC"/>
    <w:rsid w:val="00D7666D"/>
    <w:rsid w:val="00D81205"/>
    <w:rsid w:val="00D82249"/>
    <w:rsid w:val="00D83134"/>
    <w:rsid w:val="00D843E7"/>
    <w:rsid w:val="00D84DB1"/>
    <w:rsid w:val="00D86B45"/>
    <w:rsid w:val="00D87108"/>
    <w:rsid w:val="00D87EB9"/>
    <w:rsid w:val="00D9222C"/>
    <w:rsid w:val="00D96004"/>
    <w:rsid w:val="00D97709"/>
    <w:rsid w:val="00D97E2D"/>
    <w:rsid w:val="00DA14DF"/>
    <w:rsid w:val="00DA1655"/>
    <w:rsid w:val="00DA1B3A"/>
    <w:rsid w:val="00DA28E9"/>
    <w:rsid w:val="00DA34A9"/>
    <w:rsid w:val="00DA4E4E"/>
    <w:rsid w:val="00DA53EB"/>
    <w:rsid w:val="00DA6108"/>
    <w:rsid w:val="00DA6AF6"/>
    <w:rsid w:val="00DA793A"/>
    <w:rsid w:val="00DB0AE2"/>
    <w:rsid w:val="00DB2956"/>
    <w:rsid w:val="00DB45B5"/>
    <w:rsid w:val="00DB4E99"/>
    <w:rsid w:val="00DB571D"/>
    <w:rsid w:val="00DB6FEA"/>
    <w:rsid w:val="00DB72D1"/>
    <w:rsid w:val="00DB78DD"/>
    <w:rsid w:val="00DB7F2C"/>
    <w:rsid w:val="00DC1858"/>
    <w:rsid w:val="00DC2E61"/>
    <w:rsid w:val="00DC400D"/>
    <w:rsid w:val="00DC4A38"/>
    <w:rsid w:val="00DC4B0E"/>
    <w:rsid w:val="00DC5ABA"/>
    <w:rsid w:val="00DC6AD0"/>
    <w:rsid w:val="00DC72DD"/>
    <w:rsid w:val="00DC7478"/>
    <w:rsid w:val="00DC78AE"/>
    <w:rsid w:val="00DD0ADB"/>
    <w:rsid w:val="00DD29AD"/>
    <w:rsid w:val="00DD2CF0"/>
    <w:rsid w:val="00DD4104"/>
    <w:rsid w:val="00DD6527"/>
    <w:rsid w:val="00DE0D98"/>
    <w:rsid w:val="00DE1181"/>
    <w:rsid w:val="00DE3316"/>
    <w:rsid w:val="00DE6839"/>
    <w:rsid w:val="00DE71F2"/>
    <w:rsid w:val="00DE7498"/>
    <w:rsid w:val="00DE7546"/>
    <w:rsid w:val="00DE7D5F"/>
    <w:rsid w:val="00DF18A2"/>
    <w:rsid w:val="00DF1952"/>
    <w:rsid w:val="00DF20C4"/>
    <w:rsid w:val="00DF3C65"/>
    <w:rsid w:val="00DF3D03"/>
    <w:rsid w:val="00DF434C"/>
    <w:rsid w:val="00DF462A"/>
    <w:rsid w:val="00DF4C81"/>
    <w:rsid w:val="00DF71A7"/>
    <w:rsid w:val="00DF76D3"/>
    <w:rsid w:val="00DF77D7"/>
    <w:rsid w:val="00DF7B4D"/>
    <w:rsid w:val="00DF7EB8"/>
    <w:rsid w:val="00E01329"/>
    <w:rsid w:val="00E01C6B"/>
    <w:rsid w:val="00E029CC"/>
    <w:rsid w:val="00E02ECE"/>
    <w:rsid w:val="00E032AB"/>
    <w:rsid w:val="00E0432C"/>
    <w:rsid w:val="00E054E7"/>
    <w:rsid w:val="00E063E1"/>
    <w:rsid w:val="00E067EF"/>
    <w:rsid w:val="00E068A8"/>
    <w:rsid w:val="00E07656"/>
    <w:rsid w:val="00E11A7B"/>
    <w:rsid w:val="00E11BC2"/>
    <w:rsid w:val="00E14468"/>
    <w:rsid w:val="00E14538"/>
    <w:rsid w:val="00E151C6"/>
    <w:rsid w:val="00E20322"/>
    <w:rsid w:val="00E2061B"/>
    <w:rsid w:val="00E206A0"/>
    <w:rsid w:val="00E209AE"/>
    <w:rsid w:val="00E230BF"/>
    <w:rsid w:val="00E24D9F"/>
    <w:rsid w:val="00E273A7"/>
    <w:rsid w:val="00E30D54"/>
    <w:rsid w:val="00E343CD"/>
    <w:rsid w:val="00E34888"/>
    <w:rsid w:val="00E35113"/>
    <w:rsid w:val="00E36F99"/>
    <w:rsid w:val="00E401DE"/>
    <w:rsid w:val="00E41E1E"/>
    <w:rsid w:val="00E4324D"/>
    <w:rsid w:val="00E435BB"/>
    <w:rsid w:val="00E44483"/>
    <w:rsid w:val="00E44CF5"/>
    <w:rsid w:val="00E44F95"/>
    <w:rsid w:val="00E46C40"/>
    <w:rsid w:val="00E477A2"/>
    <w:rsid w:val="00E50286"/>
    <w:rsid w:val="00E512E6"/>
    <w:rsid w:val="00E51DDC"/>
    <w:rsid w:val="00E52077"/>
    <w:rsid w:val="00E53BFE"/>
    <w:rsid w:val="00E553AE"/>
    <w:rsid w:val="00E56688"/>
    <w:rsid w:val="00E568BD"/>
    <w:rsid w:val="00E5693D"/>
    <w:rsid w:val="00E5713E"/>
    <w:rsid w:val="00E57211"/>
    <w:rsid w:val="00E57D3B"/>
    <w:rsid w:val="00E609BC"/>
    <w:rsid w:val="00E63D8D"/>
    <w:rsid w:val="00E668F7"/>
    <w:rsid w:val="00E677F6"/>
    <w:rsid w:val="00E67BD4"/>
    <w:rsid w:val="00E67EC5"/>
    <w:rsid w:val="00E70324"/>
    <w:rsid w:val="00E709A1"/>
    <w:rsid w:val="00E70DE7"/>
    <w:rsid w:val="00E71E0A"/>
    <w:rsid w:val="00E71FCC"/>
    <w:rsid w:val="00E729F4"/>
    <w:rsid w:val="00E7358F"/>
    <w:rsid w:val="00E737D1"/>
    <w:rsid w:val="00E73AF9"/>
    <w:rsid w:val="00E766FD"/>
    <w:rsid w:val="00E76B86"/>
    <w:rsid w:val="00E779B6"/>
    <w:rsid w:val="00E80EAF"/>
    <w:rsid w:val="00E81446"/>
    <w:rsid w:val="00E8247E"/>
    <w:rsid w:val="00E833B8"/>
    <w:rsid w:val="00E841EE"/>
    <w:rsid w:val="00E8493D"/>
    <w:rsid w:val="00E8511C"/>
    <w:rsid w:val="00E8765C"/>
    <w:rsid w:val="00E9089F"/>
    <w:rsid w:val="00E90943"/>
    <w:rsid w:val="00E90C98"/>
    <w:rsid w:val="00E932AB"/>
    <w:rsid w:val="00E949D8"/>
    <w:rsid w:val="00E95123"/>
    <w:rsid w:val="00E977BB"/>
    <w:rsid w:val="00EA010C"/>
    <w:rsid w:val="00EA2A42"/>
    <w:rsid w:val="00EA44A8"/>
    <w:rsid w:val="00EA4C38"/>
    <w:rsid w:val="00EA5BBF"/>
    <w:rsid w:val="00EA6508"/>
    <w:rsid w:val="00EB04B3"/>
    <w:rsid w:val="00EB0AD1"/>
    <w:rsid w:val="00EB0E53"/>
    <w:rsid w:val="00EB16CF"/>
    <w:rsid w:val="00EB28DC"/>
    <w:rsid w:val="00EB31EC"/>
    <w:rsid w:val="00EB3BA1"/>
    <w:rsid w:val="00EB6B82"/>
    <w:rsid w:val="00EB749A"/>
    <w:rsid w:val="00EB7616"/>
    <w:rsid w:val="00EC00A0"/>
    <w:rsid w:val="00EC03AE"/>
    <w:rsid w:val="00EC3341"/>
    <w:rsid w:val="00EC3A0F"/>
    <w:rsid w:val="00EC71CA"/>
    <w:rsid w:val="00EC7D76"/>
    <w:rsid w:val="00ED191B"/>
    <w:rsid w:val="00ED19A0"/>
    <w:rsid w:val="00ED3FCA"/>
    <w:rsid w:val="00ED4FDE"/>
    <w:rsid w:val="00ED6CD8"/>
    <w:rsid w:val="00EE530F"/>
    <w:rsid w:val="00EF0364"/>
    <w:rsid w:val="00EF0BCD"/>
    <w:rsid w:val="00EF18BC"/>
    <w:rsid w:val="00EF4493"/>
    <w:rsid w:val="00EF7B78"/>
    <w:rsid w:val="00EF7CCE"/>
    <w:rsid w:val="00F0222A"/>
    <w:rsid w:val="00F022D2"/>
    <w:rsid w:val="00F05715"/>
    <w:rsid w:val="00F05AC5"/>
    <w:rsid w:val="00F05AE7"/>
    <w:rsid w:val="00F06565"/>
    <w:rsid w:val="00F07C2D"/>
    <w:rsid w:val="00F121E2"/>
    <w:rsid w:val="00F12CDD"/>
    <w:rsid w:val="00F14BD6"/>
    <w:rsid w:val="00F1538E"/>
    <w:rsid w:val="00F167B3"/>
    <w:rsid w:val="00F208CA"/>
    <w:rsid w:val="00F21840"/>
    <w:rsid w:val="00F24D79"/>
    <w:rsid w:val="00F3184E"/>
    <w:rsid w:val="00F31957"/>
    <w:rsid w:val="00F33FAA"/>
    <w:rsid w:val="00F34155"/>
    <w:rsid w:val="00F34D59"/>
    <w:rsid w:val="00F352AA"/>
    <w:rsid w:val="00F35BFC"/>
    <w:rsid w:val="00F366DB"/>
    <w:rsid w:val="00F379E6"/>
    <w:rsid w:val="00F37A79"/>
    <w:rsid w:val="00F37FDD"/>
    <w:rsid w:val="00F40A6D"/>
    <w:rsid w:val="00F41B50"/>
    <w:rsid w:val="00F42297"/>
    <w:rsid w:val="00F430B7"/>
    <w:rsid w:val="00F43466"/>
    <w:rsid w:val="00F43A3F"/>
    <w:rsid w:val="00F446CB"/>
    <w:rsid w:val="00F517C5"/>
    <w:rsid w:val="00F51C82"/>
    <w:rsid w:val="00F5265F"/>
    <w:rsid w:val="00F54445"/>
    <w:rsid w:val="00F54883"/>
    <w:rsid w:val="00F55998"/>
    <w:rsid w:val="00F56667"/>
    <w:rsid w:val="00F576F4"/>
    <w:rsid w:val="00F6257B"/>
    <w:rsid w:val="00F633F4"/>
    <w:rsid w:val="00F66521"/>
    <w:rsid w:val="00F66792"/>
    <w:rsid w:val="00F70A80"/>
    <w:rsid w:val="00F740D6"/>
    <w:rsid w:val="00F74D69"/>
    <w:rsid w:val="00F7509A"/>
    <w:rsid w:val="00F758A2"/>
    <w:rsid w:val="00F76A82"/>
    <w:rsid w:val="00F76CE3"/>
    <w:rsid w:val="00F7705D"/>
    <w:rsid w:val="00F8094C"/>
    <w:rsid w:val="00F8223C"/>
    <w:rsid w:val="00F84D92"/>
    <w:rsid w:val="00F878BA"/>
    <w:rsid w:val="00F91337"/>
    <w:rsid w:val="00F9627B"/>
    <w:rsid w:val="00F964E9"/>
    <w:rsid w:val="00F9725D"/>
    <w:rsid w:val="00F97CFC"/>
    <w:rsid w:val="00FA21EE"/>
    <w:rsid w:val="00FA236C"/>
    <w:rsid w:val="00FA66EB"/>
    <w:rsid w:val="00FA7050"/>
    <w:rsid w:val="00FB1B39"/>
    <w:rsid w:val="00FB23EE"/>
    <w:rsid w:val="00FB29E8"/>
    <w:rsid w:val="00FB5E5F"/>
    <w:rsid w:val="00FC076B"/>
    <w:rsid w:val="00FC1E73"/>
    <w:rsid w:val="00FC2C42"/>
    <w:rsid w:val="00FC4153"/>
    <w:rsid w:val="00FC5EB7"/>
    <w:rsid w:val="00FC6E3A"/>
    <w:rsid w:val="00FC7A38"/>
    <w:rsid w:val="00FD02F2"/>
    <w:rsid w:val="00FD2591"/>
    <w:rsid w:val="00FD2D09"/>
    <w:rsid w:val="00FD3E93"/>
    <w:rsid w:val="00FD4EB4"/>
    <w:rsid w:val="00FD6C3A"/>
    <w:rsid w:val="00FD7A25"/>
    <w:rsid w:val="00FE268A"/>
    <w:rsid w:val="00FE2821"/>
    <w:rsid w:val="00FE3047"/>
    <w:rsid w:val="00FF0B86"/>
    <w:rsid w:val="00FF0E08"/>
    <w:rsid w:val="00FF2E23"/>
    <w:rsid w:val="00FF35D9"/>
    <w:rsid w:val="00FF36CF"/>
    <w:rsid w:val="00FF40E3"/>
    <w:rsid w:val="00FF4371"/>
    <w:rsid w:val="00FF5EEA"/>
    <w:rsid w:val="00FF63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33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51A22"/>
    <w:pPr>
      <w:spacing w:line="360" w:lineRule="auto"/>
      <w:ind w:firstLine="709"/>
      <w:jc w:val="both"/>
    </w:pPr>
    <w:rPr>
      <w:rFonts w:ascii="Arial Narrow" w:hAnsi="Arial Narrow"/>
      <w:noProof/>
      <w:sz w:val="24"/>
      <w:szCs w:val="24"/>
      <w:lang w:val="pt-PT"/>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1">
    <w:name w:val="Estilo1"/>
    <w:basedOn w:val="Normal"/>
    <w:rsid w:val="00751A22"/>
    <w:rPr>
      <w:rFonts w:eastAsia="Batang"/>
      <w:lang w:eastAsia="ko-KR"/>
    </w:rPr>
  </w:style>
  <w:style w:type="paragraph" w:customStyle="1" w:styleId="Estilo2">
    <w:name w:val="Estilo2"/>
    <w:basedOn w:val="Normal"/>
    <w:autoRedefine/>
    <w:rsid w:val="00751A22"/>
  </w:style>
  <w:style w:type="paragraph" w:styleId="Textodenotaderodap">
    <w:name w:val="footnote text"/>
    <w:basedOn w:val="Normal"/>
    <w:link w:val="TextodenotaderodapChar"/>
    <w:semiHidden/>
    <w:rsid w:val="00751A22"/>
    <w:pPr>
      <w:spacing w:line="240" w:lineRule="auto"/>
      <w:ind w:firstLine="720"/>
    </w:pPr>
    <w:rPr>
      <w:rFonts w:ascii="Times New Roman" w:hAnsi="Times New Roman"/>
      <w:noProof w:val="0"/>
      <w:sz w:val="20"/>
      <w:szCs w:val="20"/>
      <w:lang w:eastAsia="zh-CN"/>
    </w:rPr>
  </w:style>
  <w:style w:type="character" w:customStyle="1" w:styleId="TextodenotaderodapChar">
    <w:name w:val="Texto de nota de rodapé Char"/>
    <w:basedOn w:val="Fontepargpadro"/>
    <w:link w:val="Textodenotaderodap"/>
    <w:semiHidden/>
    <w:rsid w:val="00751A22"/>
    <w:rPr>
      <w:lang w:val="pt-PT" w:eastAsia="zh-CN"/>
    </w:rPr>
  </w:style>
  <w:style w:type="paragraph" w:styleId="Rodap">
    <w:name w:val="footer"/>
    <w:basedOn w:val="Normal"/>
    <w:link w:val="RodapChar"/>
    <w:rsid w:val="00751A22"/>
    <w:pPr>
      <w:tabs>
        <w:tab w:val="center" w:pos="4320"/>
        <w:tab w:val="right" w:pos="8640"/>
      </w:tabs>
      <w:ind w:firstLine="720"/>
    </w:pPr>
    <w:rPr>
      <w:rFonts w:ascii="Times New Roman" w:hAnsi="Times New Roman"/>
      <w:noProof w:val="0"/>
      <w:lang w:eastAsia="zh-CN"/>
    </w:rPr>
  </w:style>
  <w:style w:type="character" w:customStyle="1" w:styleId="RodapChar">
    <w:name w:val="Rodapé Char"/>
    <w:basedOn w:val="Fontepargpadro"/>
    <w:link w:val="Rodap"/>
    <w:rsid w:val="00751A22"/>
    <w:rPr>
      <w:sz w:val="24"/>
      <w:szCs w:val="24"/>
      <w:lang w:val="pt-PT" w:eastAsia="zh-CN"/>
    </w:rPr>
  </w:style>
  <w:style w:type="paragraph" w:styleId="Ttulo">
    <w:name w:val="Title"/>
    <w:basedOn w:val="Normal"/>
    <w:link w:val="TtuloChar"/>
    <w:qFormat/>
    <w:rsid w:val="00751A22"/>
    <w:pPr>
      <w:spacing w:before="240" w:after="60"/>
      <w:ind w:firstLine="0"/>
      <w:jc w:val="center"/>
      <w:outlineLvl w:val="0"/>
    </w:pPr>
    <w:rPr>
      <w:rFonts w:ascii="Times New Roman" w:hAnsi="Times New Roman"/>
      <w:b/>
      <w:bCs/>
      <w:noProof w:val="0"/>
      <w:kern w:val="28"/>
      <w:sz w:val="32"/>
      <w:szCs w:val="32"/>
      <w:lang w:eastAsia="zh-CN"/>
    </w:rPr>
  </w:style>
  <w:style w:type="character" w:customStyle="1" w:styleId="TtuloChar">
    <w:name w:val="Título Char"/>
    <w:basedOn w:val="Fontepargpadro"/>
    <w:link w:val="Ttulo"/>
    <w:rsid w:val="00751A22"/>
    <w:rPr>
      <w:b/>
      <w:bCs/>
      <w:kern w:val="28"/>
      <w:sz w:val="32"/>
      <w:szCs w:val="32"/>
      <w:lang w:val="pt-PT" w:eastAsia="zh-CN"/>
    </w:rPr>
  </w:style>
  <w:style w:type="character" w:styleId="Refdenotaderodap">
    <w:name w:val="footnote reference"/>
    <w:basedOn w:val="Fontepargpadro"/>
    <w:semiHidden/>
    <w:rsid w:val="00751A22"/>
    <w:rPr>
      <w:vertAlign w:val="superscript"/>
    </w:rPr>
  </w:style>
  <w:style w:type="character" w:styleId="Nmerodepgina">
    <w:name w:val="page number"/>
    <w:basedOn w:val="Fontepargpadro"/>
    <w:rsid w:val="00751A22"/>
  </w:style>
  <w:style w:type="paragraph" w:styleId="Cabealho">
    <w:name w:val="header"/>
    <w:basedOn w:val="Normal"/>
    <w:link w:val="CabealhoChar"/>
    <w:rsid w:val="00751A22"/>
    <w:pPr>
      <w:tabs>
        <w:tab w:val="center" w:pos="4252"/>
        <w:tab w:val="right" w:pos="8504"/>
      </w:tabs>
    </w:pPr>
  </w:style>
  <w:style w:type="character" w:customStyle="1" w:styleId="CabealhoChar">
    <w:name w:val="Cabeçalho Char"/>
    <w:basedOn w:val="Fontepargpadro"/>
    <w:link w:val="Cabealho"/>
    <w:rsid w:val="00751A22"/>
    <w:rPr>
      <w:rFonts w:ascii="Arial Narrow" w:hAnsi="Arial Narrow"/>
      <w:noProof/>
      <w:sz w:val="24"/>
      <w:szCs w:val="24"/>
      <w:lang w:val="pt-PT"/>
    </w:rPr>
  </w:style>
  <w:style w:type="character" w:styleId="Hyperlink">
    <w:name w:val="Hyperlink"/>
    <w:basedOn w:val="Fontepargpadro"/>
    <w:uiPriority w:val="99"/>
    <w:unhideWhenUsed/>
    <w:rsid w:val="00B9618D"/>
    <w:rPr>
      <w:color w:val="0000FF" w:themeColor="hyperlink"/>
      <w:u w:val="single"/>
    </w:rPr>
  </w:style>
  <w:style w:type="character" w:styleId="HiperlinkVisitado">
    <w:name w:val="FollowedHyperlink"/>
    <w:basedOn w:val="Fontepargpadro"/>
    <w:uiPriority w:val="99"/>
    <w:semiHidden/>
    <w:unhideWhenUsed/>
    <w:rsid w:val="00C515F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F453B-E2B6-420A-A97B-EF20C808A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9071</TotalTime>
  <Pages>72</Pages>
  <Words>25094</Words>
  <Characters>143036</Characters>
  <Application>Microsoft Office Word</Application>
  <DocSecurity>0</DocSecurity>
  <Lines>1191</Lines>
  <Paragraphs>335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1124</cp:revision>
  <dcterms:created xsi:type="dcterms:W3CDTF">2010-10-07T00:29:00Z</dcterms:created>
  <dcterms:modified xsi:type="dcterms:W3CDTF">2015-05-14T15:30:00Z</dcterms:modified>
</cp:coreProperties>
</file>