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930" w:rsidRPr="003E305A" w:rsidRDefault="005A3930" w:rsidP="005A3930">
      <w:pPr>
        <w:pStyle w:val="Ttulo"/>
        <w:spacing w:before="0" w:after="960"/>
        <w:rPr>
          <w:rFonts w:ascii="Arial Narrow" w:hAnsi="Arial Narrow"/>
        </w:rPr>
      </w:pPr>
      <w:r w:rsidRPr="003E305A">
        <w:rPr>
          <w:rFonts w:ascii="Arial Narrow" w:hAnsi="Arial Narrow"/>
        </w:rPr>
        <w:t xml:space="preserve">Capítulo </w:t>
      </w:r>
      <w:r>
        <w:rPr>
          <w:rFonts w:ascii="Arial Narrow" w:hAnsi="Arial Narrow"/>
        </w:rPr>
        <w:t>4</w:t>
      </w:r>
      <w:r w:rsidRPr="003E305A">
        <w:rPr>
          <w:rFonts w:ascii="Arial Narrow" w:hAnsi="Arial Narrow"/>
        </w:rPr>
        <w:br/>
      </w:r>
      <w:r>
        <w:rPr>
          <w:rFonts w:ascii="Arial Narrow" w:hAnsi="Arial Narrow"/>
        </w:rPr>
        <w:t>O RACISMO DEMOCRÁTICO</w:t>
      </w:r>
    </w:p>
    <w:p w:rsidR="005A3930" w:rsidRPr="00B43733" w:rsidRDefault="005A3930" w:rsidP="0014552D">
      <w:pPr>
        <w:keepNext/>
        <w:spacing w:before="720" w:after="360"/>
        <w:ind w:firstLine="0"/>
        <w:jc w:val="center"/>
        <w:rPr>
          <w:b/>
          <w:sz w:val="28"/>
        </w:rPr>
      </w:pPr>
      <w:r>
        <w:rPr>
          <w:b/>
          <w:sz w:val="28"/>
        </w:rPr>
        <w:t>1</w:t>
      </w:r>
      <w:r w:rsidRPr="00B43733">
        <w:rPr>
          <w:b/>
          <w:sz w:val="28"/>
        </w:rPr>
        <w:t>. Geopolítica</w:t>
      </w:r>
      <w:r>
        <w:rPr>
          <w:b/>
          <w:sz w:val="28"/>
        </w:rPr>
        <w:t xml:space="preserve"> e </w:t>
      </w:r>
      <w:r w:rsidRPr="001A5445">
        <w:rPr>
          <w:b/>
          <w:i/>
          <w:sz w:val="28"/>
        </w:rPr>
        <w:t>manifest destiny</w:t>
      </w:r>
    </w:p>
    <w:p w:rsidR="004B7CB0" w:rsidRDefault="005A3930" w:rsidP="004B7CB0">
      <w:r w:rsidRPr="00B43733">
        <w:t>As Sociedades de Ge</w:t>
      </w:r>
      <w:r w:rsidR="00455F6A">
        <w:t>o</w:t>
      </w:r>
      <w:r w:rsidRPr="00B43733">
        <w:t xml:space="preserve">grafia, que proliferaram </w:t>
      </w:r>
      <w:r>
        <w:t>n</w:t>
      </w:r>
      <w:r w:rsidRPr="00B43733">
        <w:t>a segunda metade do século XIX, constituíram uma das infra-estruturas do novo tipo de colonialismo. Graças às expedições e pesquisas que estas sociedades patrocinavam ou cujos resultados difundiam, as campanhas militares puderam ser mais cuidadosamente preparadas e redobrou a eficácia da ocupação territorial e do enquadramento administrativo. Ao mesmo tempo, a estratégia expansionista foi justificada através das novas formas de racismo</w:t>
      </w:r>
      <w:r w:rsidR="00AC3E9A">
        <w:t xml:space="preserve"> com verniz científico</w:t>
      </w:r>
      <w:r w:rsidRPr="00B43733">
        <w:t xml:space="preserve">. </w:t>
      </w:r>
      <w:r w:rsidR="00090F63" w:rsidRPr="00B43733">
        <w:t>Em breve este conjunto de orientações</w:t>
      </w:r>
      <w:r w:rsidR="00090F63">
        <w:t xml:space="preserve">, </w:t>
      </w:r>
      <w:r w:rsidR="006A4377">
        <w:t>por obra</w:t>
      </w:r>
      <w:r w:rsidR="00090F63" w:rsidRPr="00B43733">
        <w:t xml:space="preserve"> </w:t>
      </w:r>
      <w:r w:rsidRPr="00B43733">
        <w:t xml:space="preserve">também </w:t>
      </w:r>
      <w:r w:rsidR="006A4377">
        <w:t>das</w:t>
      </w:r>
      <w:r w:rsidRPr="00B43733">
        <w:t xml:space="preserve"> Sociedades de Geografia, foi reunido num novo ramo do conhecimento, a Geografia Política, depois denominada Geopolítica</w:t>
      </w:r>
      <w:r w:rsidR="004B7CB0">
        <w:t>,</w:t>
      </w:r>
      <w:r w:rsidRPr="00B43733">
        <w:t xml:space="preserve"> </w:t>
      </w:r>
      <w:r w:rsidR="004B7CB0">
        <w:t xml:space="preserve">que </w:t>
      </w:r>
      <w:r w:rsidRPr="00B43733">
        <w:t xml:space="preserve">procurava explicar a expansão territorial do capitalismo atribuindo-a não à dinâmica económica, mas a pretensos interesses naturais </w:t>
      </w:r>
      <w:r>
        <w:t>dos</w:t>
      </w:r>
      <w:r w:rsidRPr="00B43733">
        <w:t xml:space="preserve"> povos. Esta disciplina académica surgiu como um dos corolários do racismo,</w:t>
      </w:r>
      <w:r>
        <w:t xml:space="preserve"> porque</w:t>
      </w:r>
      <w:r w:rsidRPr="00B43733">
        <w:t xml:space="preserve"> justificar uma actuação histórica invocando um espírito colectivo é converter um povo em raça e a partir daí legitimar as suas agressões. A alegada inferioridade dos povos de pele escura, negra ou amarela, desculpava as aspirações imperialistas</w:t>
      </w:r>
      <w:r w:rsidR="00455F6A">
        <w:t xml:space="preserve"> dos povos de outra cor</w:t>
      </w:r>
      <w:r w:rsidRPr="00B43733">
        <w:t xml:space="preserve">. </w:t>
      </w:r>
    </w:p>
    <w:p w:rsidR="005A3930" w:rsidRPr="00B43733" w:rsidRDefault="005A3930" w:rsidP="004B7CB0">
      <w:r>
        <w:t xml:space="preserve">A geopolítica nasceu </w:t>
      </w:r>
      <w:r w:rsidRPr="00B43733">
        <w:t xml:space="preserve">e </w:t>
      </w:r>
      <w:r>
        <w:t xml:space="preserve">foi </w:t>
      </w:r>
      <w:r w:rsidRPr="00B43733">
        <w:t>aperfeiçoada nas instituições universitárias e administrativas dos países democráticos, nomeadamente na Grã-Bretanha pela acção de Halford Mackinder, membro da ala mais imperialista do Partido Conservador e que, ao serviço do seu governo, desempenhou em 1919 um papel na guerra civil russa como conselheiro das forças contra-revolucionárias</w:t>
      </w:r>
      <w:r>
        <w:t>.</w:t>
      </w:r>
      <w:r w:rsidRPr="00B43733">
        <w:t xml:space="preserve"> </w:t>
      </w:r>
      <w:r>
        <w:t xml:space="preserve">Esta génese não impediu </w:t>
      </w:r>
      <w:r w:rsidRPr="00B43733">
        <w:t xml:space="preserve">a geopolítica </w:t>
      </w:r>
      <w:r>
        <w:t xml:space="preserve">de </w:t>
      </w:r>
      <w:r w:rsidRPr="00B43733">
        <w:t>contribuir para a formação do pensamento de Hitler</w:t>
      </w:r>
      <w:r w:rsidR="00455F6A">
        <w:t xml:space="preserve">, </w:t>
      </w:r>
      <w:r w:rsidR="00455F6A" w:rsidRPr="00B43733">
        <w:t>reforçando-se o cordão umbilical que uniu o fascismo às democracias</w:t>
      </w:r>
      <w:r w:rsidRPr="00B43733">
        <w:t xml:space="preserve">. O expoente desta disciplina na Alemanha de entre as duas guerras mundiais, o general e geógrafo Karl Haushofer, da Universidade de Munique, foi professor de Rudolf Hess, de quem se tornou amigo. Membro do partido nacional-socialista desde 1920, onde viria a ocupar o segundo lugar até à sua bizarra partida para a Grã-Bretanha durante a guerra, Hess gozava da inteira confiança de Hitler e ajudou-o quando ele, na cadeia, preparava </w:t>
      </w:r>
      <w:r w:rsidRPr="00B43733">
        <w:rPr>
          <w:i/>
        </w:rPr>
        <w:t>Mein Kampf</w:t>
      </w:r>
      <w:r w:rsidRPr="00B43733">
        <w:t>. Foi assim que Hitler teve oportunidade de aproveitar amplamente as doutrinas geográficas em voga</w:t>
      </w:r>
      <w:r w:rsidRPr="00B43733">
        <w:rPr>
          <w:rStyle w:val="Refdenotaderodap"/>
        </w:rPr>
        <w:footnoteReference w:id="1"/>
      </w:r>
      <w:r w:rsidRPr="00B43733">
        <w:t xml:space="preserve">. </w:t>
      </w:r>
    </w:p>
    <w:p w:rsidR="005A3930" w:rsidRPr="00B43733" w:rsidRDefault="005A3930" w:rsidP="005A3930">
      <w:r w:rsidRPr="00B43733">
        <w:lastRenderedPageBreak/>
        <w:t xml:space="preserve">Ao mesmo tempo que a estratégia de expansão prosseguida na Índia, na África e na China sob a condução das grandes </w:t>
      </w:r>
      <w:r w:rsidR="00556625">
        <w:t>companhias</w:t>
      </w:r>
      <w:r w:rsidRPr="00B43733">
        <w:t xml:space="preserve"> europeias, e mais tarde dos governos europeus, era justificada em termos científicos, nos Estados Unidos, de acordo com as tradições profundamente religiosas dos imigrantes anglo-saxónicos, a geopolítica assumiu uma forma mística na doutrina do </w:t>
      </w:r>
      <w:r w:rsidRPr="00B43733">
        <w:rPr>
          <w:i/>
        </w:rPr>
        <w:t>«manifest destiny»</w:t>
      </w:r>
      <w:r w:rsidRPr="00B43733">
        <w:t>. Foi em 1845 que pela primeira vez John L. O’Sullivan, publicista e episódico diplomata, recorreu aos termos do «destino manifesto»</w:t>
      </w:r>
      <w:r w:rsidRPr="00B43733">
        <w:rPr>
          <w:rStyle w:val="Refdenotaderodap"/>
        </w:rPr>
        <w:footnoteReference w:id="2"/>
      </w:r>
      <w:r w:rsidRPr="00B43733">
        <w:t xml:space="preserve"> para formular uma concepção que era, na verdade, muito mais antiga, datando dos primórdios da imigração puritana, e segundo a qual o dedo de Deus havia escolhido </w:t>
      </w:r>
      <w:r>
        <w:t>aquele</w:t>
      </w:r>
      <w:r w:rsidRPr="00B43733">
        <w:t xml:space="preserve"> povo para criar instituições democráticas, apoderar-se de um continente e impor aí o seu modelo de sociedade. Tal como sucedeu com a geopolítica, também neste caso a doutrina ficou a dever </w:t>
      </w:r>
      <w:r>
        <w:t>as</w:t>
      </w:r>
      <w:r w:rsidRPr="00B43733">
        <w:t xml:space="preserve"> </w:t>
      </w:r>
      <w:r>
        <w:t>suas</w:t>
      </w:r>
      <w:r w:rsidRPr="00B43733">
        <w:t xml:space="preserve"> </w:t>
      </w:r>
      <w:r>
        <w:t>bases</w:t>
      </w:r>
      <w:r w:rsidRPr="00B43733">
        <w:t xml:space="preserve"> tanto a geógrafos, como Jedidiah Morse, um teólogo calvinista considerado o fundador da geografia norte-americana, como a políticos, especialmente Thomas Jefferson, autor da Declaração de Independência e terceiro presidente da União, ambos defen</w:t>
      </w:r>
      <w:r>
        <w:t xml:space="preserve">sores da tese de </w:t>
      </w:r>
      <w:r w:rsidRPr="00B43733">
        <w:t xml:space="preserve">que </w:t>
      </w:r>
      <w:r>
        <w:t>cabia a</w:t>
      </w:r>
      <w:r w:rsidRPr="00B43733">
        <w:t xml:space="preserve">os Estados Unidos a responsabilidade de instalar progressivamente o seu domínio sobre o continente. Note-se que esta agradável missão não incumbia à colectividade nacional, entendida enquanto conjunto da população, mas apenas aos protestantes de origem anglo-saxónica. A concepção jacobina de nação, racionalista e abstracta, assente numa cidadania genérica e indeterminada, dificilmente poderia ser bafejada pela graça divina. Configurar um povo constitui a operação intelectual prévia a qualquer racismo; e atribuir a este povo uma missão, justificada ainda por desígnios celestes, equivale a promovê-lo a uma superioridade racial. O destino manifesto dos índios parecia oscilar entre serem vítimas da chacina ou do ludíbrio, enquanto o dos negros era, evidentemente, serem mantidos na escravidão ou, à medida que ela foi abolida, serem relegados para um estatuto inferior e marginal. Quanto aos «mandriões mexicanos», «que não souberam fazer nada» com a Califórnia </w:t>
      </w:r>
      <w:r w:rsidR="00E86B76">
        <w:t>—</w:t>
      </w:r>
      <w:r w:rsidRPr="00B43733">
        <w:t xml:space="preserve"> para empregar os termos que Engels, esse convicto admirador do </w:t>
      </w:r>
      <w:r w:rsidRPr="00B43733">
        <w:rPr>
          <w:i/>
        </w:rPr>
        <w:t>manifest destiny</w:t>
      </w:r>
      <w:r w:rsidRPr="00B43733">
        <w:t xml:space="preserve"> de alguns povos escolhidos, quase parece ter copiado de um dos jornais norte-americanos mais entusiasticamente expansionistas </w:t>
      </w:r>
      <w:r w:rsidR="00E86B76">
        <w:t>—</w:t>
      </w:r>
      <w:r w:rsidRPr="00B43733">
        <w:t xml:space="preserve"> a sua manifesta vocação era sem dúvida serem destroçados e espoliados por aqueles que o ilustre co-fundador do comunismo moderno julgava serem os «enérgicos </w:t>
      </w:r>
      <w:r w:rsidRPr="00B43733">
        <w:rPr>
          <w:i/>
        </w:rPr>
        <w:t>Yankees</w:t>
      </w:r>
      <w:r w:rsidRPr="00B43733">
        <w:t>»</w:t>
      </w:r>
      <w:r w:rsidRPr="00B43733">
        <w:rPr>
          <w:rStyle w:val="Refdenotaderodap"/>
        </w:rPr>
        <w:footnoteReference w:id="3"/>
      </w:r>
      <w:r w:rsidRPr="00B43733">
        <w:t xml:space="preserve">. </w:t>
      </w:r>
    </w:p>
    <w:p w:rsidR="005A3930" w:rsidRPr="00B43733" w:rsidRDefault="005A3930" w:rsidP="005A3930">
      <w:r w:rsidRPr="00B43733">
        <w:lastRenderedPageBreak/>
        <w:t>Adoptada pelo Congresso a respeito da ocupação do Oregon, da anexação do Texas e da guerra contra o México, a doutrina do «destino manifesto» serviu de então em diante para justificar o expansionismo dos Estados Unidos, primeiro no interior do continente, em seguida através de dois oceanos, no Atlântico em direcção às Caraíbas e ocupando Cuba</w:t>
      </w:r>
      <w:r w:rsidRPr="00B43733">
        <w:rPr>
          <w:rStyle w:val="Refdenotaderodap"/>
        </w:rPr>
        <w:footnoteReference w:id="4"/>
      </w:r>
      <w:r w:rsidRPr="00B43733">
        <w:t>, e no Pacífico procurando obter a hegemonia sobre o comércio externo da China, forçando a abertura dos portos japoneses, anexando depois o Hawai e colonizando as Filipinas. O comodoro Matthew Perry, cujos navios, em concorrência com a frota russa, abriram em 1853 o Japão ao comércio com o Ocidente, havia já sido celebrado por alguns como um herói na guerra contra o México, simbolizando na sua pessoa a passagem da missão de ocupação do continente para o compromisso de expansão além dos mares</w:t>
      </w:r>
      <w:r w:rsidRPr="00B43733">
        <w:rPr>
          <w:rStyle w:val="Refdenotaderodap"/>
        </w:rPr>
        <w:footnoteReference w:id="5"/>
      </w:r>
      <w:r w:rsidRPr="00B43733">
        <w:t xml:space="preserve">. </w:t>
      </w:r>
      <w:r w:rsidR="00603E17">
        <w:t>C</w:t>
      </w:r>
      <w:r w:rsidRPr="00B43733">
        <w:t>omo o presidente McKinley explicou em 1899, foi uma noite, enquanto rezava, que o próprio Deus o incitou a apoderar-se das Filipinas e a cristianizá-las</w:t>
      </w:r>
      <w:r w:rsidRPr="00B43733">
        <w:rPr>
          <w:rStyle w:val="Refdenotaderodap"/>
        </w:rPr>
        <w:footnoteReference w:id="6"/>
      </w:r>
      <w:r w:rsidRPr="00B43733">
        <w:t>, o que aliás mostra da parte do Todo Poderoso uma curiosa falta de confiança na capacidade evangelizadora dos espanhóis. «A civilização que não avançar declina», profetizou Brooks Adams em 1900. E depois de constatar que «está agora preenchido o continente que [...] proporcionou à expansão dos americanos um espaço sem limites», este representante intelectual de uma das mais ilustres famílias dos Estados Unidos, que contava um bisavô e um avô presidentes e um pai embaixador, propôs «a organização de um império ocidental que se prolongue até à Ásia»</w:t>
      </w:r>
      <w:r w:rsidRPr="00B43733">
        <w:rPr>
          <w:rStyle w:val="Refdenotaderodap"/>
        </w:rPr>
        <w:footnoteReference w:id="7"/>
      </w:r>
      <w:r w:rsidRPr="00B43733">
        <w:t xml:space="preserve">. Com este fio de tradições, era perfeitamente lógico que duas décadas depois de terminada a segunda guerra mundial um jornalista norte-americano escrevesse: «O Extremo-Oriente é agora o nosso </w:t>
      </w:r>
      <w:r w:rsidRPr="00B43733">
        <w:rPr>
          <w:i/>
        </w:rPr>
        <w:t>Far West</w:t>
      </w:r>
      <w:r w:rsidRPr="00B43733">
        <w:t>»</w:t>
      </w:r>
      <w:r w:rsidRPr="00B43733">
        <w:rPr>
          <w:rStyle w:val="Refdenotaderodap"/>
        </w:rPr>
        <w:footnoteReference w:id="8"/>
      </w:r>
      <w:r w:rsidRPr="00B43733">
        <w:t xml:space="preserve">. </w:t>
      </w:r>
    </w:p>
    <w:p w:rsidR="00BE1740" w:rsidRDefault="005A3930" w:rsidP="005A3930">
      <w:r w:rsidRPr="00B43733">
        <w:t xml:space="preserve">Também noutra grande democracia houve quem justificasse </w:t>
      </w:r>
      <w:r>
        <w:t xml:space="preserve">em termos de </w:t>
      </w:r>
      <w:r w:rsidRPr="00B43733">
        <w:rPr>
          <w:i/>
        </w:rPr>
        <w:t>manifest destiny</w:t>
      </w:r>
      <w:r w:rsidRPr="00B43733">
        <w:t xml:space="preserve"> a expansão colonial. «Não entendo como poderia um inglês», desabafou </w:t>
      </w:r>
      <w:r w:rsidR="00CB0BFF">
        <w:t xml:space="preserve">Lord </w:t>
      </w:r>
      <w:r w:rsidRPr="00B43733">
        <w:t>Curzon, vice-rei da Índia de 189</w:t>
      </w:r>
      <w:r w:rsidR="00AC3E9A">
        <w:t>8</w:t>
      </w:r>
      <w:r w:rsidRPr="00B43733">
        <w:t xml:space="preserve"> até 1905</w:t>
      </w:r>
      <w:r w:rsidR="00AC3E9A">
        <w:t xml:space="preserve"> e mais tarde ministro dos Negócios Estrangeiros</w:t>
      </w:r>
      <w:r w:rsidRPr="00B43733">
        <w:t>, «duvidar de que não foi por qualquer impulso cego ou qualquer capricho que nós viemos para a Índia e aqui permanecemos, mas em cumprimento do que alguns (e eu entre eles) chamariam os desígnios da Providência, e outros a lei do destino»</w:t>
      </w:r>
      <w:r w:rsidRPr="00B43733">
        <w:rPr>
          <w:rStyle w:val="Refdenotaderodap"/>
        </w:rPr>
        <w:footnoteReference w:id="9"/>
      </w:r>
      <w:r w:rsidRPr="00B43733">
        <w:t xml:space="preserve">. </w:t>
      </w:r>
    </w:p>
    <w:p w:rsidR="005A3930" w:rsidRPr="00B43733" w:rsidRDefault="005A3930" w:rsidP="005A3930">
      <w:r w:rsidRPr="00B43733">
        <w:lastRenderedPageBreak/>
        <w:t>Do mesmo modo o Duce, que no final da sua vida Curzon tanto admirou, ou fingiu admirar</w:t>
      </w:r>
      <w:r w:rsidRPr="00B43733">
        <w:rPr>
          <w:rStyle w:val="Refdenotaderodap"/>
        </w:rPr>
        <w:footnoteReference w:id="10"/>
      </w:r>
      <w:r w:rsidRPr="00B43733">
        <w:t>, proclam</w:t>
      </w:r>
      <w:r>
        <w:t>ou</w:t>
      </w:r>
      <w:r w:rsidRPr="00B43733">
        <w:t xml:space="preserve"> numa visita a Tripoli, em Abril de 1926, que «é o Destino quem nos impele para estas terras. Ninguém ousaria opor-se ao Destino»</w:t>
      </w:r>
      <w:r w:rsidRPr="00B43733">
        <w:rPr>
          <w:rStyle w:val="Refdenotaderodap"/>
        </w:rPr>
        <w:footnoteReference w:id="11"/>
      </w:r>
      <w:r w:rsidRPr="00B43733">
        <w:t xml:space="preserve">. O que ele ignorava então é que as linhas do destino podem ser muito tortas. </w:t>
      </w:r>
      <w:r w:rsidR="00E86B76" w:rsidRPr="00B43733">
        <w:t xml:space="preserve">Enquanto aguardava na prisão o julgamento que o condenaria à forca, o marechal Keitel, chefe do supremo comando das forças armadas </w:t>
      </w:r>
      <w:r w:rsidR="00E86B76">
        <w:t xml:space="preserve">do Terceiro Reich </w:t>
      </w:r>
      <w:r w:rsidR="00E86B76" w:rsidRPr="00B43733">
        <w:t>desde 1938 até ao final da guerra, declarou a um dos seus interrogadores que Hitler se referia à conquista da Rússia como se se tratasse de «o nosso destino manifesto»</w:t>
      </w:r>
      <w:r w:rsidR="00E86B76" w:rsidRPr="00B43733">
        <w:rPr>
          <w:rStyle w:val="Refdenotaderodap"/>
        </w:rPr>
        <w:footnoteReference w:id="12"/>
      </w:r>
      <w:r w:rsidR="00E86B76" w:rsidRPr="00B43733">
        <w:t xml:space="preserve">. </w:t>
      </w:r>
      <w:r w:rsidRPr="00B43733">
        <w:t>E</w:t>
      </w:r>
      <w:r w:rsidR="00E86B76">
        <w:t xml:space="preserve"> </w:t>
      </w:r>
      <w:r w:rsidRPr="00B43733">
        <w:t>depois ter ocupado o lugar de primeiro-ministro da colónia britânica da Birmânia e ter governado sob a tutela japonesa a Birmânia independente, Ba Maw record</w:t>
      </w:r>
      <w:r>
        <w:t>ou</w:t>
      </w:r>
      <w:r w:rsidRPr="00B43733">
        <w:t xml:space="preserve"> </w:t>
      </w:r>
      <w:r w:rsidR="00E86B76">
        <w:t>n</w:t>
      </w:r>
      <w:r w:rsidR="00E86B76" w:rsidRPr="00B43733">
        <w:t xml:space="preserve">as suas Memórias </w:t>
      </w:r>
      <w:r w:rsidRPr="00B43733">
        <w:t>que «muitos japoneses com quem falei durante a guerra mencionavam explicitamente o destino manifesto do Japão na Ásia»</w:t>
      </w:r>
      <w:r w:rsidRPr="00B43733">
        <w:rPr>
          <w:rStyle w:val="Refdenotaderodap"/>
        </w:rPr>
        <w:footnoteReference w:id="13"/>
      </w:r>
      <w:r w:rsidRPr="00B43733">
        <w:t xml:space="preserve">. Os pretextos ideológicos do expansionismo democrático norte-americano </w:t>
      </w:r>
      <w:r w:rsidR="00BE1740">
        <w:t xml:space="preserve">e britânico </w:t>
      </w:r>
      <w:r w:rsidRPr="00B43733">
        <w:t xml:space="preserve">puderam igualmente servir as pretensões totalitárias do fascismo romano, </w:t>
      </w:r>
      <w:r w:rsidR="00E86B76" w:rsidRPr="00B43733">
        <w:t xml:space="preserve">do Grande Reich </w:t>
      </w:r>
      <w:r w:rsidR="00E86B76">
        <w:t xml:space="preserve">e </w:t>
      </w:r>
      <w:r w:rsidRPr="00B43733">
        <w:t xml:space="preserve">do militarismo nipónico. </w:t>
      </w:r>
    </w:p>
    <w:p w:rsidR="005A3930" w:rsidRPr="003E305A" w:rsidRDefault="005A3930" w:rsidP="0014552D">
      <w:pPr>
        <w:keepNext/>
        <w:spacing w:before="720" w:after="360"/>
        <w:ind w:firstLine="0"/>
        <w:jc w:val="center"/>
        <w:rPr>
          <w:b/>
          <w:sz w:val="28"/>
        </w:rPr>
      </w:pPr>
      <w:r>
        <w:rPr>
          <w:b/>
          <w:sz w:val="28"/>
        </w:rPr>
        <w:t>2</w:t>
      </w:r>
      <w:r w:rsidRPr="003E305A">
        <w:rPr>
          <w:b/>
          <w:sz w:val="28"/>
        </w:rPr>
        <w:t xml:space="preserve">. O racismo </w:t>
      </w:r>
      <w:r>
        <w:rPr>
          <w:b/>
          <w:sz w:val="28"/>
        </w:rPr>
        <w:t xml:space="preserve">nos Estados Unidos </w:t>
      </w:r>
      <w:r w:rsidRPr="003E305A">
        <w:rPr>
          <w:b/>
          <w:sz w:val="28"/>
        </w:rPr>
        <w:t>durante a segunda guerra mundial</w:t>
      </w:r>
    </w:p>
    <w:p w:rsidR="005A3930" w:rsidRPr="003E305A" w:rsidRDefault="005A3930" w:rsidP="005A3930">
      <w:r w:rsidRPr="003E305A">
        <w:t xml:space="preserve">Durante a segunda guerra mundial </w:t>
      </w:r>
      <w:r w:rsidR="00150D31">
        <w:t>defrontaram</w:t>
      </w:r>
      <w:r w:rsidRPr="003E305A">
        <w:t xml:space="preserve">-se duas versões do racismo, a hitleriana e a democrática. </w:t>
      </w:r>
    </w:p>
    <w:p w:rsidR="005A3930" w:rsidRPr="003E305A" w:rsidRDefault="005A3930" w:rsidP="005A3930">
      <w:r w:rsidRPr="003E305A">
        <w:t xml:space="preserve">Nos Estados Unidos a guerra forneceu aos movimentos que procuravam alcançar a emancipação dos negros a oportunidade de juntar a luta externa contra os fascismos </w:t>
      </w:r>
      <w:r>
        <w:t xml:space="preserve">à </w:t>
      </w:r>
      <w:r w:rsidRPr="003E305A">
        <w:t xml:space="preserve">luta interna contra a discriminação. Esta simbiose recebeu uma clara expressão visual no início de 1942, quando a imprensa negra norte-americana adoptou o duplo V como símbolo dos objectivos da guerra. Enquanto para a administração Roosevelt a ubiquidade do V representava </w:t>
      </w:r>
      <w:r w:rsidRPr="003E305A">
        <w:lastRenderedPageBreak/>
        <w:t>a concentração de todos os esforços na vitória sobre o inimigo exterior, para os anti-racistas o duplo V significava o desejo de fazer a democracia triunfar tanto fora como dentro do país</w:t>
      </w:r>
      <w:r w:rsidRPr="003E305A">
        <w:rPr>
          <w:rStyle w:val="Refdenotaderodap"/>
        </w:rPr>
        <w:footnoteReference w:id="14"/>
      </w:r>
      <w:r w:rsidRPr="003E305A">
        <w:t xml:space="preserve">. </w:t>
      </w:r>
    </w:p>
    <w:p w:rsidR="005A3930" w:rsidRPr="003E305A" w:rsidRDefault="005A3930" w:rsidP="005A3930">
      <w:r w:rsidRPr="003E305A">
        <w:t>Relegados para as camadas sociais mais humildes, os negros sentiam particularmente o ostracismo na esfera do trabalho, tanto mais grave quanto os estatutos de alguns sindicatos da AFL impediam a filiação de pessoas de cor</w:t>
      </w:r>
      <w:r w:rsidRPr="003E305A">
        <w:rPr>
          <w:rStyle w:val="Refdenotaderodap"/>
        </w:rPr>
        <w:footnoteReference w:id="15"/>
      </w:r>
      <w:r w:rsidRPr="003E305A">
        <w:t>. A agitação conduzida em 1941 levou o presidente Roosevelt a criar uma comissão encarregada, segundo o próprio texto da lei, de instaurar «uma participação plena e justa de todos os trabalhadores nas indústrias de defesa, sem discriminações por motivos de raça, convicção religiosa, cor ou origens nacionais»</w:t>
      </w:r>
      <w:r w:rsidRPr="003E305A">
        <w:rPr>
          <w:rStyle w:val="Refdenotaderodap"/>
        </w:rPr>
        <w:footnoteReference w:id="16"/>
      </w:r>
      <w:r w:rsidRPr="003E305A">
        <w:t xml:space="preserve">. A restrição da esfera </w:t>
      </w:r>
      <w:r w:rsidR="00735B69">
        <w:t xml:space="preserve">desta comissão </w:t>
      </w:r>
      <w:r w:rsidRPr="003E305A">
        <w:t xml:space="preserve">às indústrias militares indica os objectivos pretendidos. Não se tratava de combater os fundamentos do racismo na sociedade norte-americana, </w:t>
      </w:r>
      <w:r>
        <w:t>mas</w:t>
      </w:r>
      <w:r w:rsidRPr="003E305A">
        <w:t xml:space="preserve"> apenas de criar condições para que a população não branca participasse no esforço de guerra. Ainda assim a comissão não teve praticamente poderes para implementar as suas decisões nem para evitar o racismo no âmbito das forças armadas, e a doutrina militar oficial nunca deixou de afirmar a inferioridade rácica dos negros</w:t>
      </w:r>
      <w:r w:rsidRPr="003E305A">
        <w:rPr>
          <w:rStyle w:val="Refdenotaderodap"/>
        </w:rPr>
        <w:footnoteReference w:id="17"/>
      </w:r>
      <w:r w:rsidRPr="003E305A">
        <w:t xml:space="preserve">. </w:t>
      </w:r>
      <w:r w:rsidR="001B7EC7">
        <w:t xml:space="preserve">Já em 1918, quando os Estados Unidos </w:t>
      </w:r>
      <w:r w:rsidR="009E3DA9">
        <w:t>entraram</w:t>
      </w:r>
      <w:r w:rsidR="00CA0021">
        <w:t xml:space="preserve"> </w:t>
      </w:r>
      <w:r w:rsidR="001B7EC7">
        <w:t xml:space="preserve">na primeira guerra mundial, </w:t>
      </w:r>
      <w:r w:rsidR="006B5CA9">
        <w:t>as</w:t>
      </w:r>
      <w:r w:rsidR="001B7EC7">
        <w:t xml:space="preserve"> </w:t>
      </w:r>
      <w:r w:rsidR="006B5CA9">
        <w:t xml:space="preserve">unidades </w:t>
      </w:r>
      <w:r w:rsidR="00CA0021">
        <w:t>compost</w:t>
      </w:r>
      <w:r w:rsidR="006B5CA9">
        <w:t>a</w:t>
      </w:r>
      <w:r w:rsidR="00CA0021">
        <w:t xml:space="preserve">s por </w:t>
      </w:r>
      <w:r w:rsidR="001B7EC7">
        <w:t>negros foram usad</w:t>
      </w:r>
      <w:r w:rsidR="006B5CA9">
        <w:t>a</w:t>
      </w:r>
      <w:r w:rsidR="001B7EC7">
        <w:t>s como estivadores e, perante a indignada reivindicação de que fossem autorizad</w:t>
      </w:r>
      <w:r w:rsidR="006B5CA9">
        <w:t>a</w:t>
      </w:r>
      <w:r w:rsidR="001B7EC7">
        <w:t xml:space="preserve">s a combater, </w:t>
      </w:r>
      <w:r w:rsidR="00494933">
        <w:t>o</w:t>
      </w:r>
      <w:r w:rsidR="00B25CAC">
        <w:t xml:space="preserve"> alto </w:t>
      </w:r>
      <w:r w:rsidR="00494933">
        <w:t>comand</w:t>
      </w:r>
      <w:r w:rsidR="00B25CAC">
        <w:t>o</w:t>
      </w:r>
      <w:r w:rsidR="00494933">
        <w:t xml:space="preserve"> </w:t>
      </w:r>
      <w:r w:rsidR="001B7EC7">
        <w:t>norte-american</w:t>
      </w:r>
      <w:r w:rsidR="00494933">
        <w:t>o</w:t>
      </w:r>
      <w:r w:rsidR="001B7EC7">
        <w:t xml:space="preserve"> prefir</w:t>
      </w:r>
      <w:r w:rsidR="00B25CAC">
        <w:t xml:space="preserve">iu </w:t>
      </w:r>
      <w:r w:rsidR="001B7EC7">
        <w:t>coloc</w:t>
      </w:r>
      <w:r w:rsidR="00CA0021">
        <w:t>á-l</w:t>
      </w:r>
      <w:r w:rsidR="006B5CA9">
        <w:t>a</w:t>
      </w:r>
      <w:r w:rsidR="00CA0021">
        <w:t xml:space="preserve">s </w:t>
      </w:r>
      <w:r w:rsidR="00501B9B">
        <w:t xml:space="preserve">no sector do exército francês </w:t>
      </w:r>
      <w:r w:rsidR="001B7EC7">
        <w:t>do que admiti-l</w:t>
      </w:r>
      <w:r w:rsidR="006B5CA9">
        <w:t>a</w:t>
      </w:r>
      <w:r w:rsidR="001B7EC7">
        <w:t xml:space="preserve">s entre as tropas brancas do seu país. </w:t>
      </w:r>
      <w:r w:rsidR="006775BB">
        <w:t>Segundo o mesmo princípio</w:t>
      </w:r>
      <w:r w:rsidR="00AB6578">
        <w:t>,</w:t>
      </w:r>
      <w:r w:rsidR="006775BB">
        <w:t xml:space="preserve"> só foram alistadas cinco ou seis enfermeiras negras, </w:t>
      </w:r>
      <w:r w:rsidR="00AB6578">
        <w:t>pois</w:t>
      </w:r>
      <w:r w:rsidR="006775BB">
        <w:t xml:space="preserve"> «nem a política das autoridades nem os preconceitos do público aceitavam que elas pudessem tratar soldados brancos </w:t>
      </w:r>
      <w:r w:rsidR="00AB6578">
        <w:t xml:space="preserve">feridos </w:t>
      </w:r>
      <w:r w:rsidR="006775BB">
        <w:t>em França»</w:t>
      </w:r>
      <w:r w:rsidR="00AB6578">
        <w:rPr>
          <w:rStyle w:val="Refdenotaderodap"/>
        </w:rPr>
        <w:footnoteReference w:id="18"/>
      </w:r>
      <w:r w:rsidR="006775BB">
        <w:t xml:space="preserve">. </w:t>
      </w:r>
    </w:p>
    <w:p w:rsidR="006B7252" w:rsidRDefault="002E7D5B" w:rsidP="005A3930">
      <w:r>
        <w:t xml:space="preserve">A segunda guerra mundial </w:t>
      </w:r>
      <w:r w:rsidR="00D30721">
        <w:t>contribuiu</w:t>
      </w:r>
      <w:r>
        <w:t xml:space="preserve"> para </w:t>
      </w:r>
      <w:r w:rsidR="006342C4">
        <w:t>traçar</w:t>
      </w:r>
      <w:r>
        <w:t xml:space="preserve"> uma nova demarcação racial nos Estados Unidos. Pela primeira vez as forças armadas integraram nos mesmos regimentos </w:t>
      </w:r>
      <w:r w:rsidR="00563847">
        <w:t>os descendentes</w:t>
      </w:r>
      <w:r>
        <w:t xml:space="preserve"> de famílias norte-americanas de longa data e </w:t>
      </w:r>
      <w:r w:rsidR="00563847">
        <w:t xml:space="preserve">os </w:t>
      </w:r>
      <w:r>
        <w:t xml:space="preserve">imigrantes oriundos de vários países europeus, muitos deles vítimas de preconceitos ou que até, como os provenientes do sul da Itália e da Sicília, não eram considerados verdadeiramente brancos. </w:t>
      </w:r>
      <w:r w:rsidR="00FA1D01">
        <w:t>A</w:t>
      </w:r>
      <w:r>
        <w:t xml:space="preserve"> amálgama nos mesmos regimentos </w:t>
      </w:r>
      <w:r w:rsidR="00CA4CC7">
        <w:t>ajudou</w:t>
      </w:r>
      <w:r>
        <w:t xml:space="preserve"> a </w:t>
      </w:r>
      <w:r w:rsidR="00511B97">
        <w:t xml:space="preserve">redefinir o que se entendia por </w:t>
      </w:r>
      <w:r w:rsidR="00511B97" w:rsidRPr="00511B97">
        <w:rPr>
          <w:i/>
        </w:rPr>
        <w:t>branco</w:t>
      </w:r>
      <w:r w:rsidR="000F6F91" w:rsidRPr="000F6F91">
        <w:rPr>
          <w:rStyle w:val="Refdenotaderodap"/>
        </w:rPr>
        <w:footnoteReference w:id="19"/>
      </w:r>
      <w:r w:rsidR="00511B97">
        <w:t xml:space="preserve">. </w:t>
      </w:r>
      <w:r w:rsidR="00D00305">
        <w:t xml:space="preserve">Ora, a nova linha divisória foi tanto mais significativa quanto </w:t>
      </w:r>
      <w:r w:rsidR="00D00305" w:rsidRPr="003E305A">
        <w:t xml:space="preserve">as autoridades militares vetavam </w:t>
      </w:r>
      <w:r w:rsidR="00D00305">
        <w:t>a inclusão de negros</w:t>
      </w:r>
      <w:r w:rsidR="00D00305" w:rsidRPr="003E305A">
        <w:t xml:space="preserve"> </w:t>
      </w:r>
      <w:r w:rsidR="00FA1D01">
        <w:t xml:space="preserve">nestas unidades, </w:t>
      </w:r>
      <w:r w:rsidR="00FA1D01" w:rsidRPr="003E305A">
        <w:t xml:space="preserve">alegando que </w:t>
      </w:r>
      <w:r w:rsidR="00D00305" w:rsidRPr="003E305A">
        <w:t xml:space="preserve">isso minaria o moral das forças brancas, embora </w:t>
      </w:r>
      <w:r w:rsidR="005A3930" w:rsidRPr="003E305A">
        <w:t>as leis aprovadas pelo Congresso em Setembro de 1940 proibissem a discriminação racial dos recrutas</w:t>
      </w:r>
      <w:r w:rsidR="00D00305">
        <w:t xml:space="preserve">. </w:t>
      </w:r>
      <w:r w:rsidR="00563847">
        <w:t xml:space="preserve">Por </w:t>
      </w:r>
      <w:r w:rsidR="00F24482">
        <w:t>aquele</w:t>
      </w:r>
      <w:r w:rsidR="00563847">
        <w:t xml:space="preserve"> </w:t>
      </w:r>
      <w:r w:rsidR="00563847">
        <w:lastRenderedPageBreak/>
        <w:t>motivo</w:t>
      </w:r>
      <w:r w:rsidR="005A3930" w:rsidRPr="003E305A">
        <w:t>, pouquíssimos negros haviam sido alistados até à altura em que os Estados Unidos entraram em guerra. Lançadas no conflito, e mesmo apesar de depararem com um número insuficiente de combatentes, as chefias das forças armadas permaneceram hostis à ideia de um exército integrado, mostraram-se relutantes ao recrutamento sistemático de negros, impediram tanto quanto possível que eles fossem promovidos a oficiais e afastaram os soldados de cor do confronto directo com as tropas inimigas. Em geral, os negros formavam unidades separadas, às quais se atribuíam funções meramente auxiliares. O mesmo sucedeu na marinha, onde tradicionalmente os negros eram apenas empregues em serviços de limpeza e outros do mesmo género, e esta prática estava tão arraigada que até depois de Roosevelt ter decretado a abolição daquelas restrições, em Dezembro de 1942, mais de noventa e cinco por cento dos negros alistados na marinha não haviam mudado de situação. Também na força aérea o preconceito racial era a regra, começando por se vetar o recrutamento de negros, que acabaram depois por ser relegados para esquadrões próprios, na maior parte afastados do combate e limitados a serviços de manutenção</w:t>
      </w:r>
      <w:r w:rsidR="005A3930" w:rsidRPr="003E305A">
        <w:rPr>
          <w:rStyle w:val="Refdenotaderodap"/>
        </w:rPr>
        <w:footnoteReference w:id="20"/>
      </w:r>
      <w:r w:rsidR="005A3930" w:rsidRPr="003E305A">
        <w:t>. O alistamento de negros ampliou-se à medida que aumentavam as baixas e as chefias militares se debatiam com falta de homens, mas apesar dis</w:t>
      </w:r>
      <w:r w:rsidR="00E51B6F">
        <w:t>t</w:t>
      </w:r>
      <w:r w:rsidR="005A3930" w:rsidRPr="003E305A">
        <w:t>o a sua participação nas frentes de combate reduzia-se na esmagadora maioria dos casos a funções de apoio, algumas especialmente repulsivas, por exemplo a remoção dos cadáveres de soldados mortos em batalha</w:t>
      </w:r>
      <w:r w:rsidR="005A3930" w:rsidRPr="003E305A">
        <w:rPr>
          <w:rStyle w:val="Refdenotaderodap"/>
        </w:rPr>
        <w:footnoteReference w:id="21"/>
      </w:r>
      <w:r w:rsidR="005A3930" w:rsidRPr="003E305A">
        <w:t>. Os serviços de censura do exército chegaram a proibir a divulgação de fotografias dos feridos e mortos das divisões constituídas por negros, com o argumento de que a imprensa negra iria aproveitá-las para fins propagandísticos</w:t>
      </w:r>
      <w:r w:rsidR="005A3930" w:rsidRPr="003E305A">
        <w:rPr>
          <w:rStyle w:val="Refdenotaderodap"/>
        </w:rPr>
        <w:footnoteReference w:id="22"/>
      </w:r>
      <w:r w:rsidR="005A3930" w:rsidRPr="003E305A">
        <w:t xml:space="preserve">. </w:t>
      </w:r>
    </w:p>
    <w:p w:rsidR="005A3930" w:rsidRPr="003E305A" w:rsidRDefault="005A3930" w:rsidP="005A3930">
      <w:r w:rsidRPr="003E305A">
        <w:t>Os motivos desta política sistematicamente discriminatória, que perdurou durante todo o conflito, foram enunciados com franqueza pelo secretário da Guerra, Henry L. Stimson, quando declarou que os negros eram congenitamente incapazes de assumir funções de comando e tinham uma aptidão inferior para o uso de armas tecnologicamente sofisticadas</w:t>
      </w:r>
      <w:r w:rsidRPr="003E305A">
        <w:rPr>
          <w:rStyle w:val="Refdenotaderodap"/>
        </w:rPr>
        <w:footnoteReference w:id="23"/>
      </w:r>
      <w:r w:rsidRPr="003E305A">
        <w:t xml:space="preserve">. Vimos que, do lado de lá, também Hitler, apesar das dificuldades crescentes do recrutamento, se </w:t>
      </w:r>
      <w:r w:rsidR="006A7DED">
        <w:t>opôs</w:t>
      </w:r>
      <w:r w:rsidRPr="003E305A">
        <w:t xml:space="preserve"> a que a Wehrmacht empregasse eslavos em acções de combate, com o idêntico argumento de que eram atingidos pela inferioridade racial. E a atitude prevalecente nas forças armadas norte-americanas </w:t>
      </w:r>
      <w:r w:rsidRPr="003E305A">
        <w:lastRenderedPageBreak/>
        <w:t xml:space="preserve">não se restringia ao mero plano cultural, mas tratava-se de um verdadeiro racismo biológico, semelhante àquele que inspirava os </w:t>
      </w:r>
      <w:r w:rsidR="006B7252">
        <w:t>nacionais-socialistas</w:t>
      </w:r>
      <w:r w:rsidRPr="003E305A">
        <w:t>, porque os serviços hospitalares do exército começaram por rejeitar os doadores de sangue negros e em seguida decidiram manter o plasma separado consoante a cor de pele dos doadores</w:t>
      </w:r>
      <w:r w:rsidRPr="003E305A">
        <w:rPr>
          <w:rStyle w:val="Refdenotaderodap"/>
        </w:rPr>
        <w:footnoteReference w:id="24"/>
      </w:r>
      <w:r w:rsidRPr="003E305A">
        <w:t xml:space="preserve">. Seria impossível localizar melhor os fundamentos deste racismo. </w:t>
      </w:r>
    </w:p>
    <w:p w:rsidR="005A3930" w:rsidRPr="003E305A" w:rsidRDefault="005A3930" w:rsidP="005A3930">
      <w:r w:rsidRPr="003E305A">
        <w:t>Nos cartazes destinados preferencialmente à população branca era muitíssimo raro que aparecessem representados soldados negros em posições agressivas de combate</w:t>
      </w:r>
      <w:r w:rsidRPr="003E305A">
        <w:rPr>
          <w:rStyle w:val="Refdenotaderodap"/>
        </w:rPr>
        <w:footnoteReference w:id="25"/>
      </w:r>
      <w:r w:rsidRPr="003E305A">
        <w:t>, e esta decisão seria decerto do agrado da maior parte do público. Uma sondagem de opinião efectuada em meados de 1943 pelos serviços centrais de propaganda do governo revel</w:t>
      </w:r>
      <w:r>
        <w:t>ou</w:t>
      </w:r>
      <w:r w:rsidRPr="003E305A">
        <w:t xml:space="preserve"> que noventa por cento dos brancos inquiridos defendiam que os soldados brancos e os negros não deviam efectuar a instrução militar em conjunto, enquanto setenta e cinco por cento dos negros sustentavam a opinião contrária</w:t>
      </w:r>
      <w:r w:rsidRPr="003E305A">
        <w:rPr>
          <w:rStyle w:val="Refdenotaderodap"/>
        </w:rPr>
        <w:footnoteReference w:id="26"/>
      </w:r>
      <w:r w:rsidRPr="003E305A">
        <w:t xml:space="preserve">. Soldados negros chegaram a ser proibidos de frequentar refeitórios e restaurantes onde, no entanto, se admitiam os prisioneiros de guerra </w:t>
      </w:r>
      <w:r w:rsidR="005C3FF7">
        <w:t>germânicos</w:t>
      </w:r>
      <w:r w:rsidRPr="003E305A">
        <w:t xml:space="preserve">, assim como </w:t>
      </w:r>
      <w:r>
        <w:t>fo</w:t>
      </w:r>
      <w:r w:rsidRPr="003E305A">
        <w:t xml:space="preserve">ram excluídos de carruagens de comboio reservadas a brancos e que, por conseguinte, acolhiam também prisioneiros </w:t>
      </w:r>
      <w:r w:rsidR="005C3FF7">
        <w:t>germânicos</w:t>
      </w:r>
      <w:r w:rsidRPr="003E305A">
        <w:rPr>
          <w:rStyle w:val="Refdenotaderodap"/>
        </w:rPr>
        <w:footnoteReference w:id="27"/>
      </w:r>
      <w:r w:rsidRPr="003E305A">
        <w:t>. Esta situação foi vista por vezes com certa má consciência, e um filme produzido em Hollywood em 1943 apresentou aos espectadores um soldado negro incluído num grupo de militares brancos, se bem que na realidade não existissem unidades integradas racialmente</w:t>
      </w:r>
      <w:r w:rsidRPr="003E305A">
        <w:rPr>
          <w:rStyle w:val="Refdenotaderodap"/>
        </w:rPr>
        <w:footnoteReference w:id="28"/>
      </w:r>
      <w:r w:rsidRPr="003E305A">
        <w:t xml:space="preserve">. Mas um filme produzido no ano seguinte pelos serviços governamentais, e intitulado precisamente </w:t>
      </w:r>
      <w:r w:rsidRPr="003E305A">
        <w:rPr>
          <w:i/>
        </w:rPr>
        <w:t>The Negro Soldier,</w:t>
      </w:r>
      <w:r w:rsidRPr="003E305A">
        <w:t xml:space="preserve"> embora mostrasse negros e brancos fazendo ginástica em conjunto, não escondeu que a segregação prevalecia em toda a vida social no interior das forças armadas</w:t>
      </w:r>
      <w:r w:rsidRPr="003E305A">
        <w:rPr>
          <w:rStyle w:val="Refdenotaderodap"/>
        </w:rPr>
        <w:footnoteReference w:id="29"/>
      </w:r>
      <w:r w:rsidRPr="003E305A">
        <w:t>. Quando, em 1943, vários órgãos de imprensa publicaram fotografias em que podiam ver</w:t>
      </w:r>
      <w:r w:rsidR="006A7DED">
        <w:t>-se</w:t>
      </w:r>
      <w:r w:rsidRPr="003E305A">
        <w:t xml:space="preserve"> soldados negros norte-americanos a dançar com mulheres brancas na Grã-Bretanha, o Departamento de Relações Públicas das forças armadas enviou de imediato ordens aos serviços de censura militares para impedirem a divulgação de imagens revelando o convívio entre homens e mulheres de diferentes cores de pele</w:t>
      </w:r>
      <w:r w:rsidRPr="003E305A">
        <w:rPr>
          <w:rStyle w:val="Refdenotaderodap"/>
        </w:rPr>
        <w:footnoteReference w:id="30"/>
      </w:r>
      <w:r w:rsidRPr="003E305A">
        <w:t xml:space="preserve">. Chega a surpreender o rigor com que esta prescrição foi aplicada, pois o secretário de Imprensa de Roosevelt determinou que o Departamento de Relações Públicas das forças armadas apreendesse todas as fotografias que mostravam a esposa do presidente </w:t>
      </w:r>
      <w:r w:rsidRPr="003E305A">
        <w:lastRenderedPageBreak/>
        <w:t>acompanhada por militares negros durante as suas visitas às bases do exército</w:t>
      </w:r>
      <w:r w:rsidRPr="003E305A">
        <w:rPr>
          <w:rStyle w:val="Refdenotaderodap"/>
        </w:rPr>
        <w:footnoteReference w:id="31"/>
      </w:r>
      <w:r w:rsidRPr="003E305A">
        <w:t xml:space="preserve">. A segregação começava, aliás, por orientar os próprios materiais de propaganda destinados a promover o recrutamento, que eram muitas vezes produzidos separadamente, recebendo os negros folhetos mais simples do que os difundidos entre a população branca e baseados sobretudo em imagens. Mas mesmo quando a discriminação não ocorria na produção ela podia efectuar-se no processo de distribuição, e em vários casos os proprietários de cinemas nos estados </w:t>
      </w:r>
      <w:r>
        <w:t>do sul, os mais racistas, mandar</w:t>
      </w:r>
      <w:r w:rsidRPr="003E305A">
        <w:t xml:space="preserve">am eliminar dos filmes de actualidades todas as imagens de militares negros. Parece até que alguns produtores começaram a pôr em circulação filmes montados de maneira </w:t>
      </w:r>
      <w:r>
        <w:t xml:space="preserve">a </w:t>
      </w:r>
      <w:r w:rsidRPr="003E305A">
        <w:t>facilita</w:t>
      </w:r>
      <w:r>
        <w:t>re</w:t>
      </w:r>
      <w:r w:rsidRPr="003E305A">
        <w:t>m este tipo de cortes</w:t>
      </w:r>
      <w:r w:rsidRPr="003E305A">
        <w:rPr>
          <w:rStyle w:val="Refdenotaderodap"/>
        </w:rPr>
        <w:footnoteReference w:id="32"/>
      </w:r>
      <w:r w:rsidRPr="003E305A">
        <w:t xml:space="preserve">. E havia no Departamento de Justiça quem propusesse a supressão </w:t>
      </w:r>
      <w:r w:rsidR="00CD3285">
        <w:t>massiv</w:t>
      </w:r>
      <w:r w:rsidRPr="003E305A">
        <w:t>a da imprensa negra durante a guerra</w:t>
      </w:r>
      <w:r w:rsidRPr="003E305A">
        <w:rPr>
          <w:rStyle w:val="Refdenotaderodap"/>
        </w:rPr>
        <w:footnoteReference w:id="33"/>
      </w:r>
      <w:r w:rsidRPr="003E305A">
        <w:t xml:space="preserve">. </w:t>
      </w:r>
    </w:p>
    <w:p w:rsidR="005A3930" w:rsidRPr="003E305A" w:rsidRDefault="005A3930" w:rsidP="005A3930">
      <w:r w:rsidRPr="003E305A">
        <w:t xml:space="preserve">Uma vez mais, como sempre, torna-se necessário que os sofismas do racismo não </w:t>
      </w:r>
      <w:r w:rsidR="00BD6EFB">
        <w:t xml:space="preserve">dissimulem </w:t>
      </w:r>
      <w:r w:rsidRPr="003E305A">
        <w:t>o verdadeiro carácter de um problema que dividia a população dos Estados Unidos não consoante as epidermes mas de acordo com convicções sociais e políticas. Em 1944, quinhentos artistas do cinema, do teatro e da rádio assinaram uma declaração reivindicando que os negros deixassem de ser representados como seres inferiores e fossem descritos de modo sério e realista</w:t>
      </w:r>
      <w:r w:rsidRPr="003E305A">
        <w:rPr>
          <w:rStyle w:val="Refdenotaderodap"/>
        </w:rPr>
        <w:footnoteReference w:id="34"/>
      </w:r>
      <w:r w:rsidRPr="003E305A">
        <w:t xml:space="preserve">. Mas este tipo de atitudes </w:t>
      </w:r>
      <w:r w:rsidR="006342E4" w:rsidRPr="003E305A">
        <w:t xml:space="preserve">esteve muito longe de prevalecer na generalidade da opinião pública </w:t>
      </w:r>
      <w:r w:rsidR="006342E4">
        <w:t xml:space="preserve">e </w:t>
      </w:r>
      <w:r w:rsidRPr="003E305A">
        <w:t xml:space="preserve">não conseguiu alterar as orientações governamentais. </w:t>
      </w:r>
    </w:p>
    <w:p w:rsidR="005A3930" w:rsidRDefault="005A3930" w:rsidP="005A3930">
      <w:r w:rsidRPr="003E305A">
        <w:t>As medidas racistas</w:t>
      </w:r>
      <w:r w:rsidR="00DD06C0">
        <w:t>,</w:t>
      </w:r>
      <w:r w:rsidRPr="003E305A">
        <w:t xml:space="preserve"> </w:t>
      </w:r>
      <w:r w:rsidR="00DD06C0">
        <w:t>além de fazerem com que a fuga ao alistamento fosse maior entre os negros do que entre os brancos</w:t>
      </w:r>
      <w:r w:rsidR="00DD06C0">
        <w:rPr>
          <w:rStyle w:val="Refdenotaderodap"/>
        </w:rPr>
        <w:footnoteReference w:id="35"/>
      </w:r>
      <w:r w:rsidR="00DD06C0">
        <w:t xml:space="preserve">, </w:t>
      </w:r>
      <w:r w:rsidRPr="003E305A">
        <w:t>levaram a frequentes movimentos de contestação por parte dos soldados de cor, tanto mais que elas entravam em contradição com as necessidades do esforço de guerra e com os próprios argumentos da propaganda democrática invocados contra o fascismo. Em bastantes casos ocorreram motins violentos, que as autoridades reprimiram com grande severidade, ao mesmo tempo que os serviços de censura proibiram a divulgação de quaisquer fotografias que mostrassem confrontos raciais em bases militares</w:t>
      </w:r>
      <w:r w:rsidRPr="003E305A">
        <w:rPr>
          <w:rStyle w:val="Refdenotaderodap"/>
        </w:rPr>
        <w:footnoteReference w:id="36"/>
      </w:r>
      <w:r w:rsidRPr="003E305A">
        <w:t>. A revolta de várias centenas de estivadores militares negros, em protesto contra as condições de trabalho que haviam provocado a morte de mais de trezentos deles numa explosão de munições, levou à condenação de quarenta e quatro amotinados a penas entre oito e quinze anos de trabalhos forçados</w:t>
      </w:r>
      <w:r w:rsidRPr="003E305A">
        <w:rPr>
          <w:rStyle w:val="Refdenotaderodap"/>
        </w:rPr>
        <w:footnoteReference w:id="37"/>
      </w:r>
      <w:r w:rsidRPr="003E305A">
        <w:t xml:space="preserve">. Entretanto verificaram-se muitos casos em que soldados negros foram atacados por </w:t>
      </w:r>
      <w:r w:rsidRPr="003E305A">
        <w:lastRenderedPageBreak/>
        <w:t>civis brancos, com maior frequência no sul do país</w:t>
      </w:r>
      <w:r w:rsidRPr="003E305A">
        <w:rPr>
          <w:rStyle w:val="Refdenotaderodap"/>
        </w:rPr>
        <w:footnoteReference w:id="38"/>
      </w:r>
      <w:r w:rsidRPr="003E305A">
        <w:t>. Na Carolina do Sul, um dos estados onde o racismo estava mais difundido e enraizado, o parlamento aprovou uma resolução declarando que as forças armadas norte-americanas «lutavam pela supremacia branca»</w:t>
      </w:r>
      <w:r w:rsidRPr="003E305A">
        <w:rPr>
          <w:rStyle w:val="Refdenotaderodap"/>
        </w:rPr>
        <w:footnoteReference w:id="39"/>
      </w:r>
      <w:r w:rsidRPr="003E305A">
        <w:t xml:space="preserve">. </w:t>
      </w:r>
    </w:p>
    <w:p w:rsidR="005A3930" w:rsidRPr="003E305A" w:rsidRDefault="005A3930" w:rsidP="005A3930">
      <w:r w:rsidRPr="003E305A">
        <w:t xml:space="preserve">Em sentido contrário, o </w:t>
      </w:r>
      <w:r w:rsidR="00B12205">
        <w:t>alistamento</w:t>
      </w:r>
      <w:r w:rsidRPr="003E305A">
        <w:t xml:space="preserve"> </w:t>
      </w:r>
      <w:r w:rsidR="00CD3285">
        <w:t>massiv</w:t>
      </w:r>
      <w:r w:rsidRPr="003E305A">
        <w:t xml:space="preserve">o de brancos </w:t>
      </w:r>
      <w:r w:rsidR="00B12205">
        <w:t>n</w:t>
      </w:r>
      <w:r w:rsidRPr="003E305A">
        <w:t>o serviço militar abrira aos negros algumas possibilidades de ascensão profissional em sectores industriais de onde estavam tradicionalmente excluídos. É certo que as barreiras não caíram, porque pesava por um lado a ausência de qualificações e por outro lado os velhos critérios continuavam a presidir ao recrutamento da mão-de-obra e à sua formação</w:t>
      </w:r>
      <w:r w:rsidRPr="003E305A">
        <w:rPr>
          <w:rStyle w:val="Refdenotaderodap"/>
        </w:rPr>
        <w:footnoteReference w:id="40"/>
      </w:r>
      <w:r w:rsidRPr="003E305A">
        <w:t xml:space="preserve">. Mas apesar de tudo a situação profissional dos negros foi melhorando, especialmente a partir de 1943. Os operários negros de Detroit reconheceriam depois da guerra, com amarga ironia, que «Tojo e o fascismo fizeram mais pela emancipação do trabalho dos negros </w:t>
      </w:r>
      <w:r w:rsidR="00CC2909">
        <w:t xml:space="preserve">do </w:t>
      </w:r>
      <w:r w:rsidRPr="003E305A">
        <w:t>que Lincoln ou Roosevelt»</w:t>
      </w:r>
      <w:r w:rsidRPr="003E305A">
        <w:rPr>
          <w:rStyle w:val="Refdenotaderodap"/>
        </w:rPr>
        <w:footnoteReference w:id="41"/>
      </w:r>
      <w:r w:rsidRPr="003E305A">
        <w:t>. O operariado branco reagiu e reivindicou a aplicação de medidas discriminatórias. Em várias cidades e empresas houve tumultos sangrentos, com os trabalhadores brancos a insurgirem-se pelo facto de os seus colegas negros começarem a ser aceites em postos ou em instalações de onde haviam antes sido afastados</w:t>
      </w:r>
      <w:r w:rsidRPr="003E305A">
        <w:rPr>
          <w:rStyle w:val="Refdenotaderodap"/>
        </w:rPr>
        <w:footnoteReference w:id="42"/>
      </w:r>
      <w:r w:rsidRPr="003E305A">
        <w:t>. O caso mais grave verificou-se em Junho de 1943 em Detroit. Bandos de brancos atacaram negros, generalizando-se os confrontos raciais a toda a cidade, e foi necessária a declaração do estado de emergência e o envio de tropas federais. No final contaram-se, além de cerca de setecentos feridos, vinte e cinco negros mortos e nove brancos, o que não coibiu a imprensa local de proclamar que tinha havido maior número de vítimas entre os brancos do que entre os negros. Algumas grandes companhias produtoras de filmes de actualidades chegaram a censurar as reportagens feitas pelos cineastas ao seu serviço, de maneira a impedir a difusão de notícias acerca destes incidentes</w:t>
      </w:r>
      <w:r>
        <w:t xml:space="preserve"> e </w:t>
      </w:r>
      <w:r w:rsidRPr="003E305A">
        <w:t>a respeito de outros motins raciais ocorridos no mesmo ano</w:t>
      </w:r>
      <w:r w:rsidRPr="003E305A">
        <w:rPr>
          <w:rStyle w:val="Refdenotaderodap"/>
        </w:rPr>
        <w:footnoteReference w:id="43"/>
      </w:r>
      <w:r w:rsidRPr="003E305A">
        <w:t>. O problema do racismo nos Estados Unidos, tal como n</w:t>
      </w:r>
      <w:r w:rsidR="00B12205">
        <w:t>o</w:t>
      </w:r>
      <w:r w:rsidRPr="003E305A">
        <w:t xml:space="preserve"> </w:t>
      </w:r>
      <w:r w:rsidR="00B12205">
        <w:t>Reich</w:t>
      </w:r>
      <w:r w:rsidRPr="003E305A">
        <w:t xml:space="preserve">, não se resumiu a uma atitude das classes dominantes. Condicionou igualmente as relações no interior da classe trabalhadora, e é isto que indica a gravidade da questão. </w:t>
      </w:r>
    </w:p>
    <w:p w:rsidR="005A3930" w:rsidRPr="003E305A" w:rsidRDefault="005A3930" w:rsidP="005A3930">
      <w:r w:rsidRPr="003E305A">
        <w:t xml:space="preserve">Pela forma como eram tratados os soldados negros de nacionalidade norte-americana podemos calcular o que sucedia aos militares não-brancos de territórios aliados. Durante a primeira campanha contra a invasão japonesa das Filipinas, e apesar de estarem numa situação cada vez mais precária, os soldados dos Estados Unidos, em vez de procurarem atrair a </w:t>
      </w:r>
      <w:r w:rsidRPr="003E305A">
        <w:lastRenderedPageBreak/>
        <w:t>simpatia dos nativos, tudo fizeram para os humilhar. Proibiam-nos de frequentar os seus refeitórios, onde a alimentação era mais abundante e de muito melhor qualidade do que a entregue aos militares filipinos. E como se haviam habituado no país natal a ver os filipinos empregarem-se apenas em trabalhos domésticos pretendiam forçá-los também a servir-lhes de criados, o que dava origem a recriminações permanentes e suscitava a todo o momento confrontos físicos. Esta discriminação e estes preconceitos, comuns entre a tropa, recebiam o aval dos comandantes quando os oficiais filipinos eram obrigados a obedecer às ordens de oficiais norte-americanos de patente mais baixa, o que destruía a disciplina que os soldados nativos deviam manter perante os seus próprios superiores</w:t>
      </w:r>
      <w:r w:rsidRPr="003E305A">
        <w:rPr>
          <w:rStyle w:val="Refdenotaderodap"/>
        </w:rPr>
        <w:footnoteReference w:id="44"/>
      </w:r>
      <w:r w:rsidR="00FD38A5">
        <w:t xml:space="preserve">. </w:t>
      </w:r>
      <w:r w:rsidR="00FD38A5" w:rsidRPr="003E305A">
        <w:t xml:space="preserve">O racismo demonstrado pelas forças armadas dos Estados Unidos contribuiu </w:t>
      </w:r>
      <w:r w:rsidR="00FD38A5">
        <w:t xml:space="preserve">decerto </w:t>
      </w:r>
      <w:r w:rsidR="00FD38A5" w:rsidRPr="003E305A">
        <w:t>para enfraquecer a sua posição no arquipélago</w:t>
      </w:r>
      <w:r w:rsidR="00FD38A5">
        <w:t xml:space="preserve"> e ajuda a compreender </w:t>
      </w:r>
      <w:r w:rsidRPr="003E305A">
        <w:t>a vitória japones</w:t>
      </w:r>
      <w:r w:rsidR="00FD38A5">
        <w:t>a</w:t>
      </w:r>
      <w:r w:rsidRPr="003E305A">
        <w:t xml:space="preserve"> nas Filipinas na campanha de 1941-1942. </w:t>
      </w:r>
    </w:p>
    <w:p w:rsidR="005A3930" w:rsidRPr="003E305A" w:rsidRDefault="005A3930" w:rsidP="005A3930">
      <w:r w:rsidRPr="003E305A">
        <w:t>A arrogância com que se vexava um aliado oriental tinha as mesmas raízes das medidas que vitima</w:t>
      </w:r>
      <w:r w:rsidR="0023771F">
        <w:t>r</w:t>
      </w:r>
      <w:r w:rsidRPr="003E305A">
        <w:t>am a população norte-americana de origem nipónica, e vale a pena comparar a</w:t>
      </w:r>
      <w:r w:rsidR="0023771F">
        <w:t>s</w:t>
      </w:r>
      <w:r w:rsidRPr="003E305A">
        <w:t xml:space="preserve"> forma</w:t>
      </w:r>
      <w:r w:rsidR="0023771F">
        <w:t>s</w:t>
      </w:r>
      <w:r w:rsidRPr="003E305A">
        <w:t xml:space="preserve"> como foram tratadas as </w:t>
      </w:r>
      <w:r w:rsidR="0023771F">
        <w:t xml:space="preserve">três </w:t>
      </w:r>
      <w:r w:rsidRPr="003E305A">
        <w:t xml:space="preserve">comunidades </w:t>
      </w:r>
      <w:r>
        <w:t>oriundas</w:t>
      </w:r>
      <w:r w:rsidRPr="003E305A">
        <w:t xml:space="preserve"> de países inimigos. Embora em 1940, quando Mussolini decidiu entrar em guerra, 80% dos jornais em língua italiana publicados nos Estados Unidos fossem favoráveis ao regime fascista, 12% seguissem uma posição intermédia e só 8% fossem antifascistas, os ítalo-americanos jamais foram incomodados como grupo étnico desde o princípio até ao fim do conflito nem foram sequer objecto de desconfiança generalizada. Dos italianos não naturalizados, algumas centenas estiveram presos ao abrigo da lei de Dezembro de 1941 sobre os estrangeiros suspeitos, e os restantes viram reduzidas a sua liberdade de movimentos e as suas possibilidades de emprego, mas Roosevelt sempre cortejou o voto dos compatriotas de origem italiana e por sua indicação expressa a administração esforçou-se por minorar aqueles inconvenientes e assumiu uma atitude de boa vontade relativamente à comunidade ítalo-americana</w:t>
      </w:r>
      <w:r w:rsidRPr="003E305A">
        <w:rPr>
          <w:rStyle w:val="Refdenotaderodap"/>
        </w:rPr>
        <w:footnoteReference w:id="45"/>
      </w:r>
      <w:r w:rsidRPr="003E305A">
        <w:t xml:space="preserve">. O mesmo sucedeu com os germano-americanos, apesar de desde 1936 até à entrada dos Estados Unidos na guerra a German-American Bund, que no seu apogeu mobilizou talvez mais de vinte mil cidadãos de origem alemã, ter defendido um programa caracteristicamente </w:t>
      </w:r>
      <w:r w:rsidR="006E1B8A">
        <w:t>nacional-socialista</w:t>
      </w:r>
      <w:r w:rsidRPr="003E305A">
        <w:t xml:space="preserve"> e copiado as formas fascistas de organização, fazendo desfilar milícias uniformizadas</w:t>
      </w:r>
      <w:r w:rsidRPr="003E305A">
        <w:rPr>
          <w:rStyle w:val="Refdenotaderodap"/>
        </w:rPr>
        <w:footnoteReference w:id="46"/>
      </w:r>
      <w:r w:rsidRPr="003E305A">
        <w:t xml:space="preserve">. Nada disto </w:t>
      </w:r>
      <w:r w:rsidR="006E1B8A">
        <w:t>—</w:t>
      </w:r>
      <w:r w:rsidRPr="003E305A">
        <w:t xml:space="preserve"> e com razão </w:t>
      </w:r>
      <w:r w:rsidR="006E1B8A">
        <w:t>—</w:t>
      </w:r>
      <w:r w:rsidRPr="003E305A">
        <w:t xml:space="preserve"> tornou os germano-americanos colectivamente suspeitos aos olhos dos seus compatriotas</w:t>
      </w:r>
      <w:r w:rsidRPr="003E305A">
        <w:rPr>
          <w:rStyle w:val="Refdenotaderodap"/>
        </w:rPr>
        <w:footnoteReference w:id="47"/>
      </w:r>
      <w:r w:rsidRPr="003E305A">
        <w:t xml:space="preserve">. </w:t>
      </w:r>
    </w:p>
    <w:p w:rsidR="005A3930" w:rsidRPr="003E305A" w:rsidRDefault="005A3930" w:rsidP="005A3930">
      <w:r w:rsidRPr="003E305A">
        <w:t xml:space="preserve">As pessoas de ascendência japonesa, todavia, mesmo naturalizadas ou até nascidas nos Estados Unidos, diferenciáveis pela cor da pele e pelos traços fisionómicos, foram todas elas </w:t>
      </w:r>
      <w:r w:rsidRPr="003E305A">
        <w:lastRenderedPageBreak/>
        <w:t xml:space="preserve">sacrificadas à hostilidade dos seus vizinhos brancos. Os sentimentos antinipónicos haviam já sido notórios na primeira guerra mundial, quando o Japão aproveitou a participação no conflito ao lado da </w:t>
      </w:r>
      <w:r w:rsidRPr="003E305A">
        <w:rPr>
          <w:i/>
        </w:rPr>
        <w:t>Entente</w:t>
      </w:r>
      <w:r w:rsidRPr="003E305A">
        <w:t xml:space="preserve"> para acentuar as pressões políticas e económicas sobre a China e se afirmou no Oceano Pacífico como um eventual concorrente do expansionismo norte-americano</w:t>
      </w:r>
      <w:r w:rsidRPr="003E305A">
        <w:rPr>
          <w:rStyle w:val="Refdenotaderodap"/>
        </w:rPr>
        <w:footnoteReference w:id="48"/>
      </w:r>
      <w:r w:rsidRPr="003E305A">
        <w:t xml:space="preserve">. E em 1919, durante a discussão do documento fundador da Sociedade das Nações, </w:t>
      </w:r>
      <w:r w:rsidR="00B17565" w:rsidRPr="003E305A">
        <w:t xml:space="preserve">a intenção de cancelar ou atenuar as restrições que vinham a ser levantadas à </w:t>
      </w:r>
      <w:r w:rsidR="0085695B">
        <w:t>i</w:t>
      </w:r>
      <w:r w:rsidR="00B17565" w:rsidRPr="003E305A">
        <w:t xml:space="preserve">migração de japoneses </w:t>
      </w:r>
      <w:r w:rsidR="00E51CCF">
        <w:t>n</w:t>
      </w:r>
      <w:r w:rsidR="00B17565" w:rsidRPr="003E305A">
        <w:t xml:space="preserve">a Austrália e </w:t>
      </w:r>
      <w:r w:rsidR="00E51CCF">
        <w:t>n</w:t>
      </w:r>
      <w:r w:rsidR="00B17565" w:rsidRPr="003E305A">
        <w:t>a costa ocidental dos Estados Unidos constitu</w:t>
      </w:r>
      <w:r w:rsidR="0085695B">
        <w:t>iu</w:t>
      </w:r>
      <w:r w:rsidR="00B17565" w:rsidRPr="003E305A">
        <w:t xml:space="preserve"> um dos motivos que levaram o representante nipónico a sugerir a adopção </w:t>
      </w:r>
      <w:r w:rsidR="00B17565">
        <w:t>oficial</w:t>
      </w:r>
      <w:r w:rsidR="00B17565" w:rsidRPr="003E305A">
        <w:t xml:space="preserve"> de uma atitude anti-racista pelo novo organismo internacional</w:t>
      </w:r>
      <w:r w:rsidR="0085695B">
        <w:t xml:space="preserve">. Todavia, e </w:t>
      </w:r>
      <w:r w:rsidR="0085695B" w:rsidRPr="003E305A">
        <w:t xml:space="preserve">antes de o Congresso dos Estados Unidos ter decidido afastar o país daquela instituição, as pressões da Califórnia e da Austrália impediram a aceitação </w:t>
      </w:r>
      <w:r w:rsidR="0085695B">
        <w:t>da</w:t>
      </w:r>
      <w:r w:rsidR="0085695B" w:rsidRPr="003E305A">
        <w:t xml:space="preserve"> cláusula de igualdade racial</w:t>
      </w:r>
      <w:r w:rsidR="00E51CCF" w:rsidRPr="003E305A">
        <w:rPr>
          <w:rStyle w:val="Refdenotaderodap"/>
        </w:rPr>
        <w:footnoteReference w:id="49"/>
      </w:r>
      <w:r w:rsidR="0085695B" w:rsidRPr="003E305A">
        <w:t>. A questão do racismo confundia-se, como frequentemente sucede, com a questão da imigração.</w:t>
      </w:r>
      <w:r w:rsidR="0085695B">
        <w:t xml:space="preserve"> </w:t>
      </w:r>
      <w:r w:rsidRPr="003E305A">
        <w:t xml:space="preserve">Esta atitude não se modificou, e através de uma medida de 1922 e da legislação eugenista de 1924, destinadas a restringir a imigração e a orientá-la racialmente </w:t>
      </w:r>
      <w:r w:rsidR="00BD7A1C">
        <w:t>—</w:t>
      </w:r>
      <w:r w:rsidR="00FD38A5">
        <w:t xml:space="preserve"> </w:t>
      </w:r>
      <w:r w:rsidRPr="003E305A">
        <w:t>que</w:t>
      </w:r>
      <w:r>
        <w:t xml:space="preserve"> </w:t>
      </w:r>
      <w:r w:rsidRPr="003E305A">
        <w:t xml:space="preserve"> receberam o aplauso de Hitler em </w:t>
      </w:r>
      <w:r w:rsidRPr="003E305A">
        <w:rPr>
          <w:i/>
        </w:rPr>
        <w:t>Mein Kampf</w:t>
      </w:r>
      <w:r w:rsidRPr="00477F6E">
        <w:rPr>
          <w:vertAlign w:val="superscript"/>
        </w:rPr>
        <w:footnoteReference w:id="50"/>
      </w:r>
      <w:r w:rsidRPr="003E305A">
        <w:t xml:space="preserve"> </w:t>
      </w:r>
      <w:r w:rsidR="00BD7A1C">
        <w:t>—</w:t>
      </w:r>
      <w:r w:rsidRPr="003E305A">
        <w:t xml:space="preserve"> juntamente com a série de normas jurídicas que as completaram, os japoneses ficaram proibidos de se estabelecer no país e aqueles que haviam chegado em datas recentes viram-se excluídos da cidadania e foi-lhes limitado o acesso à propriedade fundiária. Na Califórnia, onde a esmagadora maioria se fixara, uma campanha conduzida sob o lema «Mantenhamos a Califórnia branca!» levou à promulgação de leis que impediram os japoneses de ser proprietários de terras, além de os tornar sistematicamente objecto de discriminações vexatórias. E os protestos públicos do embaixador do Japão só serviram para excitar os ânimos</w:t>
      </w:r>
      <w:r w:rsidRPr="003E305A">
        <w:rPr>
          <w:rStyle w:val="Refdenotaderodap"/>
        </w:rPr>
        <w:footnoteReference w:id="51"/>
      </w:r>
      <w:r w:rsidRPr="003E305A">
        <w:t xml:space="preserve">. Os imigrantes nipónicos haviam-se tornado um dos alvos preferidos da xenofobia militante, </w:t>
      </w:r>
      <w:r w:rsidR="00A1144D">
        <w:t xml:space="preserve">e o facto de </w:t>
      </w:r>
      <w:r w:rsidR="00624466">
        <w:t xml:space="preserve">pouco mais de 10% </w:t>
      </w:r>
      <w:r w:rsidR="00A1144D">
        <w:t>ter</w:t>
      </w:r>
      <w:r w:rsidR="00624466">
        <w:t>em</w:t>
      </w:r>
      <w:r w:rsidR="00A1144D">
        <w:t xml:space="preserve"> apoiado o Japão quando a guerra no Pacífico estava iminente constituiu </w:t>
      </w:r>
      <w:r w:rsidRPr="003E305A">
        <w:t>o pretexto sonhado</w:t>
      </w:r>
      <w:r w:rsidR="00A1144D">
        <w:rPr>
          <w:rStyle w:val="Refdenotaderodap"/>
        </w:rPr>
        <w:footnoteReference w:id="52"/>
      </w:r>
      <w:r w:rsidRPr="003E305A">
        <w:t xml:space="preserve">. </w:t>
      </w:r>
    </w:p>
    <w:p w:rsidR="005A3930" w:rsidRPr="003E305A" w:rsidRDefault="005A3930" w:rsidP="005A3930">
      <w:r w:rsidRPr="003E305A">
        <w:t xml:space="preserve">Cedendo às pressões exercidas por um número considerável de brancos da costa ocidental, a administração Roosevelt ordenou, em Fevereiro de 1942, a deslocação forçada dos cerca de cento e doze mil indivíduos de origem japonesa residentes nessa região e o seu internamento em dez campos de concentração, sujeitos à vigilância militar e situados em áreas pouco habitadas. Erradicou-se assim a prática totalidade de uma comunidade, pois no resto do </w:t>
      </w:r>
      <w:r w:rsidRPr="003E305A">
        <w:lastRenderedPageBreak/>
        <w:t>país ela tinha apenas cerca de quinze mil membros, e violou-se declaradamente a Constituição, já que quase dois terços dos detidos eram cidadãos norte-americanos</w:t>
      </w:r>
      <w:r w:rsidRPr="003E305A">
        <w:rPr>
          <w:rStyle w:val="Refdenotaderodap"/>
        </w:rPr>
        <w:footnoteReference w:id="53"/>
      </w:r>
      <w:r w:rsidRPr="003E305A">
        <w:t>. Porém, como explic</w:t>
      </w:r>
      <w:r>
        <w:t>ou</w:t>
      </w:r>
      <w:r w:rsidRPr="003E305A">
        <w:t xml:space="preserve"> o secretário da Guerra, Stimson, as «características raciais» nipónicas levavam a que tanto os cidadãos como os não-naturalizados devessem ser tratados da mesma maneira</w:t>
      </w:r>
      <w:r w:rsidRPr="003E305A">
        <w:rPr>
          <w:rStyle w:val="Refdenotaderodap"/>
        </w:rPr>
        <w:footnoteReference w:id="54"/>
      </w:r>
      <w:r w:rsidRPr="003E305A">
        <w:t>. Igualmente claro foi o general John DeWitt, responsável pelo Comando Defensivo Ocidental</w:t>
      </w:r>
      <w:r w:rsidR="00196AF3">
        <w:t>:</w:t>
      </w:r>
      <w:r w:rsidRPr="003E305A">
        <w:t xml:space="preserve"> «Na guerra que estamos agora a travar as afinidades raciais não são interrompidas pela imigração. A raça japonesa é uma raça inimiga»</w:t>
      </w:r>
      <w:r w:rsidRPr="003E305A">
        <w:rPr>
          <w:rStyle w:val="Refdenotaderodap"/>
        </w:rPr>
        <w:footnoteReference w:id="55"/>
      </w:r>
      <w:r w:rsidRPr="003E305A">
        <w:t>. Nem sequer se poderia invocar o direito de retaliação, pois até esse momento permaneciam em liberdade os doze mil e quinhentos cidadãos norte-americanos que viviam em territórios ocupados pelo Japão</w:t>
      </w:r>
      <w:r w:rsidRPr="003E305A">
        <w:rPr>
          <w:rStyle w:val="Refdenotaderodap"/>
        </w:rPr>
        <w:footnoteReference w:id="56"/>
      </w:r>
      <w:r w:rsidRPr="003E305A">
        <w:t xml:space="preserve">, além de não existirem </w:t>
      </w:r>
      <w:r w:rsidR="008F35E7">
        <w:t>nenhumas</w:t>
      </w:r>
      <w:r w:rsidRPr="003E305A">
        <w:t xml:space="preserve"> provas de que os residentes de origem japonesa preparassem actos de sabotagem</w:t>
      </w:r>
      <w:r w:rsidRPr="003E305A">
        <w:rPr>
          <w:rStyle w:val="Refdenotaderodap"/>
        </w:rPr>
        <w:footnoteReference w:id="57"/>
      </w:r>
      <w:r w:rsidRPr="003E305A">
        <w:t>. Quando as autoridades dos campos de internamento pediram aos jovens nipo-americanos de sexo masculino nascidos nos Estados Unidos que assinassem um documento jurando lealdade ao país de que eram cidadãos, só 28% se recusaram a fazê-lo, embora o único direito que a cidadania ainda lhes conferia era o de serem mobilizados e se deixarem morrer na guerra</w:t>
      </w:r>
      <w:r w:rsidRPr="003E305A">
        <w:rPr>
          <w:rStyle w:val="Refdenotaderodap"/>
        </w:rPr>
        <w:footnoteReference w:id="58"/>
      </w:r>
      <w:r w:rsidRPr="003E305A">
        <w:t>. Todos eles, qualquer que fosse a sua classificação jurídica, foram sacrificados pela aparência física. Vendo-se na necessidade de liquidar imediatamente os seus negócios, muitos arruinaram-se ou sofreram prejuízos de vulto, em benefício dos seus concorrentes etnicamente privilegiados, que compraram ao preço da chuva as propriedades dos detidos. Os danos foram avaliados em trezentos e cinquenta milhões de dólares, uma soma certamente difícil de suportar por uma comunidade cujos rendimentos eram modestos</w:t>
      </w:r>
      <w:r w:rsidRPr="003E305A">
        <w:rPr>
          <w:rStyle w:val="Refdenotaderodap"/>
        </w:rPr>
        <w:footnoteReference w:id="59"/>
      </w:r>
      <w:r w:rsidRPr="003E305A">
        <w:t xml:space="preserve">. E mesmo depois de </w:t>
      </w:r>
      <w:r w:rsidR="00196AF3">
        <w:t>desmantelados</w:t>
      </w:r>
      <w:r w:rsidRPr="003E305A">
        <w:t xml:space="preserve"> aqueles campos de concentração em 1945, a população de origem nipónica continuou a deparar com atitudes discriminatórias</w:t>
      </w:r>
      <w:r w:rsidRPr="003E305A">
        <w:rPr>
          <w:rStyle w:val="Refdenotaderodap"/>
        </w:rPr>
        <w:footnoteReference w:id="60"/>
      </w:r>
      <w:r w:rsidRPr="003E305A">
        <w:t>. Aliás, os governantes encontraram uma dificuldade inesperada, pois a China era uma aliada na luta contra o Japão e a esmagadora maioria da população norte-americana não conseguia distinguir pela fisionomia os seus concidadãos de origem chinesa dos de origem nipónica. Algumas das revistas mais sérias e de maior tiragem conduziram campanhas destinadas a explicar, através de texto e ilustrações, a diferença entre os caracteres físicos dos dois povos</w:t>
      </w:r>
      <w:r w:rsidRPr="003E305A">
        <w:rPr>
          <w:rStyle w:val="Refdenotaderodap"/>
        </w:rPr>
        <w:footnoteReference w:id="61"/>
      </w:r>
      <w:r w:rsidRPr="003E305A">
        <w:t xml:space="preserve">, o que lembra inevitavelmente as exposições que os </w:t>
      </w:r>
      <w:r w:rsidR="00304F44">
        <w:t>nacionais-</w:t>
      </w:r>
      <w:r w:rsidR="00304F44">
        <w:lastRenderedPageBreak/>
        <w:t>socialistas</w:t>
      </w:r>
      <w:r w:rsidRPr="003E305A">
        <w:t xml:space="preserve"> organizavam na Europa com o objectivo de ensinar a conhecer os judeus. Entretanto o governo canadiano apressou-se a imitar o seu poderoso vizinho e</w:t>
      </w:r>
      <w:r w:rsidR="00304F44">
        <w:t>,</w:t>
      </w:r>
      <w:r w:rsidRPr="003E305A">
        <w:t xml:space="preserve"> cinco dias depois de Roosevelt ter ordenado as operações de internamento</w:t>
      </w:r>
      <w:r w:rsidR="00304F44">
        <w:t>,</w:t>
      </w:r>
      <w:r w:rsidRPr="003E305A">
        <w:t xml:space="preserve"> todas as pessoas de origem japonesa residentes no Canadá, homens, mulheres e crianças, tanto estrangeiros como naturalizados, vinte e três mil no total, foram evacuadas para regiões inóspitas no interior do país e viram os seus bens pura e simplesmente confiscados</w:t>
      </w:r>
      <w:r w:rsidRPr="003E305A">
        <w:rPr>
          <w:rStyle w:val="Refdenotaderodap"/>
        </w:rPr>
        <w:footnoteReference w:id="62"/>
      </w:r>
      <w:r w:rsidRPr="003E305A">
        <w:t xml:space="preserve">. </w:t>
      </w:r>
    </w:p>
    <w:p w:rsidR="005A3930" w:rsidRDefault="005A3930" w:rsidP="005A3930">
      <w:r w:rsidRPr="003E305A">
        <w:t xml:space="preserve">As medidas que vitimaram a população norte-americana e canadiana de origem nipónica só podem ser plenamente compreendidas no contexto de um racismo mais generalizado, que condicionou a própria apresentação do conflito mundial. Enquanto o Reich e a Itália eram estigmatizados pela propaganda aliada como inimigos políticos e a hostilidade dos caricaturistas visava sobretudo, ou mesmo exclusivamente, a meia dúzia de dirigentes mais conhecidos do partido </w:t>
      </w:r>
      <w:r w:rsidR="00615627">
        <w:t>nacional-socialista</w:t>
      </w:r>
      <w:r w:rsidRPr="003E305A">
        <w:t xml:space="preserve"> e do partido fascista italiano, as operações militares conduzidas no Pacífico encontravam justificação numa perspectiva racial. </w:t>
      </w:r>
      <w:r w:rsidR="009068C1">
        <w:t xml:space="preserve">Talvez isto ajude a compreender o motivo </w:t>
      </w:r>
      <w:r w:rsidR="00A148A9">
        <w:t xml:space="preserve">por que o </w:t>
      </w:r>
      <w:r w:rsidR="00A148A9" w:rsidRPr="00C0157B">
        <w:rPr>
          <w:i/>
        </w:rPr>
        <w:t>aide-mémoire</w:t>
      </w:r>
      <w:r w:rsidR="00A148A9">
        <w:t xml:space="preserve"> assinado por Roosevelt e Churchill em Setembro de 1944 mencionou a possibilidade de usar a bomba atómica «contra os japoneses», sem </w:t>
      </w:r>
      <w:r w:rsidR="00C0157B">
        <w:t>referir</w:t>
      </w:r>
      <w:r w:rsidR="00A148A9">
        <w:t xml:space="preserve"> o inimigo germânico</w:t>
      </w:r>
      <w:r w:rsidR="001A0221">
        <w:rPr>
          <w:rStyle w:val="Refdenotaderodap"/>
        </w:rPr>
        <w:footnoteReference w:id="63"/>
      </w:r>
      <w:r w:rsidR="00A148A9">
        <w:t xml:space="preserve">. </w:t>
      </w:r>
      <w:r w:rsidRPr="003E305A">
        <w:t>A propaganda dos Estados Unidos distorcia as feições nipónicas e mostrava-as de maneira animalesca, como ratos ou macacos ou cobras ou vermes</w:t>
      </w:r>
      <w:r w:rsidRPr="003E305A">
        <w:rPr>
          <w:rStyle w:val="Refdenotaderodap"/>
        </w:rPr>
        <w:footnoteReference w:id="64"/>
      </w:r>
      <w:r w:rsidRPr="003E305A">
        <w:t>. Em 1943 um departamento oficial aprovou um cartaz que apelava para o extermínio dos ratos japoneses</w:t>
      </w:r>
      <w:r w:rsidRPr="003E305A">
        <w:rPr>
          <w:rStyle w:val="Refdenotaderodap"/>
        </w:rPr>
        <w:footnoteReference w:id="65"/>
      </w:r>
      <w:r w:rsidRPr="003E305A">
        <w:t xml:space="preserve"> e num filme produzido na Primavera de 1945 pelo Departamento da Guerra o narrador</w:t>
      </w:r>
      <w:r w:rsidR="00CD6C2A" w:rsidRPr="00CD6C2A">
        <w:t xml:space="preserve"> </w:t>
      </w:r>
      <w:r w:rsidR="00CD6C2A" w:rsidRPr="003E305A">
        <w:t>comentava</w:t>
      </w:r>
      <w:r w:rsidRPr="003E305A">
        <w:t>, enquanto se viam imagens reais de soldados japoneses a serem queimados vivos: «assámos seiscentos destes macacos»</w:t>
      </w:r>
      <w:r w:rsidRPr="003E305A">
        <w:rPr>
          <w:rStyle w:val="Refdenotaderodap"/>
        </w:rPr>
        <w:footnoteReference w:id="66"/>
      </w:r>
      <w:r w:rsidRPr="003E305A">
        <w:t xml:space="preserve">. Embora em 1943 o público pudesse assistir, num filme produzido em Hollywood, a uma cena em que um militar </w:t>
      </w:r>
      <w:r w:rsidR="00437369">
        <w:t>germânico</w:t>
      </w:r>
      <w:r w:rsidRPr="003E305A">
        <w:t xml:space="preserve"> ferido e capturado se recusava a ser tratado por um soldado negro </w:t>
      </w:r>
      <w:r w:rsidR="00615627">
        <w:t>—</w:t>
      </w:r>
      <w:r w:rsidRPr="003E305A">
        <w:t xml:space="preserve"> aliás líbio e não americano </w:t>
      </w:r>
      <w:r w:rsidR="00615627">
        <w:t>—</w:t>
      </w:r>
      <w:r w:rsidRPr="003E305A">
        <w:t xml:space="preserve"> com o pretexto de que não queria ser tocado por um membro de uma raça inferior, a censura militar proibiu a difusão de fotografias mostrando soldados norte-americanos a cuidar dos ferimentos de prisioneiros de guerra nipónicos</w:t>
      </w:r>
      <w:r w:rsidRPr="003E305A">
        <w:rPr>
          <w:rStyle w:val="Refdenotaderodap"/>
        </w:rPr>
        <w:footnoteReference w:id="67"/>
      </w:r>
      <w:r w:rsidRPr="003E305A">
        <w:t xml:space="preserve">. O humanismo que emanava de tais imagens poria em causa o carácter animalesco atribuído aos japoneses. Isto explica que, aparentemente com certa frequência, </w:t>
      </w:r>
      <w:r w:rsidR="00437369">
        <w:t>militares</w:t>
      </w:r>
      <w:r w:rsidRPr="003E305A">
        <w:t xml:space="preserve"> norte-americanos regressassem ao seu país trazendo como recordações de guerra colares feitos </w:t>
      </w:r>
      <w:r w:rsidR="00437369">
        <w:t>com</w:t>
      </w:r>
      <w:r w:rsidRPr="003E305A">
        <w:t xml:space="preserve"> dentes de japoneses, ou mesmo crânios de japoneses, devidamente limpos da matéria orgânica, enquanto não se conhecem </w:t>
      </w:r>
      <w:r w:rsidR="00615627">
        <w:t>nenhumas</w:t>
      </w:r>
      <w:r w:rsidRPr="003E305A">
        <w:t xml:space="preserve"> relíquias macabras feitas </w:t>
      </w:r>
      <w:r w:rsidRPr="003E305A">
        <w:lastRenderedPageBreak/>
        <w:t xml:space="preserve">com restos mortais de soldados </w:t>
      </w:r>
      <w:r w:rsidR="00437369">
        <w:t>germânicos</w:t>
      </w:r>
      <w:r w:rsidRPr="003E305A">
        <w:t xml:space="preserve"> ou italianos</w:t>
      </w:r>
      <w:r w:rsidRPr="003E305A">
        <w:rPr>
          <w:rStyle w:val="Refdenotaderodap"/>
        </w:rPr>
        <w:footnoteReference w:id="68"/>
      </w:r>
      <w:r w:rsidRPr="003E305A">
        <w:t>, certamente pelas mesmas razões que cinquenta anos antes haviam levado um oficial inglês de futuro promissor a considerar que «os cadáveres de brancos causam [...] uma repugnância muito maior do que os dos negros»</w:t>
      </w:r>
      <w:r w:rsidRPr="003E305A">
        <w:rPr>
          <w:rStyle w:val="Refdenotaderodap"/>
        </w:rPr>
        <w:footnoteReference w:id="69"/>
      </w:r>
      <w:r w:rsidRPr="003E305A">
        <w:t xml:space="preserve">. </w:t>
      </w:r>
    </w:p>
    <w:p w:rsidR="005A3930" w:rsidRPr="003E305A" w:rsidRDefault="005A3930" w:rsidP="005A3930">
      <w:r w:rsidRPr="003E305A">
        <w:t>A hostilidade do imperialismo norte-americano ao imperialismo nipónico não se apresentava como um choque de políticas mas como um confronto entre raças, em que os brancos, evidentemente superiores, deparavam com um povo ao qual eram atribuídas características infra-humanas. Tomando estas ficções à letra e deixando-se assim aprisionar pelas armadilhas do racismo, uma percentagem considerável de negros norte-americanos declar</w:t>
      </w:r>
      <w:r>
        <w:t>ou</w:t>
      </w:r>
      <w:r w:rsidRPr="003E305A">
        <w:t xml:space="preserve"> às sondagens de opinião que considerava a guerra no Pacífico como um combate entre brancos e povos de cor, não sendo duvidoso para que lado pendiam as suas simpatias</w:t>
      </w:r>
      <w:r w:rsidRPr="003E305A">
        <w:rPr>
          <w:rStyle w:val="Refdenotaderodap"/>
        </w:rPr>
        <w:footnoteReference w:id="70"/>
      </w:r>
      <w:r w:rsidRPr="003E305A">
        <w:t>. Já a seguir à primeira guerra mundial a imprensa negra citara abundantemente o exemplo japonês como prova de que era possível opor-se com êxito à pressão das nações brancas</w:t>
      </w:r>
      <w:r w:rsidRPr="003E305A">
        <w:rPr>
          <w:rStyle w:val="Refdenotaderodap"/>
        </w:rPr>
        <w:footnoteReference w:id="71"/>
      </w:r>
      <w:r w:rsidRPr="003E305A">
        <w:t>. Mas agora a administração mostrou-se decidida a dar um exemplo de firmeza e acusou de traição mais de oito dezenas de negros, além de investir no Outono de 1942 contra várias seitas religiosas negras que haviam anunciado a breve libertação dos povos de cor graças à intervenção das armas nipónicas</w:t>
      </w:r>
      <w:r w:rsidRPr="003E305A">
        <w:rPr>
          <w:rStyle w:val="Refdenotaderodap"/>
        </w:rPr>
        <w:footnoteReference w:id="72"/>
      </w:r>
      <w:r w:rsidRPr="003E305A">
        <w:t xml:space="preserve">. </w:t>
      </w:r>
    </w:p>
    <w:p w:rsidR="005A3930" w:rsidRPr="003E305A" w:rsidRDefault="005A3930" w:rsidP="0014552D">
      <w:pPr>
        <w:keepNext/>
        <w:spacing w:before="720" w:after="360"/>
        <w:ind w:firstLine="0"/>
        <w:jc w:val="center"/>
        <w:rPr>
          <w:b/>
          <w:sz w:val="28"/>
        </w:rPr>
      </w:pPr>
      <w:r>
        <w:rPr>
          <w:b/>
          <w:sz w:val="28"/>
        </w:rPr>
        <w:t>3</w:t>
      </w:r>
      <w:r w:rsidRPr="003E305A">
        <w:rPr>
          <w:b/>
          <w:sz w:val="28"/>
        </w:rPr>
        <w:t xml:space="preserve">. </w:t>
      </w:r>
      <w:r>
        <w:rPr>
          <w:b/>
          <w:sz w:val="28"/>
        </w:rPr>
        <w:t>O anti-semitismo dos Aliados</w:t>
      </w:r>
    </w:p>
    <w:p w:rsidR="00756196" w:rsidRDefault="005A3930" w:rsidP="005A3930">
      <w:r w:rsidRPr="003E305A">
        <w:t>Apesar de serem</w:t>
      </w:r>
      <w:r>
        <w:t>,</w:t>
      </w:r>
      <w:r w:rsidRPr="003E305A">
        <w:t xml:space="preserve"> </w:t>
      </w:r>
      <w:r>
        <w:t xml:space="preserve">juntamente com os eslavos, </w:t>
      </w:r>
      <w:r w:rsidRPr="003E305A">
        <w:t xml:space="preserve">as grandes vítimas do </w:t>
      </w:r>
      <w:r w:rsidR="00344172">
        <w:t>nacional-socialismo</w:t>
      </w:r>
      <w:r w:rsidRPr="003E305A">
        <w:t xml:space="preserve">, os judeus não receberam </w:t>
      </w:r>
      <w:r>
        <w:t xml:space="preserve">dos Aliados um </w:t>
      </w:r>
      <w:r w:rsidRPr="003E305A">
        <w:t>tratamento</w:t>
      </w:r>
      <w:r>
        <w:t xml:space="preserve"> melhor do que o infligido aos negros e aos asiáticos</w:t>
      </w:r>
      <w:r w:rsidRPr="003E305A">
        <w:t>. Os anúncios d</w:t>
      </w:r>
      <w:r w:rsidR="00344172">
        <w:t>a</w:t>
      </w:r>
      <w:r w:rsidRPr="003E305A">
        <w:t xml:space="preserve"> propaganda de guerra publicados </w:t>
      </w:r>
      <w:r>
        <w:t>nos Estados Unidos pel</w:t>
      </w:r>
      <w:r w:rsidRPr="003E305A">
        <w:t>as revistas de maior circulação nunca apresentaram soldados norte-americanos com traços fisionómicos que os identifica</w:t>
      </w:r>
      <w:r w:rsidR="00344172">
        <w:t>ssem</w:t>
      </w:r>
      <w:r w:rsidRPr="003E305A">
        <w:t xml:space="preserve"> como judeus ou oriundos da Europa central, e além de ser raro que soldados judeus figurassem em filmes de guerra produzidos em Hollywood, eles eram personificados por actores com feições de tipo anglo-saxónico</w:t>
      </w:r>
      <w:r w:rsidRPr="003E305A">
        <w:rPr>
          <w:rStyle w:val="Refdenotaderodap"/>
        </w:rPr>
        <w:footnoteReference w:id="73"/>
      </w:r>
      <w:r w:rsidRPr="003E305A">
        <w:t xml:space="preserve">. Aliás, </w:t>
      </w:r>
      <w:r w:rsidR="00CD5D60">
        <w:t xml:space="preserve">deu-se assim continuidade a uma orientação </w:t>
      </w:r>
      <w:r w:rsidR="00853C55">
        <w:t xml:space="preserve">anterior, </w:t>
      </w:r>
      <w:r w:rsidR="00CD5D60">
        <w:t xml:space="preserve">porque se </w:t>
      </w:r>
      <w:r w:rsidR="00853C55">
        <w:t xml:space="preserve">tinha sido </w:t>
      </w:r>
      <w:r w:rsidR="0004093B">
        <w:t xml:space="preserve">comum a </w:t>
      </w:r>
      <w:r w:rsidR="009A1C53">
        <w:t xml:space="preserve">representação </w:t>
      </w:r>
      <w:r w:rsidR="0004093B">
        <w:t xml:space="preserve">de judeus </w:t>
      </w:r>
      <w:r w:rsidR="00C81A9E">
        <w:lastRenderedPageBreak/>
        <w:t xml:space="preserve">e cenas da vida judaica </w:t>
      </w:r>
      <w:r w:rsidR="0004093B">
        <w:t xml:space="preserve">e </w:t>
      </w:r>
      <w:r w:rsidR="00C81A9E">
        <w:t xml:space="preserve">se </w:t>
      </w:r>
      <w:r w:rsidR="0004093B">
        <w:t>numerosos actor</w:t>
      </w:r>
      <w:r w:rsidR="00C81A9E">
        <w:t>e</w:t>
      </w:r>
      <w:r w:rsidR="00853C55">
        <w:t>s fo</w:t>
      </w:r>
      <w:r w:rsidR="0004093B">
        <w:t xml:space="preserve">ram conhecidos pelos seus nomes judaicos, a situação </w:t>
      </w:r>
      <w:r w:rsidR="00C81A9E">
        <w:t>mud</w:t>
      </w:r>
      <w:r w:rsidR="00853C55">
        <w:t>ara</w:t>
      </w:r>
      <w:r w:rsidR="00F047F3">
        <w:t xml:space="preserve"> </w:t>
      </w:r>
      <w:r w:rsidR="00144D0D">
        <w:t xml:space="preserve">nos primeiros anos </w:t>
      </w:r>
      <w:r w:rsidR="00C81A9E">
        <w:t xml:space="preserve">da década de </w:t>
      </w:r>
      <w:r w:rsidR="0004093B">
        <w:t>1930</w:t>
      </w:r>
      <w:r w:rsidR="00853C55">
        <w:t xml:space="preserve"> e</w:t>
      </w:r>
      <w:r w:rsidR="00F047F3">
        <w:t>,</w:t>
      </w:r>
      <w:r w:rsidR="00756196">
        <w:t xml:space="preserve"> embora Hollyw</w:t>
      </w:r>
      <w:r w:rsidR="00061930">
        <w:t>o</w:t>
      </w:r>
      <w:r w:rsidR="00756196">
        <w:t xml:space="preserve">od fosse dominado por capitalistas de origem judaica, </w:t>
      </w:r>
      <w:r w:rsidR="0004093B">
        <w:t xml:space="preserve">os actores judeus </w:t>
      </w:r>
      <w:r w:rsidR="00756196">
        <w:t xml:space="preserve">passaram a </w:t>
      </w:r>
      <w:r w:rsidR="0004093B">
        <w:t xml:space="preserve">adoptar nomes de consonância </w:t>
      </w:r>
      <w:r w:rsidR="00C81A9E">
        <w:t xml:space="preserve">britânica </w:t>
      </w:r>
      <w:r w:rsidR="0004093B">
        <w:t xml:space="preserve">e os personagens judaicos </w:t>
      </w:r>
      <w:r w:rsidR="000C1B6A">
        <w:t xml:space="preserve">praticamente </w:t>
      </w:r>
      <w:r w:rsidR="0004093B">
        <w:t>desapareceram dos filmes</w:t>
      </w:r>
      <w:r w:rsidR="00C0231B">
        <w:rPr>
          <w:rStyle w:val="Refdenotaderodap"/>
        </w:rPr>
        <w:footnoteReference w:id="74"/>
      </w:r>
      <w:r w:rsidR="0004093B">
        <w:t>. Estava</w:t>
      </w:r>
      <w:r w:rsidR="00344172">
        <w:t>m</w:t>
      </w:r>
      <w:r w:rsidR="0004093B">
        <w:t xml:space="preserve"> criadas as condições para que</w:t>
      </w:r>
      <w:r w:rsidR="001B31B2">
        <w:t>,</w:t>
      </w:r>
      <w:r w:rsidR="00C81A9E">
        <w:t xml:space="preserve"> </w:t>
      </w:r>
      <w:r w:rsidR="001B31B2">
        <w:t>durante a guerra</w:t>
      </w:r>
      <w:r w:rsidR="00756196">
        <w:t>,</w:t>
      </w:r>
      <w:r w:rsidR="00C81A9E">
        <w:t xml:space="preserve"> </w:t>
      </w:r>
      <w:r w:rsidRPr="003E305A">
        <w:t>a indústria cinematográfica evit</w:t>
      </w:r>
      <w:r w:rsidR="00C81A9E">
        <w:t>asse</w:t>
      </w:r>
      <w:r w:rsidRPr="003E305A">
        <w:t xml:space="preserve"> referir a perseguição aos judeus</w:t>
      </w:r>
      <w:r w:rsidRPr="003E305A">
        <w:rPr>
          <w:rStyle w:val="Refdenotaderodap"/>
        </w:rPr>
        <w:footnoteReference w:id="75"/>
      </w:r>
      <w:r w:rsidR="00756196">
        <w:t>.</w:t>
      </w:r>
      <w:r w:rsidRPr="003E305A">
        <w:t xml:space="preserve"> </w:t>
      </w:r>
      <w:r w:rsidR="00344172">
        <w:t xml:space="preserve">O que sucedia </w:t>
      </w:r>
      <w:r w:rsidR="007F1BAC">
        <w:t>nos fi</w:t>
      </w:r>
      <w:r w:rsidR="006B3BA2">
        <w:t>l</w:t>
      </w:r>
      <w:r w:rsidR="007F1BAC">
        <w:t xml:space="preserve">mes </w:t>
      </w:r>
      <w:r w:rsidR="00344172">
        <w:t xml:space="preserve">era o que estava a suceder </w:t>
      </w:r>
      <w:r w:rsidR="007F1BAC">
        <w:t xml:space="preserve">na realidade. </w:t>
      </w:r>
    </w:p>
    <w:p w:rsidR="00993F11" w:rsidRDefault="007F1BAC" w:rsidP="005A3930">
      <w:r w:rsidRPr="003E305A">
        <w:t>O</w:t>
      </w:r>
      <w:r w:rsidR="003A4AAD">
        <w:t>s</w:t>
      </w:r>
      <w:r w:rsidRPr="003E305A">
        <w:t xml:space="preserve"> </w:t>
      </w:r>
      <w:r w:rsidR="005A3930" w:rsidRPr="003E305A">
        <w:t>governo</w:t>
      </w:r>
      <w:r w:rsidR="003A4AAD">
        <w:t>s</w:t>
      </w:r>
      <w:r w:rsidR="005A3930" w:rsidRPr="003E305A">
        <w:t xml:space="preserve"> </w:t>
      </w:r>
      <w:r w:rsidR="00756196">
        <w:t xml:space="preserve">norte-americano </w:t>
      </w:r>
      <w:r w:rsidR="003A4AAD">
        <w:t xml:space="preserve">e britânico </w:t>
      </w:r>
      <w:r w:rsidR="005A3930" w:rsidRPr="003E305A">
        <w:t>mant</w:t>
      </w:r>
      <w:r w:rsidR="003A4AAD">
        <w:t>i</w:t>
      </w:r>
      <w:r w:rsidR="005A3930">
        <w:t>ve</w:t>
      </w:r>
      <w:r w:rsidR="003A4AAD">
        <w:t>ram</w:t>
      </w:r>
      <w:r w:rsidR="005A3930" w:rsidRPr="003E305A">
        <w:t xml:space="preserve"> </w:t>
      </w:r>
      <w:r w:rsidR="00042169">
        <w:t>confidencial</w:t>
      </w:r>
      <w:r w:rsidR="005A3930" w:rsidRPr="003E305A">
        <w:t xml:space="preserve"> a maior parte da informação que mostrava a conversão da política anti-semita de Hitler numa chacina sistemática. </w:t>
      </w:r>
      <w:r w:rsidR="00993F11" w:rsidRPr="003E305A">
        <w:t xml:space="preserve">A primeira reacção do Departamento de Estado norte-americano </w:t>
      </w:r>
      <w:r w:rsidR="00993F11">
        <w:t xml:space="preserve">foi a de </w:t>
      </w:r>
      <w:r w:rsidR="00993F11" w:rsidRPr="003E305A">
        <w:t xml:space="preserve">atrasar e dificultar tanto quanto possível a difusão </w:t>
      </w:r>
      <w:r w:rsidR="00993F11">
        <w:t>das</w:t>
      </w:r>
      <w:r w:rsidR="00993F11" w:rsidRPr="003E305A">
        <w:t xml:space="preserve"> </w:t>
      </w:r>
      <w:r w:rsidR="00993F11">
        <w:t>notícias</w:t>
      </w:r>
      <w:r w:rsidR="00993F11" w:rsidRPr="003E305A">
        <w:t xml:space="preserve"> e um subsecretário de Estado, ou alguém por ele, chegou a proibir que os canais diplomáticos veiculassem outr</w:t>
      </w:r>
      <w:r w:rsidR="00993F11">
        <w:t>o</w:t>
      </w:r>
      <w:r w:rsidR="00993F11" w:rsidRPr="003E305A">
        <w:t xml:space="preserve">s </w:t>
      </w:r>
      <w:r w:rsidR="00993F11">
        <w:t>relatos</w:t>
      </w:r>
      <w:r w:rsidR="00993F11" w:rsidRPr="003E305A">
        <w:t xml:space="preserve"> do mesmo género</w:t>
      </w:r>
      <w:r w:rsidR="00993F11" w:rsidRPr="003E305A">
        <w:rPr>
          <w:rStyle w:val="Refdenotaderodap"/>
        </w:rPr>
        <w:footnoteReference w:id="76"/>
      </w:r>
      <w:r w:rsidR="00993F11" w:rsidRPr="003E305A">
        <w:t xml:space="preserve">. </w:t>
      </w:r>
      <w:r w:rsidR="00993F11">
        <w:t>Ora, referindo</w:t>
      </w:r>
      <w:r w:rsidR="00A97EA3">
        <w:t xml:space="preserve">-se ao </w:t>
      </w:r>
      <w:r w:rsidR="00FC1D51">
        <w:t>ocorrido</w:t>
      </w:r>
      <w:r w:rsidR="00A97EA3">
        <w:t xml:space="preserve"> n</w:t>
      </w:r>
      <w:r w:rsidR="00541096">
        <w:t xml:space="preserve">a Polónia durante </w:t>
      </w:r>
      <w:r w:rsidR="00A97EA3">
        <w:t>o último trimestre de 1939, um historiador erudito considerou que «nada havia de secreto relativamente ao terror alemão no Leste. Os pormenores da maior parte das atrocidades eram transmitidos clandestinamente para o Ocidente passados poucos dias. Os diplomatas neu</w:t>
      </w:r>
      <w:r w:rsidR="004D3FC5">
        <w:t>t</w:t>
      </w:r>
      <w:r w:rsidR="00A97EA3">
        <w:t xml:space="preserve">rais em Berlim estavam bem informados. Cartazes afixados nos muros por toda a Polónia </w:t>
      </w:r>
      <w:r w:rsidR="00967454">
        <w:t xml:space="preserve">anunciavam </w:t>
      </w:r>
      <w:r w:rsidR="00FC1D51">
        <w:t>ao público</w:t>
      </w:r>
      <w:r w:rsidR="00967454">
        <w:t xml:space="preserve"> as execuções»</w:t>
      </w:r>
      <w:r w:rsidR="00B95BFA">
        <w:rPr>
          <w:rStyle w:val="Refdenotaderodap"/>
        </w:rPr>
        <w:footnoteReference w:id="77"/>
      </w:r>
      <w:r w:rsidR="00967454">
        <w:t xml:space="preserve">. Sendo assim, mais </w:t>
      </w:r>
      <w:r w:rsidR="003B5A87">
        <w:t>curiosa</w:t>
      </w:r>
      <w:r w:rsidR="00967454">
        <w:t xml:space="preserve"> se torna a </w:t>
      </w:r>
      <w:r w:rsidR="003B5A87">
        <w:t xml:space="preserve">relutância na difusão </w:t>
      </w:r>
      <w:r w:rsidR="00967454">
        <w:t>de informações acerca d</w:t>
      </w:r>
      <w:r w:rsidR="00D26F6C">
        <w:t xml:space="preserve">a chacina </w:t>
      </w:r>
      <w:r w:rsidR="00967454">
        <w:t>dos judeus</w:t>
      </w:r>
      <w:r w:rsidR="00465828">
        <w:t>,</w:t>
      </w:r>
      <w:r w:rsidR="00967454">
        <w:t xml:space="preserve"> </w:t>
      </w:r>
      <w:r w:rsidR="005F46FD">
        <w:t>sobretudo por</w:t>
      </w:r>
      <w:r w:rsidR="00DC2388">
        <w:t xml:space="preserve">que </w:t>
      </w:r>
      <w:r w:rsidR="005F46FD">
        <w:t xml:space="preserve">entretanto </w:t>
      </w:r>
      <w:r w:rsidR="00DC2388">
        <w:t>a BBC se apress</w:t>
      </w:r>
      <w:r w:rsidR="00993F11">
        <w:t>ara</w:t>
      </w:r>
      <w:r w:rsidR="00DC2388">
        <w:t xml:space="preserve"> a divulgar o </w:t>
      </w:r>
      <w:r w:rsidR="00DC2388" w:rsidRPr="003E305A">
        <w:t>extermínio dos doentes mentais e dos portadores de deficiências físicas graves</w:t>
      </w:r>
      <w:r w:rsidR="00DC2388">
        <w:t>, e a aviação britânica lanç</w:t>
      </w:r>
      <w:r w:rsidR="00993F11">
        <w:t>ara</w:t>
      </w:r>
      <w:r w:rsidR="00DC2388">
        <w:t xml:space="preserve"> sobre o Reich panfletos reproduzindo o sermão do bispo Galen contra a eutanásia</w:t>
      </w:r>
      <w:r w:rsidR="00AC19DE">
        <w:rPr>
          <w:rStyle w:val="Refdenotaderodap"/>
        </w:rPr>
        <w:footnoteReference w:id="78"/>
      </w:r>
      <w:r w:rsidR="00DC2388">
        <w:t xml:space="preserve">. </w:t>
      </w:r>
      <w:r w:rsidR="00465828">
        <w:t xml:space="preserve">Mas foram </w:t>
      </w:r>
      <w:r w:rsidR="00DC2388">
        <w:t xml:space="preserve">muito diferentes o ritmo e a amplitude com que se noticiou o genocídio dos judeus. </w:t>
      </w:r>
      <w:r w:rsidR="00F17FE5">
        <w:t xml:space="preserve">Em Julho de 1941 representantes diplomáticos e consulares suíços no Reich </w:t>
      </w:r>
      <w:r w:rsidR="00597359">
        <w:t>e</w:t>
      </w:r>
      <w:r w:rsidR="00F17FE5">
        <w:t xml:space="preserve"> em países subordinados ao Eixo começaram a encaminhar relatórios sobre as atrocidades</w:t>
      </w:r>
      <w:r w:rsidR="00F17FE5">
        <w:rPr>
          <w:rStyle w:val="Refdenotaderodap"/>
        </w:rPr>
        <w:footnoteReference w:id="79"/>
      </w:r>
      <w:r w:rsidR="003A4AAD">
        <w:t xml:space="preserve"> e </w:t>
      </w:r>
      <w:r w:rsidR="00993F11">
        <w:t>como os serviços de espionagem britânicos conseguiam decifrar a maior parte das mensagens, mesmo as ultra-secretas, trocadas entre os dirigentes políticos, militares e policiais do Reich, no final do ano a directiva de extermínio nos territórios ocupados do Leste era perfeitamente conhecida pelo governo de Londres</w:t>
      </w:r>
      <w:r w:rsidR="00993F11">
        <w:rPr>
          <w:rStyle w:val="Refdenotaderodap"/>
        </w:rPr>
        <w:footnoteReference w:id="80"/>
      </w:r>
      <w:r w:rsidR="00993F11">
        <w:t xml:space="preserve">. Entretanto a espionagem britânica decifrava também o código secreto dos serviços ferroviários do Reich, </w:t>
      </w:r>
      <w:r w:rsidR="006B3BA2">
        <w:lastRenderedPageBreak/>
        <w:t xml:space="preserve">verificando </w:t>
      </w:r>
      <w:r w:rsidR="00993F11">
        <w:t>que massas sucessivas de judeus estavam a ser enviadas para um pequeno número de campos de detenção que não tinham lugar para os acolher a todos, mas apesar disto a informação não foi divulgada</w:t>
      </w:r>
      <w:r w:rsidR="00993F11">
        <w:rPr>
          <w:rStyle w:val="Refdenotaderodap"/>
        </w:rPr>
        <w:footnoteReference w:id="81"/>
      </w:r>
      <w:r w:rsidR="00993F11">
        <w:t xml:space="preserve">. </w:t>
      </w:r>
    </w:p>
    <w:p w:rsidR="005A3930" w:rsidRPr="003E305A" w:rsidRDefault="00993F11" w:rsidP="005A3930">
      <w:r>
        <w:t>A</w:t>
      </w:r>
      <w:r w:rsidRPr="003E305A">
        <w:t xml:space="preserve">s </w:t>
      </w:r>
      <w:r w:rsidR="005A3930" w:rsidRPr="003E305A">
        <w:t xml:space="preserve">primeiras notícias </w:t>
      </w:r>
      <w:r w:rsidR="00F17FE5">
        <w:t xml:space="preserve">públicas </w:t>
      </w:r>
      <w:r w:rsidR="005A3930" w:rsidRPr="003E305A">
        <w:t xml:space="preserve">do genocídio </w:t>
      </w:r>
      <w:r w:rsidR="00B66C1A">
        <w:t xml:space="preserve">do povo judaico </w:t>
      </w:r>
      <w:r w:rsidR="0059051F">
        <w:t xml:space="preserve">deveram-se </w:t>
      </w:r>
      <w:r w:rsidR="005A3930" w:rsidRPr="003E305A">
        <w:t xml:space="preserve">a Thomas Mann, numa série de palestras que proferiu através da BBC </w:t>
      </w:r>
      <w:r w:rsidR="0059051F">
        <w:t xml:space="preserve">desde Novembro </w:t>
      </w:r>
      <w:r w:rsidR="005A3930" w:rsidRPr="003E305A">
        <w:t xml:space="preserve">de 1941 </w:t>
      </w:r>
      <w:r w:rsidR="0059051F">
        <w:t xml:space="preserve">até </w:t>
      </w:r>
      <w:r w:rsidR="005A3930" w:rsidRPr="003E305A">
        <w:t>Janeiro de 1942</w:t>
      </w:r>
      <w:r w:rsidR="005A3930" w:rsidRPr="003E305A">
        <w:rPr>
          <w:rStyle w:val="Refdenotaderodap"/>
        </w:rPr>
        <w:footnoteReference w:id="82"/>
      </w:r>
      <w:r w:rsidR="005A3930" w:rsidRPr="003E305A">
        <w:t xml:space="preserve">, embora em Outubro de 1941 a imprensa aliada </w:t>
      </w:r>
      <w:r w:rsidR="005C1089">
        <w:t xml:space="preserve">tivesse </w:t>
      </w:r>
      <w:r w:rsidR="005A3930" w:rsidRPr="003E305A">
        <w:t>receb</w:t>
      </w:r>
      <w:r w:rsidR="005C1089">
        <w:t>ido</w:t>
      </w:r>
      <w:r w:rsidR="005A3930" w:rsidRPr="003E305A">
        <w:t xml:space="preserve"> descrições de morticínios efectuados na Ucrânia sob a ocupação </w:t>
      </w:r>
      <w:r w:rsidR="007F1BAC">
        <w:t>ger</w:t>
      </w:r>
      <w:r w:rsidR="000F6493">
        <w:t>mâ</w:t>
      </w:r>
      <w:r w:rsidR="007F1BAC">
        <w:t>nica</w:t>
      </w:r>
      <w:r w:rsidR="005A3930" w:rsidRPr="003E305A">
        <w:rPr>
          <w:rStyle w:val="Refdenotaderodap"/>
        </w:rPr>
        <w:footnoteReference w:id="83"/>
      </w:r>
      <w:r w:rsidR="005A3930" w:rsidRPr="003E305A">
        <w:t xml:space="preserve">. Em Janeiro de 1942 o governo soviético </w:t>
      </w:r>
      <w:r w:rsidR="002B7B64">
        <w:t xml:space="preserve">divulgou </w:t>
      </w:r>
      <w:r w:rsidR="005A3930" w:rsidRPr="003E305A">
        <w:t xml:space="preserve">um relatório detalhado acerca das acções praticadas pelos </w:t>
      </w:r>
      <w:r w:rsidR="007F1BAC" w:rsidRPr="00E110F1">
        <w:t>Einsatzgruppen</w:t>
      </w:r>
      <w:r w:rsidR="005A3930" w:rsidRPr="003E305A">
        <w:t xml:space="preserve"> e a partir de então as informações sucederam-se, umas mais aterradoras do que as outras</w:t>
      </w:r>
      <w:r w:rsidR="005A3930" w:rsidRPr="003E305A">
        <w:rPr>
          <w:rStyle w:val="Refdenotaderodap"/>
        </w:rPr>
        <w:footnoteReference w:id="84"/>
      </w:r>
      <w:r w:rsidR="005A3930" w:rsidRPr="003E305A">
        <w:t xml:space="preserve">. </w:t>
      </w:r>
      <w:r w:rsidR="008A789D">
        <w:t xml:space="preserve">Em Abril desse ano o órgão oficioso do nacional-socialismo, que decerto os serviços de informação dos Aliados liam atentamente, publicou uma extraordinária notícia anunciando que «difundiu-se pela população o boato de que a Polícia de Segurança tem a </w:t>
      </w:r>
      <w:r w:rsidR="00CD3BCF">
        <w:t>tarefa</w:t>
      </w:r>
      <w:r w:rsidR="008A789D">
        <w:t xml:space="preserve"> de exterminar os judeus nos territórios ocupados» de Leste. E a narração do «boato» continuo</w:t>
      </w:r>
      <w:r w:rsidR="00207189">
        <w:t>u</w:t>
      </w:r>
      <w:r w:rsidR="008A789D">
        <w:t xml:space="preserve"> dizendo que «por vezes a execução dos judeus ating</w:t>
      </w:r>
      <w:r w:rsidR="00CD3BCF">
        <w:t>iu</w:t>
      </w:r>
      <w:r w:rsidR="008A789D">
        <w:t xml:space="preserve"> proporções tais que mesmo os membros dos Einsatzkommandos sofre</w:t>
      </w:r>
      <w:r w:rsidR="00CD3BCF">
        <w:t>ra</w:t>
      </w:r>
      <w:r w:rsidR="008A789D">
        <w:t>m colapsos nervosos»</w:t>
      </w:r>
      <w:r w:rsidR="00207189">
        <w:rPr>
          <w:rStyle w:val="Refdenotaderodap"/>
        </w:rPr>
        <w:footnoteReference w:id="85"/>
      </w:r>
      <w:r w:rsidR="008A789D">
        <w:t xml:space="preserve">. </w:t>
      </w:r>
      <w:r w:rsidR="00C8337B">
        <w:t xml:space="preserve">Entretanto </w:t>
      </w:r>
      <w:r w:rsidR="00CD3BCF" w:rsidRPr="003E305A">
        <w:t xml:space="preserve">uma </w:t>
      </w:r>
      <w:r w:rsidR="005A3930" w:rsidRPr="003E305A">
        <w:t xml:space="preserve">rede </w:t>
      </w:r>
      <w:r w:rsidR="005A3930">
        <w:t xml:space="preserve">clandestina </w:t>
      </w:r>
      <w:r w:rsidR="005A3930" w:rsidRPr="003E305A">
        <w:t xml:space="preserve">de recolha de testemunhos organizada pelo historiador judeu Emmanuel Ringelblum, cativo no </w:t>
      </w:r>
      <w:r w:rsidR="005A3930" w:rsidRPr="003E305A">
        <w:rPr>
          <w:i/>
        </w:rPr>
        <w:t>ghetto</w:t>
      </w:r>
      <w:r w:rsidR="005A3930" w:rsidRPr="003E305A">
        <w:t xml:space="preserve"> de Varsóvia, conseguiu transmitir aos governantes polacos refugiados em Londres documentação acerca de um dos campos de extermínio, dando ocasião a que a BBC anunciasse em Junho de 1942 que o</w:t>
      </w:r>
      <w:r w:rsidR="005C1089">
        <w:t xml:space="preserve"> Reich </w:t>
      </w:r>
      <w:r w:rsidR="005A3930" w:rsidRPr="003E305A">
        <w:t>havia inaugurado a política de «solução final» e contribuindo decerto para que o governo polaco no exílio apresenta</w:t>
      </w:r>
      <w:r w:rsidR="00597359">
        <w:t>sse</w:t>
      </w:r>
      <w:r w:rsidR="005A3930" w:rsidRPr="003E305A">
        <w:t xml:space="preserve"> em Agosto ao governo dos Estados Unidos um relatório sobre o uso de câmaras de gás e fornos crematórios</w:t>
      </w:r>
      <w:r w:rsidR="000D7359">
        <w:t xml:space="preserve">, mas a notícia foi abafada </w:t>
      </w:r>
      <w:r w:rsidR="0044096E">
        <w:t xml:space="preserve">ou subestimada </w:t>
      </w:r>
      <w:r w:rsidR="004E6CF1">
        <w:t>pel</w:t>
      </w:r>
      <w:r w:rsidR="000D7359">
        <w:t>a imprensa norte-americana</w:t>
      </w:r>
      <w:r w:rsidR="005A3930" w:rsidRPr="003E305A">
        <w:rPr>
          <w:rStyle w:val="Refdenotaderodap"/>
        </w:rPr>
        <w:footnoteReference w:id="86"/>
      </w:r>
      <w:r w:rsidR="005A3930" w:rsidRPr="003E305A">
        <w:t>. Além disso, em Julho os serviços secretos aliados na Suíça souberam por uma fonte germânica fidedigna que Hitler ordenara a eliminação dos judeus</w:t>
      </w:r>
      <w:r w:rsidR="007E579B">
        <w:t xml:space="preserve">, mas, depois de </w:t>
      </w:r>
      <w:r w:rsidR="005D71CE">
        <w:t xml:space="preserve">os governos de Londres e Washington </w:t>
      </w:r>
      <w:r w:rsidR="004E6CF1">
        <w:t xml:space="preserve">terem </w:t>
      </w:r>
      <w:r w:rsidR="007E579B">
        <w:t>atrasa</w:t>
      </w:r>
      <w:r w:rsidR="004E6CF1">
        <w:t>do</w:t>
      </w:r>
      <w:r w:rsidR="007E579B">
        <w:t xml:space="preserve"> a transmissão desta informação aos meios judaicos ocidentais, em Setembro as autoridades norte-americanas pediram ao rabi Stephen Wise, </w:t>
      </w:r>
      <w:r w:rsidR="007E579B" w:rsidRPr="003E305A">
        <w:t xml:space="preserve">uma das figuras mais </w:t>
      </w:r>
      <w:r w:rsidR="007E579B" w:rsidRPr="003E305A">
        <w:lastRenderedPageBreak/>
        <w:t>proeminentes da comunidade judaica nos Estados-Unidos,</w:t>
      </w:r>
      <w:r w:rsidR="007E579B">
        <w:t xml:space="preserve"> para não divulgar a informação até ser confirmada, e ele acedeu em manter o silêncio</w:t>
      </w:r>
      <w:r w:rsidR="005A3930" w:rsidRPr="003E305A">
        <w:rPr>
          <w:rStyle w:val="Refdenotaderodap"/>
        </w:rPr>
        <w:footnoteReference w:id="87"/>
      </w:r>
      <w:r w:rsidR="005A3930" w:rsidRPr="003E305A">
        <w:t xml:space="preserve">. </w:t>
      </w:r>
      <w:r w:rsidR="005D71CE">
        <w:t xml:space="preserve">No </w:t>
      </w:r>
      <w:r w:rsidR="007E579B">
        <w:t>entanto e</w:t>
      </w:r>
      <w:r w:rsidR="005A3930" w:rsidRPr="003E305A">
        <w:t>s</w:t>
      </w:r>
      <w:r w:rsidR="007E579B">
        <w:t>s</w:t>
      </w:r>
      <w:r w:rsidR="005A3930" w:rsidRPr="003E305A">
        <w:t xml:space="preserve">as informações </w:t>
      </w:r>
      <w:r w:rsidR="007E579B">
        <w:t xml:space="preserve">já haviam sido </w:t>
      </w:r>
      <w:r w:rsidR="005A3930" w:rsidRPr="003E305A">
        <w:t xml:space="preserve">confirmadas por documentos emanados do Congresso Judaico Mundial e no final do ano </w:t>
      </w:r>
      <w:r w:rsidR="005D71CE">
        <w:t>receber</w:t>
      </w:r>
      <w:r w:rsidR="00190D28">
        <w:t>i</w:t>
      </w:r>
      <w:r w:rsidR="005D71CE">
        <w:t xml:space="preserve">am </w:t>
      </w:r>
      <w:r w:rsidR="007E579B">
        <w:t>novamente confirma</w:t>
      </w:r>
      <w:r w:rsidR="005D71CE">
        <w:t>ção</w:t>
      </w:r>
      <w:r w:rsidR="007E579B">
        <w:t xml:space="preserve"> </w:t>
      </w:r>
      <w:r w:rsidR="005D71CE">
        <w:t xml:space="preserve">graças a </w:t>
      </w:r>
      <w:r w:rsidR="005A3930" w:rsidRPr="003E305A">
        <w:t>notícias transmitidas por funcionários da Agência Judaica da Palestina</w:t>
      </w:r>
      <w:r w:rsidR="005A3930" w:rsidRPr="003E305A">
        <w:rPr>
          <w:rStyle w:val="Refdenotaderodap"/>
        </w:rPr>
        <w:footnoteReference w:id="88"/>
      </w:r>
      <w:r w:rsidR="005A3930" w:rsidRPr="003E305A">
        <w:t xml:space="preserve">. </w:t>
      </w:r>
      <w:r w:rsidR="00190D28" w:rsidRPr="004258CF">
        <w:t xml:space="preserve">Neste ponto da cronologia insere-se </w:t>
      </w:r>
      <w:r w:rsidR="00190D28">
        <w:t>um facto</w:t>
      </w:r>
      <w:r w:rsidR="00190D28" w:rsidRPr="004258CF">
        <w:t xml:space="preserve"> cujo significado consist</w:t>
      </w:r>
      <w:r w:rsidR="00190D28">
        <w:t>iu</w:t>
      </w:r>
      <w:r w:rsidR="00190D28" w:rsidRPr="004258CF">
        <w:t xml:space="preserve"> na ausência de efeitos, porque no Verão de 1942 um técnico de desinfecções alemão assistiu a uma liquidação de judeus no campo de extermínio de Be</w:t>
      </w:r>
      <w:r w:rsidR="00190D28">
        <w:t>łż</w:t>
      </w:r>
      <w:r w:rsidR="00190D28" w:rsidRPr="004258CF">
        <w:t xml:space="preserve">ec e tentou transmitir a informação através dos serviços diplomáticos suecos, que não a fizeram chegar aos Aliados, e em seguida contactou os canais diplomáticos do Vaticano e da Suíça, com igual falta de resultados. </w:t>
      </w:r>
      <w:r w:rsidR="00190D28">
        <w:t>Aliás, o Ministério dos Negócios Estrangeiros sueco absteve-se de comunicar aos Aliados outras informações do mesmo teor</w:t>
      </w:r>
      <w:r w:rsidR="00190D28">
        <w:rPr>
          <w:rStyle w:val="Refdenotaderodap"/>
        </w:rPr>
        <w:footnoteReference w:id="89"/>
      </w:r>
      <w:r w:rsidR="00190D28">
        <w:t xml:space="preserve">. </w:t>
      </w:r>
      <w:r w:rsidR="005A3930" w:rsidRPr="003E305A">
        <w:t xml:space="preserve">Entretanto, em Novembro, chegara a Londres um membro da resistência polaca que, com insuperável audácia, havia penetrado num dos campos de </w:t>
      </w:r>
      <w:r w:rsidR="000C60AF">
        <w:t>concentração</w:t>
      </w:r>
      <w:r w:rsidR="005A3930" w:rsidRPr="003E305A">
        <w:t xml:space="preserve"> e pôde descrever pessoalmente a Eden e ao próprio Roosevelt os métodos empregues pelos </w:t>
      </w:r>
      <w:r w:rsidR="00024D3E">
        <w:t>SS</w:t>
      </w:r>
      <w:r w:rsidR="005A3930" w:rsidRPr="003E305A">
        <w:rPr>
          <w:rStyle w:val="Refdenotaderodap"/>
        </w:rPr>
        <w:footnoteReference w:id="90"/>
      </w:r>
      <w:r w:rsidR="005A3930" w:rsidRPr="003E305A">
        <w:t xml:space="preserve">. </w:t>
      </w:r>
      <w:r w:rsidR="002C4596">
        <w:t xml:space="preserve">Em Dezembro </w:t>
      </w:r>
      <w:r w:rsidR="004B532C">
        <w:t xml:space="preserve">de 1942 </w:t>
      </w:r>
      <w:r w:rsidR="00BE4B04">
        <w:t>tornara-se impossível aos governos de Washington e Londres continuar a impôr o silêncio</w:t>
      </w:r>
      <w:r w:rsidR="00BE4B04">
        <w:rPr>
          <w:rStyle w:val="Refdenotaderodap"/>
        </w:rPr>
        <w:footnoteReference w:id="91"/>
      </w:r>
      <w:r w:rsidR="00BE4B04">
        <w:t xml:space="preserve">. E </w:t>
      </w:r>
      <w:r w:rsidR="00BA1145">
        <w:t xml:space="preserve">em Julho de 1943, na União Soviética, </w:t>
      </w:r>
      <w:r w:rsidR="00190D28">
        <w:t xml:space="preserve">o início </w:t>
      </w:r>
      <w:r w:rsidR="00BA1145">
        <w:t xml:space="preserve">do primeiro julgamento por crimes de guerra cometidos pelo Reich nos territórios de Leste </w:t>
      </w:r>
      <w:r w:rsidR="00AD618E">
        <w:t>contribuiu para divulgar as atrocidades</w:t>
      </w:r>
      <w:r w:rsidR="0077524F">
        <w:t>, tanto mais que estiveram presentes vários jornalistas ocidentais</w:t>
      </w:r>
      <w:r w:rsidR="000815F2">
        <w:rPr>
          <w:rStyle w:val="Refdenotaderodap"/>
        </w:rPr>
        <w:footnoteReference w:id="92"/>
      </w:r>
      <w:r w:rsidR="00AD618E">
        <w:t xml:space="preserve">. </w:t>
      </w:r>
      <w:r w:rsidR="005A3930" w:rsidRPr="003E305A">
        <w:t>As notícias foram-se acumulando e permitiram uma avaliação a tal ponto exacta da situação que em Junho de 1944 uma revista de Nova Iorque não and</w:t>
      </w:r>
      <w:r w:rsidR="005A3930">
        <w:t>ou</w:t>
      </w:r>
      <w:r w:rsidR="005A3930" w:rsidRPr="003E305A">
        <w:t xml:space="preserve"> longe da verdade ao calcular entre quatro e cinco milhões o número de judeus vítimas do genocídio</w:t>
      </w:r>
      <w:r w:rsidR="005A3930" w:rsidRPr="003E305A">
        <w:rPr>
          <w:rStyle w:val="Refdenotaderodap"/>
        </w:rPr>
        <w:footnoteReference w:id="93"/>
      </w:r>
      <w:r w:rsidR="005A3930" w:rsidRPr="003E305A">
        <w:t xml:space="preserve">. </w:t>
      </w:r>
    </w:p>
    <w:p w:rsidR="005A3930" w:rsidRPr="003E305A" w:rsidRDefault="005A3930" w:rsidP="005A3930">
      <w:r w:rsidRPr="003E305A">
        <w:t xml:space="preserve">Só em Dezembro de 1942 os </w:t>
      </w:r>
      <w:r w:rsidR="00437F6D">
        <w:t xml:space="preserve">três países </w:t>
      </w:r>
      <w:r w:rsidR="00437F6D" w:rsidRPr="003E305A">
        <w:t xml:space="preserve">aliados </w:t>
      </w:r>
      <w:r w:rsidRPr="003E305A">
        <w:t>procederam a uma declaração conjunta acerca d</w:t>
      </w:r>
      <w:r w:rsidR="002B4FE4">
        <w:t>o</w:t>
      </w:r>
      <w:r w:rsidRPr="003E305A">
        <w:t xml:space="preserve"> extermínio </w:t>
      </w:r>
      <w:r w:rsidR="00437F6D">
        <w:t>dos judeus</w:t>
      </w:r>
      <w:r w:rsidR="0013777B">
        <w:t>, calculando em muitas centenas de milhares o número de vítimas</w:t>
      </w:r>
      <w:r w:rsidRPr="003E305A">
        <w:rPr>
          <w:rStyle w:val="Refdenotaderodap"/>
        </w:rPr>
        <w:footnoteReference w:id="94"/>
      </w:r>
      <w:r w:rsidRPr="003E305A">
        <w:t>, e de então em diante tanto o governo dos Estados Unidos como o do Reino Unido se esforçaram por subestimar o problema e adiar qualquer tipo de solução, recusando-se antes de mais a dar fundos e a fornecer meios de transporte para salvar os judeus</w:t>
      </w:r>
      <w:r w:rsidRPr="003E305A">
        <w:rPr>
          <w:rStyle w:val="Refdenotaderodap"/>
        </w:rPr>
        <w:footnoteReference w:id="95"/>
      </w:r>
      <w:r w:rsidRPr="003E305A">
        <w:t xml:space="preserve">. </w:t>
      </w:r>
      <w:r w:rsidR="005F346E">
        <w:t xml:space="preserve">Pior ainda foi ter-se </w:t>
      </w:r>
      <w:r w:rsidR="005F346E">
        <w:lastRenderedPageBreak/>
        <w:t xml:space="preserve">introduzido uma excepção, </w:t>
      </w:r>
      <w:r w:rsidR="008B299A">
        <w:t>já que</w:t>
      </w:r>
      <w:r w:rsidR="00B541C8">
        <w:t xml:space="preserve"> em 1940 o Departamento de Estado </w:t>
      </w:r>
      <w:r w:rsidR="00C17751">
        <w:t xml:space="preserve">norte-americano </w:t>
      </w:r>
      <w:r w:rsidR="00B541C8">
        <w:t>admiti</w:t>
      </w:r>
      <w:r w:rsidR="00B321E5">
        <w:t>u</w:t>
      </w:r>
      <w:r w:rsidR="00B541C8">
        <w:t xml:space="preserve"> a concessão de «vistos de emergência» a </w:t>
      </w:r>
      <w:r w:rsidR="001C5EAF">
        <w:t>refugiados «</w:t>
      </w:r>
      <w:r w:rsidR="00D220D4">
        <w:t>cujos sucessos intelectuais ou culturais ou actividades políticas sejam do interesse dos Estados Unidos»</w:t>
      </w:r>
      <w:r w:rsidR="00A82CA8">
        <w:rPr>
          <w:rStyle w:val="Refdenotaderodap"/>
        </w:rPr>
        <w:footnoteReference w:id="96"/>
      </w:r>
      <w:r w:rsidR="00D220D4">
        <w:t xml:space="preserve">. </w:t>
      </w:r>
      <w:r w:rsidR="005E0CDB">
        <w:t>Aliás, na Primavera de 1933 o governo norte-americano e o britânico haviam enviado representantes a Berlim com a finalidade exclusiva de recrutar os cientistas judeus que começavam então a ser vítimas de perseguições</w:t>
      </w:r>
      <w:r w:rsidR="005E0CDB">
        <w:rPr>
          <w:rStyle w:val="Refdenotaderodap"/>
        </w:rPr>
        <w:footnoteReference w:id="97"/>
      </w:r>
      <w:r w:rsidR="00622406">
        <w:t>, isto enquanto os consulados norte-americanos no Reich desencorajavam os judeus comuns que preten</w:t>
      </w:r>
      <w:r w:rsidR="009546B1">
        <w:t>d</w:t>
      </w:r>
      <w:r w:rsidR="00622406">
        <w:t>essem emigrar para os Estados Unidos</w:t>
      </w:r>
      <w:r w:rsidR="00622406">
        <w:rPr>
          <w:rStyle w:val="Refdenotaderodap"/>
        </w:rPr>
        <w:footnoteReference w:id="98"/>
      </w:r>
      <w:r w:rsidR="005E0CDB">
        <w:t xml:space="preserve">. </w:t>
      </w:r>
      <w:r w:rsidR="00D220D4">
        <w:t>As portas que se abriam a um</w:t>
      </w:r>
      <w:r w:rsidR="00DF130C">
        <w:t xml:space="preserve"> escol </w:t>
      </w:r>
      <w:r w:rsidR="00D220D4">
        <w:t>fechavam-se aos outros</w:t>
      </w:r>
      <w:r w:rsidR="008B299A">
        <w:t xml:space="preserve"> e</w:t>
      </w:r>
      <w:r w:rsidR="00D220D4">
        <w:t xml:space="preserve"> </w:t>
      </w:r>
      <w:r w:rsidR="00A82CA8" w:rsidRPr="003E305A">
        <w:t xml:space="preserve">em </w:t>
      </w:r>
      <w:r w:rsidRPr="003E305A">
        <w:t xml:space="preserve">Abril de 1943 a conferência anglo-americana das Bermudas, convocada para discutir as questões suscitadas </w:t>
      </w:r>
      <w:r w:rsidR="00DF130C">
        <w:t>pelo</w:t>
      </w:r>
      <w:r w:rsidRPr="003E305A">
        <w:t xml:space="preserve"> genocídio, absteve-se de propor qualquer iniciativa eficaz</w:t>
      </w:r>
      <w:r w:rsidRPr="003E305A">
        <w:rPr>
          <w:rStyle w:val="Refdenotaderodap"/>
        </w:rPr>
        <w:footnoteReference w:id="99"/>
      </w:r>
      <w:r w:rsidRPr="003E305A">
        <w:t>. Finalmente, em Janeiro do ano seguinte o governo dos Estados Unidos criou o War Refugee Board, mas perante a dimensão da tarefa os resultados obtidos foram insignificantes</w:t>
      </w:r>
      <w:r w:rsidRPr="003E305A">
        <w:rPr>
          <w:rStyle w:val="Refdenotaderodap"/>
        </w:rPr>
        <w:footnoteReference w:id="100"/>
      </w:r>
      <w:r w:rsidRPr="003E305A">
        <w:t>. «Na realidade», afirm</w:t>
      </w:r>
      <w:r>
        <w:t>ou</w:t>
      </w:r>
      <w:r w:rsidRPr="003E305A">
        <w:t xml:space="preserve"> uma equipa de eruditos pouco dados ao exagero, «tanto os britânicos como os americanos, depois de terem organizado a conferência das Bermudas [...], opuseram-se a quaisquer planos de salvamento </w:t>
      </w:r>
      <w:r w:rsidR="00CD3285">
        <w:t>massiv</w:t>
      </w:r>
      <w:r w:rsidRPr="003E305A">
        <w:t>o dos judeus da Europa ocupada»</w:t>
      </w:r>
      <w:r w:rsidRPr="003E305A">
        <w:rPr>
          <w:rStyle w:val="Refdenotaderodap"/>
        </w:rPr>
        <w:footnoteReference w:id="101"/>
      </w:r>
      <w:r w:rsidRPr="003E305A">
        <w:t xml:space="preserve">. </w:t>
      </w:r>
    </w:p>
    <w:p w:rsidR="007B72D0" w:rsidRDefault="005A3930" w:rsidP="005A3930">
      <w:r w:rsidRPr="003E305A">
        <w:t xml:space="preserve">Mas não será que estou a tomar à letra as ilusões da historiografia e a aceitar-lhe ingenuamente os espantos? </w:t>
      </w:r>
      <w:r w:rsidR="008931E8">
        <w:t xml:space="preserve">Até ao começo da guerra, em 1939, o movimento eugenista germânico </w:t>
      </w:r>
      <w:r w:rsidR="00105D5C">
        <w:t xml:space="preserve">teve um peso </w:t>
      </w:r>
      <w:r w:rsidR="008931E8">
        <w:t>determinante na Federação Internacional das Organizações Eugenistas</w:t>
      </w:r>
      <w:r w:rsidR="008931E8">
        <w:rPr>
          <w:rStyle w:val="Refdenotaderodap"/>
        </w:rPr>
        <w:footnoteReference w:id="102"/>
      </w:r>
      <w:r w:rsidR="008931E8">
        <w:t xml:space="preserve">, pelo que as suas posições eram mundialmente conhecidas. </w:t>
      </w:r>
      <w:r w:rsidRPr="003E305A">
        <w:t xml:space="preserve">Durante a década de 1920 as publicações eugenistas norte-americanas, em especial o </w:t>
      </w:r>
      <w:r w:rsidRPr="003E305A">
        <w:rPr>
          <w:i/>
        </w:rPr>
        <w:t>Eugenical News</w:t>
      </w:r>
      <w:r w:rsidRPr="003E305A">
        <w:t xml:space="preserve"> e o </w:t>
      </w:r>
      <w:r w:rsidRPr="003E305A">
        <w:rPr>
          <w:i/>
        </w:rPr>
        <w:t>Journal of Heredity</w:t>
      </w:r>
      <w:r w:rsidRPr="003E305A">
        <w:t xml:space="preserve"> editado pela American Genetic Association, segui</w:t>
      </w:r>
      <w:r>
        <w:t>r</w:t>
      </w:r>
      <w:r w:rsidRPr="003E305A">
        <w:t>am com interesse as pesquisas dos cientistas raciais alemães e reproduzi</w:t>
      </w:r>
      <w:r>
        <w:t>r</w:t>
      </w:r>
      <w:r w:rsidRPr="003E305A">
        <w:t>am regularmente artigos seus, manifestando sem rodeios orientações anti-semitas</w:t>
      </w:r>
      <w:r w:rsidRPr="003E305A">
        <w:rPr>
          <w:rStyle w:val="Refdenotaderodap"/>
        </w:rPr>
        <w:footnoteReference w:id="103"/>
      </w:r>
      <w:r w:rsidRPr="003E305A">
        <w:t>. Em 1932, depois de ter publicado no número de Março-Abril um artigo intitulado «Hitler e o Orgulho Racial», onde se fica</w:t>
      </w:r>
      <w:r>
        <w:t>r</w:t>
      </w:r>
      <w:r w:rsidRPr="003E305A">
        <w:t xml:space="preserve">a a saber que «os arianos são os grandes fundadores de civilizações [...] A mistura do sangue, a poluição da raça [...] tem sido a única razão que levou a perecerem velhas civilizações», o </w:t>
      </w:r>
      <w:r w:rsidRPr="003E305A">
        <w:rPr>
          <w:i/>
        </w:rPr>
        <w:t>Eugenical News</w:t>
      </w:r>
      <w:r w:rsidRPr="003E305A">
        <w:t xml:space="preserve"> inseri</w:t>
      </w:r>
      <w:r>
        <w:t>u</w:t>
      </w:r>
      <w:r w:rsidRPr="003E305A">
        <w:t xml:space="preserve"> em Setembro-Outubro um novo louvor a Hitler. «O movimento de Hitler dar-lhe-á mais tarde ou mais cedo o pleno poder [e] trará ao movimento nórdico o reconhecimento geral e a promoção pelo Estado», </w:t>
      </w:r>
      <w:r w:rsidRPr="003E305A">
        <w:lastRenderedPageBreak/>
        <w:t>afirm</w:t>
      </w:r>
      <w:r>
        <w:t>ou</w:t>
      </w:r>
      <w:r w:rsidRPr="003E305A">
        <w:t xml:space="preserve"> este artigo. «Quando eles [os nacionais-socialistas] assumirem o controlo do governo na Alemanha, devem esperar-se a curto prazo novas leis de higiene racial bem como uma cultura nórdica consciente e uma “política externa” nórdica»</w:t>
      </w:r>
      <w:r w:rsidRPr="003E305A">
        <w:rPr>
          <w:rStyle w:val="Refdenotaderodap"/>
        </w:rPr>
        <w:footnoteReference w:id="104"/>
      </w:r>
      <w:r w:rsidRPr="003E305A">
        <w:t xml:space="preserve">. Em 1933 o </w:t>
      </w:r>
      <w:r w:rsidRPr="003E305A">
        <w:rPr>
          <w:i/>
        </w:rPr>
        <w:t>Journal of the American Medical Association</w:t>
      </w:r>
      <w:r w:rsidRPr="003E305A">
        <w:t xml:space="preserve"> relatava, sem os pôr em causa, os temas raciais que obcecavam os </w:t>
      </w:r>
      <w:r w:rsidR="00105D5C">
        <w:t>hitlerianos</w:t>
      </w:r>
      <w:r w:rsidRPr="003E305A">
        <w:rPr>
          <w:rStyle w:val="Refdenotaderodap"/>
        </w:rPr>
        <w:footnoteReference w:id="105"/>
      </w:r>
      <w:r w:rsidRPr="003E305A">
        <w:t xml:space="preserve">. Dois anos depois alguns eugenistas norte-americanos e especialistas de genética procuraram levar o movimento eugenista a afastar-se das questões raciais, mas a tentativa </w:t>
      </w:r>
      <w:r w:rsidR="00307940">
        <w:t>não resultou</w:t>
      </w:r>
      <w:r w:rsidRPr="003E305A">
        <w:t xml:space="preserve">, embora a partir de 1936 o </w:t>
      </w:r>
      <w:r w:rsidRPr="003E305A">
        <w:rPr>
          <w:i/>
        </w:rPr>
        <w:t>Journal of the American Medical Association</w:t>
      </w:r>
      <w:r w:rsidRPr="003E305A">
        <w:t xml:space="preserve"> se tivesse distanciado das medidas tomadas pelos </w:t>
      </w:r>
      <w:r w:rsidR="007B72D0">
        <w:t>nacionais-socialistas</w:t>
      </w:r>
      <w:r w:rsidRPr="003E305A">
        <w:rPr>
          <w:rStyle w:val="Refdenotaderodap"/>
        </w:rPr>
        <w:footnoteReference w:id="106"/>
      </w:r>
      <w:r w:rsidRPr="003E305A">
        <w:t xml:space="preserve">. Entretanto, no número de Março-Abril de 1936 o </w:t>
      </w:r>
      <w:r w:rsidRPr="003E305A">
        <w:rPr>
          <w:i/>
        </w:rPr>
        <w:t>Eugenical News</w:t>
      </w:r>
      <w:r w:rsidRPr="003E305A">
        <w:t xml:space="preserve"> </w:t>
      </w:r>
      <w:r w:rsidR="00307940">
        <w:t>exaltou</w:t>
      </w:r>
      <w:r w:rsidRPr="003E305A">
        <w:t xml:space="preserve"> «a grande importância da política racial alemã», num artigo assinado pelo presidente da Eugenics Research Association</w:t>
      </w:r>
      <w:r w:rsidRPr="003E305A">
        <w:rPr>
          <w:rStyle w:val="Refdenotaderodap"/>
        </w:rPr>
        <w:footnoteReference w:id="107"/>
      </w:r>
      <w:r w:rsidRPr="003E305A">
        <w:t xml:space="preserve">. No mesmo ano, uma eugenista norte-americana que havia percorrido o Reich para observar com minúcia a política racial escreveu artigos e proferiu conferências enaltecendo o que vira e assegurando aos seus compatriotas que o anti-semitismo não se devia a motivos religiosos </w:t>
      </w:r>
      <w:r w:rsidR="007B72D0">
        <w:t>—</w:t>
      </w:r>
      <w:r w:rsidRPr="003E305A">
        <w:t xml:space="preserve"> o que decerto o tornaria inaceitável para os bons protestantes anglo-saxónicos </w:t>
      </w:r>
      <w:r w:rsidR="007B72D0">
        <w:t>—</w:t>
      </w:r>
      <w:r w:rsidRPr="003E305A">
        <w:t xml:space="preserve"> pois os judeus eram definidos não pelas suas práticas religiosas mas pelo seu sangue</w:t>
      </w:r>
      <w:r w:rsidRPr="003E305A">
        <w:rPr>
          <w:rStyle w:val="Refdenotaderodap"/>
        </w:rPr>
        <w:footnoteReference w:id="108"/>
      </w:r>
      <w:r w:rsidRPr="003E305A">
        <w:t xml:space="preserve">. </w:t>
      </w:r>
      <w:r w:rsidR="00A21A2C">
        <w:t xml:space="preserve">No ano seguinte outra autora, considerando a Alemanha «o maior laboratório existente de experiências eugénicas», </w:t>
      </w:r>
      <w:r w:rsidR="00401BF5">
        <w:t xml:space="preserve">explicou </w:t>
      </w:r>
      <w:r w:rsidR="00097430">
        <w:t xml:space="preserve">aos leitores do </w:t>
      </w:r>
      <w:r w:rsidR="00097430" w:rsidRPr="00097430">
        <w:rPr>
          <w:i/>
        </w:rPr>
        <w:t>Journal of Heredity</w:t>
      </w:r>
      <w:r w:rsidR="00097430">
        <w:t xml:space="preserve"> </w:t>
      </w:r>
      <w:r w:rsidR="00401BF5">
        <w:t xml:space="preserve">que se tratava de «um esforço concertado» para </w:t>
      </w:r>
      <w:r w:rsidR="0021081E">
        <w:t xml:space="preserve">«alterar </w:t>
      </w:r>
      <w:r w:rsidR="00A933B5">
        <w:t>as</w:t>
      </w:r>
      <w:r w:rsidR="0021081E">
        <w:t xml:space="preserve"> </w:t>
      </w:r>
      <w:r w:rsidR="00A933B5">
        <w:t>características</w:t>
      </w:r>
      <w:r w:rsidR="0021081E">
        <w:t xml:space="preserve"> </w:t>
      </w:r>
      <w:r w:rsidR="00A933B5">
        <w:t>i</w:t>
      </w:r>
      <w:r w:rsidR="0021081E">
        <w:t>nata</w:t>
      </w:r>
      <w:r w:rsidR="00A933B5">
        <w:t>s</w:t>
      </w:r>
      <w:r w:rsidR="0021081E">
        <w:t xml:space="preserve"> da população graças a agências mantidas sob controlo social»</w:t>
      </w:r>
      <w:r w:rsidR="00651B47">
        <w:t>;</w:t>
      </w:r>
      <w:r w:rsidR="0021081E">
        <w:t xml:space="preserve"> </w:t>
      </w:r>
      <w:r w:rsidR="00651B47">
        <w:t xml:space="preserve">e </w:t>
      </w:r>
      <w:r w:rsidR="004A29D8">
        <w:t>o artigo concluía afirmando que a Alemanha «reconheceu antes de que fosse demasiado tarde (e antes de qualquer outra nação ter dado passos significativos nes</w:t>
      </w:r>
      <w:r w:rsidR="008F690C">
        <w:t>t</w:t>
      </w:r>
      <w:r w:rsidR="004A29D8">
        <w:t xml:space="preserve">a direcção) a importância biológica de melhorar o </w:t>
      </w:r>
      <w:r w:rsidR="004A29D8" w:rsidRPr="00B268FE">
        <w:rPr>
          <w:i/>
        </w:rPr>
        <w:t>stock</w:t>
      </w:r>
      <w:r w:rsidR="004A29D8">
        <w:t xml:space="preserve"> racial </w:t>
      </w:r>
      <w:r w:rsidR="00616F19">
        <w:t>pondo em acção todos os meios possíveis ao seu dispor que contribu</w:t>
      </w:r>
      <w:r w:rsidR="00A933B5">
        <w:t>am</w:t>
      </w:r>
      <w:r w:rsidR="00616F19">
        <w:t xml:space="preserve"> para esse importante objectivo»</w:t>
      </w:r>
      <w:r w:rsidR="00097430">
        <w:rPr>
          <w:rStyle w:val="Refdenotaderodap"/>
        </w:rPr>
        <w:footnoteReference w:id="109"/>
      </w:r>
      <w:r w:rsidR="00616F19">
        <w:t xml:space="preserve">. </w:t>
      </w:r>
    </w:p>
    <w:p w:rsidR="00D8448B" w:rsidRDefault="005A3930" w:rsidP="005A3930">
      <w:r w:rsidRPr="003E305A">
        <w:t xml:space="preserve">O aval foi igualmente concedido por </w:t>
      </w:r>
      <w:r w:rsidRPr="00F06635">
        <w:t>Lothrop Stoddard</w:t>
      </w:r>
      <w:r>
        <w:t>,</w:t>
      </w:r>
      <w:r w:rsidRPr="00F06635">
        <w:t xml:space="preserve"> </w:t>
      </w:r>
      <w:r w:rsidRPr="003E305A">
        <w:t xml:space="preserve">um dos dirigentes da Eugenics Research Association, que tivera o privilégio de ser recebido no início da guerra pelas principais figuras políticas e científicas do Reich. Numa obra publicada em 1940 ele explicou que o racismo de Hitler tinha duas componentes distintas. Uma delas, que seria um «fenómeno passageiro», postulava a existência de diferenças fundamentais entre as raças e considerava a mestiçagem como um mal absoluto. Mais importante seria a outra componente, que dizia respeito à melhoria da raça e correspondia aos objectivos e aos métodos da eugenia. «No interior da Alemanha a </w:t>
      </w:r>
      <w:r w:rsidRPr="003E305A">
        <w:lastRenderedPageBreak/>
        <w:t>questão judaica é considerada um fenómeno passageiro», anunci</w:t>
      </w:r>
      <w:r>
        <w:t>ou</w:t>
      </w:r>
      <w:r w:rsidRPr="003E305A">
        <w:t xml:space="preserve"> Stoddard ao público norte-americano, «estando já resolvida em princípio e ficando em breve resolvida na prática mediante a eliminação física dos próprios judeus no Terceiro Reich»</w:t>
      </w:r>
      <w:r w:rsidRPr="003E305A">
        <w:rPr>
          <w:rStyle w:val="Refdenotaderodap"/>
        </w:rPr>
        <w:footnoteReference w:id="110"/>
      </w:r>
      <w:r w:rsidRPr="003E305A">
        <w:t xml:space="preserve">. E em Abril de 1942, vários meses depois de terem sido divulgados os primeiros relatos do genocídio, o </w:t>
      </w:r>
      <w:r w:rsidRPr="003E305A">
        <w:rPr>
          <w:i/>
        </w:rPr>
        <w:t>Journal of Heredity</w:t>
      </w:r>
      <w:r w:rsidRPr="003E305A">
        <w:t xml:space="preserve"> publicou um artigo de um especialista norte-americano em genética, </w:t>
      </w:r>
      <w:r w:rsidRPr="00B605D7">
        <w:t>Tage U. H. Ellinger</w:t>
      </w:r>
      <w:r>
        <w:t>,</w:t>
      </w:r>
      <w:r w:rsidRPr="00B605D7">
        <w:t xml:space="preserve"> </w:t>
      </w:r>
      <w:r w:rsidRPr="003E305A">
        <w:t>contando a visita efectuada a um grande instituto eugenista de Berlim durante o Inverno de 1939-1940</w:t>
      </w:r>
      <w:r w:rsidR="007B72D0">
        <w:t>:</w:t>
      </w:r>
      <w:r w:rsidRPr="003E305A">
        <w:t xml:space="preserve"> «O problema em si é bastante simples se se souber que a erradicação deliberada do elemento judaico na Alemanha não se relaciona de modo </w:t>
      </w:r>
      <w:r w:rsidR="007B72D0">
        <w:t>nenhum</w:t>
      </w:r>
      <w:r w:rsidRPr="003E305A">
        <w:t xml:space="preserve"> com qualquer perseguição religiosa. Trata-se apenas de um projecto de reprodução selectiva em grande escala, com o objectivo de eliminar daquela nação os caracteres hereditários da raça semita. Se isto é ou não desejável é um assunto que nada tem a ver com a ciência. Trata-se somente de uma questão de orientação política e de preconceito. É um problema semelhante àquele [que] os americanos resolveram a seu próprio contento relativamente à população de cor. A história das formas cruéis como a vida foi tornada insuportável para milhões de infelizes judeus alemães pertence exclusivamente ao reino vergonhoso da brutalidade humana. Mas quando se levanta o problema de saber como deve ser prosseguido da maneira mais eficaz o projecto de reprodução selectiva, depois de a sua conveniência ter sido decidida pelos políticos, então a ciência biológica pode prestar ajuda mesmo aos nazis». </w:t>
      </w:r>
      <w:r w:rsidR="007B72D0">
        <w:t xml:space="preserve">E </w:t>
      </w:r>
      <w:r w:rsidRPr="00B605D7">
        <w:t xml:space="preserve">Ellinger </w:t>
      </w:r>
      <w:r w:rsidRPr="003E305A">
        <w:t>apresent</w:t>
      </w:r>
      <w:r w:rsidR="007B72D0">
        <w:t>ou</w:t>
      </w:r>
      <w:r w:rsidRPr="003E305A">
        <w:t xml:space="preserve"> o genocídio como uma espécie de filantropia. «Aquilo que vi na Alemanha fez-me pensar muitas vezes se por detrás do tratamento infligido aos judeus não estaria a ideia subtil de os desencorajar de procriarem crianças condenadas a uma vida de horrores. Se isto sucedesse, o problema judaico resolver-se-ia por si mesmo numa geração, mas teria sido muitíssimo mais caridoso matar os infelizes de uma só vez». </w:t>
      </w:r>
      <w:r>
        <w:t xml:space="preserve">Afinal, os SS foram, segundo os desejos de </w:t>
      </w:r>
      <w:r w:rsidRPr="003E305A">
        <w:t>Ellinger</w:t>
      </w:r>
      <w:r>
        <w:t>,</w:t>
      </w:r>
      <w:r w:rsidRPr="003E305A">
        <w:t xml:space="preserve"> </w:t>
      </w:r>
      <w:r>
        <w:t xml:space="preserve">mais caridosos do que subtis. </w:t>
      </w:r>
      <w:r w:rsidRPr="003E305A">
        <w:t xml:space="preserve">Não se pode </w:t>
      </w:r>
      <w:r>
        <w:t xml:space="preserve">duvidar </w:t>
      </w:r>
      <w:r w:rsidRPr="003E305A">
        <w:t>que o extermínio dos judeus fosse conhecido quando lemos</w:t>
      </w:r>
      <w:r>
        <w:t xml:space="preserve"> neste artigo</w:t>
      </w:r>
      <w:r w:rsidRPr="003E305A">
        <w:t>: «Tal como as coisas estão na Alemanha nazi, é evidentemente uma questão quase de vida ou morte ter a etiqueta de ariano ou de judeu»</w:t>
      </w:r>
      <w:r w:rsidRPr="003E305A">
        <w:rPr>
          <w:rStyle w:val="Refdenotaderodap"/>
        </w:rPr>
        <w:footnoteReference w:id="111"/>
      </w:r>
      <w:r w:rsidRPr="003E305A">
        <w:t xml:space="preserve">. </w:t>
      </w:r>
    </w:p>
    <w:p w:rsidR="005A3930" w:rsidRPr="003E305A" w:rsidRDefault="00C3027B" w:rsidP="005A3930">
      <w:r w:rsidRPr="003E305A">
        <w:t xml:space="preserve">Em vez de constituir qualquer novidade, a «solução final» </w:t>
      </w:r>
      <w:r>
        <w:t xml:space="preserve">vinha </w:t>
      </w:r>
      <w:r w:rsidRPr="003E305A">
        <w:t xml:space="preserve">na continuação de medidas que desde há bastante tempo </w:t>
      </w:r>
      <w:r>
        <w:t xml:space="preserve">eram </w:t>
      </w:r>
      <w:r w:rsidRPr="003E305A">
        <w:t>anunciadas e promovidas por algu</w:t>
      </w:r>
      <w:r>
        <w:t>n</w:t>
      </w:r>
      <w:r w:rsidRPr="003E305A">
        <w:t xml:space="preserve">s </w:t>
      </w:r>
      <w:r>
        <w:t>nomes célebres do eugenismo</w:t>
      </w:r>
      <w:r w:rsidRPr="003E305A">
        <w:t xml:space="preserve">. </w:t>
      </w:r>
      <w:r w:rsidR="00D8448B">
        <w:t xml:space="preserve">«As montanhas de materiais que Laughlin coligiu acerca da ciência racial e da “questão judaica” na Alemanha», escreveu uma historiadora, «muitos deles publicados em órgãos </w:t>
      </w:r>
      <w:r w:rsidR="00962F38">
        <w:t xml:space="preserve">conceituados como o </w:t>
      </w:r>
      <w:r w:rsidR="00962F38" w:rsidRPr="003E674C">
        <w:rPr>
          <w:i/>
        </w:rPr>
        <w:t>New York Times,</w:t>
      </w:r>
      <w:r w:rsidR="00962F38">
        <w:t xml:space="preserve"> </w:t>
      </w:r>
      <w:r w:rsidR="003E674C">
        <w:t xml:space="preserve">não deixam dúvida de que os </w:t>
      </w:r>
      <w:r w:rsidR="003E674C">
        <w:lastRenderedPageBreak/>
        <w:t>americanos, se quisessem, podiam ter estado bem informados acerca da política racial nazi»</w:t>
      </w:r>
      <w:r w:rsidR="00845978">
        <w:rPr>
          <w:rStyle w:val="Refdenotaderodap"/>
        </w:rPr>
        <w:footnoteReference w:id="112"/>
      </w:r>
      <w:r w:rsidR="003E674C">
        <w:t xml:space="preserve">. </w:t>
      </w:r>
      <w:r w:rsidR="005A3930" w:rsidRPr="003E305A">
        <w:t xml:space="preserve">Perante </w:t>
      </w:r>
      <w:r w:rsidR="003E674C">
        <w:t xml:space="preserve">todos aqueles </w:t>
      </w:r>
      <w:r w:rsidR="005A3930" w:rsidRPr="003E305A">
        <w:t xml:space="preserve">textos e conhecendo as estreitas relações que uniam os eugenistas norte-americanos aos seus colegas germânicos, vejo a outra luz a indiferença com que certa opinião pública dos Estados Unidos acolheu as notícias sobre o assassinato em massa dos judeus e o afã do governo em dificultar a sua </w:t>
      </w:r>
      <w:r w:rsidR="005A3930">
        <w:t>difusão</w:t>
      </w:r>
      <w:r w:rsidR="005A3930" w:rsidRPr="003E305A">
        <w:t xml:space="preserve"> pelos órgãos de informação. </w:t>
      </w:r>
    </w:p>
    <w:p w:rsidR="00966EFF" w:rsidRDefault="005A3930" w:rsidP="005A3930">
      <w:r w:rsidRPr="003E305A">
        <w:t>A única coisa a fazer seria deslocar centenas de milhar</w:t>
      </w:r>
      <w:r>
        <w:t>es</w:t>
      </w:r>
      <w:r w:rsidRPr="003E305A">
        <w:t xml:space="preserve"> de judeus da Europa para um lugar seguro. Desde a conferência que, por sugestão do presidente Roosevelt, reuniu delegados de trinta e dois países na cidade francesa de Évian, durante o Verão de 1938, com o objectivo de estudar as possibilidades de realojamento </w:t>
      </w:r>
      <w:r w:rsidR="00CD3285">
        <w:t>massiv</w:t>
      </w:r>
      <w:r w:rsidRPr="003E305A">
        <w:t xml:space="preserve">o dos judeus do Reich, e até ao final da guerra, foram-se acumulando nos gabinetes oficiais centenas de planos, totalmente fúteis porque tanto os Estados Unidos e a Grã-Bretanha como as nações da América Latina, com a parcial excepção da República Dominicana, haviam deixado muito clara em Évian a sua recusa </w:t>
      </w:r>
      <w:r>
        <w:t>a</w:t>
      </w:r>
      <w:r w:rsidRPr="003E305A">
        <w:t xml:space="preserve"> receber multidões de refugiados. Cada governo só se dispunha a </w:t>
      </w:r>
      <w:r>
        <w:t xml:space="preserve">sugerir </w:t>
      </w:r>
      <w:r w:rsidRPr="003E305A">
        <w:t xml:space="preserve">asilo em países estrangeiros, que por seu turno remetiam para outros a solução do problema. </w:t>
      </w:r>
      <w:r w:rsidR="00B05D2E" w:rsidRPr="003E305A">
        <w:t xml:space="preserve">É </w:t>
      </w:r>
      <w:r w:rsidR="00B05D2E">
        <w:t xml:space="preserve">também </w:t>
      </w:r>
      <w:r w:rsidRPr="003E305A">
        <w:t>digno de registo</w:t>
      </w:r>
      <w:r>
        <w:t xml:space="preserve"> </w:t>
      </w:r>
      <w:r w:rsidRPr="003E305A">
        <w:t xml:space="preserve">que uma boa parte dos projectos subsequentes </w:t>
      </w:r>
      <w:r>
        <w:t>à</w:t>
      </w:r>
      <w:r w:rsidRPr="003E305A">
        <w:t xml:space="preserve"> conferência de Évian, quando não propunha o envio dos judeus para congelarem no Alaska, previa o seu estabelecimento nas Guianas ou em qualquer região da África, </w:t>
      </w:r>
      <w:r>
        <w:t xml:space="preserve">tentando </w:t>
      </w:r>
      <w:r w:rsidRPr="003E305A">
        <w:t>aproveitar as consequências da expansão imperialista do nacional-socialismo para conferir novo vigor ao colonialismo</w:t>
      </w:r>
      <w:r>
        <w:t xml:space="preserve"> das democracias</w:t>
      </w:r>
      <w:r w:rsidRPr="003E305A">
        <w:rPr>
          <w:rStyle w:val="Refdenotaderodap"/>
        </w:rPr>
        <w:footnoteReference w:id="113"/>
      </w:r>
      <w:r w:rsidRPr="003E305A">
        <w:t xml:space="preserve">. </w:t>
      </w:r>
      <w:r w:rsidR="00A37230">
        <w:t xml:space="preserve">Aliás, os representantes sionistas presentes na conferência </w:t>
      </w:r>
      <w:r w:rsidR="002124BF">
        <w:t xml:space="preserve">defendiam uma única </w:t>
      </w:r>
      <w:r w:rsidR="00A37230">
        <w:t>soluç</w:t>
      </w:r>
      <w:r w:rsidR="002124BF">
        <w:t>ão,</w:t>
      </w:r>
      <w:r w:rsidR="00A37230">
        <w:t xml:space="preserve"> a emigração dos Judeus para a Palestina</w:t>
      </w:r>
      <w:r w:rsidR="00A37230">
        <w:rPr>
          <w:rStyle w:val="Refdenotaderodap"/>
        </w:rPr>
        <w:footnoteReference w:id="114"/>
      </w:r>
      <w:r w:rsidR="00A37230">
        <w:t xml:space="preserve">. </w:t>
      </w:r>
      <w:r w:rsidR="00ED2A3A">
        <w:t xml:space="preserve">Mais grave ainda, a conferência fez depender a </w:t>
      </w:r>
      <w:r w:rsidR="00324B8A">
        <w:t>aprovação</w:t>
      </w:r>
      <w:r w:rsidR="00ED2A3A">
        <w:t xml:space="preserve"> de quaisquer propostas da sua aceitação pelo governo do Reich, colocando a resolução do problema nas mãos daqueles mesmos que o haviam cr</w:t>
      </w:r>
      <w:r w:rsidR="000E1F61">
        <w:t>i</w:t>
      </w:r>
      <w:r w:rsidR="00ED2A3A">
        <w:t xml:space="preserve">ado e </w:t>
      </w:r>
      <w:r w:rsidR="002124BF">
        <w:t xml:space="preserve">o </w:t>
      </w:r>
      <w:r w:rsidR="00ED2A3A">
        <w:t>arrastaram até ao começo da guerra</w:t>
      </w:r>
      <w:r w:rsidR="00324B8A">
        <w:rPr>
          <w:rStyle w:val="Refdenotaderodap"/>
        </w:rPr>
        <w:footnoteReference w:id="115"/>
      </w:r>
      <w:r w:rsidR="00ED2A3A">
        <w:t xml:space="preserve">. </w:t>
      </w:r>
      <w:r w:rsidR="00FB5304">
        <w:t xml:space="preserve">Muito anos depois, o </w:t>
      </w:r>
      <w:r w:rsidR="00D94A17">
        <w:t xml:space="preserve">antigo </w:t>
      </w:r>
      <w:r w:rsidR="00FB5304">
        <w:t>chefe do fascismo valão e oficial superior dos Waffen</w:t>
      </w:r>
      <w:r w:rsidR="00184BBC">
        <w:t>-</w:t>
      </w:r>
      <w:r w:rsidR="00FB5304">
        <w:t>SS podia escrever que «foram os países ditos de acolhimento quem fechou as portas!»</w:t>
      </w:r>
      <w:r w:rsidR="0029797A">
        <w:rPr>
          <w:rStyle w:val="Refdenotaderodap"/>
        </w:rPr>
        <w:footnoteReference w:id="116"/>
      </w:r>
      <w:r w:rsidR="00FB5304">
        <w:t xml:space="preserve"> — e o pior é que tinha razão. </w:t>
      </w:r>
    </w:p>
    <w:p w:rsidR="005A3930" w:rsidRPr="003E305A" w:rsidRDefault="00D94A17" w:rsidP="005A3930">
      <w:r>
        <w:t xml:space="preserve">Em </w:t>
      </w:r>
      <w:r w:rsidR="00053B99">
        <w:t>Setembro de 1938, precisamente quando Roosevelt reunia a sua conferência, Hitler declarou ao emb</w:t>
      </w:r>
      <w:r w:rsidR="00C5218E">
        <w:t>a</w:t>
      </w:r>
      <w:r w:rsidR="00053B99">
        <w:t xml:space="preserve">ixador polaco que estava disposto a enviar para uma colónia os judeus do Reich e </w:t>
      </w:r>
      <w:r w:rsidR="008D054E">
        <w:t xml:space="preserve">em Janeiro do ano seguinte </w:t>
      </w:r>
      <w:r w:rsidR="00D255EB">
        <w:t xml:space="preserve">fez declarações semelhantes </w:t>
      </w:r>
      <w:r w:rsidR="00C5218E">
        <w:t xml:space="preserve">a vários dirigentes de países </w:t>
      </w:r>
      <w:r w:rsidR="00C5218E">
        <w:lastRenderedPageBreak/>
        <w:t>do Leste europeu</w:t>
      </w:r>
      <w:r w:rsidR="0097354E">
        <w:rPr>
          <w:rStyle w:val="Refdenotaderodap"/>
        </w:rPr>
        <w:footnoteReference w:id="117"/>
      </w:r>
      <w:r w:rsidR="00C5218E">
        <w:t xml:space="preserve">. </w:t>
      </w:r>
      <w:r w:rsidR="005A3930" w:rsidRPr="003E305A">
        <w:t xml:space="preserve">Se </w:t>
      </w:r>
      <w:r w:rsidR="005A3930">
        <w:t xml:space="preserve">descermos das intenções ao </w:t>
      </w:r>
      <w:r w:rsidR="005A3930" w:rsidRPr="003E305A">
        <w:t xml:space="preserve">plano dos factos, devemos recordar que </w:t>
      </w:r>
      <w:r w:rsidR="00141708">
        <w:t xml:space="preserve">em </w:t>
      </w:r>
      <w:r w:rsidRPr="003E305A">
        <w:t xml:space="preserve">Maio de 1939, </w:t>
      </w:r>
      <w:r>
        <w:t xml:space="preserve">faltavam </w:t>
      </w:r>
      <w:r w:rsidR="00141708">
        <w:t xml:space="preserve">menos de </w:t>
      </w:r>
      <w:r w:rsidR="003A53D2">
        <w:t>quatro</w:t>
      </w:r>
      <w:r w:rsidR="005A3930" w:rsidRPr="003E305A">
        <w:t xml:space="preserve"> meses </w:t>
      </w:r>
      <w:r>
        <w:t xml:space="preserve">para o </w:t>
      </w:r>
      <w:r w:rsidR="005A3930" w:rsidRPr="003E305A">
        <w:t>início da guerra, as autoridades do Reich haviam dado autorização para sa</w:t>
      </w:r>
      <w:r w:rsidR="005A3930">
        <w:t>i</w:t>
      </w:r>
      <w:r w:rsidR="005A3930" w:rsidRPr="003E305A">
        <w:t xml:space="preserve">r de Hamburgo um navio transportando novecentos </w:t>
      </w:r>
      <w:r w:rsidR="003A53D2">
        <w:t xml:space="preserve">e trinta e sete </w:t>
      </w:r>
      <w:r w:rsidR="005A3930" w:rsidRPr="003E305A">
        <w:t xml:space="preserve">judeus, que tinham a esperança de encontrar acolhimento </w:t>
      </w:r>
      <w:r w:rsidR="00667013" w:rsidRPr="003E305A">
        <w:t xml:space="preserve">do lado de lá do oceano. Como o governo norte-americano e a opinião pública do país eram contrários à aceitação de mais judeus, visto que as quotas de imigração já estavam preenchidas, o navio </w:t>
      </w:r>
      <w:r w:rsidR="00667013">
        <w:t xml:space="preserve">dirigiu-se </w:t>
      </w:r>
      <w:r w:rsidR="00667013" w:rsidRPr="003E305A">
        <w:t>para Havana</w:t>
      </w:r>
      <w:r w:rsidR="00667013">
        <w:t xml:space="preserve">. Mas </w:t>
      </w:r>
      <w:r w:rsidR="00667013" w:rsidRPr="003E305A">
        <w:t xml:space="preserve">nessa época </w:t>
      </w:r>
      <w:r w:rsidR="005A3930" w:rsidRPr="003E305A">
        <w:t>o governo cubano seguia obedientemente as indicações do poderoso vizinho e, recusando-se a dar asilo aos judeus, intimou</w:t>
      </w:r>
      <w:r w:rsidR="005A3930">
        <w:t>-os</w:t>
      </w:r>
      <w:r w:rsidR="005A3930" w:rsidRPr="003E305A">
        <w:t xml:space="preserve"> a abandonar </w:t>
      </w:r>
      <w:r w:rsidR="002148DE">
        <w:t>as águas d</w:t>
      </w:r>
      <w:r w:rsidR="005A3930" w:rsidRPr="003E305A">
        <w:t>a ilha. O comandante tentou então dirigir</w:t>
      </w:r>
      <w:r w:rsidR="0055182C">
        <w:t xml:space="preserve"> o navio </w:t>
      </w:r>
      <w:r w:rsidR="005A3930" w:rsidRPr="003E305A">
        <w:t xml:space="preserve">para Miami, onde foi impedido de aportar, </w:t>
      </w:r>
      <w:r w:rsidR="00C1212F">
        <w:t xml:space="preserve">bem como nos outros portos dos Estados Unidos, </w:t>
      </w:r>
      <w:r w:rsidR="005A3930" w:rsidRPr="003E305A">
        <w:t xml:space="preserve">e como também o governo canadiano </w:t>
      </w:r>
      <w:r w:rsidR="005A3930">
        <w:t>proibiu</w:t>
      </w:r>
      <w:r w:rsidR="005A3930" w:rsidRPr="003E305A">
        <w:t xml:space="preserve"> os fugitivos de desembarcar</w:t>
      </w:r>
      <w:r w:rsidR="00966EFF">
        <w:t>em</w:t>
      </w:r>
      <w:r w:rsidR="005A3930" w:rsidRPr="003E305A">
        <w:t xml:space="preserve">, não restou outra solução senão fazer a viagem de regresso e a carga humana acabou por ser depositada em </w:t>
      </w:r>
      <w:r w:rsidR="00F43779">
        <w:t xml:space="preserve">alguns </w:t>
      </w:r>
      <w:r w:rsidR="005A3930" w:rsidRPr="003E305A">
        <w:t xml:space="preserve">países europeus, </w:t>
      </w:r>
      <w:r w:rsidR="00093FEB">
        <w:t>quase três centenas no Reino Unido e o restante distribuíd</w:t>
      </w:r>
      <w:r w:rsidR="00F43779">
        <w:t>o</w:t>
      </w:r>
      <w:r w:rsidR="00093FEB">
        <w:t xml:space="preserve"> pela Bélgica, pela Holanda e pela França, </w:t>
      </w:r>
      <w:r w:rsidR="00267A45">
        <w:t xml:space="preserve">de </w:t>
      </w:r>
      <w:r w:rsidR="00093FEB" w:rsidRPr="003E305A">
        <w:t xml:space="preserve">onde </w:t>
      </w:r>
      <w:r w:rsidR="00267A45">
        <w:t xml:space="preserve">aqueles que não fugiram para outros lugares ficaram </w:t>
      </w:r>
      <w:r w:rsidR="00093FEB">
        <w:t xml:space="preserve">em breve </w:t>
      </w:r>
      <w:r w:rsidR="00093FEB" w:rsidRPr="003E305A">
        <w:t>expost</w:t>
      </w:r>
      <w:r w:rsidR="00267A45">
        <w:t>os</w:t>
      </w:r>
      <w:r w:rsidR="00093FEB" w:rsidRPr="003E305A">
        <w:t xml:space="preserve"> à perseguição </w:t>
      </w:r>
      <w:r w:rsidR="00093FEB">
        <w:t xml:space="preserve">dos </w:t>
      </w:r>
      <w:r w:rsidR="00E20F42">
        <w:t xml:space="preserve">ocupantes </w:t>
      </w:r>
      <w:r w:rsidR="00093FEB">
        <w:t>naciona</w:t>
      </w:r>
      <w:r w:rsidR="00E20F42">
        <w:t>l</w:t>
      </w:r>
      <w:r w:rsidR="00093FEB">
        <w:t>-socialistas</w:t>
      </w:r>
      <w:r w:rsidR="00CB211D">
        <w:t>.</w:t>
      </w:r>
      <w:r w:rsidR="00093FEB">
        <w:t xml:space="preserve"> </w:t>
      </w:r>
      <w:r w:rsidR="00CB211D">
        <w:t>No total, talvez um quarto tivesse sobrevivido</w:t>
      </w:r>
      <w:r w:rsidR="005A3930" w:rsidRPr="003E305A">
        <w:rPr>
          <w:rStyle w:val="Refdenotaderodap"/>
        </w:rPr>
        <w:footnoteReference w:id="118"/>
      </w:r>
      <w:r w:rsidR="005A3930" w:rsidRPr="003E305A">
        <w:t>. Quando</w:t>
      </w:r>
      <w:r w:rsidR="005A3930">
        <w:t>,</w:t>
      </w:r>
      <w:r w:rsidR="005A3930" w:rsidRPr="003E305A">
        <w:t xml:space="preserve"> no ano seguinte</w:t>
      </w:r>
      <w:r w:rsidR="005A3930">
        <w:t>,</w:t>
      </w:r>
      <w:r w:rsidR="005A3930" w:rsidRPr="003E305A">
        <w:t xml:space="preserve"> um navio português carregado com oito dezenas de judeus fugitivos do Reich se viu recambiado dos portos mexicanos mas conseguiu que a maior parte dos passageiros desembarcasse nos Estados Unidos</w:t>
      </w:r>
      <w:r w:rsidR="00C2123E">
        <w:rPr>
          <w:rStyle w:val="Refdenotaderodap"/>
        </w:rPr>
        <w:footnoteReference w:id="119"/>
      </w:r>
      <w:r w:rsidR="005A3930" w:rsidRPr="003E305A">
        <w:t>, isto só serviu para endurecer mais ainda as posições do Departamento de Estado, a ponto de nos meados de 1941 o alto funcionário que então superintendia estes assuntos, confesso admirador de Hitler e de Mussolini e obcecado com o perigo de uma conspiração judaico-comunista, se gabar de ter conseguido estancar definitivamente a entrada de refugiados</w:t>
      </w:r>
      <w:r w:rsidR="005A3930" w:rsidRPr="003E305A">
        <w:rPr>
          <w:rStyle w:val="Refdenotaderodap"/>
        </w:rPr>
        <w:footnoteReference w:id="120"/>
      </w:r>
      <w:r w:rsidR="005A3930" w:rsidRPr="003E305A">
        <w:t>. E, com efeito, enquanto a guerra durou os consulados norte-americanos concederam um número de vistos inferior ao que a lei lhes permitia</w:t>
      </w:r>
      <w:r w:rsidR="005A3930" w:rsidRPr="003E305A">
        <w:rPr>
          <w:rStyle w:val="Refdenotaderodap"/>
        </w:rPr>
        <w:footnoteReference w:id="121"/>
      </w:r>
      <w:r w:rsidR="005A3930" w:rsidRPr="003E305A">
        <w:t xml:space="preserve">. </w:t>
      </w:r>
    </w:p>
    <w:p w:rsidR="00654BC4" w:rsidRDefault="005A3930" w:rsidP="005A3930">
      <w:r w:rsidRPr="003E305A">
        <w:t xml:space="preserve">Estes episódios, além de terem servido a Hitler para demonstrar publicamente que também nos outros países os judeus eram indesejáveis, permitiriam a qualquer observador adivinhar qual haveria de ser a atitude dos governos democráticos perante a </w:t>
      </w:r>
      <w:r>
        <w:t>i</w:t>
      </w:r>
      <w:r w:rsidRPr="003E305A">
        <w:t xml:space="preserve">minência de uma migração judaica </w:t>
      </w:r>
      <w:r w:rsidR="00CD3285">
        <w:t>massiv</w:t>
      </w:r>
      <w:r w:rsidRPr="003E305A">
        <w:t xml:space="preserve">a. Em 1940, com o curioso argumento de que um afluxo de judeus estimularia o anti-semitismo latente na Grã-Bretanha e acabaria por ser prejudicial à própria </w:t>
      </w:r>
      <w:r w:rsidRPr="003E305A">
        <w:lastRenderedPageBreak/>
        <w:t xml:space="preserve">comunidade judaica, o ministro do Interior britânico, aliás figura importante do Partido Trabalhista, rejeitou uma proposta do governo de Vichy, que se dispunha a permitir a emigração de crianças </w:t>
      </w:r>
      <w:r w:rsidR="00814F82">
        <w:t>judias</w:t>
      </w:r>
      <w:r w:rsidRPr="003E305A">
        <w:rPr>
          <w:rStyle w:val="Refdenotaderodap"/>
        </w:rPr>
        <w:footnoteReference w:id="122"/>
      </w:r>
      <w:r w:rsidRPr="003E305A">
        <w:t xml:space="preserve">. </w:t>
      </w:r>
      <w:r w:rsidR="00C17751">
        <w:t>Aliás, um argumento semelhante foi invocado pel</w:t>
      </w:r>
      <w:r w:rsidR="00C43B29">
        <w:t xml:space="preserve">a embaixada </w:t>
      </w:r>
      <w:r w:rsidR="00C17751">
        <w:t>britânic</w:t>
      </w:r>
      <w:r w:rsidR="00C43B29">
        <w:t>a</w:t>
      </w:r>
      <w:r w:rsidR="00C17751">
        <w:t xml:space="preserve"> </w:t>
      </w:r>
      <w:r w:rsidR="00C43B29">
        <w:t xml:space="preserve">em Portugal </w:t>
      </w:r>
      <w:r w:rsidR="00C17751">
        <w:t xml:space="preserve">quando procurou dissuadir </w:t>
      </w:r>
      <w:r w:rsidR="006B3DA2">
        <w:t xml:space="preserve">Salazar </w:t>
      </w:r>
      <w:r w:rsidR="00C17751">
        <w:t>de autorizar o estabelecimento em Lisboa de filiais de instituições de auxílio aos judeus, alegando que a população portuguesa veria com maus olhos um afluxo de imigrantes judaicos, o que beneficiaria a propaganda germânica</w:t>
      </w:r>
      <w:r w:rsidR="006B3DA2">
        <w:rPr>
          <w:rStyle w:val="Refdenotaderodap"/>
        </w:rPr>
        <w:footnoteReference w:id="123"/>
      </w:r>
      <w:r w:rsidR="00C17751">
        <w:t xml:space="preserve">. </w:t>
      </w:r>
      <w:r w:rsidR="006B3DA2">
        <w:t xml:space="preserve">E </w:t>
      </w:r>
      <w:r w:rsidR="006B3DA2" w:rsidRPr="003E305A">
        <w:t xml:space="preserve">no </w:t>
      </w:r>
      <w:r w:rsidRPr="003E305A">
        <w:t xml:space="preserve">final </w:t>
      </w:r>
      <w:r w:rsidR="00C17751">
        <w:t>de 1941</w:t>
      </w:r>
      <w:r w:rsidRPr="003E305A">
        <w:t xml:space="preserve">, quando o embaixador da Turquia em Bucareste sugeriu ao representante dos Estados Unidos que os judeus romenos fossem transferidos para a Palestina através da Turquia, o Departamento de Estado norte-americano recusou-se a transmitir sequer esta proposta aos britânicos, invocando, entre outros argumentos, as dificuldades de transporte, a possibilidade de as comunidades judaicas dos demais países ameaçados pelo </w:t>
      </w:r>
      <w:r w:rsidR="00814F82">
        <w:t>Reich</w:t>
      </w:r>
      <w:r w:rsidRPr="003E305A">
        <w:t xml:space="preserve"> pedirem igualmente ajuda e a eventualidade de virem a surgir «pressões para um asilo no hemisfério ocidental»</w:t>
      </w:r>
      <w:r w:rsidRPr="003E305A">
        <w:rPr>
          <w:rStyle w:val="Refdenotaderodap"/>
        </w:rPr>
        <w:footnoteReference w:id="124"/>
      </w:r>
      <w:r w:rsidRPr="003E305A">
        <w:t xml:space="preserve">. </w:t>
      </w:r>
      <w:r w:rsidR="00510F74">
        <w:t xml:space="preserve">Com efeito, quando em Dezembro de 1941 um navio com </w:t>
      </w:r>
      <w:r w:rsidR="006B349B">
        <w:t>setecentos e sessenta e nove</w:t>
      </w:r>
      <w:r w:rsidR="00510F74">
        <w:t xml:space="preserve"> judeu</w:t>
      </w:r>
      <w:r w:rsidR="00E827EE">
        <w:t>s</w:t>
      </w:r>
      <w:r w:rsidR="00510F74">
        <w:t xml:space="preserve"> fugidos </w:t>
      </w:r>
      <w:r w:rsidR="00E827EE">
        <w:t>d</w:t>
      </w:r>
      <w:r w:rsidR="00510F74">
        <w:t>a Roménia aportou na Turquia e se colocou a possibilidade de seguirem para a Palestina, o secretário britânico das Colónias opôs-se, invocando o</w:t>
      </w:r>
      <w:r w:rsidR="00680688">
        <w:t>s</w:t>
      </w:r>
      <w:r w:rsidR="00510F74">
        <w:t xml:space="preserve"> argumento</w:t>
      </w:r>
      <w:r w:rsidR="00680688">
        <w:t>s</w:t>
      </w:r>
      <w:r w:rsidR="00510F74">
        <w:t xml:space="preserve"> de que estaria</w:t>
      </w:r>
      <w:r w:rsidR="00680688">
        <w:t>m</w:t>
      </w:r>
      <w:r w:rsidR="00510F74">
        <w:t xml:space="preserve"> assim a estimular-se novos fluxos de refugiados</w:t>
      </w:r>
      <w:r w:rsidR="00E827EE">
        <w:t xml:space="preserve"> e que entre eles poderiam contar-se espiões germânicos</w:t>
      </w:r>
      <w:r w:rsidR="00E827EE">
        <w:rPr>
          <w:rStyle w:val="Refdenotaderodap"/>
        </w:rPr>
        <w:footnoteReference w:id="125"/>
      </w:r>
      <w:r w:rsidR="00510F74">
        <w:t xml:space="preserve">. </w:t>
      </w:r>
      <w:r w:rsidRPr="003E305A">
        <w:t>Nos primeiros meses de 1943 a Suécia, um país neutral, ofereceu-se para acolher vinte mil crianças judias provenientes da Europa ocupada pelo</w:t>
      </w:r>
      <w:r w:rsidR="00814F82">
        <w:t xml:space="preserve"> Reich</w:t>
      </w:r>
      <w:r w:rsidRPr="003E305A">
        <w:t>, com a condição de a Grã-Bretanha e os Estados Unidos pagarem os custos da sua alimentação e se comprometerem a repatriá-las no final da guerra, mas o governo norte-americano demorou tanto tempo a dar uma resposta que a ocasião se perdeu</w:t>
      </w:r>
      <w:r w:rsidRPr="003E305A">
        <w:rPr>
          <w:rStyle w:val="Refdenotaderodap"/>
        </w:rPr>
        <w:footnoteReference w:id="126"/>
      </w:r>
      <w:r w:rsidRPr="003E305A">
        <w:t>. Em Março desse ano surgiu uma nova oportunidade de salvar um número muito considerável de vidas, quando a Bulgária anunciou que autorizaria os seus sessenta ou setenta mil judeus a emigrar para a Palestina, mas também então os Aliados não deram seguimento ao projecto</w:t>
      </w:r>
      <w:r w:rsidRPr="003E305A">
        <w:rPr>
          <w:rStyle w:val="Refdenotaderodap"/>
        </w:rPr>
        <w:footnoteReference w:id="127"/>
      </w:r>
      <w:r w:rsidRPr="003E305A">
        <w:t>. E pouco depois um plano do Ministério dos Negócios Estrangeiros do Reich, que encarava a possibilidade de trocar cinco mil crianças judias eslavas pelos alemães detidos em território britânico, foi recusado pelo governo de Londres com o argumento de que não havia equivalência entre as duas situações porque as crianças não possuíam a cidadania britânica</w:t>
      </w:r>
      <w:r w:rsidRPr="003E305A">
        <w:rPr>
          <w:rStyle w:val="Refdenotaderodap"/>
        </w:rPr>
        <w:footnoteReference w:id="128"/>
      </w:r>
      <w:r w:rsidRPr="003E305A">
        <w:t>. Com igual má vontade deparou a proposta do ditador fascista romeno, o marechal Antonescu, que em 1943 pretend</w:t>
      </w:r>
      <w:r>
        <w:t>eu</w:t>
      </w:r>
      <w:r w:rsidRPr="003E305A">
        <w:t xml:space="preserve"> vender aos Aliados, </w:t>
      </w:r>
      <w:r w:rsidRPr="003E305A">
        <w:lastRenderedPageBreak/>
        <w:t>pela módica quantia de cento e setenta mil dólares, a vida de sessenta ou setenta mil judeus. O Departamento de Estado norte-americano demorou oito meses para autorizar as organizações judaicas a depositar na Suíça o dinheiro prometido, e como entretanto o Ministério dos Negócios Estrangeiros britânico e o Ministério da Economia de Guerra se opunham, invocando a «dificuldade de receber um número considerável de judeus», acabou por não se fazer nada</w:t>
      </w:r>
      <w:r w:rsidRPr="003E305A">
        <w:rPr>
          <w:rStyle w:val="Refdenotaderodap"/>
        </w:rPr>
        <w:footnoteReference w:id="129"/>
      </w:r>
      <w:r w:rsidRPr="003E305A">
        <w:t>. Do mesmo modo, quando o almirante Horthy, regente da Hungria, anunciou que, com o acordo das autoridades do Reich, autorizaria a saída de todos os judeus que tivessem recebido vistos para outros países, num total entre dezassete mil e vinte mil pessoas, os governos britânico e norte-americano tardaram tanto a responder que entretanto a Wehrmacht ocupou o país e uma vez mais se deixou passar a oportunidade de salvar vidas judaicas</w:t>
      </w:r>
      <w:r w:rsidRPr="003E305A">
        <w:rPr>
          <w:rStyle w:val="Refdenotaderodap"/>
        </w:rPr>
        <w:footnoteReference w:id="130"/>
      </w:r>
      <w:r w:rsidRPr="003E305A">
        <w:t xml:space="preserve">. </w:t>
      </w:r>
    </w:p>
    <w:p w:rsidR="005A3930" w:rsidRPr="003E305A" w:rsidRDefault="005A3930" w:rsidP="005A3930">
      <w:r w:rsidRPr="003E305A">
        <w:t xml:space="preserve">Não espanta que tivesse ficado igualmente sem efeito o mais ambicioso dos projectos deste tipo. Em Abril de 1944, quando o aparelho produtivo </w:t>
      </w:r>
      <w:r w:rsidR="00DD065E">
        <w:t>do Reich</w:t>
      </w:r>
      <w:r w:rsidRPr="003E305A">
        <w:t xml:space="preserve"> deparava já com obstáculos insuperáveis, o Reichsführer</w:t>
      </w:r>
      <w:r w:rsidR="00047194">
        <w:t>-SS</w:t>
      </w:r>
      <w:r w:rsidRPr="003E305A">
        <w:t xml:space="preserve"> </w:t>
      </w:r>
      <w:r w:rsidR="00DD065E">
        <w:t xml:space="preserve">Himmler </w:t>
      </w:r>
      <w:r w:rsidRPr="003E305A">
        <w:t xml:space="preserve">recorreu </w:t>
      </w:r>
      <w:r w:rsidR="00202719">
        <w:t xml:space="preserve">indirectamente </w:t>
      </w:r>
      <w:r w:rsidRPr="003E305A">
        <w:t xml:space="preserve">a um dirigente sionista </w:t>
      </w:r>
      <w:r w:rsidR="00387A7D">
        <w:t xml:space="preserve">originário da Transilvânia mas activo na Hungria </w:t>
      </w:r>
      <w:r w:rsidRPr="003E305A">
        <w:t xml:space="preserve">para apresentar às potências aliadas ocidentais uma proposta em que se comprometia a poupar a vida de um número máximo de um milhão de judeus e a autorizar a sua emigração com a condição de receber em troca dez mil camiões, para serem usados </w:t>
      </w:r>
      <w:r w:rsidR="00E9666B">
        <w:t>apenas</w:t>
      </w:r>
      <w:r w:rsidRPr="003E305A">
        <w:t xml:space="preserve"> na frente </w:t>
      </w:r>
      <w:r w:rsidR="00E9666B" w:rsidRPr="003E305A">
        <w:t>Leste</w:t>
      </w:r>
      <w:r w:rsidRPr="003E305A">
        <w:t>, e de lhe serem dadas acessoriamente quantidades consideráveis de café, chá, cacau, sabão e ainda outros artigos. Os Aliados recusaram o negócio e chegaram mesmo a prender o intermediário durante alguns meses</w:t>
      </w:r>
      <w:r w:rsidRPr="003E305A">
        <w:rPr>
          <w:rStyle w:val="Refdenotaderodap"/>
        </w:rPr>
        <w:footnoteReference w:id="131"/>
      </w:r>
      <w:r w:rsidRPr="003E305A">
        <w:t xml:space="preserve">. Decerto lhes </w:t>
      </w:r>
      <w:r w:rsidRPr="003E305A">
        <w:lastRenderedPageBreak/>
        <w:t xml:space="preserve">importava menos a vida dos judeus, e menos ainda encontrar alojamento </w:t>
      </w:r>
      <w:r w:rsidR="00C12236">
        <w:t xml:space="preserve">e comida </w:t>
      </w:r>
      <w:r w:rsidRPr="003E305A">
        <w:t>para um milhão de refugiados, do que acelerar a deterioração das capacidades de transporte do Reich. O político e homem de negócios britânico que então desempenhava as funções de Ministro Residente no Cairo exclamou ao interrogar o emissário: «Salvar um milhão de judeus! E para fazer o quê com eles? Onde os vamos pôr?»</w:t>
      </w:r>
      <w:r w:rsidRPr="003E305A">
        <w:rPr>
          <w:rStyle w:val="Refdenotaderodap"/>
        </w:rPr>
        <w:footnoteReference w:id="132"/>
      </w:r>
      <w:r w:rsidRPr="003E305A">
        <w:t xml:space="preserve">. </w:t>
      </w:r>
    </w:p>
    <w:p w:rsidR="005A3930" w:rsidRPr="003E305A" w:rsidRDefault="005A3930" w:rsidP="005A3930">
      <w:r w:rsidRPr="003E305A">
        <w:t>«Tenho consultado uma massa de material, parte dele confidencial, que lida com a difícil situação dos judeus da Europa, que estão desaparecendo rapidamente, e com o destino de sugestões para os auxiliar, e é uma história assustadora», escrev</w:t>
      </w:r>
      <w:r>
        <w:t>eu</w:t>
      </w:r>
      <w:r w:rsidRPr="003E305A">
        <w:t xml:space="preserve"> um jornalista em Junho de 1944 num semanário de Nova Iorque</w:t>
      </w:r>
      <w:r w:rsidRPr="003E305A">
        <w:rPr>
          <w:rStyle w:val="Refdenotaderodap"/>
        </w:rPr>
        <w:footnoteReference w:id="133"/>
      </w:r>
      <w:r w:rsidRPr="003E305A">
        <w:t xml:space="preserve">. À deslocação </w:t>
      </w:r>
      <w:r w:rsidR="00CD3285">
        <w:t>massiv</w:t>
      </w:r>
      <w:r w:rsidRPr="003E305A">
        <w:t>a de judeus opunham-se, do lado norte-americano, as preocupações de dosagem racial que sustentavam as leis sobre a imigração, aquelas leis que Hitler tanto prezava e que as autoridades de Washington se recusavam absolutamente a alterar</w:t>
      </w:r>
      <w:r w:rsidRPr="003E305A">
        <w:rPr>
          <w:rStyle w:val="Refdenotaderodap"/>
        </w:rPr>
        <w:footnoteReference w:id="134"/>
      </w:r>
      <w:r w:rsidR="00687D52">
        <w:t>,</w:t>
      </w:r>
      <w:r w:rsidRPr="003E305A">
        <w:t xml:space="preserve"> </w:t>
      </w:r>
      <w:r w:rsidR="00687D52">
        <w:t xml:space="preserve">embora </w:t>
      </w:r>
      <w:r w:rsidR="00687D52" w:rsidRPr="003E305A">
        <w:t xml:space="preserve">em </w:t>
      </w:r>
      <w:r w:rsidRPr="003E305A">
        <w:t xml:space="preserve">1933 o rabi Stephen Wise </w:t>
      </w:r>
      <w:r w:rsidR="00687D52">
        <w:t xml:space="preserve">se tivesse esforçado </w:t>
      </w:r>
      <w:r w:rsidRPr="003E305A">
        <w:t>por que o Congresso facilitasse a imigração de judeus alemães</w:t>
      </w:r>
      <w:r w:rsidRPr="003E305A">
        <w:rPr>
          <w:rStyle w:val="Refdenotaderodap"/>
        </w:rPr>
        <w:footnoteReference w:id="135"/>
      </w:r>
      <w:r w:rsidRPr="003E305A">
        <w:t xml:space="preserve">. </w:t>
      </w:r>
      <w:r w:rsidR="00687D52" w:rsidRPr="003E305A">
        <w:t>Em vão</w:t>
      </w:r>
      <w:r w:rsidR="00687D52">
        <w:t>,</w:t>
      </w:r>
      <w:r w:rsidR="00687D52" w:rsidRPr="003E305A">
        <w:t xml:space="preserve"> </w:t>
      </w:r>
      <w:r w:rsidR="00687D52">
        <w:t xml:space="preserve">pois </w:t>
      </w:r>
      <w:r w:rsidR="00687D52" w:rsidRPr="003E305A">
        <w:t xml:space="preserve">não </w:t>
      </w:r>
      <w:r w:rsidRPr="003E305A">
        <w:t>era a estes apelos, mas a outros muito diferentes, que a maioria dos legisladores norte-americanos prestava atenção</w:t>
      </w:r>
      <w:r w:rsidR="004C6409">
        <w:t>,</w:t>
      </w:r>
      <w:r w:rsidRPr="003E305A">
        <w:t xml:space="preserve"> </w:t>
      </w:r>
      <w:r w:rsidR="004C6409">
        <w:t>amparad</w:t>
      </w:r>
      <w:r w:rsidR="004F285B">
        <w:t>a</w:t>
      </w:r>
      <w:r w:rsidR="004C6409">
        <w:t xml:space="preserve"> pelos fazedores da opinião pública. </w:t>
      </w:r>
      <w:r w:rsidR="00DA4016">
        <w:t xml:space="preserve">Depois de referir que o agravamento das perseguições aos judeus entre 1936 e 1938 aumentou o número de potenciais </w:t>
      </w:r>
      <w:r w:rsidR="00047635">
        <w:t>exilados</w:t>
      </w:r>
      <w:r w:rsidR="00DA4016">
        <w:t xml:space="preserve">, uma historiadora constatou que a reacção da imprensa dos Estados Unidos foi reclamar </w:t>
      </w:r>
      <w:r w:rsidR="004D3EB2">
        <w:t xml:space="preserve">maior </w:t>
      </w:r>
      <w:r w:rsidR="00561395">
        <w:t xml:space="preserve">severidade </w:t>
      </w:r>
      <w:r w:rsidR="004D3EB2">
        <w:t>na concessão de vistos</w:t>
      </w:r>
      <w:r w:rsidR="004D3EB2">
        <w:rPr>
          <w:rStyle w:val="Refdenotaderodap"/>
        </w:rPr>
        <w:footnoteReference w:id="136"/>
      </w:r>
      <w:r w:rsidR="004D3EB2">
        <w:t xml:space="preserve">. </w:t>
      </w:r>
      <w:r w:rsidR="004C6409">
        <w:t xml:space="preserve">Com efeito, </w:t>
      </w:r>
      <w:r w:rsidR="004C6409" w:rsidRPr="003E305A">
        <w:t xml:space="preserve">em </w:t>
      </w:r>
      <w:r w:rsidRPr="003E305A">
        <w:t xml:space="preserve">Março de 1939, </w:t>
      </w:r>
      <w:r w:rsidR="00D65CA3">
        <w:t>quando</w:t>
      </w:r>
      <w:r w:rsidRPr="003E305A">
        <w:t xml:space="preserve"> </w:t>
      </w:r>
      <w:r w:rsidR="00D65CA3">
        <w:t>um</w:t>
      </w:r>
      <w:r w:rsidRPr="003E305A">
        <w:t xml:space="preserve"> número cada vez maior de judeus procurava desesperadamente fugir para os Estados Unidos, Harry Laughlin</w:t>
      </w:r>
      <w:r w:rsidR="00DF6B63">
        <w:t>,</w:t>
      </w:r>
      <w:r w:rsidRPr="003E305A">
        <w:t xml:space="preserve"> </w:t>
      </w:r>
      <w:r w:rsidR="00FD4468">
        <w:t xml:space="preserve">uma das </w:t>
      </w:r>
      <w:r w:rsidR="00DF6B63">
        <w:t>personalidade</w:t>
      </w:r>
      <w:r w:rsidR="00FD4468">
        <w:t>s</w:t>
      </w:r>
      <w:r w:rsidR="00DF6B63">
        <w:t xml:space="preserve"> </w:t>
      </w:r>
      <w:r w:rsidR="00FD4468">
        <w:t xml:space="preserve">mais representativas </w:t>
      </w:r>
      <w:r w:rsidR="00DF6B63">
        <w:t xml:space="preserve">do movimento eugenista norte-americano, </w:t>
      </w:r>
      <w:r w:rsidRPr="003E305A">
        <w:t xml:space="preserve">que na década anterior desempenhara um </w:t>
      </w:r>
      <w:r w:rsidR="00687D52" w:rsidRPr="003E305A">
        <w:t xml:space="preserve">cargo </w:t>
      </w:r>
      <w:r w:rsidRPr="003E305A">
        <w:t>importante junto ao Comité da Câmara de Representantes para a Imigração e a Naturalização</w:t>
      </w:r>
      <w:r w:rsidR="00852EC6">
        <w:t>,</w:t>
      </w:r>
      <w:r w:rsidRPr="003E305A">
        <w:t xml:space="preserve"> foi chamado a depor perante o Comité de Imigração do Senado, defendendo, como se esperava, medidas restritivas. Laughlin foi também ouvido pelo Comité Especial para a Imigração e a Naturalização da Câmara de Comércio do estado de Nova Iorque, e argumentou ali que o número de imigrantes judeus era já indevidamente elevado porque entravam não como judeus mas como nacionais dos países de origem. Laughlin publicou o seu relatório em Maio sob os auspícios da Câmara de Comércio e teve o cuidado de enviá-lo ao ministro do Interior do Reich, Wilhelm Frick, bem como aos </w:t>
      </w:r>
      <w:r w:rsidRPr="003E305A">
        <w:lastRenderedPageBreak/>
        <w:t>cientistas mais representativos do movimento eugenista germânico</w:t>
      </w:r>
      <w:r w:rsidRPr="003E305A">
        <w:rPr>
          <w:rStyle w:val="Refdenotaderodap"/>
        </w:rPr>
        <w:footnoteReference w:id="137"/>
      </w:r>
      <w:r w:rsidRPr="003E305A">
        <w:t xml:space="preserve">. Por algum motivo ele havia recebido em 1936 o título de doutor </w:t>
      </w:r>
      <w:r w:rsidRPr="003E305A">
        <w:rPr>
          <w:i/>
        </w:rPr>
        <w:t>honoris causa</w:t>
      </w:r>
      <w:r w:rsidRPr="003E305A">
        <w:t xml:space="preserve"> pela Universidade de Heidelberga</w:t>
      </w:r>
      <w:r w:rsidRPr="003E305A">
        <w:rPr>
          <w:rStyle w:val="Refdenotaderodap"/>
        </w:rPr>
        <w:footnoteReference w:id="138"/>
      </w:r>
      <w:r w:rsidRPr="003E305A">
        <w:t>. Entretanto os preconceitos racistas dos cônsules norte-americanos tinham-nos levado a reforçar os obstáculos à imigração</w:t>
      </w:r>
      <w:r w:rsidRPr="003E305A">
        <w:rPr>
          <w:rStyle w:val="Refdenotaderodap"/>
        </w:rPr>
        <w:footnoteReference w:id="139"/>
      </w:r>
      <w:r w:rsidRPr="003E305A">
        <w:t xml:space="preserve">. O anti-semitismo continuou a ser </w:t>
      </w:r>
      <w:r w:rsidR="00687D52">
        <w:t>comum</w:t>
      </w:r>
      <w:r w:rsidRPr="003E305A">
        <w:t xml:space="preserve"> nos Estados Unidos durante a guerra, mesmo em departamentos governamentais, e as sondagens de opinião revelavam que uma maioria consistente, e cada vez mais numerosa, da população do país se opunha à aceitação de imigrantes judeus</w:t>
      </w:r>
      <w:r w:rsidRPr="003E305A">
        <w:rPr>
          <w:rStyle w:val="Refdenotaderodap"/>
        </w:rPr>
        <w:footnoteReference w:id="140"/>
      </w:r>
      <w:r w:rsidRPr="003E305A">
        <w:t>. Quanto ao Reino Unido, talvez sirva de indicador de um certo estado de espírito nos meios dirigentes o facto de nas ilhas britânicas do canal da Mancha ocupadas pelo</w:t>
      </w:r>
      <w:r w:rsidR="00EE3158">
        <w:t xml:space="preserve"> Reich </w:t>
      </w:r>
      <w:r w:rsidRPr="003E305A">
        <w:t>durante a guerra várias autoridades locais terem colaborado na prisão e deportação dos judeus</w:t>
      </w:r>
      <w:r w:rsidRPr="003E305A">
        <w:rPr>
          <w:rStyle w:val="Refdenotaderodap"/>
        </w:rPr>
        <w:footnoteReference w:id="141"/>
      </w:r>
      <w:r w:rsidRPr="003E305A">
        <w:t xml:space="preserve">. Mas acima de tudo, para o governo de Londres foi o interesse em manter um equilíbrio na Palestina entre as comunidades </w:t>
      </w:r>
      <w:r w:rsidR="00EE3158" w:rsidRPr="003E305A">
        <w:t xml:space="preserve">árabe </w:t>
      </w:r>
      <w:r w:rsidRPr="003E305A">
        <w:t xml:space="preserve">e </w:t>
      </w:r>
      <w:r w:rsidR="00EE3158" w:rsidRPr="003E305A">
        <w:t xml:space="preserve">judaica </w:t>
      </w:r>
      <w:r w:rsidRPr="003E305A">
        <w:t xml:space="preserve">que tornou inconveniente qualquer afluxo </w:t>
      </w:r>
      <w:r w:rsidR="00CD3285">
        <w:t>massiv</w:t>
      </w:r>
      <w:r w:rsidRPr="003E305A">
        <w:t>o de refugiados</w:t>
      </w:r>
      <w:r w:rsidRPr="003E305A">
        <w:rPr>
          <w:rStyle w:val="Refdenotaderodap"/>
        </w:rPr>
        <w:footnoteReference w:id="142"/>
      </w:r>
      <w:r w:rsidR="005D681D">
        <w:t xml:space="preserve">, e aliás em 1943 as autoridades britânicas em Jerusalém procuraram </w:t>
      </w:r>
      <w:r w:rsidR="004E0145">
        <w:t xml:space="preserve">até </w:t>
      </w:r>
      <w:r w:rsidR="005D681D">
        <w:t>reduzir o número de judeus autorizados a imigrar</w:t>
      </w:r>
      <w:r w:rsidR="005D681D">
        <w:rPr>
          <w:rStyle w:val="Refdenotaderodap"/>
        </w:rPr>
        <w:footnoteReference w:id="143"/>
      </w:r>
      <w:r w:rsidRPr="003E305A">
        <w:t xml:space="preserve">. Cada um dos aliados </w:t>
      </w:r>
      <w:r w:rsidR="004E0145">
        <w:t>esforçava-se por</w:t>
      </w:r>
      <w:r w:rsidRPr="003E305A">
        <w:t xml:space="preserve"> lançar sobre o outro o ónus da resolução do problema, e como nenhum estava disposto a abrir as fronteiras aos judeus, ambos deram a Hitler e aos SS o tempo de prosseguirem a «solução final». Nas palavras d</w:t>
      </w:r>
      <w:r w:rsidR="007D7CC3">
        <w:t>e</w:t>
      </w:r>
      <w:r w:rsidRPr="003E305A">
        <w:t xml:space="preserve"> </w:t>
      </w:r>
      <w:r w:rsidR="007D7CC3">
        <w:t xml:space="preserve">um </w:t>
      </w:r>
      <w:r w:rsidRPr="003E305A">
        <w:t xml:space="preserve">historiador que estudou </w:t>
      </w:r>
      <w:r w:rsidR="007D7CC3">
        <w:t xml:space="preserve">com minúcia </w:t>
      </w:r>
      <w:r w:rsidRPr="003E305A">
        <w:t>estas questões, «o Departamento de Estado norte-americano mostrava-se relutante em empreender uma acção em grande escala, o Ministério dos Negócios Estrangeiros britânico temia um êxito em grande escala e na Europa ocupada pelo Eixo o número de judeus ia-se reduzindo cada vez mais»</w:t>
      </w:r>
      <w:r w:rsidRPr="003E305A">
        <w:rPr>
          <w:rStyle w:val="Refdenotaderodap"/>
        </w:rPr>
        <w:footnoteReference w:id="144"/>
      </w:r>
      <w:r w:rsidRPr="003E305A">
        <w:t xml:space="preserve">. </w:t>
      </w:r>
      <w:r w:rsidR="00CB5493">
        <w:t xml:space="preserve">Outro </w:t>
      </w:r>
      <w:r w:rsidR="007D7CC3">
        <w:t xml:space="preserve">historiador </w:t>
      </w:r>
      <w:r w:rsidR="007D7CC3" w:rsidRPr="003E305A">
        <w:t>escreve</w:t>
      </w:r>
      <w:r w:rsidR="007D7CC3">
        <w:t>u</w:t>
      </w:r>
      <w:r w:rsidR="00CB5493">
        <w:t>,</w:t>
      </w:r>
      <w:r w:rsidR="007D7CC3" w:rsidRPr="003E305A">
        <w:t xml:space="preserve"> </w:t>
      </w:r>
      <w:r w:rsidR="00CB5493" w:rsidRPr="003E305A">
        <w:t xml:space="preserve">sinteticamente, </w:t>
      </w:r>
      <w:r w:rsidR="007D7CC3" w:rsidRPr="003E305A">
        <w:t>que «os judeus da Europa ficaram esmagados entre duas mós gémeas, a da vontade assassina dos nazis e a da cruel indiferença dos Aliados»</w:t>
      </w:r>
      <w:r w:rsidR="007D7CC3">
        <w:rPr>
          <w:rStyle w:val="Refdenotaderodap"/>
        </w:rPr>
        <w:footnoteReference w:id="145"/>
      </w:r>
      <w:r w:rsidR="007D7CC3" w:rsidRPr="003E305A">
        <w:t>.</w:t>
      </w:r>
      <w:r w:rsidR="007D7CC3">
        <w:t xml:space="preserve"> </w:t>
      </w:r>
    </w:p>
    <w:p w:rsidR="002433ED" w:rsidRDefault="005A3930" w:rsidP="005A3930">
      <w:r w:rsidRPr="003E305A">
        <w:t xml:space="preserve">Em meados de 1942 a resistência clandestina do </w:t>
      </w:r>
      <w:r w:rsidRPr="003E305A">
        <w:rPr>
          <w:i/>
        </w:rPr>
        <w:t>ghetto</w:t>
      </w:r>
      <w:r w:rsidRPr="003E305A">
        <w:t xml:space="preserve"> de Varsóvia, através de contactos mantidos com a resistência polaca pró-britânica, fez chegar a Londres um apelo para que o povo alemão fosse ameaçado de represálias em consequência do genocídio dos judeus, </w:t>
      </w:r>
      <w:r w:rsidRPr="003E305A">
        <w:lastRenderedPageBreak/>
        <w:t xml:space="preserve">mas a BBC não lhe deu </w:t>
      </w:r>
      <w:r w:rsidR="009B7F8F">
        <w:t>nenhuma</w:t>
      </w:r>
      <w:r w:rsidRPr="003E305A">
        <w:t xml:space="preserve"> publicidade</w:t>
      </w:r>
      <w:r w:rsidRPr="003E305A">
        <w:rPr>
          <w:rStyle w:val="Refdenotaderodap"/>
        </w:rPr>
        <w:footnoteReference w:id="146"/>
      </w:r>
      <w:r w:rsidRPr="003E305A">
        <w:t xml:space="preserve">. Pela mesma via, o governo polaco no exílio em Londres recebeu em Maio de 1943 um pedido de socorro dos insurrectos do </w:t>
      </w:r>
      <w:r w:rsidRPr="003E305A">
        <w:rPr>
          <w:i/>
        </w:rPr>
        <w:t>ghetto</w:t>
      </w:r>
      <w:r w:rsidRPr="003E305A">
        <w:t xml:space="preserve"> de Varsóvia</w:t>
      </w:r>
      <w:r w:rsidRPr="003E305A">
        <w:rPr>
          <w:rStyle w:val="Refdenotaderodap"/>
        </w:rPr>
        <w:footnoteReference w:id="147"/>
      </w:r>
      <w:r w:rsidRPr="003E305A">
        <w:t xml:space="preserve">, sem que os Aliados tivessem reagido. </w:t>
      </w:r>
      <w:r w:rsidR="00874F41" w:rsidRPr="003E305A">
        <w:t>Igualmente reveladora foi a recusa sistemática das autoridades britânicas de alvejar os campos de extermínio, conforme lhes era insistentemente solicitado pelas organizações secretas da resistência judaica e polaca, bem como por organismos de resistência no interior dos próprios campos</w:t>
      </w:r>
      <w:r w:rsidR="00874F41" w:rsidRPr="003E305A">
        <w:rPr>
          <w:rStyle w:val="Refdenotaderodap"/>
        </w:rPr>
        <w:footnoteReference w:id="148"/>
      </w:r>
      <w:r w:rsidR="00874F41" w:rsidRPr="003E305A">
        <w:t xml:space="preserve">. </w:t>
      </w:r>
      <w:r w:rsidRPr="003E305A">
        <w:t>De igual modo, e embora conseguissem mais de uma vez enviar aos Aliados a indicação das junções ferroviárias por onde passavam os comboios que transportavam judeus para os campos de extermínio, os membros da resistência judaica depararam sempre com o desinteresse dos comandantes da aviação por efectuar bombardeamentos que poderiam ter salvo a vida a um número de pessoas muitíssimo considerável, talvez mesmo centenas de milhares</w:t>
      </w:r>
      <w:r w:rsidRPr="003E305A">
        <w:rPr>
          <w:rStyle w:val="Refdenotaderodap"/>
        </w:rPr>
        <w:footnoteReference w:id="149"/>
      </w:r>
      <w:r w:rsidRPr="003E305A">
        <w:t xml:space="preserve">. </w:t>
      </w:r>
      <w:r>
        <w:t>Aliás, não seriam necessários tantos esforços e tanta devoção, porque desde Fevereiro de 1941 a espionagem britânica decifrara o código secreto dos serviços ferroviários do Reich e estava, portanto, ao corrente do transporte de judeus</w:t>
      </w:r>
      <w:r w:rsidR="009B7F8F">
        <w:rPr>
          <w:rStyle w:val="Refdenotaderodap"/>
        </w:rPr>
        <w:footnoteReference w:id="150"/>
      </w:r>
      <w:r>
        <w:t xml:space="preserve">, sem que as autoridades militares aproveitassem estas informações para tentar impedir o genocídio. </w:t>
      </w:r>
      <w:r w:rsidR="00874F41">
        <w:t xml:space="preserve">Em Maio de 1944 a espionagem britânica e a norte-americana haviam passado a dispor de fotografias aéreas pormenorizadas do </w:t>
      </w:r>
      <w:r w:rsidR="008B3ED7">
        <w:t xml:space="preserve">complexo </w:t>
      </w:r>
      <w:r w:rsidR="00874F41">
        <w:t>concentra</w:t>
      </w:r>
      <w:r w:rsidR="008B3ED7">
        <w:t>cionário</w:t>
      </w:r>
      <w:r w:rsidR="00874F41">
        <w:t xml:space="preserve"> de Auschwitz, incluindo as câmaras de gás</w:t>
      </w:r>
      <w:r w:rsidR="00874F41">
        <w:rPr>
          <w:rStyle w:val="Refdenotaderodap"/>
        </w:rPr>
        <w:footnoteReference w:id="151"/>
      </w:r>
      <w:r w:rsidR="000A204B">
        <w:t>;</w:t>
      </w:r>
      <w:r w:rsidR="00874F41">
        <w:t xml:space="preserve"> </w:t>
      </w:r>
      <w:r w:rsidR="00782899">
        <w:t xml:space="preserve">novas </w:t>
      </w:r>
      <w:r w:rsidR="000A204B">
        <w:t>fotografias foram tiradas em Agosto, mais detalhadas ainda do que as anteriores, mas apesar de membros da organização sionista terem fornecido ao governo britânico uma documentação completa sobre o que se passava em Auschwitz, a força aérea preferiu bombardear as instalações petrolíferas pr</w:t>
      </w:r>
      <w:r w:rsidR="0036140A">
        <w:t>óximas</w:t>
      </w:r>
      <w:r w:rsidR="00715033">
        <w:t xml:space="preserve"> </w:t>
      </w:r>
      <w:r w:rsidR="00782899">
        <w:t xml:space="preserve">e </w:t>
      </w:r>
      <w:r w:rsidR="0036140A">
        <w:t>não se interesso</w:t>
      </w:r>
      <w:r w:rsidR="00782899">
        <w:t>u</w:t>
      </w:r>
      <w:r w:rsidR="0036140A">
        <w:t xml:space="preserve"> pelo campo de extermínio</w:t>
      </w:r>
      <w:r w:rsidR="00E407D9">
        <w:rPr>
          <w:rStyle w:val="Refdenotaderodap"/>
        </w:rPr>
        <w:footnoteReference w:id="152"/>
      </w:r>
      <w:r w:rsidR="0036140A">
        <w:t xml:space="preserve">. </w:t>
      </w:r>
      <w:r w:rsidR="009B7F8F">
        <w:t xml:space="preserve">A </w:t>
      </w:r>
      <w:r w:rsidR="008B3ED7">
        <w:t xml:space="preserve">defesa anti-aérea </w:t>
      </w:r>
      <w:r w:rsidR="009B7F8F">
        <w:t xml:space="preserve">germânica </w:t>
      </w:r>
      <w:r w:rsidR="008B3ED7">
        <w:t>alerta</w:t>
      </w:r>
      <w:r w:rsidR="009B7F8F">
        <w:t>ra</w:t>
      </w:r>
      <w:r w:rsidR="008B3ED7">
        <w:t xml:space="preserve"> as autoridades do complexo concentracionário para o risco representado pelas chamas dos fornos crematórios, claramente visíveis </w:t>
      </w:r>
      <w:r w:rsidR="00497608">
        <w:t xml:space="preserve">pela aviação </w:t>
      </w:r>
      <w:r w:rsidR="009B7F8F">
        <w:t>aliada</w:t>
      </w:r>
      <w:r w:rsidR="00497608">
        <w:rPr>
          <w:rStyle w:val="Refdenotaderodap"/>
        </w:rPr>
        <w:footnoteReference w:id="153"/>
      </w:r>
      <w:r w:rsidR="00497608">
        <w:t xml:space="preserve">, </w:t>
      </w:r>
      <w:r w:rsidR="009B7F8F">
        <w:t xml:space="preserve">mas a precaução foi excessiva porque </w:t>
      </w:r>
      <w:r w:rsidR="00497608">
        <w:t xml:space="preserve">só </w:t>
      </w:r>
      <w:r w:rsidR="00C1692B">
        <w:t>duas</w:t>
      </w:r>
      <w:r w:rsidR="00715033">
        <w:t xml:space="preserve"> vez</w:t>
      </w:r>
      <w:r w:rsidR="00C1692B">
        <w:t>es</w:t>
      </w:r>
      <w:r w:rsidR="00715033">
        <w:t xml:space="preserve">, em Setembro </w:t>
      </w:r>
      <w:r w:rsidR="00C1692B">
        <w:t xml:space="preserve">e em Dezembro </w:t>
      </w:r>
      <w:r w:rsidR="00715033">
        <w:t>de 1944, e «por engano»</w:t>
      </w:r>
      <w:r w:rsidR="00C1692B">
        <w:t xml:space="preserve"> ou «por acaso»</w:t>
      </w:r>
      <w:r w:rsidR="00715033">
        <w:t>, nas palavras de um reputado historiador, algumas bombas destinadas às instalações petrolíferas atingiram o campo de Auschwitz</w:t>
      </w:r>
      <w:r w:rsidR="00E2530B">
        <w:rPr>
          <w:rStyle w:val="Refdenotaderodap"/>
        </w:rPr>
        <w:footnoteReference w:id="154"/>
      </w:r>
      <w:r w:rsidR="00715033">
        <w:t xml:space="preserve">. </w:t>
      </w:r>
      <w:r w:rsidR="00AD0B9C">
        <w:t xml:space="preserve">Na </w:t>
      </w:r>
      <w:r>
        <w:t xml:space="preserve">obra que um especialista da história da guerra dedicou ao </w:t>
      </w:r>
      <w:r w:rsidRPr="00B51BF0">
        <w:t xml:space="preserve">SOE, um </w:t>
      </w:r>
      <w:r w:rsidRPr="00B51BF0">
        <w:lastRenderedPageBreak/>
        <w:t>organismo secreto britânico de carácter militar</w:t>
      </w:r>
      <w:r>
        <w:t>,</w:t>
      </w:r>
      <w:r w:rsidRPr="00B51BF0">
        <w:t xml:space="preserve"> criado para pro</w:t>
      </w:r>
      <w:r>
        <w:t>s</w:t>
      </w:r>
      <w:r w:rsidRPr="00B51BF0">
        <w:t>seguir acções de sabotagem e d</w:t>
      </w:r>
      <w:r>
        <w:t>e</w:t>
      </w:r>
      <w:r w:rsidRPr="00B51BF0">
        <w:t xml:space="preserve"> apoio à </w:t>
      </w:r>
      <w:r>
        <w:t>resistência,</w:t>
      </w:r>
      <w:r w:rsidRPr="00B51BF0">
        <w:t xml:space="preserve"> </w:t>
      </w:r>
      <w:r>
        <w:t xml:space="preserve">é notável que não exista </w:t>
      </w:r>
      <w:r w:rsidRPr="00B46C81">
        <w:t xml:space="preserve">uma palavra a respeito de qualquer </w:t>
      </w:r>
      <w:r>
        <w:t xml:space="preserve">ajuda aos </w:t>
      </w:r>
      <w:r w:rsidR="00AD0B9C">
        <w:t xml:space="preserve">judeus </w:t>
      </w:r>
      <w:r w:rsidRPr="00B46C81">
        <w:t>dos países ocupados.</w:t>
      </w:r>
      <w:r>
        <w:t xml:space="preserve"> </w:t>
      </w:r>
      <w:r w:rsidRPr="00EC5C63">
        <w:t xml:space="preserve">Não sei </w:t>
      </w:r>
      <w:r w:rsidR="00C87000">
        <w:t xml:space="preserve">qual </w:t>
      </w:r>
      <w:r>
        <w:t>foi</w:t>
      </w:r>
      <w:r w:rsidRPr="00EC5C63">
        <w:t xml:space="preserve"> maior, o cinismo ou a candura, quando es</w:t>
      </w:r>
      <w:r>
        <w:t>t</w:t>
      </w:r>
      <w:r w:rsidRPr="00EC5C63">
        <w:t xml:space="preserve">e </w:t>
      </w:r>
      <w:r>
        <w:t xml:space="preserve">historiador escreveu: «Os horrores do holocausto estavam além das esferas que o SOE conhecia ou em que agia. </w:t>
      </w:r>
      <w:r w:rsidRPr="0043729D">
        <w:t>Por outras palavras, o SOE não podia fazer muito pela Polónia e menos ainda pelos judeus da Pol</w:t>
      </w:r>
      <w:r>
        <w:t>ónia, a não ser rezar [...]»</w:t>
      </w:r>
      <w:r>
        <w:rPr>
          <w:rStyle w:val="Refdenotaderodap"/>
        </w:rPr>
        <w:footnoteReference w:id="155"/>
      </w:r>
      <w:r w:rsidRPr="00BD12A2">
        <w:t>.</w:t>
      </w:r>
      <w:r>
        <w:t xml:space="preserve"> </w:t>
      </w:r>
      <w:r w:rsidRPr="004B65F2">
        <w:t>Mesmo depois da ocupação da Hungria pela Wehrmacht em Março de 1944, quando a guerra se aproximava do fim e os Aliados dispunham já da iniciativa em todas as frentes, ficaram igualmente sem resposta os pedidos de bombardeamento dos centros administrativos onde estava a ser organizada a última etapa do genocídio e da linha de caminho</w:t>
      </w:r>
      <w:r w:rsidR="008C6CA7">
        <w:t>-</w:t>
      </w:r>
      <w:r w:rsidRPr="004B65F2">
        <w:t>de</w:t>
      </w:r>
      <w:r w:rsidR="008C6CA7">
        <w:t>-</w:t>
      </w:r>
      <w:r w:rsidRPr="004B65F2">
        <w:t>ferro que levava a Auschwitz</w:t>
      </w:r>
      <w:r w:rsidRPr="004B65F2">
        <w:rPr>
          <w:vertAlign w:val="superscript"/>
        </w:rPr>
        <w:footnoteReference w:id="156"/>
      </w:r>
      <w:r w:rsidRPr="004B65F2">
        <w:t xml:space="preserve">. </w:t>
      </w:r>
      <w:r w:rsidR="00F07E7D">
        <w:t>Um relatório secreto do Ministério da Aviação britânico considerou que essa acção poria a vida de pilotos em risco «sem nenhuma utilidade» e o vice-</w:t>
      </w:r>
      <w:r w:rsidR="00930757">
        <w:t>secretário</w:t>
      </w:r>
      <w:r w:rsidR="00F07E7D">
        <w:t xml:space="preserve"> da Guerra norte-americano rejeitou quatro pedidos de bombardeamento da</w:t>
      </w:r>
      <w:r w:rsidR="00C05C1D">
        <w:t>s</w:t>
      </w:r>
      <w:r w:rsidR="00F07E7D">
        <w:t xml:space="preserve"> linha</w:t>
      </w:r>
      <w:r w:rsidR="00C05C1D">
        <w:t>s</w:t>
      </w:r>
      <w:r w:rsidR="00F07E7D">
        <w:t xml:space="preserve"> </w:t>
      </w:r>
      <w:r w:rsidR="008C6CA7">
        <w:t xml:space="preserve">ferroviárias </w:t>
      </w:r>
      <w:r w:rsidR="00C05C1D">
        <w:t xml:space="preserve">que </w:t>
      </w:r>
      <w:r w:rsidR="00A23EE0">
        <w:t>conduziam</w:t>
      </w:r>
      <w:r w:rsidR="00C05C1D">
        <w:t xml:space="preserve"> os judeus para os campos de extermínio</w:t>
      </w:r>
      <w:r w:rsidR="009F2CB9">
        <w:t>, dando instruções para «“matar” a questão»</w:t>
      </w:r>
      <w:r w:rsidR="00ED21F8">
        <w:rPr>
          <w:rStyle w:val="Refdenotaderodap"/>
        </w:rPr>
        <w:footnoteReference w:id="157"/>
      </w:r>
      <w:r w:rsidR="009F2CB9">
        <w:t xml:space="preserve">. </w:t>
      </w:r>
    </w:p>
    <w:p w:rsidR="005A3930" w:rsidRPr="003E305A" w:rsidRDefault="00ED21F8" w:rsidP="005A3930">
      <w:r>
        <w:t xml:space="preserve">Haveria </w:t>
      </w:r>
      <w:r w:rsidRPr="003E305A">
        <w:t xml:space="preserve">dificuldades </w:t>
      </w:r>
      <w:r w:rsidR="005A3930" w:rsidRPr="003E305A">
        <w:t>técnicas insuperáveis? Não parece, porque em 1944 foram várias vezes bombardeadas as instalações industriais situadas em redor de alguns grandes campos, conseguindo-se que os dormitórios dos presos não fossem atingidos. Numa dessas ocasiões, em Agosto, os bombardeiros britânicos e norte-americanos destruíram completamente a fábrica de armamento adjacente ao campo de concentração de Buchenwald, sem que uma só bomba tivesse caído no lado de dentro dos arames farpados</w:t>
      </w:r>
      <w:r w:rsidR="005A3930" w:rsidRPr="003E305A">
        <w:rPr>
          <w:rStyle w:val="Refdenotaderodap"/>
        </w:rPr>
        <w:footnoteReference w:id="158"/>
      </w:r>
      <w:r w:rsidR="005A3930" w:rsidRPr="003E305A">
        <w:t xml:space="preserve">. E no mês seguinte as fábricas da IG Farben em Auschwitz foram bombardeadas, mas as instalações ferroviárias, as câmaras de gás e os </w:t>
      </w:r>
      <w:r w:rsidR="005A3930">
        <w:t xml:space="preserve">fornos </w:t>
      </w:r>
      <w:r w:rsidR="005A3930" w:rsidRPr="003E305A">
        <w:t xml:space="preserve">crematórios </w:t>
      </w:r>
      <w:r w:rsidR="004E6906">
        <w:t xml:space="preserve">permaneceram </w:t>
      </w:r>
      <w:r w:rsidR="005A3930" w:rsidRPr="003E305A">
        <w:t>intactos</w:t>
      </w:r>
      <w:r w:rsidR="005A3930" w:rsidRPr="003E305A">
        <w:rPr>
          <w:rStyle w:val="Refdenotaderodap"/>
        </w:rPr>
        <w:footnoteReference w:id="159"/>
      </w:r>
      <w:r w:rsidR="005A3930" w:rsidRPr="003E305A">
        <w:t xml:space="preserve">. </w:t>
      </w:r>
    </w:p>
    <w:p w:rsidR="005A3930" w:rsidRDefault="005A3930" w:rsidP="005A3930">
      <w:r w:rsidRPr="003E305A">
        <w:t xml:space="preserve">Ou seria o </w:t>
      </w:r>
      <w:r w:rsidR="000D777B">
        <w:t>receio</w:t>
      </w:r>
      <w:r w:rsidRPr="003E305A">
        <w:t xml:space="preserve"> de falhar a pontaria e atingir inocentes que levou os Aliados a abster-se de alvejar as instalações de extermínio? Mas o próprio organismo de resistência dos internados de Auschwitz, nas mensagens enviadas no primeiro semestre de 1944 pedindo o bombardeamento das câmaras de gás e </w:t>
      </w:r>
      <w:r>
        <w:t xml:space="preserve">das instalações </w:t>
      </w:r>
      <w:r w:rsidRPr="003E305A">
        <w:t>crematóri</w:t>
      </w:r>
      <w:r>
        <w:t>a</w:t>
      </w:r>
      <w:r w:rsidRPr="003E305A">
        <w:t xml:space="preserve">s, recomendou explicitamente que os comandantes aliados não se preocupassem com as baixas que </w:t>
      </w:r>
      <w:r>
        <w:t>pudessem</w:t>
      </w:r>
      <w:r w:rsidRPr="003E305A">
        <w:t xml:space="preserve"> </w:t>
      </w:r>
      <w:r w:rsidRPr="003E305A">
        <w:lastRenderedPageBreak/>
        <w:t>causar entre os detidos</w:t>
      </w:r>
      <w:r w:rsidRPr="003E305A">
        <w:rPr>
          <w:rStyle w:val="Refdenotaderodap"/>
        </w:rPr>
        <w:footnoteReference w:id="160"/>
      </w:r>
      <w:r w:rsidRPr="003E305A">
        <w:t>. Esta era, aliás, a prática corrente. Em Fevereiro de 1944 a aviação britânica havia atacado o estabelecimento prisional de Amiens numa operação destinada a propiciar a fuga de membros da resistência francesa, e de um total de cerca de mil presos, embora oitenta e sete morressem no bombardeamento, mais de duzentos e cinquenta conseguiram evadir-se e retomaram a actividade clandestina</w:t>
      </w:r>
      <w:r w:rsidRPr="003E305A">
        <w:rPr>
          <w:rStyle w:val="Refdenotaderodap"/>
        </w:rPr>
        <w:footnoteReference w:id="161"/>
      </w:r>
      <w:r w:rsidRPr="003E305A">
        <w:t xml:space="preserve">. </w:t>
      </w:r>
      <w:r w:rsidR="00E642F9">
        <w:t>Dois meses depois aviões dos Estados Unidos conseguiram bombardear exactamente o edifício de Haia onde a Gestapo gu</w:t>
      </w:r>
      <w:r w:rsidR="001C7FD3">
        <w:t>a</w:t>
      </w:r>
      <w:r w:rsidR="00E642F9">
        <w:t>rdava as fichas sobre a população holandesa</w:t>
      </w:r>
      <w:r w:rsidR="00E642F9">
        <w:rPr>
          <w:rStyle w:val="Refdenotaderodap"/>
        </w:rPr>
        <w:footnoteReference w:id="162"/>
      </w:r>
      <w:r w:rsidR="00E642F9">
        <w:t xml:space="preserve"> e com igual </w:t>
      </w:r>
      <w:r>
        <w:t xml:space="preserve">precisão, </w:t>
      </w:r>
      <w:r w:rsidR="00A85C06">
        <w:t xml:space="preserve">no final de Outubro, </w:t>
      </w:r>
      <w:r w:rsidR="00CD6BBF">
        <w:t xml:space="preserve">em </w:t>
      </w:r>
      <w:r w:rsidR="00A85C06">
        <w:t>respo</w:t>
      </w:r>
      <w:r w:rsidR="00CD6BBF">
        <w:t>sta</w:t>
      </w:r>
      <w:r w:rsidR="00A85C06">
        <w:t xml:space="preserve"> a</w:t>
      </w:r>
      <w:r w:rsidR="00FC6201">
        <w:t xml:space="preserve"> um </w:t>
      </w:r>
      <w:r w:rsidR="00A85C06">
        <w:t xml:space="preserve">pedido da resistência dinamarquesa, a aviação britânica destruiu a sede da Gestapo em Aarhus, </w:t>
      </w:r>
      <w:r w:rsidR="00FC6201">
        <w:t xml:space="preserve">inutilizando </w:t>
      </w:r>
      <w:r w:rsidR="00CD6BBF">
        <w:t>o ficheiro político</w:t>
      </w:r>
      <w:r w:rsidR="00B9758C">
        <w:t>,</w:t>
      </w:r>
      <w:r w:rsidR="00CD6BBF">
        <w:t xml:space="preserve"> </w:t>
      </w:r>
      <w:r w:rsidR="00B9758C">
        <w:t xml:space="preserve">permitindo a fuga de alguns presos </w:t>
      </w:r>
      <w:r w:rsidR="00CD6BBF">
        <w:t>e fazendo</w:t>
      </w:r>
      <w:r w:rsidR="00A85C06">
        <w:t xml:space="preserve"> apenas uma vítima civil</w:t>
      </w:r>
      <w:r w:rsidR="00FC6201">
        <w:rPr>
          <w:rStyle w:val="Refdenotaderodap"/>
        </w:rPr>
        <w:footnoteReference w:id="163"/>
      </w:r>
      <w:r w:rsidR="00A85C06">
        <w:t xml:space="preserve">. </w:t>
      </w:r>
      <w:r w:rsidR="00FC6201">
        <w:t xml:space="preserve">De novo </w:t>
      </w:r>
      <w:r>
        <w:t>em Março do ano seguinte</w:t>
      </w:r>
      <w:r w:rsidRPr="003E305A">
        <w:t xml:space="preserve">, </w:t>
      </w:r>
      <w:r w:rsidR="00FC6201">
        <w:t xml:space="preserve">e também acedendo às solicitações </w:t>
      </w:r>
      <w:r w:rsidRPr="003E305A">
        <w:t>da resistência dinamarquesa, aviões britânicos e norte-americanos atacaram a sede da Gestapo em Copenhaga e libertaram trinta e dois dos trinta e oito dirigentes antinazis aí detidos</w:t>
      </w:r>
      <w:r w:rsidR="00101ABC">
        <w:t>, ficando mortos os outros seis, além de cento e doze vítimas civis, entre as quais oitenta e seis crianças</w:t>
      </w:r>
      <w:r w:rsidRPr="003E305A">
        <w:rPr>
          <w:rStyle w:val="Refdenotaderodap"/>
        </w:rPr>
        <w:footnoteReference w:id="164"/>
      </w:r>
      <w:r w:rsidRPr="003E305A">
        <w:t xml:space="preserve">. </w:t>
      </w:r>
      <w:r w:rsidR="00B1456E">
        <w:t xml:space="preserve">Já no último dia de 1944 a aviação britânica havia </w:t>
      </w:r>
      <w:r w:rsidR="00697770">
        <w:t>atingido</w:t>
      </w:r>
      <w:r w:rsidR="00B1456E">
        <w:t xml:space="preserve"> </w:t>
      </w:r>
      <w:r w:rsidR="006419C3">
        <w:t xml:space="preserve">o edifício </w:t>
      </w:r>
      <w:r w:rsidR="00B1456E">
        <w:t xml:space="preserve">da </w:t>
      </w:r>
      <w:r w:rsidR="006419C3">
        <w:t xml:space="preserve">Gestapo </w:t>
      </w:r>
      <w:r w:rsidR="00B1456E">
        <w:t>em Oslo, destroçando</w:t>
      </w:r>
      <w:r w:rsidR="006419C3">
        <w:t>-o</w:t>
      </w:r>
      <w:r w:rsidR="00B1456E">
        <w:t xml:space="preserve"> </w:t>
      </w:r>
      <w:r w:rsidR="006419C3">
        <w:t xml:space="preserve">em </w:t>
      </w:r>
      <w:r w:rsidR="00B1456E">
        <w:t>grande parte</w:t>
      </w:r>
      <w:r w:rsidR="006419C3">
        <w:t>,</w:t>
      </w:r>
      <w:r w:rsidR="00B1456E">
        <w:t xml:space="preserve"> </w:t>
      </w:r>
      <w:r w:rsidR="006419C3">
        <w:t xml:space="preserve">embora </w:t>
      </w:r>
      <w:r w:rsidR="00B1456E">
        <w:t>provocando vários mortos entre a população civil</w:t>
      </w:r>
      <w:r w:rsidR="006419C3">
        <w:rPr>
          <w:rStyle w:val="Refdenotaderodap"/>
        </w:rPr>
        <w:footnoteReference w:id="165"/>
      </w:r>
      <w:r w:rsidR="00B1456E">
        <w:t xml:space="preserve">. </w:t>
      </w:r>
      <w:r w:rsidRPr="003E305A">
        <w:t>Por que motivo recusar a centenas de milhares de judeus expostos a um massacre iminente o que não se recusava a algumas dezenas de militantes e dirigentes da resistência francesa</w:t>
      </w:r>
      <w:r w:rsidR="006419C3">
        <w:t>,</w:t>
      </w:r>
      <w:r w:rsidRPr="003E305A">
        <w:t xml:space="preserve"> </w:t>
      </w:r>
      <w:r w:rsidR="006419C3">
        <w:t xml:space="preserve">holandesa, norueguesa </w:t>
      </w:r>
      <w:r w:rsidRPr="003E305A">
        <w:t>ou dinamarquesa? Decerto não era o receio de provocar vítimas entre os civis que preocupava os responsáveis da aviação aliada</w:t>
      </w:r>
      <w:r>
        <w:t xml:space="preserve">. </w:t>
      </w:r>
    </w:p>
    <w:p w:rsidR="005A3930" w:rsidRPr="003E305A" w:rsidRDefault="005A3930" w:rsidP="0014552D">
      <w:pPr>
        <w:keepNext/>
        <w:spacing w:before="720" w:after="360"/>
        <w:ind w:firstLine="0"/>
        <w:jc w:val="center"/>
        <w:rPr>
          <w:b/>
          <w:sz w:val="28"/>
        </w:rPr>
      </w:pPr>
      <w:r>
        <w:rPr>
          <w:b/>
          <w:sz w:val="28"/>
        </w:rPr>
        <w:t>4</w:t>
      </w:r>
      <w:r w:rsidRPr="003E305A">
        <w:rPr>
          <w:b/>
          <w:sz w:val="28"/>
        </w:rPr>
        <w:t xml:space="preserve">. </w:t>
      </w:r>
      <w:r>
        <w:rPr>
          <w:b/>
          <w:sz w:val="28"/>
        </w:rPr>
        <w:t>O bombardeamento da população civil na Europa</w:t>
      </w:r>
    </w:p>
    <w:p w:rsidR="005A3930" w:rsidRPr="003E305A" w:rsidRDefault="00770D7E" w:rsidP="005A3930">
      <w:r>
        <w:t>Em Setembro de 1939</w:t>
      </w:r>
      <w:r w:rsidRPr="00770D7E">
        <w:t xml:space="preserve"> </w:t>
      </w:r>
      <w:r>
        <w:t xml:space="preserve">a aviação britânica recebeu ordens para não colocar em risco a vida de civis </w:t>
      </w:r>
      <w:r w:rsidR="00F24050">
        <w:t>n</w:t>
      </w:r>
      <w:r>
        <w:t>as operações contra alvos militares no Reich</w:t>
      </w:r>
      <w:r w:rsidR="00987BE3">
        <w:rPr>
          <w:rStyle w:val="Refdenotaderodap"/>
        </w:rPr>
        <w:footnoteReference w:id="166"/>
      </w:r>
      <w:r w:rsidR="00A65824">
        <w:t xml:space="preserve"> e </w:t>
      </w:r>
      <w:r w:rsidR="00A65824" w:rsidRPr="003E305A">
        <w:t xml:space="preserve">durante a </w:t>
      </w:r>
      <w:r w:rsidR="00A65824" w:rsidRPr="003E305A">
        <w:rPr>
          <w:i/>
        </w:rPr>
        <w:t>drôle de guerre</w:t>
      </w:r>
      <w:r w:rsidR="00A65824" w:rsidRPr="003E305A">
        <w:t xml:space="preserve"> </w:t>
      </w:r>
      <w:r w:rsidR="00A65824">
        <w:t xml:space="preserve">não foram bombas mas panfletos que lançou </w:t>
      </w:r>
      <w:r w:rsidR="00A65824" w:rsidRPr="003E305A">
        <w:t>sobre as cidades</w:t>
      </w:r>
      <w:r w:rsidR="00A65824">
        <w:rPr>
          <w:rStyle w:val="Refdenotaderodap"/>
        </w:rPr>
        <w:footnoteReference w:id="167"/>
      </w:r>
      <w:r w:rsidR="00A65824">
        <w:t>.</w:t>
      </w:r>
      <w:r w:rsidR="00A65824" w:rsidRPr="003E305A">
        <w:t xml:space="preserve"> </w:t>
      </w:r>
      <w:r w:rsidR="00351DAD">
        <w:t>Todavia</w:t>
      </w:r>
      <w:r w:rsidR="00822F3D">
        <w:t>,</w:t>
      </w:r>
      <w:r w:rsidR="0013321D">
        <w:t xml:space="preserve"> a partir de Abril de 1940, quando o marechal do ar Charles Portal substituiu Edgard Ludlow-Hewitt como comandante-</w:t>
      </w:r>
      <w:r w:rsidR="0013321D">
        <w:lastRenderedPageBreak/>
        <w:t xml:space="preserve">chefe dos bombardeiros, </w:t>
      </w:r>
      <w:r w:rsidR="0013321D" w:rsidRPr="003E305A">
        <w:t xml:space="preserve">os </w:t>
      </w:r>
      <w:r w:rsidR="005A3930" w:rsidRPr="003E305A">
        <w:t xml:space="preserve">responsáveis da aviação </w:t>
      </w:r>
      <w:r w:rsidR="00740F64">
        <w:t>britânica</w:t>
      </w:r>
      <w:r w:rsidR="005A3930">
        <w:t xml:space="preserve"> procuraram deliberadamente </w:t>
      </w:r>
      <w:r w:rsidR="005A3930" w:rsidRPr="003E305A">
        <w:t xml:space="preserve">provocar </w:t>
      </w:r>
      <w:r w:rsidR="007E3F14">
        <w:t>baixas</w:t>
      </w:r>
      <w:r w:rsidR="005A3930" w:rsidRPr="003E305A">
        <w:t xml:space="preserve"> entre </w:t>
      </w:r>
      <w:r w:rsidR="005A3930">
        <w:t xml:space="preserve">a população </w:t>
      </w:r>
      <w:r w:rsidR="005A3930" w:rsidRPr="003E305A">
        <w:t>civi</w:t>
      </w:r>
      <w:r w:rsidR="005A3930">
        <w:t>l</w:t>
      </w:r>
      <w:r w:rsidR="00906148">
        <w:t xml:space="preserve"> germânica</w:t>
      </w:r>
      <w:r w:rsidR="00740F64">
        <w:t xml:space="preserve"> e em 10 de Maio o Ministério dos Negócios Estrangeiros anunciou a ampliação dos bombardeamentos</w:t>
      </w:r>
      <w:r w:rsidR="00740F64">
        <w:rPr>
          <w:rStyle w:val="Refdenotaderodap"/>
        </w:rPr>
        <w:footnoteReference w:id="168"/>
      </w:r>
      <w:r w:rsidR="005A3930">
        <w:t xml:space="preserve">. </w:t>
      </w:r>
      <w:r w:rsidR="0013321D">
        <w:t xml:space="preserve">Os </w:t>
      </w:r>
      <w:r w:rsidR="005A3930">
        <w:t xml:space="preserve">dois objectivos principais dos ataques aéreos, </w:t>
      </w:r>
      <w:r w:rsidR="002F4691">
        <w:t>nas palavras</w:t>
      </w:r>
      <w:r w:rsidR="0013321D">
        <w:t xml:space="preserve"> </w:t>
      </w:r>
      <w:r w:rsidR="002F4691">
        <w:t>d</w:t>
      </w:r>
      <w:r w:rsidR="0013321D">
        <w:t xml:space="preserve">o marechal Portal, eram </w:t>
      </w:r>
      <w:r w:rsidR="005A3930">
        <w:t>«</w:t>
      </w:r>
      <w:r w:rsidR="00BF767F">
        <w:t xml:space="preserve">a gasolina </w:t>
      </w:r>
      <w:r w:rsidR="005A3930">
        <w:t>e o moral» da população do Reich</w:t>
      </w:r>
      <w:r w:rsidR="005A3930">
        <w:rPr>
          <w:rStyle w:val="Refdenotaderodap"/>
        </w:rPr>
        <w:footnoteReference w:id="169"/>
      </w:r>
      <w:r w:rsidR="005A3930">
        <w:t xml:space="preserve">. </w:t>
      </w:r>
      <w:r w:rsidR="003B2910">
        <w:t>Na noite de 1 de Agosto de 1940 várias cidades, incluindo Hanover, foram bombardeadas</w:t>
      </w:r>
      <w:r w:rsidR="003B2910">
        <w:rPr>
          <w:rStyle w:val="Refdenotaderodap"/>
        </w:rPr>
        <w:footnoteReference w:id="170"/>
      </w:r>
      <w:r w:rsidR="003B2910">
        <w:t xml:space="preserve"> e em </w:t>
      </w:r>
      <w:r w:rsidR="00A7396B">
        <w:t xml:space="preserve">Setembro o Gabinete de Guerra </w:t>
      </w:r>
      <w:r w:rsidR="00D233A2">
        <w:t xml:space="preserve">britânico </w:t>
      </w:r>
      <w:r w:rsidR="00A7396B">
        <w:t>decidiu que, se os pilotos fossem incapazes de encontrar os alvos militares e económicos que lhes haviam sido designados, larga</w:t>
      </w:r>
      <w:r w:rsidR="009B1172">
        <w:t>sse</w:t>
      </w:r>
      <w:r w:rsidR="00876EA5">
        <w:t>m</w:t>
      </w:r>
      <w:r w:rsidR="00A7396B">
        <w:t xml:space="preserve"> as bombas </w:t>
      </w:r>
      <w:r w:rsidR="00CC40D8">
        <w:t xml:space="preserve">em quaisquer </w:t>
      </w:r>
      <w:r w:rsidR="00A7396B">
        <w:t>outros lugares</w:t>
      </w:r>
      <w:r w:rsidR="00D233A2">
        <w:rPr>
          <w:rStyle w:val="Refdenotaderodap"/>
        </w:rPr>
        <w:footnoteReference w:id="171"/>
      </w:r>
      <w:r w:rsidR="00CC40D8">
        <w:t>,</w:t>
      </w:r>
      <w:r w:rsidR="00A7396B">
        <w:t xml:space="preserve"> </w:t>
      </w:r>
      <w:r w:rsidR="003B2910">
        <w:t>indicando</w:t>
      </w:r>
      <w:r w:rsidR="00CC40D8">
        <w:t xml:space="preserve"> no mês seguinte que, se o mau tempo impossibilitasse o bombardeamento dos </w:t>
      </w:r>
      <w:r w:rsidR="00A82F1F">
        <w:t>objectivos</w:t>
      </w:r>
      <w:r w:rsidR="00CC40D8">
        <w:t xml:space="preserve"> previstos, os pilotos dev</w:t>
      </w:r>
      <w:r w:rsidR="00B3742E">
        <w:t>er</w:t>
      </w:r>
      <w:r w:rsidR="00CC40D8">
        <w:t xml:space="preserve">iam </w:t>
      </w:r>
      <w:r w:rsidR="002F6851">
        <w:t>lançar</w:t>
      </w:r>
      <w:r w:rsidR="00CC40D8">
        <w:t xml:space="preserve"> as bombas sobre grandes cidades</w:t>
      </w:r>
      <w:r w:rsidR="003B2910">
        <w:t xml:space="preserve"> e</w:t>
      </w:r>
      <w:r w:rsidR="00CC40D8">
        <w:t xml:space="preserve"> </w:t>
      </w:r>
      <w:r w:rsidR="00A82F1F">
        <w:t xml:space="preserve">determinando também que </w:t>
      </w:r>
      <w:r w:rsidR="00CC40D8">
        <w:t>esta orientação não fosse levada ao conhecimento do público</w:t>
      </w:r>
      <w:r w:rsidR="0091093B">
        <w:rPr>
          <w:rStyle w:val="Refdenotaderodap"/>
        </w:rPr>
        <w:footnoteReference w:id="172"/>
      </w:r>
      <w:r w:rsidR="00CC40D8">
        <w:t xml:space="preserve">. </w:t>
      </w:r>
      <w:r w:rsidR="00EB064F">
        <w:t>Uma nova escalada ocorreu em Dezembro de 1940, quando o Gabinete de Guerra autorizou os bombardeiros a provocarem «a maior destruição possível em cidades seleccionadas»</w:t>
      </w:r>
      <w:r w:rsidR="00EB064F">
        <w:rPr>
          <w:rStyle w:val="Refdenotaderodap"/>
        </w:rPr>
        <w:footnoteReference w:id="173"/>
      </w:r>
      <w:r w:rsidR="00EB064F">
        <w:t xml:space="preserve">. </w:t>
      </w:r>
      <w:r w:rsidR="00A358DD">
        <w:t xml:space="preserve">E embora </w:t>
      </w:r>
      <w:r w:rsidR="00A358DD" w:rsidRPr="00A358DD">
        <w:t xml:space="preserve">nos primeiros dias de 1941 </w:t>
      </w:r>
      <w:r w:rsidR="00A358DD">
        <w:t>o Gabinete de Guerra determinasse que a aviação devia concentrar os ataques nas instalações da indústria produtora de gasolina sintética, esta componente do plano esperaria mais de três anos para ser cumprida</w:t>
      </w:r>
      <w:r w:rsidR="00A358DD">
        <w:rPr>
          <w:rStyle w:val="Refdenotaderodap"/>
        </w:rPr>
        <w:footnoteReference w:id="174"/>
      </w:r>
      <w:r w:rsidR="00A358DD">
        <w:t xml:space="preserve">, </w:t>
      </w:r>
      <w:r w:rsidR="00E72A12">
        <w:t xml:space="preserve">continuando </w:t>
      </w:r>
      <w:r w:rsidR="00A358DD">
        <w:t xml:space="preserve">a população civil a ser o alvo preferencial. </w:t>
      </w:r>
      <w:r w:rsidR="005A3930">
        <w:t xml:space="preserve">Alguns meses depois </w:t>
      </w:r>
      <w:r w:rsidR="00A7396B">
        <w:t xml:space="preserve">da sua nomeação, </w:t>
      </w:r>
      <w:r w:rsidR="005A3930">
        <w:t xml:space="preserve">Portal foi promovido a chefe do estado-maior da força aérea e no final de 1941 </w:t>
      </w:r>
      <w:r w:rsidR="00A7396B">
        <w:t>indicou</w:t>
      </w:r>
      <w:r w:rsidR="005A3930">
        <w:t xml:space="preserve"> Arthur Harris para comandar os bombardeiros. </w:t>
      </w:r>
      <w:r w:rsidR="005A3930" w:rsidRPr="003E305A">
        <w:t>«Em Fevereiro de 1942», escreve</w:t>
      </w:r>
      <w:r w:rsidR="005A3930">
        <w:t>u</w:t>
      </w:r>
      <w:r w:rsidR="005A3930" w:rsidRPr="003E305A">
        <w:t xml:space="preserve"> alguém que viveu estes acontecimentos, «o marechal do ar Arthur Harris recebeu o comando dos bombardeiros da RAF com instruções do Gabinete de Guerra para desencadear uma ofensiva sistemática contra as cidades alemãs “tendo como alvo principal o moral da população civil e especialmente dos operários da indústria”»</w:t>
      </w:r>
      <w:r w:rsidR="005A3930" w:rsidRPr="003E305A">
        <w:rPr>
          <w:rStyle w:val="Refdenotaderodap"/>
        </w:rPr>
        <w:footnoteReference w:id="175"/>
      </w:r>
      <w:r w:rsidR="005A3930" w:rsidRPr="003E305A">
        <w:t xml:space="preserve">. </w:t>
      </w:r>
      <w:r w:rsidR="005A3930">
        <w:t xml:space="preserve">E como o principal conselheiro científico do governo britânico afirmara que «a destruição do seu lar abala um ser humano de </w:t>
      </w:r>
      <w:r w:rsidR="005A3930">
        <w:lastRenderedPageBreak/>
        <w:t xml:space="preserve">forma mais profunda </w:t>
      </w:r>
      <w:r w:rsidR="000A7254">
        <w:t xml:space="preserve">do </w:t>
      </w:r>
      <w:r w:rsidR="005A3930">
        <w:t>que a morte de amigos e parentes»</w:t>
      </w:r>
      <w:r w:rsidR="005A3930">
        <w:rPr>
          <w:rStyle w:val="Refdenotaderodap"/>
        </w:rPr>
        <w:footnoteReference w:id="176"/>
      </w:r>
      <w:r w:rsidR="005A3930">
        <w:t xml:space="preserve">, tratava-se não só de matar os civis mas </w:t>
      </w:r>
      <w:r w:rsidR="00DE6F9D">
        <w:t xml:space="preserve">também </w:t>
      </w:r>
      <w:r w:rsidR="005A3930">
        <w:t xml:space="preserve">de lhes devastar as habitações. </w:t>
      </w:r>
      <w:r w:rsidR="005A3930" w:rsidRPr="003E305A">
        <w:t>Em Janeiro d</w:t>
      </w:r>
      <w:r w:rsidR="005A3930">
        <w:t>e 1943</w:t>
      </w:r>
      <w:r w:rsidR="005A3930" w:rsidRPr="003E305A">
        <w:t xml:space="preserve"> a conferência anglo-americana de Casablanca</w:t>
      </w:r>
      <w:r w:rsidR="00DE53DB">
        <w:t>,</w:t>
      </w:r>
      <w:r w:rsidR="005A3930" w:rsidRPr="003E305A">
        <w:t xml:space="preserve"> </w:t>
      </w:r>
      <w:r w:rsidR="00DE53DB">
        <w:t xml:space="preserve">com a presença de Churchill e Roosevelt, </w:t>
      </w:r>
      <w:r w:rsidR="005A3930" w:rsidRPr="003E305A">
        <w:t xml:space="preserve">decidiu lançar uma grande ofensiva aérea contra o Reich com o propósito de, segundo a directiva </w:t>
      </w:r>
      <w:r w:rsidR="00DE53DB">
        <w:t xml:space="preserve">secreta </w:t>
      </w:r>
      <w:r w:rsidR="005A3930" w:rsidRPr="003E305A">
        <w:t>emanada dos estados-maiores, «destruir e desarticular progressivamente o sistema militar, industrial e económico alemão e minar o moral da população alemã até que esteja fatalmente comprometida a sua capacidade de resistência armada»</w:t>
      </w:r>
      <w:r w:rsidR="005A3930" w:rsidRPr="003E305A">
        <w:rPr>
          <w:rStyle w:val="Refdenotaderodap"/>
        </w:rPr>
        <w:footnoteReference w:id="177"/>
      </w:r>
      <w:r w:rsidR="005A3930" w:rsidRPr="003E305A">
        <w:t xml:space="preserve">. Segundo os planos dos Aliados, os bombardeamentos aéreos previstos para 1943 e 1944 </w:t>
      </w:r>
      <w:r w:rsidR="005A3930">
        <w:t xml:space="preserve">deveriam </w:t>
      </w:r>
      <w:r w:rsidR="005A3930" w:rsidRPr="003E305A">
        <w:t>deixar sem abrigo três quartos da população urbana do Reich e fariam novecentos mil mortos e um milhão de feridos graves</w:t>
      </w:r>
      <w:r w:rsidR="005A3930" w:rsidRPr="003E305A">
        <w:rPr>
          <w:rStyle w:val="Refdenotaderodap"/>
        </w:rPr>
        <w:footnoteReference w:id="178"/>
      </w:r>
      <w:r w:rsidR="005A3930" w:rsidRPr="003E305A">
        <w:t xml:space="preserve">. </w:t>
      </w:r>
      <w:r w:rsidR="00AA3C21">
        <w:t>Como escreveu nessa época um alto funcionário britânico que entrara para o Ministério d</w:t>
      </w:r>
      <w:r w:rsidR="00801CA7">
        <w:t xml:space="preserve">a Aviação </w:t>
      </w:r>
      <w:r w:rsidR="00AA3C21">
        <w:t xml:space="preserve">em 1930, onde chegara </w:t>
      </w:r>
      <w:r w:rsidR="001971DC">
        <w:t>ao cargo de</w:t>
      </w:r>
      <w:r w:rsidR="00AA3C21">
        <w:t xml:space="preserve"> Principal Secretário Assistente, </w:t>
      </w:r>
      <w:r w:rsidR="00B526ED">
        <w:t>o comando dos bombardeiros «demonstrou ser um eficiente organizador de migrações de massa»</w:t>
      </w:r>
      <w:r w:rsidR="00B526ED">
        <w:rPr>
          <w:rStyle w:val="Refdenotaderodap"/>
        </w:rPr>
        <w:footnoteReference w:id="179"/>
      </w:r>
      <w:r w:rsidR="00B526ED">
        <w:t xml:space="preserve">. </w:t>
      </w:r>
      <w:r w:rsidR="005A3930" w:rsidRPr="003E305A">
        <w:t xml:space="preserve">Tanto </w:t>
      </w:r>
      <w:r w:rsidR="005A3930">
        <w:t xml:space="preserve">esta </w:t>
      </w:r>
      <w:r w:rsidR="005A3930" w:rsidRPr="003E305A">
        <w:t>táctica como as expressões usadas se inspiraram nos bombardeamentos efectuados pela aviação nacionalista sobre a Madrid republicana em Outubro e Novembro de 1936, que deixaram alguns milhares de mortos e uma cidade em chamas. Também o chefe da aviação de Franco indicara a sua intenção de «desmoralizar a população através de bombardeamentos aéreos»</w:t>
      </w:r>
      <w:r w:rsidR="005A3930" w:rsidRPr="003E305A">
        <w:rPr>
          <w:rStyle w:val="Refdenotaderodap"/>
        </w:rPr>
        <w:footnoteReference w:id="180"/>
      </w:r>
      <w:r w:rsidR="005A3930" w:rsidRPr="003E305A">
        <w:t xml:space="preserve">. As democracias </w:t>
      </w:r>
      <w:r w:rsidR="005A3930">
        <w:t xml:space="preserve">tinham aprendido na boa escola, embora neste caso as </w:t>
      </w:r>
      <w:r w:rsidR="005A3930" w:rsidRPr="00D0275B">
        <w:t xml:space="preserve">ambições </w:t>
      </w:r>
      <w:r w:rsidR="005A3930">
        <w:t xml:space="preserve">mortíferas do Aliados se </w:t>
      </w:r>
      <w:r w:rsidR="005A3930" w:rsidRPr="00D0275B">
        <w:t>revela</w:t>
      </w:r>
      <w:r w:rsidR="005A3930">
        <w:t>ssem</w:t>
      </w:r>
      <w:r w:rsidR="005A3930" w:rsidRPr="00D0275B">
        <w:t xml:space="preserve"> </w:t>
      </w:r>
      <w:r w:rsidR="005A3930">
        <w:t xml:space="preserve">talvez </w:t>
      </w:r>
      <w:r w:rsidR="005A3930" w:rsidRPr="00D0275B">
        <w:t xml:space="preserve">superiores às </w:t>
      </w:r>
      <w:r w:rsidR="005A3930">
        <w:t xml:space="preserve">suas </w:t>
      </w:r>
      <w:r w:rsidR="005A3930" w:rsidRPr="00D0275B">
        <w:t>possibilidades</w:t>
      </w:r>
      <w:r w:rsidR="005A3930" w:rsidRPr="00D0275B">
        <w:rPr>
          <w:vertAlign w:val="superscript"/>
        </w:rPr>
        <w:footnoteReference w:id="181"/>
      </w:r>
      <w:r w:rsidR="005A3930">
        <w:t xml:space="preserve">. </w:t>
      </w:r>
    </w:p>
    <w:p w:rsidR="00366DF3" w:rsidRDefault="005A3930" w:rsidP="005A3930">
      <w:r w:rsidRPr="003E305A">
        <w:t xml:space="preserve">Inicialmente as dificuldades sentidas pela RAF de efectuar voos diurnos sobre o Reich e a incapacidade de atingir os alvos com exactidão durante a noite poderiam explicar a preferência pelo bombardeamento global de áreas administrativas e industriais, que era mais proveitoso do que tentar em vão arrasar objectivos precisos, mas </w:t>
      </w:r>
      <w:r w:rsidR="00D64A04">
        <w:t>sacrificava</w:t>
      </w:r>
      <w:r w:rsidRPr="003E305A">
        <w:t xml:space="preserve"> inevitavelmente a população civil. Este sistema foi introduzido no final de 1940 e passou a ser adoptado com regularidade desde os meados do ano seguinte. De então em diante, todavia, novos instrumentos, novos aviões e novas técnicas de combate permitiram que os Aliados começassem a proceder sistematicamente a operações durante o dia e que, mesmo de noite</w:t>
      </w:r>
      <w:r w:rsidR="00B02FC9">
        <w:t xml:space="preserve"> ou com nuvens</w:t>
      </w:r>
      <w:r w:rsidRPr="003E305A">
        <w:t xml:space="preserve">, atingissem </w:t>
      </w:r>
      <w:r w:rsidRPr="003E305A">
        <w:lastRenderedPageBreak/>
        <w:t>os alvos com grande precisão</w:t>
      </w:r>
      <w:r w:rsidRPr="003E305A">
        <w:rPr>
          <w:rStyle w:val="Refdenotaderodap"/>
        </w:rPr>
        <w:footnoteReference w:id="182"/>
      </w:r>
      <w:r w:rsidRPr="003E305A">
        <w:t>. Poderia imaginar-se que a partir d</w:t>
      </w:r>
      <w:r w:rsidR="00ED1E87">
        <w:t xml:space="preserve">e então </w:t>
      </w:r>
      <w:r w:rsidRPr="003E305A">
        <w:t>os estrategas dessem a prioridade aos objectivos industriais, e com efeito é isto que se lê na directiva emanada em Junho de 1943 do comité conjunto dos chefes de estado-maior anglo-americanos, confirmada dois meses depois pelo presidente dos Estados Unidos e pelo primeiro-ministro britânico na conferência de Québec</w:t>
      </w:r>
      <w:r w:rsidRPr="003E305A">
        <w:rPr>
          <w:rStyle w:val="Refdenotaderodap"/>
        </w:rPr>
        <w:footnoteReference w:id="183"/>
      </w:r>
      <w:r w:rsidRPr="003E305A">
        <w:t>. Mas foi o contrário que sucedeu. Apesar destas duas directivas a aviação aliada não deixou de se mostrar interessada pelo bombardeamento global de áreas e pelo massacre de civis, e logo em Julho e Agosto desse ano os bombardeamentos de Hamburgo visaram principalmente os habitantes e fizeram quarenta e cinco mil mortos</w:t>
      </w:r>
      <w:r w:rsidRPr="003E305A">
        <w:rPr>
          <w:rStyle w:val="Refdenotaderodap"/>
        </w:rPr>
        <w:footnoteReference w:id="184"/>
      </w:r>
      <w:r w:rsidR="002425CB">
        <w:t>,</w:t>
      </w:r>
      <w:r w:rsidRPr="003E305A">
        <w:t xml:space="preserve"> </w:t>
      </w:r>
      <w:r w:rsidR="002425CB">
        <w:t>o que não impediu que passadas poucas semanas a produção industrial na cidade tivesse superado o nível anterior aos bombardeamentos</w:t>
      </w:r>
      <w:r w:rsidR="002425CB">
        <w:rPr>
          <w:rStyle w:val="Refdenotaderodap"/>
        </w:rPr>
        <w:footnoteReference w:id="185"/>
      </w:r>
      <w:r w:rsidR="002425CB">
        <w:t xml:space="preserve">. </w:t>
      </w:r>
      <w:r w:rsidR="008151B6">
        <w:t xml:space="preserve">Também o bombardeamento de Berlim em Janeiro de 1944, que deixou </w:t>
      </w:r>
      <w:r w:rsidR="001C594F">
        <w:t xml:space="preserve">cerca de </w:t>
      </w:r>
      <w:r w:rsidR="008151B6">
        <w:t xml:space="preserve">dois mil e quinhentos civis mortos e provocou uma </w:t>
      </w:r>
      <w:r w:rsidR="00B612D3">
        <w:t>grande</w:t>
      </w:r>
      <w:r w:rsidR="008151B6">
        <w:t xml:space="preserve"> destruição de habitações, afectou muito pouco a produção industrial</w:t>
      </w:r>
      <w:r w:rsidR="008151B6">
        <w:rPr>
          <w:rStyle w:val="Refdenotaderodap"/>
        </w:rPr>
        <w:footnoteReference w:id="186"/>
      </w:r>
      <w:r w:rsidR="008151B6">
        <w:t xml:space="preserve">. </w:t>
      </w:r>
      <w:r w:rsidRPr="003E305A">
        <w:t>Mais tarde, nos últimos meses da guerra, a capacidade de concentrar poder destrutivo em alvos circunscritos</w:t>
      </w:r>
      <w:r>
        <w:t>,</w:t>
      </w:r>
      <w:r w:rsidRPr="003E305A">
        <w:t xml:space="preserve"> </w:t>
      </w:r>
      <w:r>
        <w:t xml:space="preserve">que </w:t>
      </w:r>
      <w:r w:rsidRPr="003E305A">
        <w:t>serviu aos Aliados para atingir estabelecimentos fabris</w:t>
      </w:r>
      <w:r>
        <w:t>,</w:t>
      </w:r>
      <w:r w:rsidRPr="003E305A">
        <w:t xml:space="preserve"> </w:t>
      </w:r>
      <w:r>
        <w:t xml:space="preserve">foi usada </w:t>
      </w:r>
      <w:r w:rsidRPr="003E305A">
        <w:t>igualmente para devastar centros urbanos com uma eficácia sem precedentes e para chacinar a população civil em números sempre mais elevados</w:t>
      </w:r>
      <w:r w:rsidRPr="003E305A">
        <w:rPr>
          <w:rStyle w:val="Refdenotaderodap"/>
        </w:rPr>
        <w:footnoteReference w:id="187"/>
      </w:r>
      <w:r w:rsidRPr="003E305A">
        <w:t>. E</w:t>
      </w:r>
      <w:r>
        <w:t xml:space="preserve"> embora e</w:t>
      </w:r>
      <w:r w:rsidRPr="003E305A">
        <w:t>m Setembro de 1944 o comité conjunto dos chefes de estado-maior insisti</w:t>
      </w:r>
      <w:r>
        <w:t>sse</w:t>
      </w:r>
      <w:r w:rsidRPr="003E305A">
        <w:t xml:space="preserve"> que os bombardeiros </w:t>
      </w:r>
      <w:r w:rsidR="00D64A04">
        <w:t xml:space="preserve">deviam </w:t>
      </w:r>
      <w:r w:rsidRPr="003E305A">
        <w:t>procura</w:t>
      </w:r>
      <w:r w:rsidR="00D64A04">
        <w:t>r</w:t>
      </w:r>
      <w:r w:rsidRPr="003E305A">
        <w:t xml:space="preserve"> instalações industriais, chegou-se afinal ao resultado prático oposto</w:t>
      </w:r>
      <w:r w:rsidRPr="003E305A">
        <w:rPr>
          <w:rStyle w:val="Refdenotaderodap"/>
        </w:rPr>
        <w:footnoteReference w:id="188"/>
      </w:r>
      <w:r w:rsidRPr="003E305A">
        <w:t xml:space="preserve">. </w:t>
      </w:r>
      <w:r w:rsidR="005716C3">
        <w:t xml:space="preserve">Passando por </w:t>
      </w:r>
      <w:r w:rsidR="006967C4">
        <w:t>K</w:t>
      </w:r>
      <w:r w:rsidR="005716C3" w:rsidRPr="00101490">
        <w:t>oblen</w:t>
      </w:r>
      <w:r w:rsidR="006967C4">
        <w:t>z</w:t>
      </w:r>
      <w:r w:rsidR="005716C3">
        <w:t xml:space="preserve"> em</w:t>
      </w:r>
      <w:r w:rsidR="005716C3" w:rsidRPr="00101490">
        <w:t xml:space="preserve"> Agosto ou Setembro de 1944</w:t>
      </w:r>
      <w:r w:rsidR="005716C3">
        <w:t xml:space="preserve">, Lucien Rebatet </w:t>
      </w:r>
      <w:r w:rsidR="00222CE6">
        <w:t>verificou</w:t>
      </w:r>
      <w:r w:rsidR="005716C3">
        <w:t xml:space="preserve"> que, embora estivesse «no coração do Ruhr, o alvo número um da Royal Air Force e das fortalezas voadoras americanas», </w:t>
      </w:r>
      <w:r w:rsidR="00222CE6">
        <w:t>«</w:t>
      </w:r>
      <w:r w:rsidR="00D47225">
        <w:t>as fábricas [...] estão muito menos atingidas do que as cidades»</w:t>
      </w:r>
      <w:r w:rsidR="00222CE6">
        <w:rPr>
          <w:rStyle w:val="Refdenotaderodap"/>
        </w:rPr>
        <w:footnoteReference w:id="189"/>
      </w:r>
      <w:r w:rsidR="00D47225">
        <w:t xml:space="preserve">. </w:t>
      </w:r>
      <w:r w:rsidRPr="003E305A">
        <w:t xml:space="preserve">Em Janeiro de 1945 o Ministério da Aviação britânico concebeu um novo plano de destruição sistemática dos maiores centros populacionais do Reich, executado nos meses seguintes pelas forças aéreas conjuntas no âmbito do supremo comando aliado, com o </w:t>
      </w:r>
      <w:r w:rsidRPr="003E305A">
        <w:lastRenderedPageBreak/>
        <w:t>objectivo suplementar de agravar o caos económico</w:t>
      </w:r>
      <w:r w:rsidR="007D6948">
        <w:t>,</w:t>
      </w:r>
      <w:r w:rsidRPr="003E305A">
        <w:t xml:space="preserve"> perturbando os fluxos de refugiados e interrompendo o abastecimento alimentar</w:t>
      </w:r>
      <w:r w:rsidRPr="003E305A">
        <w:rPr>
          <w:rStyle w:val="Refdenotaderodap"/>
        </w:rPr>
        <w:footnoteReference w:id="190"/>
      </w:r>
      <w:r w:rsidRPr="003E305A">
        <w:t xml:space="preserve">. </w:t>
      </w:r>
      <w:r w:rsidR="00AF0DE1">
        <w:t xml:space="preserve">Foi assim que, </w:t>
      </w:r>
      <w:r w:rsidR="000C262C">
        <w:t>arrasada</w:t>
      </w:r>
      <w:r w:rsidR="00AF0DE1">
        <w:t xml:space="preserve"> </w:t>
      </w:r>
      <w:r w:rsidR="009B21CF">
        <w:t xml:space="preserve">repetidamente </w:t>
      </w:r>
      <w:r w:rsidR="00430370">
        <w:t xml:space="preserve">pelos bombardeamentos </w:t>
      </w:r>
      <w:r w:rsidR="00BA7A87">
        <w:t xml:space="preserve">aéreos </w:t>
      </w:r>
      <w:r w:rsidR="00430370">
        <w:t xml:space="preserve">e pelas chamas em Fevereiro de 1945, </w:t>
      </w:r>
      <w:r w:rsidR="00811EF5">
        <w:t xml:space="preserve">Dresden </w:t>
      </w:r>
      <w:r w:rsidR="009A3638">
        <w:t xml:space="preserve">sofreu </w:t>
      </w:r>
      <w:r w:rsidR="00CB2955">
        <w:t xml:space="preserve">cerca de </w:t>
      </w:r>
      <w:r w:rsidR="00017F60">
        <w:t>sessenta</w:t>
      </w:r>
      <w:r w:rsidR="009A3638">
        <w:t xml:space="preserve"> mil mortos</w:t>
      </w:r>
      <w:r w:rsidR="00CB2955">
        <w:t xml:space="preserve"> civis</w:t>
      </w:r>
      <w:r w:rsidR="00017F60">
        <w:rPr>
          <w:rStyle w:val="Refdenotaderodap"/>
        </w:rPr>
        <w:footnoteReference w:id="191"/>
      </w:r>
      <w:r w:rsidR="009A3638">
        <w:t xml:space="preserve">. </w:t>
      </w:r>
      <w:r w:rsidRPr="003E305A">
        <w:t>Quando a guerra terminou estavam reduzidas a escombros todas as grandes cidades alemãs, com um custo em vidas de civis calculado entre setecentos e cinquenta mil e um milhão</w:t>
      </w:r>
      <w:r w:rsidR="00303204">
        <w:t xml:space="preserve">, um morticínio </w:t>
      </w:r>
      <w:r w:rsidR="003C6EDD">
        <w:t>muito superior</w:t>
      </w:r>
      <w:r w:rsidR="00303204">
        <w:t xml:space="preserve"> ao provocado pela</w:t>
      </w:r>
      <w:r w:rsidR="003C6EDD">
        <w:t>s</w:t>
      </w:r>
      <w:r w:rsidR="00303204">
        <w:t xml:space="preserve"> </w:t>
      </w:r>
      <w:r w:rsidR="00A4090C">
        <w:t xml:space="preserve">duas </w:t>
      </w:r>
      <w:r w:rsidR="00303204">
        <w:t>bomba</w:t>
      </w:r>
      <w:r w:rsidR="003C6EDD">
        <w:t>s</w:t>
      </w:r>
      <w:r w:rsidR="00303204">
        <w:t xml:space="preserve"> atómica</w:t>
      </w:r>
      <w:r w:rsidR="003C6EDD">
        <w:t>s</w:t>
      </w:r>
      <w:r w:rsidR="00303204">
        <w:t xml:space="preserve"> lançada sobre </w:t>
      </w:r>
      <w:r w:rsidR="003C6EDD">
        <w:t>o Japão</w:t>
      </w:r>
      <w:r w:rsidR="00303204">
        <w:rPr>
          <w:rStyle w:val="Refdenotaderodap"/>
        </w:rPr>
        <w:footnoteReference w:id="192"/>
      </w:r>
      <w:r w:rsidRPr="003E305A">
        <w:t xml:space="preserve">. </w:t>
      </w:r>
    </w:p>
    <w:p w:rsidR="005A3930" w:rsidRPr="009C31F8" w:rsidRDefault="005A3930" w:rsidP="005A3930">
      <w:r w:rsidRPr="003E305A">
        <w:t xml:space="preserve">O mesmo sucedeu no resto da Europa ocupada pelos </w:t>
      </w:r>
      <w:r w:rsidR="000C262C">
        <w:t>nacionais-socialistas</w:t>
      </w:r>
      <w:r w:rsidR="00E11C74">
        <w:t xml:space="preserve"> ou </w:t>
      </w:r>
      <w:r w:rsidR="00E67B0F">
        <w:t>incluída</w:t>
      </w:r>
      <w:r w:rsidR="00E11C74">
        <w:t xml:space="preserve"> no Eixo</w:t>
      </w:r>
      <w:r w:rsidR="00C96E84">
        <w:t>,</w:t>
      </w:r>
      <w:r w:rsidRPr="003E305A">
        <w:t xml:space="preserve"> </w:t>
      </w:r>
      <w:r w:rsidR="00C96E84">
        <w:t xml:space="preserve">nomeadamente em </w:t>
      </w:r>
      <w:r w:rsidR="00C96E84" w:rsidRPr="003E305A">
        <w:t xml:space="preserve">Itália, onde os bombardeamentos aéreos </w:t>
      </w:r>
      <w:r w:rsidR="00C96E84">
        <w:t xml:space="preserve">aliados </w:t>
      </w:r>
      <w:r w:rsidR="00C96E84" w:rsidRPr="003E305A">
        <w:t>procuraram sobretudo arrasar os bairros operários das principais cidades</w:t>
      </w:r>
      <w:r w:rsidR="000C262C">
        <w:t>,</w:t>
      </w:r>
      <w:r w:rsidR="00C96E84" w:rsidRPr="003E305A">
        <w:t xml:space="preserve"> </w:t>
      </w:r>
      <w:r w:rsidR="000C262C">
        <w:t xml:space="preserve">com o argumento de </w:t>
      </w:r>
      <w:r w:rsidR="00C96E84" w:rsidRPr="003E305A">
        <w:t xml:space="preserve">minar o espírito de resistência </w:t>
      </w:r>
      <w:r w:rsidR="00C96E84">
        <w:t>da população</w:t>
      </w:r>
      <w:r w:rsidR="00C96E84" w:rsidRPr="003E305A">
        <w:rPr>
          <w:rStyle w:val="Refdenotaderodap"/>
        </w:rPr>
        <w:footnoteReference w:id="193"/>
      </w:r>
      <w:r w:rsidR="00C96E84" w:rsidRPr="003E305A">
        <w:t xml:space="preserve">. </w:t>
      </w:r>
      <w:r w:rsidR="00444C20">
        <w:t>Os bombardeamento</w:t>
      </w:r>
      <w:r w:rsidR="00D2741C">
        <w:t>s</w:t>
      </w:r>
      <w:r w:rsidR="00444C20">
        <w:t xml:space="preserve"> de Novembro e Dezembro de 1942 sobre Milão, Turim e Génova </w:t>
      </w:r>
      <w:r w:rsidR="00D2741C">
        <w:t xml:space="preserve">obrigaram </w:t>
      </w:r>
      <w:r w:rsidR="007D4824">
        <w:t>a um êxodo em massa d</w:t>
      </w:r>
      <w:r w:rsidR="00D2741C">
        <w:t>os habitantes</w:t>
      </w:r>
      <w:r w:rsidR="00D2741C">
        <w:rPr>
          <w:rStyle w:val="Refdenotaderodap"/>
        </w:rPr>
        <w:footnoteReference w:id="194"/>
      </w:r>
      <w:r w:rsidR="00D2741C">
        <w:t xml:space="preserve"> e em Julho </w:t>
      </w:r>
      <w:r w:rsidR="00EC4B59">
        <w:t xml:space="preserve">do ano seguinte </w:t>
      </w:r>
      <w:r w:rsidR="00D2741C">
        <w:t>bastou um bombardeamento para deixar cerca de dois mil mortos num bairro operário de Roma</w:t>
      </w:r>
      <w:r w:rsidR="00D2741C">
        <w:rPr>
          <w:rStyle w:val="Refdenotaderodap"/>
        </w:rPr>
        <w:footnoteReference w:id="195"/>
      </w:r>
      <w:r w:rsidR="00D2741C">
        <w:t xml:space="preserve">. </w:t>
      </w:r>
      <w:r w:rsidR="00452E7F">
        <w:t xml:space="preserve">Em seguida, </w:t>
      </w:r>
      <w:r w:rsidR="00452E7F" w:rsidRPr="003E305A">
        <w:t xml:space="preserve">durante </w:t>
      </w:r>
      <w:r w:rsidR="00366DF3" w:rsidRPr="003E305A">
        <w:t>o período de vigência da República Social mais de cinquenta mil civis pereceram nos centros urbanos do norte da Itália sob os bombardeamentos aéreos aliados</w:t>
      </w:r>
      <w:r w:rsidR="00366DF3" w:rsidRPr="003E305A">
        <w:rPr>
          <w:rStyle w:val="Refdenotaderodap"/>
        </w:rPr>
        <w:footnoteReference w:id="196"/>
      </w:r>
      <w:r w:rsidR="0024504D">
        <w:t>.</w:t>
      </w:r>
      <w:r w:rsidR="00366DF3" w:rsidRPr="003E305A">
        <w:t xml:space="preserve"> </w:t>
      </w:r>
      <w:r w:rsidR="005B1F63">
        <w:t xml:space="preserve">Entretanto </w:t>
      </w:r>
      <w:r w:rsidR="00366DF3" w:rsidRPr="003E305A">
        <w:t xml:space="preserve">em </w:t>
      </w:r>
      <w:r w:rsidRPr="003E305A">
        <w:t>França a aviação aliada foi responsável pela morte de um número de civis superior ao provocado entre a população civil britânica pelos ataques da Luftwaffe</w:t>
      </w:r>
      <w:r w:rsidRPr="003E305A">
        <w:rPr>
          <w:rStyle w:val="Refdenotaderodap"/>
        </w:rPr>
        <w:footnoteReference w:id="197"/>
      </w:r>
      <w:r>
        <w:t>.</w:t>
      </w:r>
      <w:r w:rsidRPr="003E305A">
        <w:t xml:space="preserve"> </w:t>
      </w:r>
      <w:r w:rsidR="00366DF3" w:rsidRPr="00366DF3">
        <w:t xml:space="preserve">«Os resistentes [foram] unânimes a deplorar o carácter prejudicial </w:t>
      </w:r>
      <w:r w:rsidR="00366DF3" w:rsidRPr="00366DF3">
        <w:lastRenderedPageBreak/>
        <w:t>desses bombardeamentos e a contestar a sua utilidade», escreveu um historiador</w:t>
      </w:r>
      <w:r w:rsidR="00366DF3" w:rsidRPr="00366DF3">
        <w:rPr>
          <w:vertAlign w:val="superscript"/>
        </w:rPr>
        <w:footnoteReference w:id="198"/>
      </w:r>
      <w:r w:rsidR="00C764EE">
        <w:t>,</w:t>
      </w:r>
      <w:r w:rsidR="00366DF3" w:rsidRPr="00366DF3">
        <w:t xml:space="preserve"> </w:t>
      </w:r>
      <w:r w:rsidR="00C764EE">
        <w:t xml:space="preserve">mas estavam </w:t>
      </w:r>
      <w:r>
        <w:t>aqui em disputa duas estratégias. Ou os Aliados</w:t>
      </w:r>
      <w:r w:rsidR="001E5D0B" w:rsidRPr="001E5D0B">
        <w:t xml:space="preserve"> </w:t>
      </w:r>
      <w:r w:rsidR="001E5D0B">
        <w:t>procuravam ampliar e fortalecer as suas redes de contactos com a resistência operária antifascista</w:t>
      </w:r>
      <w:r>
        <w:t xml:space="preserve"> </w:t>
      </w:r>
      <w:r w:rsidR="001E5D0B">
        <w:t xml:space="preserve">ou </w:t>
      </w:r>
      <w:r>
        <w:t>bombardeavam a população operária dos países submetidos ao fascismo, e uma opção excluía a outra</w:t>
      </w:r>
      <w:r>
        <w:rPr>
          <w:rStyle w:val="Refdenotaderodap"/>
        </w:rPr>
        <w:footnoteReference w:id="199"/>
      </w:r>
      <w:r>
        <w:t xml:space="preserve">. </w:t>
      </w:r>
      <w:r w:rsidRPr="00E3674D">
        <w:t xml:space="preserve">Esta alternativa fica clara quando vemos o marechal do ar Harris opor-se sistematicamente aos pedidos do SOE para que fosse reforçado o </w:t>
      </w:r>
      <w:r>
        <w:t>auxílio à resistência</w:t>
      </w:r>
      <w:r>
        <w:rPr>
          <w:rStyle w:val="Refdenotaderodap"/>
        </w:rPr>
        <w:footnoteReference w:id="200"/>
      </w:r>
      <w:r>
        <w:t xml:space="preserve"> e </w:t>
      </w:r>
      <w:r w:rsidRPr="00303D7F">
        <w:t xml:space="preserve">no Inverno de 1943-1944 </w:t>
      </w:r>
      <w:r>
        <w:t xml:space="preserve">eram </w:t>
      </w:r>
      <w:r w:rsidRPr="00303D7F">
        <w:t>apenas vinte e tr</w:t>
      </w:r>
      <w:r>
        <w:t>ê</w:t>
      </w:r>
      <w:r w:rsidRPr="00303D7F">
        <w:t xml:space="preserve">s </w:t>
      </w:r>
      <w:r>
        <w:t xml:space="preserve">os </w:t>
      </w:r>
      <w:r w:rsidRPr="00303D7F">
        <w:t>aviões disponibiliz</w:t>
      </w:r>
      <w:r>
        <w:t xml:space="preserve">ados por </w:t>
      </w:r>
      <w:r w:rsidRPr="00303D7F">
        <w:t xml:space="preserve">Harris para transportar </w:t>
      </w:r>
      <w:r>
        <w:t xml:space="preserve">agentes de ligação e </w:t>
      </w:r>
      <w:r w:rsidRPr="00303D7F">
        <w:t xml:space="preserve">armas </w:t>
      </w:r>
      <w:r>
        <w:t>destinadas aos resistentes no noroeste do continente</w:t>
      </w:r>
      <w:r>
        <w:rPr>
          <w:rStyle w:val="Refdenotaderodap"/>
        </w:rPr>
        <w:footnoteReference w:id="201"/>
      </w:r>
      <w:r w:rsidRPr="00DB6615">
        <w:t xml:space="preserve">. </w:t>
      </w:r>
      <w:r>
        <w:t xml:space="preserve">Só a partir do final de Janeiro de 1944, por pressão directa de Churchill e também graças à intervenção da aviação norte-americana, se intensificou o </w:t>
      </w:r>
      <w:r w:rsidRPr="008D7541">
        <w:t xml:space="preserve">apoio </w:t>
      </w:r>
      <w:r>
        <w:t>aéreo à resistência francesa</w:t>
      </w:r>
      <w:r>
        <w:rPr>
          <w:rStyle w:val="Refdenotaderodap"/>
        </w:rPr>
        <w:footnoteReference w:id="202"/>
      </w:r>
      <w:r w:rsidRPr="00C820E1">
        <w:t xml:space="preserve">. </w:t>
      </w:r>
      <w:r>
        <w:t xml:space="preserve">No que dizia respeito ao Reich, todavia, a estratégia manteve-se invariável e os Aliados preferiram bombardear o operariado alemão e austríaco, cujas simpatias </w:t>
      </w:r>
      <w:r w:rsidR="001B69B6">
        <w:t xml:space="preserve">social-democratas e </w:t>
      </w:r>
      <w:r>
        <w:t xml:space="preserve">comunistas eram bem conhecidas, do que aceitar a sua ajuda para combater o </w:t>
      </w:r>
      <w:r w:rsidR="000C262C">
        <w:t>nacional-socialismo</w:t>
      </w:r>
      <w:r>
        <w:rPr>
          <w:rStyle w:val="Refdenotaderodap"/>
        </w:rPr>
        <w:footnoteReference w:id="203"/>
      </w:r>
      <w:r>
        <w:t>. Mesmo a mão-de-obra estrangeira enviada para o Reich como escravos ou no âmbito do serviço de trabalho obrigatório não foi aproveitada para a actividade clandestina do SOE</w:t>
      </w:r>
      <w:r>
        <w:rPr>
          <w:rStyle w:val="Refdenotaderodap"/>
        </w:rPr>
        <w:footnoteReference w:id="204"/>
      </w:r>
      <w:r>
        <w:t xml:space="preserve">, e </w:t>
      </w:r>
      <w:r w:rsidR="000C262C">
        <w:t>n</w:t>
      </w:r>
      <w:r w:rsidRPr="00103523">
        <w:t xml:space="preserve">esta omissão </w:t>
      </w:r>
      <w:r w:rsidR="000C262C">
        <w:t xml:space="preserve">temos </w:t>
      </w:r>
      <w:r w:rsidRPr="00103523">
        <w:t xml:space="preserve">o reverso da política do Gabinete de Guerra britânico, </w:t>
      </w:r>
      <w:r>
        <w:t xml:space="preserve">que optou por lançar bombas sobre </w:t>
      </w:r>
      <w:r w:rsidRPr="00103523">
        <w:t xml:space="preserve">os bairros operários da Itália e </w:t>
      </w:r>
      <w:r>
        <w:t>da França ocupada</w:t>
      </w:r>
      <w:r w:rsidRPr="00103523">
        <w:t>.</w:t>
      </w:r>
      <w:r>
        <w:t xml:space="preserve"> </w:t>
      </w:r>
    </w:p>
    <w:p w:rsidR="005A3930" w:rsidRPr="00E164B7" w:rsidRDefault="005A3930" w:rsidP="005A3930">
      <w:r>
        <w:t xml:space="preserve">E assim, </w:t>
      </w:r>
      <w:r w:rsidRPr="003E305A">
        <w:t>entre o começo de 1943 e o final de 1944, enquanto os aviões dos Aliados chacinavam metodicamente a população civil, a produção de armamentos do Reich aumentou duas vezes e meia</w:t>
      </w:r>
      <w:r w:rsidRPr="003E305A">
        <w:rPr>
          <w:rStyle w:val="Refdenotaderodap"/>
        </w:rPr>
        <w:footnoteReference w:id="205"/>
      </w:r>
      <w:r w:rsidRPr="003E305A">
        <w:t xml:space="preserve"> </w:t>
      </w:r>
      <w:r w:rsidR="00631B86">
        <w:t xml:space="preserve">e o fabrico mensal médio de aviões </w:t>
      </w:r>
      <w:r w:rsidR="00AA3F24">
        <w:t xml:space="preserve">de combate </w:t>
      </w:r>
      <w:r w:rsidR="0008112D">
        <w:t>mono</w:t>
      </w:r>
      <w:r w:rsidR="00631B86">
        <w:t xml:space="preserve">motores aumentou 86% entre o último semestre de 1943 </w:t>
      </w:r>
      <w:r w:rsidR="0008112D">
        <w:t xml:space="preserve">e </w:t>
      </w:r>
      <w:r w:rsidR="00631B86">
        <w:t>o primeiro semestre de 1944</w:t>
      </w:r>
      <w:r w:rsidR="0008112D">
        <w:rPr>
          <w:rStyle w:val="Refdenotaderodap"/>
        </w:rPr>
        <w:footnoteReference w:id="206"/>
      </w:r>
      <w:r w:rsidR="00631B86">
        <w:t xml:space="preserve">. </w:t>
      </w:r>
      <w:r w:rsidRPr="003E305A">
        <w:t xml:space="preserve">Nas suas </w:t>
      </w:r>
      <w:r w:rsidR="00E45D43" w:rsidRPr="003E305A">
        <w:t>Memórias</w:t>
      </w:r>
      <w:r w:rsidRPr="003E305A">
        <w:t xml:space="preserve">, Albert Speer, que depois de ter sido o arquitecto particular de Hitler e um dos seus mais próximos colaboradores foi nomeado, no início de 1942, ministro encarregado de supervisionar o </w:t>
      </w:r>
      <w:r w:rsidRPr="003E305A">
        <w:lastRenderedPageBreak/>
        <w:t>esforço de guerra da indústria germânica, fingiu um espanto ingénuo perante o facto de a aviação aliada não ter alvejado com afinco as principais instalações industriais, o que teria impedido a produção de material de guerra e antecipado o final do conflito. Por exemplo, o bombardeamento aéreo das grandes fábricas de rolamentos de esferas iniciou-se em Agosto de 1943, mas foi prosseguido de maneira dispersa e não se renovou com regularidade, recomeçando em Fevereiro do ano seguinte para ser novamente suspenso em Abril. «Pela sua falta de persistência», escreveu Speer, «os Aliados deixavam uma vez mais escapar-lhes o êxito. Se tivessem continuado com a mesma tenacidade os bombardeamentos de Maio e de Abril depressa teríamos chegado ao limite dos nossos recursos». Ninguém era mais competente do que ele para afirmar que quatro meses de ataques simultâneos dirigidos contra todas as fábricas de rolamentos de esferas e renovados sistematicamente deixariam a produção de armamento do Reich completamente paralisada</w:t>
      </w:r>
      <w:r w:rsidRPr="003E305A">
        <w:rPr>
          <w:rStyle w:val="Refdenotaderodap"/>
        </w:rPr>
        <w:footnoteReference w:id="207"/>
      </w:r>
      <w:r w:rsidRPr="003E305A">
        <w:t xml:space="preserve">. O mesmo tipo de situações repetiu-se </w:t>
      </w:r>
      <w:r w:rsidR="000C262C">
        <w:t>n</w:t>
      </w:r>
      <w:r w:rsidRPr="003E305A">
        <w:t>outros ramos da economia</w:t>
      </w:r>
      <w:r w:rsidRPr="003E305A">
        <w:rPr>
          <w:rStyle w:val="Refdenotaderodap"/>
        </w:rPr>
        <w:footnoteReference w:id="208"/>
      </w:r>
      <w:r w:rsidRPr="003E305A">
        <w:t xml:space="preserve"> e Speer observou que «o inimigo teria sem dúvida tido mais oportunidades de realizar a sua esperança de concluir a guerra durante o Inverno de 1944-1945 se tivesse aniquilado a nossa indústr</w:t>
      </w:r>
      <w:r>
        <w:t>i</w:t>
      </w:r>
      <w:r w:rsidRPr="003E305A">
        <w:t>a química»</w:t>
      </w:r>
      <w:r w:rsidRPr="003E305A">
        <w:rPr>
          <w:rStyle w:val="Refdenotaderodap"/>
        </w:rPr>
        <w:footnoteReference w:id="209"/>
      </w:r>
      <w:r w:rsidRPr="003E305A">
        <w:t>. Mas para alguém com o seu passado e saído da prisão há poucos anos referir este assunto era como pisar ovos. Decerto ele se apercebeu de que não eram convincentes as hipóteses que propunha para explicar a estratégia dos Aliados e que se resumiam em admitir que os seus estados-maiores estivessem mal informados</w:t>
      </w:r>
      <w:r w:rsidRPr="003E305A">
        <w:rPr>
          <w:rStyle w:val="Refdenotaderodap"/>
        </w:rPr>
        <w:footnoteReference w:id="210"/>
      </w:r>
      <w:r w:rsidRPr="003E305A">
        <w:t xml:space="preserve">. Ao mesmo tempo que apresentava esta versão, </w:t>
      </w:r>
      <w:r w:rsidR="00D2721C">
        <w:t xml:space="preserve">mais discretamente </w:t>
      </w:r>
      <w:r w:rsidRPr="003E305A">
        <w:t>Speer insinuava algo muito diferente, mostrando como o marechal Harris se opôs tenazmente ao seu próprio director de operações, que pretendia prosseguir a destruição sistemática das fábricas de rolamentos de esferas, o que o marechal conseguiu a todo o custo evitar</w:t>
      </w:r>
      <w:r w:rsidRPr="003E305A">
        <w:rPr>
          <w:rStyle w:val="Refdenotaderodap"/>
        </w:rPr>
        <w:footnoteReference w:id="211"/>
      </w:r>
      <w:r w:rsidRPr="003E305A">
        <w:t xml:space="preserve">, preferindo alvos civis. Era suspensa a devastação de instalações industriais indispensáveis ao esforço de guerra </w:t>
      </w:r>
      <w:r w:rsidR="0021657C">
        <w:t xml:space="preserve">do Reich </w:t>
      </w:r>
      <w:r w:rsidRPr="003E305A">
        <w:t>para se lançarem terríveis ataques aéreos que chacinavam os habitantes dos grandes centros urbanos</w:t>
      </w:r>
      <w:r w:rsidRPr="003E305A">
        <w:rPr>
          <w:rStyle w:val="Refdenotaderodap"/>
        </w:rPr>
        <w:footnoteReference w:id="212"/>
      </w:r>
      <w:r w:rsidRPr="003E305A">
        <w:t xml:space="preserve">. </w:t>
      </w:r>
      <w:r w:rsidR="003C60A8">
        <w:t xml:space="preserve">No último trimestre de 1944, o comando de bombardeiros britânico dirigiu mais de metade das suas operações contra as cidades germânicas, enquanto só 14% visou a destruição de </w:t>
      </w:r>
      <w:r w:rsidR="00BF767F">
        <w:t xml:space="preserve">depósitos de gasolina e 15% </w:t>
      </w:r>
      <w:r w:rsidR="00DC5150">
        <w:t xml:space="preserve">visou </w:t>
      </w:r>
      <w:r w:rsidR="00BF767F">
        <w:t>meios de transporte</w:t>
      </w:r>
      <w:r w:rsidR="00BF767F">
        <w:rPr>
          <w:rStyle w:val="Refdenotaderodap"/>
        </w:rPr>
        <w:footnoteReference w:id="213"/>
      </w:r>
      <w:r w:rsidR="005F4476">
        <w:t>,</w:t>
      </w:r>
      <w:r w:rsidR="00BF767F">
        <w:t xml:space="preserve"> </w:t>
      </w:r>
      <w:r w:rsidR="003928F7">
        <w:t xml:space="preserve">o que ajuda a compreender que nos primeiros meses de 1945 </w:t>
      </w:r>
      <w:r w:rsidR="001C415E">
        <w:t xml:space="preserve">a produção industrial alemã </w:t>
      </w:r>
      <w:r w:rsidR="003928F7">
        <w:t xml:space="preserve">se mantivesse </w:t>
      </w:r>
      <w:r w:rsidR="00CB4BF9">
        <w:lastRenderedPageBreak/>
        <w:t xml:space="preserve">provavelmente </w:t>
      </w:r>
      <w:r w:rsidR="00986ED2">
        <w:t>em</w:t>
      </w:r>
      <w:r w:rsidR="003928F7">
        <w:t xml:space="preserve"> </w:t>
      </w:r>
      <w:r w:rsidR="00CB4BF9">
        <w:t xml:space="preserve">cerca de </w:t>
      </w:r>
      <w:r w:rsidR="003928F7">
        <w:t xml:space="preserve">105% </w:t>
      </w:r>
      <w:r w:rsidR="001C415E">
        <w:t>do seu nível de 1938</w:t>
      </w:r>
      <w:r w:rsidR="00CF3829">
        <w:rPr>
          <w:rStyle w:val="Refdenotaderodap"/>
        </w:rPr>
        <w:footnoteReference w:id="214"/>
      </w:r>
      <w:r w:rsidR="001C415E">
        <w:t xml:space="preserve">. </w:t>
      </w:r>
      <w:r w:rsidR="00492169">
        <w:t xml:space="preserve">Quando </w:t>
      </w:r>
      <w:r w:rsidR="0056689E">
        <w:t xml:space="preserve">o </w:t>
      </w:r>
      <w:r w:rsidR="00492169">
        <w:t>Reich capitulou, estavam ainda operacionais três quartos da sua capacidade industrial</w:t>
      </w:r>
      <w:r w:rsidR="0056689E">
        <w:rPr>
          <w:rStyle w:val="Refdenotaderodap"/>
        </w:rPr>
        <w:footnoteReference w:id="215"/>
      </w:r>
      <w:r w:rsidR="00492169">
        <w:t xml:space="preserve">. </w:t>
      </w:r>
      <w:r>
        <w:t xml:space="preserve">O mesmo </w:t>
      </w:r>
      <w:r w:rsidR="00A82F89">
        <w:t xml:space="preserve">critério de selecção </w:t>
      </w:r>
      <w:r w:rsidR="00FB697E">
        <w:t xml:space="preserve">das destruições </w:t>
      </w:r>
      <w:r>
        <w:t xml:space="preserve">vigorou para o resto da Europa ocupada pelos </w:t>
      </w:r>
      <w:r w:rsidR="0021657C">
        <w:t>nacionais-socialistas</w:t>
      </w:r>
      <w:r>
        <w:t xml:space="preserve">. </w:t>
      </w:r>
      <w:r w:rsidRPr="00E164B7">
        <w:t xml:space="preserve">Em Julho de 1943, por exemplo, a </w:t>
      </w:r>
      <w:r>
        <w:t xml:space="preserve">aviação </w:t>
      </w:r>
      <w:r w:rsidRPr="00E164B7">
        <w:t xml:space="preserve">britânica atacou Sochaux, no leste da França, </w:t>
      </w:r>
      <w:r>
        <w:t xml:space="preserve">onde a fábrica Peugeot produzia componentes de tanques de guerra. </w:t>
      </w:r>
      <w:r w:rsidRPr="00E164B7">
        <w:t>Houve um grande número de vítimas civis, mas o único estrago nas instalações fabris foram os vidros das janelas partidos pela explos</w:t>
      </w:r>
      <w:r>
        <w:t>ões</w:t>
      </w:r>
      <w:r>
        <w:rPr>
          <w:rStyle w:val="Refdenotaderodap"/>
        </w:rPr>
        <w:footnoteReference w:id="216"/>
      </w:r>
      <w:r w:rsidRPr="00E164B7">
        <w:t>.</w:t>
      </w:r>
      <w:r>
        <w:t xml:space="preserve"> </w:t>
      </w:r>
    </w:p>
    <w:p w:rsidR="00BF1BB0" w:rsidRDefault="00541E89" w:rsidP="005A3930">
      <w:r>
        <w:t>Do volume total de bombas lançado sobre o Reich pela aviação aliada, calcula-se que cerca de 50% tivesse atingido áreas residenciais, enquanto só 12% atingiu alvos militares, industriais e o sistema de transportes</w:t>
      </w:r>
      <w:r w:rsidR="008B4954">
        <w:rPr>
          <w:rStyle w:val="Refdenotaderodap"/>
        </w:rPr>
        <w:footnoteReference w:id="217"/>
      </w:r>
      <w:r>
        <w:t xml:space="preserve">. </w:t>
      </w:r>
      <w:r w:rsidR="005A3930" w:rsidRPr="003E305A">
        <w:t xml:space="preserve">Um </w:t>
      </w:r>
      <w:r w:rsidR="003C1FE2">
        <w:t>conhecedor</w:t>
      </w:r>
      <w:r w:rsidR="005A3930" w:rsidRPr="003E305A">
        <w:t xml:space="preserve"> da economia alemã do pós-guerra descreveu com lógica rigorosa as consequências desta estratégia, considerando que «é um facto de importância capital, e que domina toda a economia alemã de hoje, que os bombardeamentos tivessem sido muito mais sensíveis sobre as cidades e os nós de comunicação do que sobre as forças produtivas». Ao analisar em seguida os diferentes graus de violência com que foram visados os vários ramos da indústria, este autor concluiu que </w:t>
      </w:r>
      <w:r w:rsidR="005A3930" w:rsidRPr="003E305A">
        <w:rPr>
          <w:i/>
        </w:rPr>
        <w:t>«a indústria pesada,</w:t>
      </w:r>
      <w:r w:rsidR="005A3930" w:rsidRPr="003E305A">
        <w:t xml:space="preserve"> base essencial da indústria de guerra, </w:t>
      </w:r>
      <w:r w:rsidR="005A3930" w:rsidRPr="003E305A">
        <w:rPr>
          <w:i/>
        </w:rPr>
        <w:t>saía do conflito menos atingida do que qualquer outra»,</w:t>
      </w:r>
      <w:r w:rsidR="005A3930" w:rsidRPr="003E305A">
        <w:t xml:space="preserve"> e prosseguiu: «Esta situação das estruturas de produção, que foram relativamente poupadas, contrastava com </w:t>
      </w:r>
      <w:r w:rsidR="005A3930" w:rsidRPr="003E305A">
        <w:rPr>
          <w:i/>
        </w:rPr>
        <w:t>as destruições muito mais graves dos meios de comunicação</w:t>
      </w:r>
      <w:r w:rsidR="005A3930" w:rsidRPr="003E305A">
        <w:t xml:space="preserve">. [...] Mas nenhuma ruína se comparava às das </w:t>
      </w:r>
      <w:r w:rsidR="005A3930" w:rsidRPr="003E305A">
        <w:rPr>
          <w:i/>
        </w:rPr>
        <w:t>grandes cidades</w:t>
      </w:r>
      <w:r w:rsidR="005A3930" w:rsidRPr="003E305A">
        <w:t xml:space="preserve">». As destruições de imóveis em Hamburgo, por exemplo, foram superiores às verificadas em toda a Grã-Bretanha, e não foi sequer essa a cidade que mais sofreu. «Os elos resultantes de interesses económicos ou financeiros passando por cima das fronteiras [...] foram em alguns casos um factor de protecção, de que as imensas instalações da IG Farben, poupadas no meio das ruínas, oferecem em Frankfurt um exemplo ostensivo», escreveu aquele economista. «No mesmo sentido pôde exercer efeitos o desejo de proteger certas empresas na vanguarda do progresso técnico. Senão, como explicar, para citar apenas este exemplo, que a fábrica do Wiedia (aço especial, duro como o diamante </w:t>
      </w:r>
      <w:r w:rsidR="005A3930" w:rsidRPr="003E305A">
        <w:rPr>
          <w:i/>
        </w:rPr>
        <w:t>“wie Diamant”</w:t>
      </w:r>
      <w:r w:rsidR="005A3930" w:rsidRPr="003E305A">
        <w:t xml:space="preserve">), um dos motivos de orgulho da técnica alemã, tivesse sido a única intacta das fábricas Krupp em Essen, a duzentos metros de um campo de ruínas?». Recorrendo ao conveniente estilo retórico </w:t>
      </w:r>
      <w:r w:rsidR="0021657C">
        <w:t>—</w:t>
      </w:r>
      <w:r w:rsidR="005A3930" w:rsidRPr="003E305A">
        <w:t xml:space="preserve"> «Como explicar esta fúria desencadeada sobre as cidades, mais do que sobre as fábricas?» </w:t>
      </w:r>
      <w:r w:rsidR="0021657C">
        <w:t>—</w:t>
      </w:r>
      <w:r w:rsidR="005A3930" w:rsidRPr="003E305A">
        <w:t xml:space="preserve"> aquele autor encerrou o balanço com o </w:t>
      </w:r>
      <w:r w:rsidR="005A3930" w:rsidRPr="003E305A">
        <w:lastRenderedPageBreak/>
        <w:t>cinismo de que os verdadeiros académicos são mestres: «viu-se que era sobretudo eficaz, para atingir uma indústria, visar o pessoal de preferência ao material»</w:t>
      </w:r>
      <w:r w:rsidR="005A3930" w:rsidRPr="003E305A">
        <w:rPr>
          <w:rStyle w:val="Refdenotaderodap"/>
        </w:rPr>
        <w:footnoteReference w:id="218"/>
      </w:r>
      <w:r w:rsidR="005A3930" w:rsidRPr="003E305A">
        <w:t xml:space="preserve">. </w:t>
      </w:r>
    </w:p>
    <w:p w:rsidR="005A3930" w:rsidRPr="003E305A" w:rsidRDefault="00DA4C85" w:rsidP="005A3930">
      <w:r>
        <w:t xml:space="preserve">Durante </w:t>
      </w:r>
      <w:r w:rsidR="00C43E8E">
        <w:t>a guerra um alto funcionário britânico que estivera ligado ao Ministério da Aviação observ</w:t>
      </w:r>
      <w:r>
        <w:t>ou</w:t>
      </w:r>
      <w:r w:rsidR="00C43E8E">
        <w:t xml:space="preserve"> que «a velha distinção nítida entre militares e civis foi obscurecida» e defende</w:t>
      </w:r>
      <w:r>
        <w:t>u</w:t>
      </w:r>
      <w:r w:rsidR="00C43E8E">
        <w:t xml:space="preserve"> que </w:t>
      </w:r>
      <w:r w:rsidR="006F38D1">
        <w:t xml:space="preserve">os civis que trabalhavam na produção de material de guerra e no seu transporte deviam ser </w:t>
      </w:r>
      <w:r w:rsidR="00581025">
        <w:t xml:space="preserve">equiparados a </w:t>
      </w:r>
      <w:r w:rsidR="006F38D1">
        <w:t xml:space="preserve">militares. </w:t>
      </w:r>
      <w:r w:rsidR="006F38D1" w:rsidRPr="006F38D1">
        <w:t>E como «hoje as armas de guerra são fabicadas por milhões de operários, homens e mulheres, em milhares de f</w:t>
      </w:r>
      <w:r w:rsidR="006F38D1">
        <w:t xml:space="preserve">ábricas», </w:t>
      </w:r>
      <w:r w:rsidR="00372689">
        <w:t>o</w:t>
      </w:r>
      <w:r w:rsidR="0074368E">
        <w:t xml:space="preserve"> alvo não </w:t>
      </w:r>
      <w:r w:rsidR="00B70687">
        <w:t xml:space="preserve">tinha </w:t>
      </w:r>
      <w:r w:rsidR="0074368E">
        <w:t xml:space="preserve">limites. </w:t>
      </w:r>
      <w:r w:rsidR="00E2074C" w:rsidRPr="00FA0AE3">
        <w:t xml:space="preserve">Até os bombeiros e as equipas de salvamento e demolição foram </w:t>
      </w:r>
      <w:r w:rsidR="0090454E" w:rsidRPr="00FA0AE3">
        <w:t>considerados como «guerreiros da guerra d</w:t>
      </w:r>
      <w:r w:rsidR="009809C8">
        <w:t>e</w:t>
      </w:r>
      <w:r w:rsidR="0090454E" w:rsidRPr="00FA0AE3">
        <w:t xml:space="preserve"> novo tipo, </w:t>
      </w:r>
      <w:r w:rsidR="00FA0AE3" w:rsidRPr="00FA0AE3">
        <w:t>em que o seu trabalho é tão essencial e, em princípio, t</w:t>
      </w:r>
      <w:r w:rsidR="00FA0AE3">
        <w:t xml:space="preserve">ão </w:t>
      </w:r>
      <w:r w:rsidR="00033677">
        <w:t>bélico como o dos soldados, marinheiros e aviadores»</w:t>
      </w:r>
      <w:r w:rsidR="00BF1BB0">
        <w:rPr>
          <w:rStyle w:val="Refdenotaderodap"/>
        </w:rPr>
        <w:footnoteReference w:id="219"/>
      </w:r>
      <w:r w:rsidR="00033677">
        <w:t xml:space="preserve">. </w:t>
      </w:r>
      <w:r w:rsidR="005A3930" w:rsidRPr="001B1C02">
        <w:t xml:space="preserve">Escrevendo meio século depois, não foram diferentes as conclusões a que chegou </w:t>
      </w:r>
      <w:r w:rsidR="001B1C02">
        <w:t>um</w:t>
      </w:r>
      <w:r w:rsidR="005A3930" w:rsidRPr="001B1C02">
        <w:t xml:space="preserve"> especialista</w:t>
      </w:r>
      <w:r>
        <w:t>:</w:t>
      </w:r>
      <w:r w:rsidR="005A3930" w:rsidRPr="001B1C02">
        <w:t xml:space="preserve"> </w:t>
      </w:r>
      <w:r w:rsidR="005A3930" w:rsidRPr="003E305A">
        <w:t>«Os bombardeiros de longo alcance da RAF foram usados contra alvos civis e apagaram assim a distinção entre combatentes e não combatentes, colocando os operários fabris numa situação de perigo tão mortal como aquela a que se expunham as tropas de infantaria»</w:t>
      </w:r>
      <w:r w:rsidR="005A3930" w:rsidRPr="003E305A">
        <w:rPr>
          <w:rStyle w:val="Refdenotaderodap"/>
        </w:rPr>
        <w:footnoteReference w:id="220"/>
      </w:r>
      <w:r w:rsidR="005A3930" w:rsidRPr="003E305A">
        <w:t xml:space="preserve">. </w:t>
      </w:r>
    </w:p>
    <w:p w:rsidR="005A3930" w:rsidRPr="003E305A" w:rsidRDefault="005A3930" w:rsidP="005A3930">
      <w:r w:rsidRPr="003E305A">
        <w:t xml:space="preserve">Não posso senão pasmar </w:t>
      </w:r>
      <w:r w:rsidR="00B158E1">
        <w:t>diante de</w:t>
      </w:r>
      <w:r w:rsidRPr="003E305A">
        <w:t xml:space="preserve"> uma tão sábia divisão do trabalho. Enquanto davam a</w:t>
      </w:r>
      <w:r w:rsidR="00B158E1">
        <w:t xml:space="preserve"> Hiler e a Himmler </w:t>
      </w:r>
      <w:r w:rsidRPr="003E305A">
        <w:t>toda a latitude para massacrarem os judeus e o «bolchevismo judaico», os Aliados iam chacinando a população operária na Europa submetida ao</w:t>
      </w:r>
      <w:r w:rsidR="00B158E1" w:rsidRPr="003E305A">
        <w:t xml:space="preserve">s </w:t>
      </w:r>
      <w:r w:rsidR="00B158E1">
        <w:t>nacionais-socialistas</w:t>
      </w:r>
      <w:r w:rsidRPr="003E305A">
        <w:t>. Em vez de contribuir para liquidar o racismo, a guerra contra os fascismos só confirm</w:t>
      </w:r>
      <w:r>
        <w:t>ou</w:t>
      </w:r>
      <w:r w:rsidRPr="003E305A">
        <w:t xml:space="preserve"> a discriminação e os preconceitos. Como poderiam alguma vez as democracias combater os fundamentos do Terceiro Reich? </w:t>
      </w:r>
    </w:p>
    <w:p w:rsidR="005A3930" w:rsidRPr="003E305A" w:rsidRDefault="005A3930" w:rsidP="00DA4C85">
      <w:pPr>
        <w:keepNext/>
        <w:spacing w:before="720" w:after="360"/>
        <w:ind w:firstLine="0"/>
        <w:jc w:val="center"/>
        <w:rPr>
          <w:b/>
          <w:sz w:val="28"/>
        </w:rPr>
      </w:pPr>
      <w:r>
        <w:rPr>
          <w:b/>
          <w:sz w:val="28"/>
        </w:rPr>
        <w:t>5</w:t>
      </w:r>
      <w:r w:rsidRPr="003E305A">
        <w:rPr>
          <w:b/>
          <w:sz w:val="28"/>
        </w:rPr>
        <w:t>. A fome de Bengala</w:t>
      </w:r>
    </w:p>
    <w:p w:rsidR="005A3930" w:rsidRPr="003E305A" w:rsidRDefault="005A3930" w:rsidP="005A3930">
      <w:r w:rsidRPr="003E305A">
        <w:t xml:space="preserve">Nas metrópoles, por mais precária que se tivesse tornado a situação militar e por mais severo que fosse o racionamento, jamais as autoridades deixaram a sua própria população </w:t>
      </w:r>
      <w:r w:rsidRPr="003E305A">
        <w:lastRenderedPageBreak/>
        <w:t xml:space="preserve">morrer sistematicamente de fome. Mas foi muito diferente a actuação dos Aliados na colónia britânica da Índia. A província de Bengala, que se havia contado outrora entre as regiões exportadoras de arroz, passara a depender parcialmente das aquisições de arroz </w:t>
      </w:r>
      <w:r w:rsidR="002E5AF9">
        <w:t>da Birmânia</w:t>
      </w:r>
      <w:r w:rsidRPr="003E305A">
        <w:rPr>
          <w:rStyle w:val="Refdenotaderodap"/>
        </w:rPr>
        <w:footnoteReference w:id="221"/>
      </w:r>
      <w:r w:rsidR="002E5AF9">
        <w:t>,</w:t>
      </w:r>
      <w:r w:rsidRPr="003E305A">
        <w:t xml:space="preserve"> </w:t>
      </w:r>
      <w:r w:rsidR="002E5AF9">
        <w:t xml:space="preserve">de onde provinham </w:t>
      </w:r>
      <w:r w:rsidRPr="003E305A">
        <w:t>quase dois quintos das exportações mundiais daquele cereal</w:t>
      </w:r>
      <w:r w:rsidRPr="003E305A">
        <w:rPr>
          <w:rStyle w:val="Refdenotaderodap"/>
        </w:rPr>
        <w:footnoteReference w:id="222"/>
      </w:r>
      <w:r w:rsidRPr="003E305A">
        <w:t>. A ocupação japonesa da Birmânia precipitou, assim, a grande fome de Bengala, que começou no último mês de 1942, atingindo o auge na segunda metade do ano seguinte, e cujos efeitos directos se fizeram sentir até meados de 1946</w:t>
      </w:r>
      <w:r w:rsidRPr="003E305A">
        <w:rPr>
          <w:rStyle w:val="Refdenotaderodap"/>
        </w:rPr>
        <w:footnoteReference w:id="223"/>
      </w:r>
      <w:r w:rsidRPr="003E305A">
        <w:t xml:space="preserve">. É indubitável que esta calamidade se inseriu num contexto de transformações lentas e profundas da estrutura social e dos sistemas de produção e de comercialização. Mas foi a guerra, ou melhor, a maneira como se conduziu a guerra que levou a evolução de longo prazo a precipitar-se </w:t>
      </w:r>
      <w:r>
        <w:t>no</w:t>
      </w:r>
      <w:r w:rsidRPr="003E305A">
        <w:t xml:space="preserve"> curto prazo de modo catastrófico. </w:t>
      </w:r>
    </w:p>
    <w:p w:rsidR="005A3930" w:rsidRPr="003E305A" w:rsidRDefault="005A3930" w:rsidP="005A3930">
      <w:r w:rsidRPr="003E305A">
        <w:t>O governo de Bengala cabia a um partido indiano de persuasão islâmica, a Liga Muçulmana</w:t>
      </w:r>
      <w:r w:rsidRPr="003E305A">
        <w:rPr>
          <w:rStyle w:val="Refdenotaderodap"/>
        </w:rPr>
        <w:footnoteReference w:id="224"/>
      </w:r>
      <w:r w:rsidRPr="003E305A">
        <w:t>, e apesar de receber desde Janeiro de 1943 sucessivos relatórios comunicando o agravamento da fome este governo absteve-se até meados de Agosto de iniciar quaisquer operações de socorro, confiando na chegada de vastas quantidades de cereal de fora da província, tal como lhe havia sido prometido pelo governo britânico da Índia</w:t>
      </w:r>
      <w:r w:rsidRPr="003E305A">
        <w:rPr>
          <w:rStyle w:val="Refdenotaderodap"/>
        </w:rPr>
        <w:footnoteReference w:id="225"/>
      </w:r>
      <w:r w:rsidRPr="003E305A">
        <w:t>. Mas entretanto a utilização para fins militares dos meios de transporte marítimos e ferroviários não permitiu que se deslocassem excedentes alimentares no interior do subcontinente indiano</w:t>
      </w:r>
      <w:r w:rsidRPr="003E305A">
        <w:rPr>
          <w:rStyle w:val="Refdenotaderodap"/>
        </w:rPr>
        <w:footnoteReference w:id="226"/>
      </w:r>
      <w:r w:rsidRPr="003E305A">
        <w:t>, e embora no Canadá e na Austrália houvesse provisão de cereal, as autoridades também não consideraram oportuno o seu uso para sustentar a população civil da Índia e empregaram os barcos disponíveis em objectivos tidos como mais urgentes</w:t>
      </w:r>
      <w:r w:rsidRPr="003E305A">
        <w:rPr>
          <w:rStyle w:val="Refdenotaderodap"/>
        </w:rPr>
        <w:footnoteReference w:id="227"/>
      </w:r>
      <w:r w:rsidRPr="003E305A">
        <w:t>. Desta selecção de critérios</w:t>
      </w:r>
      <w:r w:rsidR="00527E64">
        <w:t xml:space="preserve"> </w:t>
      </w:r>
      <w:r w:rsidRPr="003E305A">
        <w:t>resultaram provavelmente mais de três milhões e meio de vítimas mortais</w:t>
      </w:r>
      <w:r w:rsidRPr="003E305A">
        <w:rPr>
          <w:rStyle w:val="Refdenotaderodap"/>
        </w:rPr>
        <w:footnoteReference w:id="228"/>
      </w:r>
      <w:r w:rsidRPr="003E305A">
        <w:t xml:space="preserve">. Mas eram vítimas indianas. Algum tempo antes Göring confidenciara ao ministro dos Negócios Estrangeiros italiano, a </w:t>
      </w:r>
      <w:r w:rsidRPr="003E305A">
        <w:lastRenderedPageBreak/>
        <w:t xml:space="preserve">propósito dos milhões de eslavos que seriam condenados a morrer de fome para sustentar os exércitos </w:t>
      </w:r>
      <w:r w:rsidR="00527E64">
        <w:t>do Reich</w:t>
      </w:r>
      <w:r w:rsidRPr="003E305A">
        <w:t>: «Talvez seja bom que isto suceda, porque certas nações têm de ser dizimadas. Mas mesmo que o não fosse, nada se pode fazer para evitá-lo»</w:t>
      </w:r>
      <w:r w:rsidRPr="003E305A">
        <w:rPr>
          <w:rStyle w:val="Refdenotaderodap"/>
        </w:rPr>
        <w:footnoteReference w:id="229"/>
      </w:r>
      <w:r w:rsidRPr="003E305A">
        <w:t xml:space="preserve">. Era a mesma lógica de ambos os lados, com o mesmo tipo de prioridades rácicas. </w:t>
      </w:r>
    </w:p>
    <w:p w:rsidR="005A3930" w:rsidRPr="003E305A" w:rsidRDefault="005A3930" w:rsidP="005A3930">
      <w:r w:rsidRPr="003E305A">
        <w:t>Há outras coisas ainda que convém saber ou recordar. O Congresso Nacional Indiano, mais conhecido como Partido do Congresso, a maior força política a lutar pela independência, que nas eleições de 1937 havia obtido 70% dos votos e conquistado sete das onze assembleias provinciais</w:t>
      </w:r>
      <w:r w:rsidRPr="003E305A">
        <w:rPr>
          <w:rStyle w:val="Refdenotaderodap"/>
        </w:rPr>
        <w:footnoteReference w:id="230"/>
      </w:r>
      <w:r w:rsidRPr="003E305A">
        <w:t>, não apoiara a entrada da Índia na guerra e exigi</w:t>
      </w:r>
      <w:r>
        <w:t>ra</w:t>
      </w:r>
      <w:r w:rsidRPr="003E305A">
        <w:t xml:space="preserve"> em </w:t>
      </w:r>
      <w:r>
        <w:t xml:space="preserve">Agosto de </w:t>
      </w:r>
      <w:r w:rsidRPr="003E305A">
        <w:t>1942 que os britânicos abandonassem o país</w:t>
      </w:r>
      <w:r>
        <w:t>,</w:t>
      </w:r>
      <w:r w:rsidRPr="003E305A">
        <w:t xml:space="preserve"> </w:t>
      </w:r>
      <w:r>
        <w:t xml:space="preserve">como condição à participação indiana na defesa militar contra a agressão nipónica. </w:t>
      </w:r>
      <w:r w:rsidRPr="003E305A">
        <w:t xml:space="preserve">O partido foi </w:t>
      </w:r>
      <w:r>
        <w:t xml:space="preserve">imediatamente </w:t>
      </w:r>
      <w:r w:rsidRPr="003E305A">
        <w:t>proibido e foram presos os seus dirigentes, sem serem sequer submetidos a julgamento. A resposta popular não se fez esperar. Nas palavras do vice-rei, marquês de Linlithgow, tratou-se de «a rebelião mais grave desde 1857», e para fazer frente aos boicotes, aos movimentos de desobediência civil e às greves, às sabotagens de linhas de caminho</w:t>
      </w:r>
      <w:r w:rsidR="00343190">
        <w:t>-</w:t>
      </w:r>
      <w:r w:rsidRPr="003E305A">
        <w:t>de</w:t>
      </w:r>
      <w:r w:rsidR="00343190">
        <w:t>-</w:t>
      </w:r>
      <w:r w:rsidRPr="003E305A">
        <w:t>ferro e aos cortes de fios telegráficos, aos ataques com explosivos a esquadras de polícia e a estações ferroviárias, as autoridades britânicas empregaram mais de cinquenta batalhões de tropas, além das forças policiais, entrando em confronto aberto com a generalidade da população, prendendo dezenas de milhares de pessoas e fazendo provavelmente um milhar de mortos. Apesar disto só a muito custo conseguiram controlar a situação e o governo colonial deixou praticamente de funcionar nas regiões do leste do Uttar Pradesh e em vastas áreas do Bihar, que se avizinhavam de Bengala pelo lado ocidental</w:t>
      </w:r>
      <w:r w:rsidRPr="003E305A">
        <w:rPr>
          <w:rStyle w:val="Refdenotaderodap"/>
        </w:rPr>
        <w:footnoteReference w:id="231"/>
      </w:r>
      <w:r w:rsidRPr="003E305A">
        <w:t xml:space="preserve">. A oriente de Bengala, junto com as tropas japonesas na Malásia e na Birmânia, registava-se a presença do Exército Nacional Indiano, ao mesmo tempo independentista e pró-fascista, que em Fevereiro de 1942 mobilizara vários milhares de antigos prisioneiros de guerra indianos e fora reconstituído em Julho de 1943 sob o comando ilustre e decidido de Subhas Chandra Bose, como terei oportunidade de narrar </w:t>
      </w:r>
      <w:r w:rsidR="00343190">
        <w:t>(</w:t>
      </w:r>
      <w:r w:rsidRPr="003E305A">
        <w:t xml:space="preserve">no capítulo </w:t>
      </w:r>
      <w:r w:rsidR="00343190">
        <w:t>2 da Parte 6)</w:t>
      </w:r>
      <w:r w:rsidRPr="003E305A">
        <w:t xml:space="preserve">. De um e outro lado a independência estava colocada na ordem do dia. Duvido, contudo, que o espólio conservado nos arquivos permita a um investigador atento provar documentalmente que os longos esforços da população indiana para conquistar a independência política e os repetidos conflitos com a autoridade colonial, agravados pelo forte clima de repressão que se viveu na Índia especialmente em 1942 e 1943, teriam contribuído para que os governantes dos países aliados e os seus chefes militares deixassem deliberadamente morrer de fome um número tão considerável de bengalis. Mas como certos </w:t>
      </w:r>
      <w:r w:rsidRPr="003E305A">
        <w:lastRenderedPageBreak/>
        <w:t>ficcionistas revelam mais agilidade do que muitos historiadores no entendimento da história, porque são possuídos pela mesma imaginação criadora que criou os factos, Carlos Fuentes pôde tirar a lição dos acontecimentos, exclamando que «não se salvaram os ingleses que esconderam o arroz aos bengalis para que não tivessem vontade de se rebelar e de se unir ao Japão durante a guerra, nem os mercadores muçulmanos que colaboraram com eles»</w:t>
      </w:r>
      <w:r w:rsidRPr="003E305A">
        <w:rPr>
          <w:rStyle w:val="Refdenotaderodap"/>
        </w:rPr>
        <w:footnoteReference w:id="232"/>
      </w:r>
      <w:r w:rsidRPr="003E305A">
        <w:t xml:space="preserve">. </w:t>
      </w:r>
    </w:p>
    <w:p w:rsidR="005A3930" w:rsidRPr="003E305A" w:rsidRDefault="005A3930" w:rsidP="003C782A">
      <w:pPr>
        <w:keepNext/>
        <w:spacing w:before="720" w:after="360"/>
        <w:ind w:firstLine="0"/>
        <w:jc w:val="center"/>
        <w:rPr>
          <w:b/>
          <w:sz w:val="28"/>
        </w:rPr>
      </w:pPr>
      <w:r>
        <w:rPr>
          <w:b/>
          <w:sz w:val="28"/>
        </w:rPr>
        <w:t>6</w:t>
      </w:r>
      <w:r w:rsidRPr="003E305A">
        <w:rPr>
          <w:b/>
          <w:sz w:val="28"/>
        </w:rPr>
        <w:t>. «O horror! O horror!»</w:t>
      </w:r>
    </w:p>
    <w:p w:rsidR="005A3930" w:rsidRPr="003E305A" w:rsidRDefault="005A3930" w:rsidP="005A3930">
      <w:r w:rsidRPr="003E305A">
        <w:t xml:space="preserve">No </w:t>
      </w:r>
      <w:r w:rsidR="003C782A">
        <w:t>nacional-socialismo</w:t>
      </w:r>
      <w:r w:rsidRPr="003E305A">
        <w:t xml:space="preserve"> </w:t>
      </w:r>
      <w:r w:rsidR="005F0E6F">
        <w:t xml:space="preserve">de Hitler, Himmler e Rosenberg </w:t>
      </w:r>
      <w:r w:rsidRPr="003E305A">
        <w:t>fundiram-se dois tipos de racismo. A assimilação operada pelo romantismo germânico entre língua e raça foi aceite e desenvolvida ao atribuírem a cada raça um perfil psicológico e um comportamento prático. Mas em vez de considerarem as raças de maneira definitiva, como os românticos haviam feito</w:t>
      </w:r>
      <w:r w:rsidRPr="003E305A">
        <w:rPr>
          <w:rStyle w:val="Refdenotaderodap"/>
        </w:rPr>
        <w:footnoteReference w:id="233"/>
      </w:r>
      <w:r w:rsidRPr="003E305A">
        <w:t xml:space="preserve">, Hitler e os seus seguidores adoptaram a problemática darwiniana e galtoniana de uma intervenção deliberada na selecção humana. É certo que, ao postular a hereditariedade e a continuidade genética, a eugenia situava as raças no plano das tradições. Na medida, porém, em que pretendia interferir na reprodução e manipulá-la, a eugenia </w:t>
      </w:r>
      <w:r w:rsidR="005F0E6F">
        <w:t>orientava</w:t>
      </w:r>
      <w:r w:rsidRPr="003E305A">
        <w:t xml:space="preserve"> as suas preocupações para o futuro. Esta ponte entre o passado e o futuro permitiu ao </w:t>
      </w:r>
      <w:r w:rsidR="009A385B">
        <w:t>nacional-socialismo</w:t>
      </w:r>
      <w:r w:rsidRPr="003E305A">
        <w:t xml:space="preserve"> pensar de forma diferente a perenidade da raça, introduzindo o elemento dinâmico no âmbito da tradição. Foi a articulação entre o racismo concebido pela linguística romântica e o racismo formulado nos termos da ciência biológica que abriu a Hitler o caminho da revolução no interior do conservadorismo. </w:t>
      </w:r>
    </w:p>
    <w:p w:rsidR="005A3930" w:rsidRPr="003E305A" w:rsidRDefault="005A3930" w:rsidP="005A3930">
      <w:r w:rsidRPr="003E305A">
        <w:t xml:space="preserve">Antes da fundação do Terceiro Reich já as democracias haviam criado, aperfeiçoado e aplicado um programa que não só supunha a existência de uma hierarquia de capacidades mentais e físicas consoante os estratos sociais </w:t>
      </w:r>
      <w:r w:rsidRPr="00B41DBF">
        <w:t xml:space="preserve">e </w:t>
      </w:r>
      <w:r w:rsidRPr="003E305A">
        <w:t>as cores d</w:t>
      </w:r>
      <w:r w:rsidR="00EE3DCF">
        <w:t>a</w:t>
      </w:r>
      <w:r w:rsidRPr="003E305A">
        <w:t xml:space="preserve"> pele, como propunha </w:t>
      </w:r>
      <w:r>
        <w:t>também</w:t>
      </w:r>
      <w:r w:rsidRPr="003E305A">
        <w:t xml:space="preserve"> conduzir uma actividade selectiva de modo a orientar a evolução biológica. E se é certo que os </w:t>
      </w:r>
      <w:r w:rsidR="00AA4D66">
        <w:t>nacionais-socialistas</w:t>
      </w:r>
      <w:r w:rsidRPr="003E305A">
        <w:t xml:space="preserve"> pretend</w:t>
      </w:r>
      <w:r>
        <w:t>er</w:t>
      </w:r>
      <w:r w:rsidRPr="003E305A">
        <w:t xml:space="preserve">am produzir a raça superior num quadro </w:t>
      </w:r>
      <w:r>
        <w:t xml:space="preserve">predominantemente </w:t>
      </w:r>
      <w:r w:rsidRPr="003E305A">
        <w:t>centralizado, enquanto as democracias emprega</w:t>
      </w:r>
      <w:r>
        <w:t>r</w:t>
      </w:r>
      <w:r w:rsidRPr="003E305A">
        <w:t xml:space="preserve">am </w:t>
      </w:r>
      <w:r>
        <w:t xml:space="preserve">meios mais descentralizados </w:t>
      </w:r>
      <w:r w:rsidRPr="003E305A">
        <w:t>para chegar ao</w:t>
      </w:r>
      <w:r w:rsidR="00AA4D66">
        <w:t>s</w:t>
      </w:r>
      <w:r w:rsidRPr="003E305A">
        <w:t xml:space="preserve"> mesmo</w:t>
      </w:r>
      <w:r w:rsidR="00AA4D66">
        <w:t>s</w:t>
      </w:r>
      <w:r w:rsidRPr="003E305A">
        <w:t xml:space="preserve"> </w:t>
      </w:r>
      <w:r w:rsidR="00AA4D66">
        <w:t>fins</w:t>
      </w:r>
      <w:r w:rsidRPr="003E305A">
        <w:t xml:space="preserve">, a discrepância não se restringiu ao racismo e resultou das formas de organização a que, neste campo como em todos os outros, obedecia cada um dos sistemas políticos. </w:t>
      </w:r>
      <w:r w:rsidR="00AA4D66">
        <w:t xml:space="preserve">No que dizia respeito aos objectivos, </w:t>
      </w:r>
      <w:r w:rsidRPr="003E305A">
        <w:t xml:space="preserve">o projecto racial dos SS dispunha da mais perfeita legitimidade democrática. </w:t>
      </w:r>
    </w:p>
    <w:p w:rsidR="005A3930" w:rsidRPr="003E305A" w:rsidRDefault="005A3930" w:rsidP="005A3930">
      <w:r w:rsidRPr="003E305A">
        <w:lastRenderedPageBreak/>
        <w:t xml:space="preserve">Nem foram menos puras as credenciais democráticas da crueldade com que os </w:t>
      </w:r>
      <w:r w:rsidR="00AA4D66">
        <w:t>nacionais-socialistas</w:t>
      </w:r>
      <w:r w:rsidRPr="003E305A">
        <w:t xml:space="preserve"> executaram o programa rácico. É bem conhecido o horror dos campos de concentração criados pelo Terceiro Reich e afirma-se frequentemente que a invenção </w:t>
      </w:r>
      <w:r w:rsidR="00BD52E5">
        <w:t xml:space="preserve">do </w:t>
      </w:r>
      <w:r w:rsidRPr="003E305A">
        <w:t xml:space="preserve">sistema concentracionário se deveu aos britânicos na fase final da Guerra dos </w:t>
      </w:r>
      <w:r w:rsidRPr="003E305A">
        <w:rPr>
          <w:i/>
        </w:rPr>
        <w:t>Boers,</w:t>
      </w:r>
      <w:r w:rsidRPr="003E305A">
        <w:t xml:space="preserve"> depois de </w:t>
      </w:r>
      <w:r w:rsidR="00DF0431">
        <w:t xml:space="preserve">terem </w:t>
      </w:r>
      <w:r w:rsidRPr="003E305A">
        <w:t xml:space="preserve">anexado o Transvaal e o Estado Livre de Orange, quando os </w:t>
      </w:r>
      <w:r w:rsidRPr="003E305A">
        <w:rPr>
          <w:i/>
        </w:rPr>
        <w:t>afrikaners,</w:t>
      </w:r>
      <w:r w:rsidRPr="003E305A">
        <w:t xml:space="preserve"> derrotados nas modalidades convencionais de combate, haviam recorr</w:t>
      </w:r>
      <w:r w:rsidR="00DF0431">
        <w:t>ido</w:t>
      </w:r>
      <w:r w:rsidRPr="003E305A">
        <w:t xml:space="preserve"> à guerrilha. Esta versão, porém, não é exacta. Os </w:t>
      </w:r>
      <w:r w:rsidR="00AA4D66">
        <w:t>nacionais-socialistas</w:t>
      </w:r>
      <w:r w:rsidRPr="003E305A">
        <w:t xml:space="preserve"> fundaram campos de concentração com o objectivo de prender e depois exterminar todos aqueles que, por razões ideológicas ou étnicas, eram considerados subversores da ordem. Ora, os campos estabelecidos pelos britânicos destinaram-se principalmente, ou talvez mesmo unicamente, a privar a guerrilha do apoio dos civis, confinando </w:t>
      </w:r>
      <w:r>
        <w:t>várias</w:t>
      </w:r>
      <w:r w:rsidRPr="003E305A">
        <w:t xml:space="preserve"> dezenas de milhares de </w:t>
      </w:r>
      <w:r w:rsidRPr="003E305A">
        <w:rPr>
          <w:i/>
        </w:rPr>
        <w:t>boers,</w:t>
      </w:r>
      <w:r w:rsidRPr="003E305A">
        <w:t xml:space="preserve"> sobretudo mulheres e crianças, e encerrando em instalações separadas mais de </w:t>
      </w:r>
      <w:r w:rsidR="00AA4D66">
        <w:t xml:space="preserve">cem mil </w:t>
      </w:r>
      <w:r w:rsidRPr="003E305A">
        <w:t xml:space="preserve">elementos da população negra. </w:t>
      </w:r>
      <w:r>
        <w:t xml:space="preserve">No que dizia respeito aos seus objectivos, </w:t>
      </w:r>
      <w:r w:rsidRPr="00A6406C">
        <w:t xml:space="preserve">em vez de fazerem prever o sistema concentracionário </w:t>
      </w:r>
      <w:r w:rsidR="00AA4D66">
        <w:t>do nacional-socialismo</w:t>
      </w:r>
      <w:r w:rsidRPr="00A6406C">
        <w:t>, os campos britânicos anteciparam as «aldeias estratégicas» criadas pelos militares japoneses na Manchúria</w:t>
      </w:r>
      <w:r w:rsidRPr="00A6406C">
        <w:rPr>
          <w:vertAlign w:val="superscript"/>
        </w:rPr>
        <w:footnoteReference w:id="234"/>
      </w:r>
      <w:r w:rsidRPr="00A6406C">
        <w:t xml:space="preserve"> e pelos norte-americanos no Vietname, que também elas tinham o intuito de deixar os guerrilheiros isolados da população civil. Aliás, a prioridade dev</w:t>
      </w:r>
      <w:r w:rsidR="00C85551">
        <w:t>e-se</w:t>
      </w:r>
      <w:r w:rsidRPr="00A6406C">
        <w:t xml:space="preserve"> aos espanhóis, que haviam já organizado campos de concentração em Cuba, aquando da </w:t>
      </w:r>
      <w:r>
        <w:t xml:space="preserve">luta </w:t>
      </w:r>
      <w:r w:rsidRPr="00A6406C">
        <w:t>contra as guerrilhas independentistas</w:t>
      </w:r>
      <w:r w:rsidRPr="00A6406C">
        <w:rPr>
          <w:vertAlign w:val="superscript"/>
        </w:rPr>
        <w:footnoteReference w:id="235"/>
      </w:r>
      <w:r w:rsidRPr="00A6406C">
        <w:t>.</w:t>
      </w:r>
      <w:r>
        <w:t xml:space="preserve"> E </w:t>
      </w:r>
      <w:r w:rsidRPr="005926BB">
        <w:t>em 1913, no México, durante a ditadura do general Victoriano Huerta, as forças governamentais organizaram a «recolonização» no estado de Morelos, concentrando os camponeses nas principais aldeias e cidades para tentar isolá-los das milícias e guerrilhas comandadas por Zapata. Passados três anos as tropas partidárias de Venustiano Carranza tomaram medidas idênticas</w:t>
      </w:r>
      <w:r>
        <w:rPr>
          <w:rStyle w:val="Refdenotaderodap"/>
        </w:rPr>
        <w:footnoteReference w:id="236"/>
      </w:r>
      <w:r w:rsidRPr="005926BB">
        <w:t xml:space="preserve">. </w:t>
      </w:r>
      <w:r>
        <w:t xml:space="preserve">Mas relativamente às condições de vida nos campos da África do Sul, a semelhança com os seus equivalentes no Terceiro Reich </w:t>
      </w:r>
      <w:r w:rsidR="00DF0431">
        <w:t>parece</w:t>
      </w:r>
      <w:r>
        <w:t xml:space="preserve"> maior. Apesar disso, </w:t>
      </w:r>
      <w:r w:rsidRPr="003E305A">
        <w:t xml:space="preserve">o facto de as autoridades britânicas terem deixado morrer de fome e de doença uma parte considerável dos cento e cinquenta mil detidos não </w:t>
      </w:r>
      <w:r w:rsidR="00DF0431">
        <w:t xml:space="preserve">se deveu </w:t>
      </w:r>
      <w:r w:rsidRPr="003E305A">
        <w:t xml:space="preserve">a </w:t>
      </w:r>
      <w:r>
        <w:t xml:space="preserve">um </w:t>
      </w:r>
      <w:r w:rsidRPr="003E305A">
        <w:t>genocídio planificado com intuitos rácicos, mas exclusivamente à conjugação de incúria e crueldade burocrática que caracteriza qualquer exército. Seria necessário o clamor de indignação erguido na metrópole para que melhorassem as condições sanitárias e alimentares n</w:t>
      </w:r>
      <w:r>
        <w:t>este</w:t>
      </w:r>
      <w:r w:rsidRPr="003E305A">
        <w:t>s campos de concentração, baixando drasticamente a taxa de mortalidade</w:t>
      </w:r>
      <w:r w:rsidRPr="003E305A">
        <w:rPr>
          <w:rStyle w:val="Refdenotaderodap"/>
        </w:rPr>
        <w:footnoteReference w:id="237"/>
      </w:r>
      <w:r w:rsidRPr="003E305A">
        <w:t>. Terminado o conflito e feito o balanço, conclui</w:t>
      </w:r>
      <w:r>
        <w:t>u</w:t>
      </w:r>
      <w:r w:rsidRPr="003E305A">
        <w:t xml:space="preserve"> um historiador, «ninguém sabe quantos </w:t>
      </w:r>
      <w:r w:rsidRPr="003E305A">
        <w:rPr>
          <w:i/>
        </w:rPr>
        <w:t>boers</w:t>
      </w:r>
      <w:r w:rsidRPr="003E305A">
        <w:t xml:space="preserve"> </w:t>
      </w:r>
      <w:r w:rsidR="00427118">
        <w:t>—</w:t>
      </w:r>
      <w:r w:rsidRPr="003E305A">
        <w:t xml:space="preserve"> homens, mulheres e crianças </w:t>
      </w:r>
      <w:r w:rsidR="00427118">
        <w:lastRenderedPageBreak/>
        <w:t>—</w:t>
      </w:r>
      <w:r w:rsidRPr="003E305A">
        <w:t xml:space="preserve"> morreram nos campos de concentração. Os cálculos oficiais variam entre 18.000 e 28.000» e dos prisioneiros negros é possível que tenham morrido </w:t>
      </w:r>
      <w:r w:rsidR="009854EE">
        <w:t xml:space="preserve">acima </w:t>
      </w:r>
      <w:r w:rsidRPr="003E305A">
        <w:t>de 12.000</w:t>
      </w:r>
      <w:r w:rsidRPr="003E305A">
        <w:rPr>
          <w:rStyle w:val="Refdenotaderodap"/>
        </w:rPr>
        <w:footnoteReference w:id="238"/>
      </w:r>
      <w:r w:rsidRPr="003E305A">
        <w:t xml:space="preserve">. </w:t>
      </w:r>
    </w:p>
    <w:p w:rsidR="005A3930" w:rsidRPr="003E305A" w:rsidRDefault="005A3930" w:rsidP="005A3930">
      <w:r>
        <w:t xml:space="preserve">Mais do que </w:t>
      </w:r>
      <w:r w:rsidRPr="003E305A">
        <w:t xml:space="preserve">o internamento dos </w:t>
      </w:r>
      <w:r w:rsidRPr="003E305A">
        <w:rPr>
          <w:i/>
        </w:rPr>
        <w:t>boers</w:t>
      </w:r>
      <w:r>
        <w:rPr>
          <w:i/>
        </w:rPr>
        <w:t>,</w:t>
      </w:r>
      <w:r w:rsidRPr="003E305A">
        <w:t xml:space="preserve"> </w:t>
      </w:r>
      <w:r>
        <w:t xml:space="preserve">o </w:t>
      </w:r>
      <w:r w:rsidRPr="003E305A">
        <w:t>que abriu caminho aos vários Auschwitz</w:t>
      </w:r>
      <w:r>
        <w:t xml:space="preserve"> foi</w:t>
      </w:r>
      <w:r w:rsidRPr="003E305A">
        <w:t>, muito simplesmente, o colonialismo capitalista. «Será mais difícil ignorar as crueldades dos alemães para com os judeus ou os checos do que as dos franceses para com os anamitas?»</w:t>
      </w:r>
      <w:r>
        <w:t>,</w:t>
      </w:r>
      <w:r w:rsidRPr="003E305A">
        <w:t xml:space="preserve"> perguntou Simone Weil pouco tempo antes de morrer</w:t>
      </w:r>
      <w:r w:rsidRPr="00F54BB8">
        <w:rPr>
          <w:vertAlign w:val="superscript"/>
        </w:rPr>
        <w:footnoteReference w:id="239"/>
      </w:r>
      <w:r w:rsidR="004B0F0B">
        <w:t xml:space="preserve">, e no outro extremo do espectro político </w:t>
      </w:r>
      <w:r w:rsidR="00535ADE">
        <w:t xml:space="preserve">Maurice Bardèche </w:t>
      </w:r>
      <w:r w:rsidR="00651337">
        <w:t>interrogou</w:t>
      </w:r>
      <w:r w:rsidR="004B0F0B">
        <w:t xml:space="preserve">, a respeito do julgamento de Nuremberga, «porque é que se deve considerar crime o incêndio de vivendas de tijolo </w:t>
      </w:r>
      <w:r w:rsidR="00B33946">
        <w:t>e pecadilho o incêndio de aldeias de bambu?»</w:t>
      </w:r>
      <w:r w:rsidR="00651337">
        <w:rPr>
          <w:rStyle w:val="Refdenotaderodap"/>
        </w:rPr>
        <w:footnoteReference w:id="240"/>
      </w:r>
      <w:r w:rsidRPr="003E305A">
        <w:t xml:space="preserve">. Os democratas, porém, cobrem com um espesso silêncio a transformação de vastíssimas colónias em puros campos de concentração. </w:t>
      </w:r>
      <w:r w:rsidRPr="00B17FB0">
        <w:t>O regime parlamentar era uma modalidade política adequada ao tipo de economia prevalecente nas metrópoles; e est</w:t>
      </w:r>
      <w:r>
        <w:t>a</w:t>
      </w:r>
      <w:r w:rsidRPr="00B17FB0">
        <w:t xml:space="preserve"> </w:t>
      </w:r>
      <w:r>
        <w:t>face</w:t>
      </w:r>
      <w:r w:rsidRPr="00B17FB0">
        <w:t xml:space="preserve"> do capitalismo não podia existir sem o seu complemento, a exploração colonial, com as atrocidades regulares e o terrorismo </w:t>
      </w:r>
      <w:r w:rsidR="00583CFF">
        <w:t>empresarial</w:t>
      </w:r>
      <w:r w:rsidRPr="00B17FB0">
        <w:t xml:space="preserve"> e de Estado necessários para introduzir o trabalho assalariado entre povos que toda uma cultura ligava a outros modos de produção. Democracia e terror colonial foram </w:t>
      </w:r>
      <w:r>
        <w:t>dois</w:t>
      </w:r>
      <w:r w:rsidRPr="00B17FB0">
        <w:t xml:space="preserve"> </w:t>
      </w:r>
      <w:r>
        <w:t>aspectos</w:t>
      </w:r>
      <w:r w:rsidRPr="00B17FB0">
        <w:t xml:space="preserve"> da mesma realidade. Só a deliberada conjugação de tipos diversos de crueldade, não apenas as punições físicas, mas a permanente humilhação social e psicológica, pôde converter, no espaço de uma geração, populações seguras de si, ou tantas vezes aguerridas, numa massa submissa. Para que a vida se processasse nos termos requeridos pelo colonialismo era indispensável desagregar os sistemas sociais existentes e a tarefa não foi entregue à livre iniciativa dos colonos. Foi planeada e superiormente dirigida pelas metrópoles democráticas. Tratava-se de deixar aqueles povos sem </w:t>
      </w:r>
      <w:r w:rsidR="00B92F9B">
        <w:t>nenhuma</w:t>
      </w:r>
      <w:r w:rsidRPr="00B17FB0">
        <w:t xml:space="preserve"> compreensão do presente, de modo a serem roubados do futuro. Torná-los desprovidos de passado foi o verniz ideológico deste programa, e para isso os propagandistas e os </w:t>
      </w:r>
      <w:r w:rsidRPr="00121564">
        <w:t xml:space="preserve">universitários </w:t>
      </w:r>
      <w:r w:rsidRPr="00B17FB0">
        <w:t xml:space="preserve">recusaram a dignidade da História a todas as histórias que não tivessem conduzido </w:t>
      </w:r>
      <w:r w:rsidR="00B92F9B">
        <w:t xml:space="preserve">ao capitalismo </w:t>
      </w:r>
      <w:r w:rsidRPr="00B17FB0">
        <w:t xml:space="preserve">e negaram a igualdade biológica dos povos que sustentavam </w:t>
      </w:r>
      <w:r w:rsidR="00583CFF">
        <w:t xml:space="preserve">outras </w:t>
      </w:r>
      <w:r w:rsidRPr="00B17FB0">
        <w:t>culturas.</w:t>
      </w:r>
      <w:r>
        <w:t xml:space="preserve"> </w:t>
      </w:r>
      <w:r w:rsidRPr="00426A45">
        <w:t xml:space="preserve">Sob o ponto de vista dos objectivos económicos e sociais a diferença </w:t>
      </w:r>
      <w:r>
        <w:t xml:space="preserve">com o Terceiro Reich </w:t>
      </w:r>
      <w:r w:rsidRPr="00426A45">
        <w:t xml:space="preserve">foi </w:t>
      </w:r>
      <w:r>
        <w:t>enorme</w:t>
      </w:r>
      <w:r w:rsidRPr="00426A45">
        <w:t xml:space="preserve">, porque </w:t>
      </w:r>
      <w:r>
        <w:t>o capitalismo democrático, quando não procedeu a</w:t>
      </w:r>
      <w:r w:rsidRPr="003E305A">
        <w:t xml:space="preserve">o genocídio eficaz de </w:t>
      </w:r>
      <w:r>
        <w:t>alguns</w:t>
      </w:r>
      <w:r w:rsidRPr="003E305A">
        <w:t xml:space="preserve"> </w:t>
      </w:r>
      <w:r>
        <w:t>povos</w:t>
      </w:r>
      <w:r w:rsidRPr="003E305A">
        <w:t xml:space="preserve"> que habitavam territórios cobiçados</w:t>
      </w:r>
      <w:r>
        <w:t xml:space="preserve">, liquidou os sistemas sócio-económicos </w:t>
      </w:r>
      <w:r w:rsidRPr="00426A45">
        <w:t xml:space="preserve">indígenas para inserir </w:t>
      </w:r>
      <w:r>
        <w:t xml:space="preserve">as populações </w:t>
      </w:r>
      <w:r w:rsidR="00B92F9B">
        <w:t>no</w:t>
      </w:r>
      <w:r w:rsidRPr="00426A45">
        <w:t xml:space="preserve"> </w:t>
      </w:r>
      <w:r>
        <w:t xml:space="preserve">regime de </w:t>
      </w:r>
      <w:r w:rsidRPr="00426A45">
        <w:t>assalariamento</w:t>
      </w:r>
      <w:r>
        <w:t xml:space="preserve"> e conjugar o capitalismo nas colónias com o capitalismo nas metrópoles. </w:t>
      </w:r>
      <w:r w:rsidRPr="00426A45">
        <w:t xml:space="preserve">Por seu lado, </w:t>
      </w:r>
      <w:r>
        <w:t xml:space="preserve">se recordarmos a análise a que procedi </w:t>
      </w:r>
      <w:r w:rsidR="00535ADE">
        <w:t xml:space="preserve">quando abordei o </w:t>
      </w:r>
      <w:r w:rsidRPr="00426A45">
        <w:t xml:space="preserve">nacional-socialismo </w:t>
      </w:r>
      <w:r>
        <w:t>como</w:t>
      </w:r>
      <w:r w:rsidRPr="00426A45">
        <w:t xml:space="preserve"> </w:t>
      </w:r>
      <w:r w:rsidR="00535ADE">
        <w:t xml:space="preserve">um </w:t>
      </w:r>
      <w:r w:rsidRPr="00426A45">
        <w:t>metacapitalismo</w:t>
      </w:r>
      <w:r w:rsidR="00535ADE">
        <w:t xml:space="preserve"> (capítulo 4 da Parte 2)</w:t>
      </w:r>
      <w:r w:rsidRPr="00426A45">
        <w:t xml:space="preserve">, nos territórios </w:t>
      </w:r>
      <w:r w:rsidRPr="00426A45">
        <w:lastRenderedPageBreak/>
        <w:t xml:space="preserve">conquistados de </w:t>
      </w:r>
      <w:r w:rsidR="00DD7018" w:rsidRPr="00426A45">
        <w:t>Leste</w:t>
      </w:r>
      <w:r w:rsidRPr="00426A45">
        <w:t xml:space="preserve"> os </w:t>
      </w:r>
      <w:r w:rsidR="00B92F9B">
        <w:t>nacionais-socialistas</w:t>
      </w:r>
      <w:r w:rsidRPr="00426A45">
        <w:t xml:space="preserve">, em vez de terem como objectivo a exploração do trabalho assalariado, pretenderam implantar um regime de trabalho escravo. Mas </w:t>
      </w:r>
      <w:r>
        <w:t xml:space="preserve">quanto aos métodos a semelhança foi grande, porque tanto para o colonialismo democrático como para o </w:t>
      </w:r>
      <w:r w:rsidR="00535ADE">
        <w:t>neo-escravismo</w:t>
      </w:r>
      <w:r>
        <w:t xml:space="preserve"> </w:t>
      </w:r>
      <w:r w:rsidR="00B92F9B">
        <w:t>nacional-socialista</w:t>
      </w:r>
      <w:r>
        <w:t xml:space="preserve"> se tratava de destruir as estruturas sociais autóctones (pré-capitalistas num caso e capitalistas no outro) e transformá-las em estruturas de tipo </w:t>
      </w:r>
      <w:r w:rsidR="00535ADE">
        <w:t xml:space="preserve">diferente </w:t>
      </w:r>
      <w:r>
        <w:t xml:space="preserve">(capitalistas num caso e, no outro, metacapitalistas). A semelhança foi maior ainda quando se tratou de liquidar povos inteiros (nativos num caso e judeus no outro). Por isso </w:t>
      </w:r>
      <w:r w:rsidRPr="003E305A">
        <w:t xml:space="preserve">os métodos empregues por Himmler e pelos seus acólitos </w:t>
      </w:r>
      <w:r>
        <w:t xml:space="preserve">puderam </w:t>
      </w:r>
      <w:r w:rsidRPr="003E305A">
        <w:t xml:space="preserve">reproduzir em escala intensiva a forma como as democracias imperialistas haviam administrado os povos das colónias. </w:t>
      </w:r>
      <w:r w:rsidR="00535ADE">
        <w:t>O Congo de Leopoldo II foi o</w:t>
      </w:r>
      <w:r w:rsidRPr="003E305A">
        <w:t xml:space="preserve"> </w:t>
      </w:r>
      <w:r w:rsidR="00535ADE">
        <w:t>ma</w:t>
      </w:r>
      <w:r w:rsidR="008B3787">
        <w:t>i</w:t>
      </w:r>
      <w:r w:rsidR="00535ADE">
        <w:t xml:space="preserve">s perfeito </w:t>
      </w:r>
      <w:r w:rsidRPr="003E305A">
        <w:t>ensaio do sistema concentracionário</w:t>
      </w:r>
      <w:r w:rsidR="00535ADE">
        <w:t xml:space="preserve"> dos SS</w:t>
      </w:r>
      <w:r w:rsidRPr="003E305A">
        <w:t xml:space="preserve">. </w:t>
      </w:r>
    </w:p>
    <w:p w:rsidR="005A3930" w:rsidRPr="003E305A" w:rsidRDefault="005A3930" w:rsidP="005A3930">
      <w:r w:rsidRPr="003E305A">
        <w:t>Três décadas antes de o Reichsführer</w:t>
      </w:r>
      <w:r w:rsidR="00047194">
        <w:t>-SS</w:t>
      </w:r>
      <w:r w:rsidRPr="003E305A">
        <w:t xml:space="preserve"> </w:t>
      </w:r>
      <w:r w:rsidR="009C143A">
        <w:t xml:space="preserve">Himmler, </w:t>
      </w:r>
      <w:r w:rsidRPr="003E305A">
        <w:t>comissário do Reich para o Reforço do Germanismo</w:t>
      </w:r>
      <w:r w:rsidR="009C143A">
        <w:t>,</w:t>
      </w:r>
      <w:r w:rsidRPr="003E305A">
        <w:t xml:space="preserve"> ter decretado o rapto sistemático das crianças </w:t>
      </w:r>
      <w:r w:rsidR="009C143A">
        <w:t xml:space="preserve">eslavas </w:t>
      </w:r>
      <w:r w:rsidRPr="003E305A">
        <w:t xml:space="preserve">a quem se atribuía uma </w:t>
      </w:r>
      <w:r>
        <w:t>parcela</w:t>
      </w:r>
      <w:r w:rsidRPr="003E305A">
        <w:t xml:space="preserve"> de sangue nórdico, já a democrática Austrália, esse exemplo da política e da cultura britânicas transportadas para os antípodas, iniciara uma operação do mesmo tipo</w:t>
      </w:r>
      <w:r w:rsidR="009C143A">
        <w:t>,</w:t>
      </w:r>
      <w:r w:rsidRPr="003E305A">
        <w:t xml:space="preserve"> e continuou-a por ainda vinte anos após o final da guerra, impunemente e de consciência tranquila. Durante mais de meio século, desde cerca de 1910 até aos meados da década de 1960, calcula-se que entre 55.000 e 100.000 crianças, algumas inteiramente aborígenes, mas na sua esmagadora maioria mestiças, tivessem sido retiradas à força por agentes do governo australiano às suas mães aborígenes. Sem nunca mais verem os familiares, foram colocadas sob a tutela de instituições brancas, geralmente dirigidas por Igrejas protestantes, constituindo o que hoje se denomina «a geração roubada». Com esta metódica e burocrática reapropriação do sangue </w:t>
      </w:r>
      <w:r w:rsidR="009C143A">
        <w:t>—</w:t>
      </w:r>
      <w:r w:rsidRPr="003E305A">
        <w:t xml:space="preserve"> para classificar a operação pelos seus termos racistas </w:t>
      </w:r>
      <w:r w:rsidR="009C143A">
        <w:t>—</w:t>
      </w:r>
      <w:r w:rsidRPr="003E305A">
        <w:t xml:space="preserve"> o governo australiano esperava erradicar nas crianças a cultura indígena e fazê-las assimilar exclusivamente hábitos sociais de tipo europeu, de modo a que casassem mais tarde com homens ou mulheres brancos e que, ao fim de algumas gerações, os seus descendentes tivessem perdido as características aborígenes. Pretendendo minimizar as proporções do etnocídio, os governantes australianos argumenta</w:t>
      </w:r>
      <w:r>
        <w:t>ra</w:t>
      </w:r>
      <w:r w:rsidRPr="003E305A">
        <w:t>m que o número de vítimas daquelas medidas não teria correspondido a mais de 10% das crianças aborígenes, mas apercebemo-nos da inepta demagogia de um tal cálculo quando consideramos que os SS teriam roubado aproximadamente 200.000 crianças num total de polacos incomparavelmente superior ao dos indígenas da Austrália</w:t>
      </w:r>
      <w:r w:rsidRPr="003E305A">
        <w:rPr>
          <w:rStyle w:val="Refdenotaderodap"/>
        </w:rPr>
        <w:footnoteReference w:id="241"/>
      </w:r>
      <w:r w:rsidRPr="003E305A">
        <w:t xml:space="preserve">. E no Canadá, outro exemplo de </w:t>
      </w:r>
      <w:r w:rsidRPr="003E305A">
        <w:lastRenderedPageBreak/>
        <w:t xml:space="preserve">gentileza parlamentar, desde a década de 1880 até 1996 as autoridades retiraram à força às famílias índias um total de cerca de 100.000 crianças. Colocadas numa centena de internatos, estabelecidos em regiões muito distantes dos seus lugares de origem e de cuja direcção se encarregavam a Igreja católica e as várias Igrejas protestantes, estas crianças, mal alimentadas e pior ensinadas, obrigadas a trabalhar longas horas e castigadas a chicote sempre que usavam as suas línguas maternas, foram em grande número </w:t>
      </w:r>
      <w:r w:rsidR="00D406B2">
        <w:t>—</w:t>
      </w:r>
      <w:r w:rsidRPr="003E305A">
        <w:t xml:space="preserve"> confirma-o um relatório oficial publicado em 1996 </w:t>
      </w:r>
      <w:r w:rsidR="00D406B2">
        <w:t>—</w:t>
      </w:r>
      <w:r w:rsidRPr="003E305A">
        <w:t xml:space="preserve"> sujeitas a violações e sevícias sexuais. Não se tratou no caso canadiano de resgatar em mestiços o sangue branco, para empregar a justificação dos nacionais-socialistas germânicos na Polónia e dos democratas australianos no seu próprio país, mas simplesmente de usar os mesmos métodos para destruir culturas indígenas ancestrais e impor àquelas crianças hábitos europeus</w:t>
      </w:r>
      <w:r w:rsidRPr="003E305A">
        <w:rPr>
          <w:rStyle w:val="Refdenotaderodap"/>
        </w:rPr>
        <w:footnoteReference w:id="242"/>
      </w:r>
      <w:r w:rsidRPr="003E305A">
        <w:t xml:space="preserve">. </w:t>
      </w:r>
    </w:p>
    <w:p w:rsidR="005A3930" w:rsidRPr="003E305A" w:rsidRDefault="005A3930" w:rsidP="005A3930">
      <w:r w:rsidRPr="003E305A">
        <w:t xml:space="preserve">Nem sequer me preocupam agora os números. Seria </w:t>
      </w:r>
      <w:r>
        <w:t>inviável</w:t>
      </w:r>
      <w:r w:rsidRPr="003E305A">
        <w:t xml:space="preserve"> fazer o catálogo das atrocidades praticadas nas colónias pelas democracias e o cômputo das vítimas. Seria inútil também, porque o principal horror reside na possibilidade de empregar sistematicamente tais métodos e não no facto de mais um ou dez ou mil ou cem mil mutilados e cadáveres e crianças roubadas se juntarem à soma. Durante a Guerra dos </w:t>
      </w:r>
      <w:r w:rsidRPr="003E305A">
        <w:rPr>
          <w:i/>
        </w:rPr>
        <w:t>Boers,</w:t>
      </w:r>
      <w:r w:rsidRPr="003E305A">
        <w:t xml:space="preserve"> cercado em Ladysmith com as tropas do general White, o então coronel Sir Henry Rawlinson, mais tarde general e Lord, confidenci</w:t>
      </w:r>
      <w:r>
        <w:t>ou</w:t>
      </w:r>
      <w:r w:rsidRPr="003E305A">
        <w:t xml:space="preserve"> ao seu diário, depois de uma escaramuça particularmente mortífera, que «os cadáveres de brancos causam [...] uma repugnância muito maior do que os dos negros»</w:t>
      </w:r>
      <w:r w:rsidRPr="003E305A">
        <w:rPr>
          <w:rStyle w:val="Refdenotaderodap"/>
        </w:rPr>
        <w:footnoteReference w:id="243"/>
      </w:r>
      <w:r w:rsidRPr="003E305A">
        <w:t>. E numa noite de Outubro de 1941, falando livremente na sua roda íntima acerca das crueldades necessárias para implementar o programa de colonização dos territórios eslavos, Hitler comentou: «Acima de tudo, nada de remorsos a este respeito! [...] Há um único dever, o de germanizar esse país através da imigração de germanos e considerar os nativos como peles-vermelhas»</w:t>
      </w:r>
      <w:r w:rsidRPr="003E305A">
        <w:rPr>
          <w:rStyle w:val="Refdenotaderodap"/>
        </w:rPr>
        <w:footnoteReference w:id="244"/>
      </w:r>
      <w:r w:rsidRPr="003E305A">
        <w:t xml:space="preserve">. A comparação não podia ser mais apropriada, pois a grande democracia do outro lado dos mares tem como acto fundador um comportamento em tudo semelhante àquele que os nacionais-socialistas adoptaram na Checoslováquia, na Polónia e nos territórios ocupados da União Soviética. Talvez o Führer se recordasse então dos romances de </w:t>
      </w:r>
      <w:r w:rsidRPr="003E305A">
        <w:rPr>
          <w:i/>
        </w:rPr>
        <w:t>cow-boys</w:t>
      </w:r>
      <w:r w:rsidRPr="003E305A">
        <w:t xml:space="preserve"> que tanto gostara de ler na juventude e continuou a devorar pela vida fora</w:t>
      </w:r>
      <w:r w:rsidRPr="003E305A">
        <w:rPr>
          <w:rStyle w:val="Refdenotaderodap"/>
        </w:rPr>
        <w:footnoteReference w:id="245"/>
      </w:r>
      <w:r w:rsidRPr="003E305A">
        <w:t xml:space="preserve">. Nesta nova aventura ele </w:t>
      </w:r>
      <w:r w:rsidRPr="003E305A">
        <w:lastRenderedPageBreak/>
        <w:t xml:space="preserve">trataria a sub-humanidade eslava tal como os outros haviam tratado, e continuavam a tratar, os peles-vermelhas. </w:t>
      </w:r>
    </w:p>
    <w:p w:rsidR="00F21840" w:rsidRPr="005A3930" w:rsidRDefault="005A3930" w:rsidP="005A3930">
      <w:r w:rsidRPr="003E305A">
        <w:t xml:space="preserve">As democracias vencedoras precisam de reconstruir a história, e a ilusória pureza de que revestem os seus antecedentes é o espelho da falsidade com que operam no presente. Para entendermos o capitalismo contemporâneo como um estádio superior, e tanto mais grave, da repressão camuflada, do controlo oculto, da imperceptível manipulação, não devemos esquecer que as democracias têm sempre sido estruturalmente inseparáveis das formas mais abjectas de opressão. Se pudessem olhar para o interior de si próprias e para o seu passado como, na novela célebre de Joseph Conrad, o Sr. Kurtz à beira de morrer, exclamariam com ele: «O horror! O horror!». </w:t>
      </w:r>
    </w:p>
    <w:sectPr w:rsidR="00F21840" w:rsidRPr="005A3930" w:rsidSect="00B456DD">
      <w:footerReference w:type="even" r:id="rId7"/>
      <w:footerReference w:type="default" r:id="rId8"/>
      <w:pgSz w:w="11907" w:h="16840" w:code="9"/>
      <w:pgMar w:top="1417" w:right="1701" w:bottom="1417" w:left="1701" w:header="720" w:footer="720" w:gutter="0"/>
      <w:pgNumType w:start="1062"/>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F18" w:rsidRDefault="00890F18" w:rsidP="005A3930">
      <w:pPr>
        <w:spacing w:line="240" w:lineRule="auto"/>
      </w:pPr>
      <w:r>
        <w:separator/>
      </w:r>
    </w:p>
  </w:endnote>
  <w:endnote w:type="continuationSeparator" w:id="0">
    <w:p w:rsidR="00890F18" w:rsidRDefault="00890F18" w:rsidP="005A39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2C" w:rsidRDefault="004D5C5B">
    <w:pPr>
      <w:pStyle w:val="Rodap"/>
      <w:framePr w:wrap="around" w:vAnchor="text" w:hAnchor="margin" w:xAlign="center" w:y="1"/>
      <w:rPr>
        <w:rStyle w:val="Nmerodepgina"/>
      </w:rPr>
    </w:pPr>
    <w:r>
      <w:rPr>
        <w:rStyle w:val="Nmerodepgina"/>
      </w:rPr>
      <w:fldChar w:fldCharType="begin"/>
    </w:r>
    <w:r w:rsidR="000C262C">
      <w:rPr>
        <w:rStyle w:val="Nmerodepgina"/>
      </w:rPr>
      <w:instrText xml:space="preserve">PAGE  </w:instrText>
    </w:r>
    <w:r>
      <w:rPr>
        <w:rStyle w:val="Nmerodepgina"/>
      </w:rPr>
      <w:fldChar w:fldCharType="end"/>
    </w:r>
  </w:p>
  <w:p w:rsidR="000C262C" w:rsidRDefault="000C262C">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62C" w:rsidRPr="00F25FCC" w:rsidRDefault="004D5C5B" w:rsidP="000C262C">
    <w:pPr>
      <w:pStyle w:val="Rodap"/>
      <w:framePr w:wrap="around" w:vAnchor="text" w:hAnchor="margin" w:xAlign="center" w:y="1"/>
      <w:ind w:firstLine="0"/>
      <w:rPr>
        <w:rStyle w:val="Nmerodepgina"/>
        <w:rFonts w:ascii="Arial Narrow" w:hAnsi="Arial Narrow"/>
        <w:i/>
      </w:rPr>
    </w:pPr>
    <w:r w:rsidRPr="00F25FCC">
      <w:rPr>
        <w:rStyle w:val="Nmerodepgina"/>
        <w:rFonts w:ascii="Arial Narrow" w:hAnsi="Arial Narrow"/>
        <w:i/>
      </w:rPr>
      <w:fldChar w:fldCharType="begin"/>
    </w:r>
    <w:r w:rsidR="000C262C" w:rsidRPr="00F25FCC">
      <w:rPr>
        <w:rStyle w:val="Nmerodepgina"/>
        <w:rFonts w:ascii="Arial Narrow" w:hAnsi="Arial Narrow"/>
        <w:i/>
      </w:rPr>
      <w:instrText xml:space="preserve">PAGE  </w:instrText>
    </w:r>
    <w:r w:rsidRPr="00F25FCC">
      <w:rPr>
        <w:rStyle w:val="Nmerodepgina"/>
        <w:rFonts w:ascii="Arial Narrow" w:hAnsi="Arial Narrow"/>
        <w:i/>
      </w:rPr>
      <w:fldChar w:fldCharType="separate"/>
    </w:r>
    <w:r w:rsidR="00B97D5F">
      <w:rPr>
        <w:rStyle w:val="Nmerodepgina"/>
        <w:rFonts w:ascii="Arial Narrow" w:hAnsi="Arial Narrow"/>
        <w:i/>
        <w:noProof/>
      </w:rPr>
      <w:t>1072</w:t>
    </w:r>
    <w:r w:rsidRPr="00F25FCC">
      <w:rPr>
        <w:rStyle w:val="Nmerodepgina"/>
        <w:rFonts w:ascii="Arial Narrow" w:hAnsi="Arial Narrow"/>
        <w:i/>
      </w:rPr>
      <w:fldChar w:fldCharType="end"/>
    </w:r>
  </w:p>
  <w:p w:rsidR="000C262C" w:rsidRDefault="000C262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F18" w:rsidRDefault="00890F18" w:rsidP="005A3930">
      <w:pPr>
        <w:spacing w:line="240" w:lineRule="auto"/>
        <w:ind w:firstLine="0"/>
      </w:pPr>
      <w:r>
        <w:separator/>
      </w:r>
    </w:p>
  </w:footnote>
  <w:footnote w:type="continuationSeparator" w:id="0">
    <w:p w:rsidR="00890F18" w:rsidRDefault="00890F18" w:rsidP="005A3930">
      <w:pPr>
        <w:spacing w:line="240" w:lineRule="auto"/>
        <w:ind w:firstLine="0"/>
      </w:pPr>
      <w:r>
        <w:continuationSeparator/>
      </w:r>
    </w:p>
  </w:footnote>
  <w:footnote w:id="1">
    <w:p w:rsidR="000C262C" w:rsidRPr="00AC3E9A"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AC3E9A">
        <w:rPr>
          <w:rFonts w:ascii="Arial Narrow" w:hAnsi="Arial Narrow"/>
          <w:lang w:val="en-US"/>
        </w:rPr>
        <w:t xml:space="preserve"> A. Bullock (1972) 78; W. L. Shirer (1995) I 53.</w:t>
      </w:r>
    </w:p>
  </w:footnote>
  <w:footnote w:id="2">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expressão </w:t>
      </w:r>
      <w:r>
        <w:rPr>
          <w:rFonts w:ascii="Arial Narrow" w:hAnsi="Arial Narrow"/>
        </w:rPr>
        <w:t xml:space="preserve">surgiu </w:t>
      </w:r>
      <w:r w:rsidRPr="003E305A">
        <w:rPr>
          <w:rFonts w:ascii="Arial Narrow" w:hAnsi="Arial Narrow"/>
        </w:rPr>
        <w:t xml:space="preserve">pela primeira vez em Dezembro de 1845 num dos jornais de O’Sullivan, o </w:t>
      </w:r>
      <w:r w:rsidRPr="003E305A">
        <w:rPr>
          <w:rFonts w:ascii="Arial Narrow" w:hAnsi="Arial Narrow"/>
          <w:i/>
        </w:rPr>
        <w:t>New York Morning News</w:t>
      </w:r>
      <w:r w:rsidRPr="003E305A">
        <w:rPr>
          <w:rFonts w:ascii="Arial Narrow" w:hAnsi="Arial Narrow"/>
        </w:rPr>
        <w:t>. Na década seguinte O’Sullivan foi o representante diplomático dos Estados Unidos em Portugal. Ver a este respeito F. Merk (1963) 27-28. É curioso observar que E</w:t>
      </w:r>
      <w:r>
        <w:rPr>
          <w:rFonts w:ascii="Arial Narrow" w:hAnsi="Arial Narrow"/>
        </w:rPr>
        <w:t xml:space="preserve">. </w:t>
      </w:r>
      <w:r w:rsidRPr="003E305A">
        <w:rPr>
          <w:rFonts w:ascii="Arial Narrow" w:hAnsi="Arial Narrow"/>
        </w:rPr>
        <w:t>Weber</w:t>
      </w:r>
      <w:r>
        <w:rPr>
          <w:rFonts w:ascii="Arial Narrow" w:hAnsi="Arial Narrow"/>
        </w:rPr>
        <w:t xml:space="preserve"> </w:t>
      </w:r>
      <w:r w:rsidRPr="00B350B5">
        <w:rPr>
          <w:rFonts w:ascii="Arial Narrow" w:hAnsi="Arial Narrow"/>
        </w:rPr>
        <w:t>(1965 b) 4</w:t>
      </w:r>
      <w:r>
        <w:rPr>
          <w:rFonts w:ascii="Arial Narrow" w:hAnsi="Arial Narrow"/>
        </w:rPr>
        <w:t xml:space="preserve"> </w:t>
      </w:r>
      <w:r w:rsidRPr="003E305A">
        <w:rPr>
          <w:rFonts w:ascii="Arial Narrow" w:hAnsi="Arial Narrow"/>
        </w:rPr>
        <w:t>incluiu o «destino manifesto» entre os «componentes mitológicos da extrema-direita» europeia, deixando prudentemente em suspenso as implicações desta classificação para uma análise das correntes políticas dominantes na democracia norte-americana. Ver igualmente as págs. 7-8.</w:t>
      </w:r>
    </w:p>
  </w:footnote>
  <w:footnote w:id="3">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Este artigo de Engels, publicado na </w:t>
      </w:r>
      <w:r w:rsidRPr="003E305A">
        <w:rPr>
          <w:rFonts w:ascii="Arial Narrow" w:hAnsi="Arial Narrow"/>
          <w:i/>
        </w:rPr>
        <w:t>Neue Rheinische Zeitung</w:t>
      </w:r>
      <w:r>
        <w:rPr>
          <w:rFonts w:ascii="Arial Narrow" w:hAnsi="Arial Narrow"/>
          <w:i/>
        </w:rPr>
        <w:t>,</w:t>
      </w:r>
      <w:r w:rsidRPr="003E305A">
        <w:rPr>
          <w:rFonts w:ascii="Arial Narrow" w:hAnsi="Arial Narrow"/>
        </w:rPr>
        <w:t xml:space="preserve"> Fevereiro de 1849, antologiado em P. W. Blackstock et al. (orgs. 1952) 71 e citado em R. Rosdolsky (1980) 161, segue quase textualmente um artigo publicado a 24 de Julho de 1845 no </w:t>
      </w:r>
      <w:r w:rsidRPr="003E305A">
        <w:rPr>
          <w:rFonts w:ascii="Arial Narrow" w:hAnsi="Arial Narrow"/>
          <w:i/>
        </w:rPr>
        <w:t>Times</w:t>
      </w:r>
      <w:r w:rsidRPr="003E305A">
        <w:rPr>
          <w:rFonts w:ascii="Arial Narrow" w:hAnsi="Arial Narrow"/>
        </w:rPr>
        <w:t xml:space="preserve"> de Hartford, um jornal expansionista editado no Connecticut, como se pode ver em F. Merk (1963) 31.</w:t>
      </w:r>
    </w:p>
  </w:footnote>
  <w:footnote w:id="4">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anexação de Cuba era um dos grandes objectivos do presidente Franklin Pierce, eleito em 1853», escreve</w:t>
      </w:r>
      <w:r>
        <w:rPr>
          <w:rFonts w:ascii="Arial Narrow" w:hAnsi="Arial Narrow"/>
        </w:rPr>
        <w:t>u</w:t>
      </w:r>
      <w:r w:rsidRPr="003E305A">
        <w:rPr>
          <w:rFonts w:ascii="Arial Narrow" w:hAnsi="Arial Narrow"/>
        </w:rPr>
        <w:t xml:space="preserve"> Ch.-H. Pouthas (1948) 280.</w:t>
      </w:r>
    </w:p>
  </w:footnote>
  <w:footnote w:id="5">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simpatia manifestada pelo comodoro Perry para com a doutrina do </w:t>
      </w:r>
      <w:r w:rsidRPr="003E305A">
        <w:rPr>
          <w:rFonts w:ascii="Arial Narrow" w:hAnsi="Arial Narrow"/>
          <w:i/>
        </w:rPr>
        <w:t>manifest destiny</w:t>
      </w:r>
      <w:r w:rsidRPr="003E305A">
        <w:rPr>
          <w:rFonts w:ascii="Arial Narrow" w:hAnsi="Arial Narrow"/>
        </w:rPr>
        <w:t xml:space="preserve"> ver F. Merk (1963) 140-141.</w:t>
      </w:r>
    </w:p>
  </w:footnote>
  <w:footnote w:id="6">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253.</w:t>
      </w:r>
    </w:p>
  </w:footnote>
  <w:footnote w:id="7">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Herman (1997) 176.</w:t>
      </w:r>
    </w:p>
  </w:footnote>
  <w:footnote w:id="8">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E305A">
        <w:rPr>
          <w:rFonts w:ascii="Arial Narrow" w:hAnsi="Arial Narrow"/>
          <w:i/>
        </w:rPr>
        <w:t>«The Far East is now our Far West»,</w:t>
      </w:r>
      <w:r w:rsidRPr="003E305A">
        <w:rPr>
          <w:rFonts w:ascii="Arial Narrow" w:hAnsi="Arial Narrow"/>
        </w:rPr>
        <w:t xml:space="preserve"> escreveu J. Robert Moskin, chefe de redacção para os assuntos internacionais da revista </w:t>
      </w:r>
      <w:r w:rsidRPr="003E305A">
        <w:rPr>
          <w:rFonts w:ascii="Arial Narrow" w:hAnsi="Arial Narrow"/>
          <w:i/>
        </w:rPr>
        <w:t>Look,</w:t>
      </w:r>
      <w:r w:rsidRPr="003E305A">
        <w:rPr>
          <w:rFonts w:ascii="Arial Narrow" w:hAnsi="Arial Narrow"/>
        </w:rPr>
        <w:t xml:space="preserve"> 30 de Maio de 1967, citado por N. Chomsky (1969) 268.</w:t>
      </w:r>
    </w:p>
  </w:footnote>
  <w:footnote w:id="9">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R. Hudson (org. 1999) 533.</w:t>
      </w:r>
    </w:p>
  </w:footnote>
  <w:footnote w:id="1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Depois de observar</w:t>
      </w:r>
      <w:r>
        <w:rPr>
          <w:rFonts w:ascii="Arial Narrow" w:hAnsi="Arial Narrow"/>
        </w:rPr>
        <w:t xml:space="preserve"> (</w:t>
      </w:r>
      <w:r w:rsidRPr="003E305A">
        <w:rPr>
          <w:rFonts w:ascii="Arial Narrow" w:hAnsi="Arial Narrow"/>
        </w:rPr>
        <w:t>pág. 681</w:t>
      </w:r>
      <w:r>
        <w:rPr>
          <w:rFonts w:ascii="Arial Narrow" w:hAnsi="Arial Narrow"/>
        </w:rPr>
        <w:t>)</w:t>
      </w:r>
      <w:r w:rsidRPr="003E305A">
        <w:rPr>
          <w:rFonts w:ascii="Arial Narrow" w:hAnsi="Arial Narrow"/>
        </w:rPr>
        <w:t xml:space="preserve"> que «entre Mussolini e os estadistas e diplomatas britânicos acabou por se estabelecer uma espécie de curiosa cumplicidade», A. Lyttelton (1982) 682 afirm</w:t>
      </w:r>
      <w:r>
        <w:rPr>
          <w:rFonts w:ascii="Arial Narrow" w:hAnsi="Arial Narrow"/>
        </w:rPr>
        <w:t>ou</w:t>
      </w:r>
      <w:r w:rsidRPr="003E305A">
        <w:rPr>
          <w:rFonts w:ascii="Arial Narrow" w:hAnsi="Arial Narrow"/>
        </w:rPr>
        <w:t xml:space="preserve"> que «mesmo Curzon, que nutria por Mussolini uma enorme antipatia, achava conveniente adulá-lo em público».</w:t>
      </w:r>
    </w:p>
  </w:footnote>
  <w:footnote w:id="11">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P. Milza (1999) 426.</w:t>
      </w:r>
    </w:p>
  </w:footnote>
  <w:footnote w:id="12">
    <w:p w:rsidR="000C262C" w:rsidRPr="002B07C7" w:rsidRDefault="000C262C" w:rsidP="00E86B76">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G. M. Gilbert (1954) 686. Antes da guerra o jurista </w:t>
      </w:r>
      <w:r>
        <w:rPr>
          <w:rFonts w:ascii="Arial Narrow" w:hAnsi="Arial Narrow"/>
        </w:rPr>
        <w:t>nacional-socialista</w:t>
      </w:r>
      <w:r w:rsidRPr="003E305A">
        <w:rPr>
          <w:rFonts w:ascii="Arial Narrow" w:hAnsi="Arial Narrow"/>
        </w:rPr>
        <w:t xml:space="preserve"> Carl Schmitt invocara a doutrina Monroe para justificar a política expansionista do Führer, como se lê em </w:t>
      </w:r>
      <w:r w:rsidR="00865F49" w:rsidRPr="00DF7738">
        <w:rPr>
          <w:rFonts w:ascii="Arial Narrow" w:hAnsi="Arial Narrow"/>
        </w:rPr>
        <w:t xml:space="preserve">A. J. Gregor (2005) 328-329, </w:t>
      </w:r>
      <w:r w:rsidRPr="003E305A">
        <w:rPr>
          <w:rFonts w:ascii="Arial Narrow" w:hAnsi="Arial Narrow"/>
        </w:rPr>
        <w:t xml:space="preserve">M. Lucena (1976) 661 e G. Lukács (1980) 661. E no seu discurso perante o Reichstag em 28 de Abril de 1939, respondendo às propostas de paz efectuadas por Roosevelt duas semanas antes, Hitler afirmou que «nós, os alemães, professamos a mesma doutrina [Monroe] quanto à Europa, pelo menos no que diz respeito à esfera de influência e aos interesses do Reich germânico». </w:t>
      </w:r>
      <w:r w:rsidRPr="008B3ED7">
        <w:rPr>
          <w:rFonts w:ascii="Arial Narrow" w:hAnsi="Arial Narrow"/>
        </w:rPr>
        <w:t xml:space="preserve">Ver Benoist-Méchin (1964-1966) VI 87-88. Em Novembro do ano seguinte, ao encontrar-se em Berlim com Molotov, o Führer disse-lhe que o Reich estava a conduzir conversações com a França, a Itália e a Espanha para estabelecerem na Europa e na África «uma espécie de Doutrina Monroe». </w:t>
      </w:r>
      <w:r w:rsidRPr="002B07C7">
        <w:rPr>
          <w:rFonts w:ascii="Arial Narrow" w:hAnsi="Arial Narrow"/>
        </w:rPr>
        <w:t>Ver J. Noakes et al. (orgs. 2008-2010) III 194.</w:t>
      </w:r>
    </w:p>
  </w:footnote>
  <w:footnote w:id="13">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Ba (1968) 106. Como se fosse a coisa mais óbvia, ao descrever as ideias do marechal Terauchi, supremo comandante das forças armadas nipónicas no sudeste asiático, Ba Maw</w:t>
      </w:r>
      <w:r>
        <w:rPr>
          <w:rFonts w:ascii="Arial Narrow" w:hAnsi="Arial Narrow"/>
        </w:rPr>
        <w:t>,</w:t>
      </w:r>
      <w:r w:rsidRPr="003E305A">
        <w:rPr>
          <w:rFonts w:ascii="Arial Narrow" w:hAnsi="Arial Narrow"/>
        </w:rPr>
        <w:t xml:space="preserve"> </w:t>
      </w:r>
      <w:r w:rsidRPr="00C76578">
        <w:rPr>
          <w:rFonts w:ascii="Arial Narrow" w:hAnsi="Arial Narrow"/>
        </w:rPr>
        <w:t>op. cit.,</w:t>
      </w:r>
      <w:r w:rsidRPr="003E305A">
        <w:rPr>
          <w:rFonts w:ascii="Arial Narrow" w:hAnsi="Arial Narrow"/>
        </w:rPr>
        <w:t xml:space="preserve"> 308 refer</w:t>
      </w:r>
      <w:r>
        <w:rPr>
          <w:rFonts w:ascii="Arial Narrow" w:hAnsi="Arial Narrow"/>
        </w:rPr>
        <w:t>iu</w:t>
      </w:r>
      <w:r w:rsidRPr="003E305A">
        <w:rPr>
          <w:rFonts w:ascii="Arial Narrow" w:hAnsi="Arial Narrow"/>
        </w:rPr>
        <w:t xml:space="preserve"> o «destino manifesto do Japão».</w:t>
      </w:r>
    </w:p>
  </w:footnote>
  <w:footnote w:id="14">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fr-FR"/>
        </w:rPr>
        <w:t xml:space="preserve"> C. Carson, «African Americans at War», em I. C. B. Dear et al. (orgs. 1995) 5; G. H. Roeder Jr. </w:t>
      </w:r>
      <w:r w:rsidRPr="003E305A">
        <w:rPr>
          <w:rFonts w:ascii="Arial Narrow" w:hAnsi="Arial Narrow"/>
          <w:lang w:val="en-GB"/>
        </w:rPr>
        <w:t>(1993) 47.</w:t>
      </w:r>
    </w:p>
  </w:footnote>
  <w:footnote w:id="15">
    <w:p w:rsidR="000C262C" w:rsidRPr="005A3930"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 Carson, «African Americans at War», em I. C. B. Dear et al. </w:t>
      </w:r>
      <w:r w:rsidRPr="005A3930">
        <w:rPr>
          <w:rFonts w:ascii="Arial Narrow" w:hAnsi="Arial Narrow"/>
          <w:lang w:val="en-GB"/>
        </w:rPr>
        <w:t>(orgs. 1995) 5.</w:t>
      </w:r>
    </w:p>
  </w:footnote>
  <w:footnote w:id="16">
    <w:p w:rsidR="000C262C" w:rsidRPr="005A3930"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5A3930">
        <w:rPr>
          <w:rFonts w:ascii="Arial Narrow" w:hAnsi="Arial Narrow"/>
          <w:lang w:val="en-GB"/>
        </w:rPr>
        <w:t xml:space="preserve"> Citad</w:t>
      </w:r>
      <w:r>
        <w:rPr>
          <w:rFonts w:ascii="Arial Narrow" w:hAnsi="Arial Narrow"/>
          <w:lang w:val="en-GB"/>
        </w:rPr>
        <w:t>a</w:t>
      </w:r>
      <w:r w:rsidRPr="005A3930">
        <w:rPr>
          <w:rFonts w:ascii="Arial Narrow" w:hAnsi="Arial Narrow"/>
          <w:lang w:val="en-GB"/>
        </w:rPr>
        <w:t xml:space="preserve"> em id., ibid., 5. Ver também R. Polenberg (1972) 105.</w:t>
      </w:r>
    </w:p>
  </w:footnote>
  <w:footnote w:id="17">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5A3930">
        <w:rPr>
          <w:rFonts w:ascii="Arial Narrow" w:hAnsi="Arial Narrow"/>
          <w:lang w:val="en-GB"/>
        </w:rPr>
        <w:t xml:space="preserve"> J. M. Blum (1976) 184; C. Carson, «African Americans at War», em I. C. B. Dear et al. </w:t>
      </w:r>
      <w:r w:rsidRPr="003E305A">
        <w:rPr>
          <w:rFonts w:ascii="Arial Narrow" w:hAnsi="Arial Narrow"/>
          <w:lang w:val="en-GB"/>
        </w:rPr>
        <w:t>(orgs. 1995) 5.</w:t>
      </w:r>
    </w:p>
  </w:footnote>
  <w:footnote w:id="18">
    <w:p w:rsidR="000C262C" w:rsidRPr="00AB6578" w:rsidRDefault="000C262C">
      <w:pPr>
        <w:pStyle w:val="Textodenotaderodap"/>
        <w:rPr>
          <w:rFonts w:ascii="Arial Narrow" w:hAnsi="Arial Narrow"/>
          <w:lang w:val="en-US"/>
        </w:rPr>
      </w:pPr>
      <w:r w:rsidRPr="00AB6578">
        <w:rPr>
          <w:rStyle w:val="Refdenotaderodap"/>
          <w:rFonts w:ascii="Arial Narrow" w:hAnsi="Arial Narrow"/>
        </w:rPr>
        <w:footnoteRef/>
      </w:r>
      <w:r w:rsidRPr="00AB6578">
        <w:rPr>
          <w:rFonts w:ascii="Arial Narrow" w:hAnsi="Arial Narrow"/>
          <w:lang w:val="en-US"/>
        </w:rPr>
        <w:t xml:space="preserve"> </w:t>
      </w:r>
      <w:r>
        <w:rPr>
          <w:rFonts w:ascii="Arial Narrow" w:hAnsi="Arial Narrow"/>
          <w:lang w:val="en-US"/>
        </w:rPr>
        <w:t>M. Gilbert (2011 a) II 536.</w:t>
      </w:r>
    </w:p>
  </w:footnote>
  <w:footnote w:id="19">
    <w:p w:rsidR="000C262C" w:rsidRPr="000F6F91" w:rsidRDefault="000C262C">
      <w:pPr>
        <w:pStyle w:val="Textodenotaderodap"/>
        <w:rPr>
          <w:rFonts w:ascii="Arial Narrow" w:hAnsi="Arial Narrow"/>
          <w:lang w:val="en-US"/>
        </w:rPr>
      </w:pPr>
      <w:r w:rsidRPr="000F6F91">
        <w:rPr>
          <w:rStyle w:val="Refdenotaderodap"/>
          <w:rFonts w:ascii="Arial Narrow" w:hAnsi="Arial Narrow"/>
        </w:rPr>
        <w:footnoteRef/>
      </w:r>
      <w:r w:rsidRPr="000F6F91">
        <w:rPr>
          <w:rFonts w:ascii="Arial Narrow" w:hAnsi="Arial Narrow"/>
          <w:lang w:val="en-US"/>
        </w:rPr>
        <w:t xml:space="preserve"> </w:t>
      </w:r>
      <w:r>
        <w:rPr>
          <w:rFonts w:ascii="Arial Narrow" w:hAnsi="Arial Narrow"/>
          <w:lang w:val="en-US"/>
        </w:rPr>
        <w:t>Th. Russell (2011) 177, 199.</w:t>
      </w:r>
    </w:p>
  </w:footnote>
  <w:footnote w:id="20">
    <w:p w:rsidR="000C262C" w:rsidRPr="003E305A" w:rsidRDefault="000C262C" w:rsidP="00B70CEA">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M. Blum (1976) 184, 208-209; C. Carson, «African Americans at War», em I. C. B. Dear et al. </w:t>
      </w:r>
      <w:r w:rsidRPr="00740F64">
        <w:rPr>
          <w:rFonts w:ascii="Arial Narrow" w:hAnsi="Arial Narrow"/>
        </w:rPr>
        <w:t xml:space="preserve">(orgs. 1995) 5; R. Polenberg (1972) 123-124; G. H. Roeder Jr. (1993) 44-45. Quando um fascista francês, três anos depois de terminada a guerra, escreveu que «o preto americano que, por cima das casas de uma cidade, baixa tranquilamente a alavanca do seu depósito de bombas parece-me ainda mais desumano, ainda mais monstruoso, do que o guarda prisional que, no nosso imaginário, acompanha até ao duche mortal as sinistras levas de Treblinka», esse «preto americano» era igualmente uma figura do seu imaginário. </w:t>
      </w:r>
      <w:r>
        <w:rPr>
          <w:rFonts w:ascii="Arial Narrow" w:hAnsi="Arial Narrow"/>
          <w:lang w:val="en-GB"/>
        </w:rPr>
        <w:t>Ver M. Bardèche (1948) 198.</w:t>
      </w:r>
    </w:p>
  </w:footnote>
  <w:footnote w:id="21">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 Carson, «African Americans at War», em I. C. B. Dear et al. (orgs. 1995) 6; G. H. Roeder Jr. (1993) 41.</w:t>
      </w:r>
    </w:p>
  </w:footnote>
  <w:footnote w:id="22">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G. H. Roeder Jr. (1993) 57, 79.</w:t>
      </w:r>
    </w:p>
  </w:footnote>
  <w:footnote w:id="23">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3E305A">
        <w:rPr>
          <w:rFonts w:ascii="Arial Narrow" w:hAnsi="Arial Narrow"/>
          <w:lang w:val="en-GB"/>
        </w:rPr>
        <w:t xml:space="preserve"> J. M. Blum (1976) 185; C. Carson, «African Americans at War», em I. C. B. Dear et al. </w:t>
      </w:r>
      <w:r w:rsidRPr="00B2463D">
        <w:rPr>
          <w:rFonts w:ascii="Arial Narrow" w:hAnsi="Arial Narrow"/>
          <w:lang w:val="de-DE"/>
        </w:rPr>
        <w:t>(orgs. 1995) 6; R. Polenberg (1972) 124.</w:t>
      </w:r>
    </w:p>
  </w:footnote>
  <w:footnote w:id="24">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Polenberg (1972) 125.</w:t>
      </w:r>
    </w:p>
  </w:footnote>
  <w:footnote w:id="25">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G. H. Roeder Jr. (1993) 46, 78.</w:t>
      </w:r>
    </w:p>
  </w:footnote>
  <w:footnote w:id="26">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Id., ibid., 44.</w:t>
      </w:r>
    </w:p>
  </w:footnote>
  <w:footnote w:id="27">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M. Blum (1976) 190-191; C. Carson, «African Americans at War», em I. C. B. Dear et al. (orgs. 1995) 6; G. H. Roeder Jr. (1993) 123.</w:t>
      </w:r>
    </w:p>
  </w:footnote>
  <w:footnote w:id="28">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C. R. Koppes, «</w:t>
      </w:r>
      <w:smartTag w:uri="urn:schemas-microsoft-com:office:smarttags" w:element="place">
        <w:r w:rsidRPr="003E305A">
          <w:rPr>
            <w:rFonts w:ascii="Arial Narrow" w:hAnsi="Arial Narrow"/>
            <w:lang w:val="en-GB"/>
          </w:rPr>
          <w:t>Hollywood</w:t>
        </w:r>
      </w:smartTag>
      <w:r w:rsidRPr="003E305A">
        <w:rPr>
          <w:rFonts w:ascii="Arial Narrow" w:hAnsi="Arial Narrow"/>
          <w:lang w:val="en-GB"/>
        </w:rPr>
        <w:t xml:space="preserve">», em I. C. B. Dear et al. </w:t>
      </w:r>
      <w:r w:rsidRPr="005A3930">
        <w:rPr>
          <w:rFonts w:ascii="Arial Narrow" w:hAnsi="Arial Narrow"/>
        </w:rPr>
        <w:t xml:space="preserve">(orgs. </w:t>
      </w:r>
      <w:r w:rsidRPr="003E305A">
        <w:rPr>
          <w:rFonts w:ascii="Arial Narrow" w:hAnsi="Arial Narrow"/>
        </w:rPr>
        <w:t xml:space="preserve">1995) 542; G. H. Roeder Jr. (1993) 46. Trata-se do filme </w:t>
      </w:r>
      <w:r w:rsidRPr="003E305A">
        <w:rPr>
          <w:rFonts w:ascii="Arial Narrow" w:hAnsi="Arial Narrow"/>
          <w:i/>
        </w:rPr>
        <w:t>Bataan</w:t>
      </w:r>
      <w:r w:rsidRPr="003E305A">
        <w:rPr>
          <w:rFonts w:ascii="Arial Narrow" w:hAnsi="Arial Narrow"/>
        </w:rPr>
        <w:t>.</w:t>
      </w:r>
    </w:p>
  </w:footnote>
  <w:footnote w:id="29">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G. H. Roeder Jr. (1993) 47.</w:t>
      </w:r>
    </w:p>
  </w:footnote>
  <w:footnote w:id="30">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57, 75.</w:t>
      </w:r>
    </w:p>
  </w:footnote>
  <w:footnote w:id="31">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123.</w:t>
      </w:r>
    </w:p>
  </w:footnote>
  <w:footnote w:id="32">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53-56.</w:t>
      </w:r>
    </w:p>
  </w:footnote>
  <w:footnote w:id="33">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99.</w:t>
      </w:r>
    </w:p>
  </w:footnote>
  <w:footnote w:id="34">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103.</w:t>
      </w:r>
    </w:p>
  </w:footnote>
  <w:footnote w:id="35">
    <w:p w:rsidR="000C262C" w:rsidRPr="00DD06C0" w:rsidRDefault="000C262C">
      <w:pPr>
        <w:pStyle w:val="Textodenotaderodap"/>
        <w:rPr>
          <w:rFonts w:ascii="Arial Narrow" w:hAnsi="Arial Narrow"/>
          <w:lang w:val="en-US"/>
        </w:rPr>
      </w:pPr>
      <w:r w:rsidRPr="00DD06C0">
        <w:rPr>
          <w:rStyle w:val="Refdenotaderodap"/>
          <w:rFonts w:ascii="Arial Narrow" w:hAnsi="Arial Narrow"/>
        </w:rPr>
        <w:footnoteRef/>
      </w:r>
      <w:r w:rsidRPr="00DD06C0">
        <w:rPr>
          <w:rFonts w:ascii="Arial Narrow" w:hAnsi="Arial Narrow"/>
          <w:lang w:val="en-US"/>
        </w:rPr>
        <w:t xml:space="preserve"> </w:t>
      </w:r>
      <w:r>
        <w:rPr>
          <w:rFonts w:ascii="Arial Narrow" w:hAnsi="Arial Narrow"/>
          <w:lang w:val="en-US"/>
        </w:rPr>
        <w:t>Th. Russell (2011) 271.</w:t>
      </w:r>
    </w:p>
  </w:footnote>
  <w:footnote w:id="36">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 Carson, «African Americans at War», em I. C. B. Dear et al. (orgs. 1995) 6; R. Polenberg (1972) 126; G. H. Roeder Jr. (1993) 3, 56.</w:t>
      </w:r>
    </w:p>
  </w:footnote>
  <w:footnote w:id="3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C. Carson, «African Americans at War», em I. C. B. Dear et al. </w:t>
      </w:r>
      <w:r w:rsidRPr="003E305A">
        <w:rPr>
          <w:rFonts w:ascii="Arial Narrow" w:hAnsi="Arial Narrow"/>
        </w:rPr>
        <w:t>(orgs. 1995) 6.</w:t>
      </w:r>
    </w:p>
  </w:footnote>
  <w:footnote w:id="38">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8.</w:t>
      </w:r>
    </w:p>
  </w:footnote>
  <w:footnote w:id="39">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Citada em G. H. Roeder Jr. (1993) 45.</w:t>
      </w:r>
    </w:p>
  </w:footnote>
  <w:footnote w:id="4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J. M. Blum (1976) 183-184; R. Polenberg (1972) 114-115.</w:t>
      </w:r>
    </w:p>
  </w:footnote>
  <w:footnote w:id="41">
    <w:p w:rsidR="000C262C" w:rsidRPr="00B2463D" w:rsidRDefault="000C262C" w:rsidP="005A393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M. Tragtenberg (2005) 126.</w:t>
      </w:r>
    </w:p>
  </w:footnote>
  <w:footnote w:id="42">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191; R. Polenberg (1972) 115, 120-122.</w:t>
      </w:r>
    </w:p>
  </w:footnote>
  <w:footnote w:id="43">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3E305A">
        <w:rPr>
          <w:rFonts w:ascii="Arial Narrow" w:hAnsi="Arial Narrow"/>
          <w:lang w:val="en-GB"/>
        </w:rPr>
        <w:t xml:space="preserve"> J. M. Blum (1976) 202-204; C. Carson, «African Americans at War», em I. C. B. Dear et al. </w:t>
      </w:r>
      <w:r w:rsidRPr="00B2463D">
        <w:rPr>
          <w:rFonts w:ascii="Arial Narrow" w:hAnsi="Arial Narrow"/>
          <w:lang w:val="de-DE"/>
        </w:rPr>
        <w:t>(orgs. 1995) 6-8; R. Polenberg (1972) 127-128; G. H. Roeder Jr. (1993) 57-58, 122, 167 n. 4.</w:t>
      </w:r>
    </w:p>
  </w:footnote>
  <w:footnote w:id="44">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M. E. Buenafe (1950) 97-98.</w:t>
      </w:r>
    </w:p>
  </w:footnote>
  <w:footnote w:id="45">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149-154.</w:t>
      </w:r>
    </w:p>
  </w:footnote>
  <w:footnote w:id="46">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C. Carson et al., «German-American Bund», em I. C. B. Dear et al. (orgs. 1995) 432-433.</w:t>
      </w:r>
    </w:p>
  </w:footnote>
  <w:footnote w:id="47">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172; R. Polenberg (1972) 41-43.</w:t>
      </w:r>
    </w:p>
  </w:footnote>
  <w:footnote w:id="48">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R. Storry (1990) 153-154, 163.</w:t>
      </w:r>
    </w:p>
  </w:footnote>
  <w:footnote w:id="49">
    <w:p w:rsidR="00E51CCF" w:rsidRPr="003E305A" w:rsidRDefault="00E51CCF" w:rsidP="00E51CCF">
      <w:pPr>
        <w:pStyle w:val="Textodenotaderodap"/>
        <w:ind w:firstLine="708"/>
        <w:rPr>
          <w:rFonts w:ascii="Arial Narrow" w:hAnsi="Arial Narrow"/>
        </w:rPr>
      </w:pPr>
      <w:r w:rsidRPr="003E305A">
        <w:rPr>
          <w:rStyle w:val="Refdenotaderodap"/>
          <w:rFonts w:ascii="Arial Narrow" w:hAnsi="Arial Narrow"/>
        </w:rPr>
        <w:footnoteRef/>
      </w:r>
      <w:r w:rsidRPr="00853C55">
        <w:rPr>
          <w:rFonts w:ascii="Arial Narrow" w:hAnsi="Arial Narrow"/>
          <w:lang w:val="en-US"/>
        </w:rPr>
        <w:t xml:space="preserve"> W. G. Beasley (1981) 207-208. </w:t>
      </w:r>
      <w:r w:rsidRPr="003E305A">
        <w:rPr>
          <w:rFonts w:ascii="Arial Narrow" w:hAnsi="Arial Narrow"/>
        </w:rPr>
        <w:t>Segundo este autor (pág. 208), a proposta japonesa recebeu o apoio dos delegados da Checoslováquia, da China, da França, da Grécia, da Itália e da Polónia, mas deparou com a inabalável oposição dos representantes d</w:t>
      </w:r>
      <w:r w:rsidR="00443BE2">
        <w:rPr>
          <w:rFonts w:ascii="Arial Narrow" w:hAnsi="Arial Narrow"/>
        </w:rPr>
        <w:t>o</w:t>
      </w:r>
      <w:r w:rsidRPr="003E305A">
        <w:rPr>
          <w:rFonts w:ascii="Arial Narrow" w:hAnsi="Arial Narrow"/>
        </w:rPr>
        <w:t xml:space="preserve"> </w:t>
      </w:r>
      <w:r w:rsidR="00443BE2">
        <w:rPr>
          <w:rFonts w:ascii="Arial Narrow" w:hAnsi="Arial Narrow"/>
        </w:rPr>
        <w:t xml:space="preserve">Reino Unido </w:t>
      </w:r>
      <w:r w:rsidRPr="003E305A">
        <w:rPr>
          <w:rFonts w:ascii="Arial Narrow" w:hAnsi="Arial Narrow"/>
        </w:rPr>
        <w:t>e dos Estados Unidos.</w:t>
      </w:r>
      <w:r>
        <w:rPr>
          <w:rFonts w:ascii="Arial Narrow" w:hAnsi="Arial Narrow"/>
        </w:rPr>
        <w:t xml:space="preserve"> Ver igual</w:t>
      </w:r>
      <w:r w:rsidR="00B97D5F">
        <w:rPr>
          <w:rFonts w:ascii="Arial Narrow" w:hAnsi="Arial Narrow"/>
        </w:rPr>
        <w:t>mente H. G. Dahms (1968) I 341 e a n. 2 no capítulo 2 da Parte 6.</w:t>
      </w:r>
    </w:p>
  </w:footnote>
  <w:footnote w:id="50">
    <w:p w:rsidR="000C262C" w:rsidRPr="00B2463D" w:rsidRDefault="000C262C" w:rsidP="005A393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A. Hitler (1995) 400.</w:t>
      </w:r>
    </w:p>
  </w:footnote>
  <w:footnote w:id="51">
    <w:p w:rsidR="000C262C" w:rsidRPr="005B1F63"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B2463D">
        <w:rPr>
          <w:rFonts w:ascii="Arial Narrow" w:hAnsi="Arial Narrow"/>
        </w:rPr>
        <w:t xml:space="preserve"> Benoist-Méchin (1964-1966) IV 26-27; J. M. Blum (1976) 156; C. Carson, «Japanese-Americans», em I. C. B. Dear et al. (orgs. </w:t>
      </w:r>
      <w:r w:rsidRPr="003E305A">
        <w:rPr>
          <w:rFonts w:ascii="Arial Narrow" w:hAnsi="Arial Narrow"/>
        </w:rPr>
        <w:t xml:space="preserve">1995) 632-633; </w:t>
      </w:r>
      <w:r w:rsidRPr="003E305A">
        <w:rPr>
          <w:rFonts w:ascii="Arial Narrow" w:hAnsi="Arial Narrow"/>
          <w:i/>
        </w:rPr>
        <w:t>The Economist,</w:t>
      </w:r>
      <w:r w:rsidRPr="003E305A">
        <w:rPr>
          <w:rFonts w:ascii="Arial Narrow" w:hAnsi="Arial Narrow"/>
        </w:rPr>
        <w:t xml:space="preserve"> 1 de Fevereiro de 1992, pág. 47; G. H. Roeder Jr. </w:t>
      </w:r>
      <w:r w:rsidRPr="005B1F63">
        <w:rPr>
          <w:rFonts w:ascii="Arial Narrow" w:hAnsi="Arial Narrow"/>
          <w:lang w:val="en-US"/>
        </w:rPr>
        <w:t>(1993) 86; R. Storry (1990) 170-171.</w:t>
      </w:r>
    </w:p>
  </w:footnote>
  <w:footnote w:id="52">
    <w:p w:rsidR="000C262C" w:rsidRPr="005B1F63" w:rsidRDefault="000C262C">
      <w:pPr>
        <w:pStyle w:val="Textodenotaderodap"/>
        <w:rPr>
          <w:rFonts w:ascii="Arial Narrow" w:hAnsi="Arial Narrow"/>
          <w:lang w:val="en-US"/>
        </w:rPr>
      </w:pPr>
      <w:r w:rsidRPr="00A1144D">
        <w:rPr>
          <w:rStyle w:val="Refdenotaderodap"/>
          <w:rFonts w:ascii="Arial Narrow" w:hAnsi="Arial Narrow"/>
        </w:rPr>
        <w:footnoteRef/>
      </w:r>
      <w:r w:rsidRPr="005B1F63">
        <w:rPr>
          <w:rFonts w:ascii="Arial Narrow" w:hAnsi="Arial Narrow"/>
          <w:lang w:val="en-US"/>
        </w:rPr>
        <w:t xml:space="preserve"> Th. Russell (2011) 274.</w:t>
      </w:r>
    </w:p>
  </w:footnote>
  <w:footnote w:id="53">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5B1F63">
        <w:rPr>
          <w:rFonts w:ascii="Arial Narrow" w:hAnsi="Arial Narrow"/>
          <w:lang w:val="en-US"/>
        </w:rPr>
        <w:t xml:space="preserve"> J. M. Blum (1976) 155-156, 159-161; C. Carson, «Japanese-Americans», em I. C. B. Dear et al. </w:t>
      </w:r>
      <w:r w:rsidRPr="003E305A">
        <w:rPr>
          <w:rFonts w:ascii="Arial Narrow" w:hAnsi="Arial Narrow"/>
        </w:rPr>
        <w:t>(orgs. 1995) 633; R. Polenberg (1972) 60-61, 66; G. H. Roeder Jr. (1993) 90-91.</w:t>
      </w:r>
    </w:p>
  </w:footnote>
  <w:footnote w:id="54">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Citado </w:t>
      </w:r>
      <w:r w:rsidRPr="003E305A">
        <w:rPr>
          <w:rFonts w:ascii="Arial Narrow" w:hAnsi="Arial Narrow"/>
        </w:rPr>
        <w:t>em J. M. Blum (1976) 160 e R. Polenberg (1972) 63.</w:t>
      </w:r>
    </w:p>
  </w:footnote>
  <w:footnote w:id="55">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R. Polenberg (1972) 62.</w:t>
      </w:r>
      <w:r w:rsidR="00652056">
        <w:rPr>
          <w:rFonts w:ascii="Arial Narrow" w:hAnsi="Arial Narrow"/>
        </w:rPr>
        <w:t xml:space="preserve"> Ver também </w:t>
      </w:r>
      <w:r w:rsidR="00652056" w:rsidRPr="00DC2388">
        <w:rPr>
          <w:rFonts w:ascii="Arial Narrow" w:hAnsi="Arial Narrow"/>
        </w:rPr>
        <w:t>M. Mayer (1966) 269.</w:t>
      </w:r>
    </w:p>
  </w:footnote>
  <w:footnote w:id="56">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DC2388">
        <w:rPr>
          <w:rFonts w:ascii="Arial Narrow" w:hAnsi="Arial Narrow"/>
          <w:lang w:val="en-US"/>
        </w:rPr>
        <w:t xml:space="preserve"> «Internment», em I. C. B. Dear et al. </w:t>
      </w:r>
      <w:r w:rsidRPr="003E305A">
        <w:rPr>
          <w:rFonts w:ascii="Arial Narrow" w:hAnsi="Arial Narrow"/>
        </w:rPr>
        <w:t>(orgs. 1995) 570.</w:t>
      </w:r>
    </w:p>
  </w:footnote>
  <w:footnote w:id="5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própria ausência de quaisquer actos explícitos de sabotagem provocava suspeitas», relat</w:t>
      </w:r>
      <w:r>
        <w:rPr>
          <w:rFonts w:ascii="Arial Narrow" w:hAnsi="Arial Narrow"/>
        </w:rPr>
        <w:t>ou</w:t>
      </w:r>
      <w:r w:rsidRPr="003E305A">
        <w:rPr>
          <w:rFonts w:ascii="Arial Narrow" w:hAnsi="Arial Narrow"/>
        </w:rPr>
        <w:t xml:space="preserve"> R. Polenberg (1972) 63, «porque era considerada uma prova da existência de planos cuidadosamente preparados».</w:t>
      </w:r>
    </w:p>
  </w:footnote>
  <w:footnote w:id="58">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164-165; R. Polenberg (1972) 68.</w:t>
      </w:r>
    </w:p>
  </w:footnote>
  <w:footnote w:id="59">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160; R. Polenberg (1972) 70; G. H. Roeder Jr. (1993) 91.</w:t>
      </w:r>
    </w:p>
  </w:footnote>
  <w:footnote w:id="60">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C. Carson, «Japanese-Americans», em I. C. B. Dear et al. (orgs. 1995) 634; R. Polenberg (1972) 70.</w:t>
      </w:r>
    </w:p>
  </w:footnote>
  <w:footnote w:id="61">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46; G. H. Roeder Jr. (1993) 90.</w:t>
      </w:r>
    </w:p>
  </w:footnote>
  <w:footnote w:id="62">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L. Granatstein, «Japanese-Canadians», em I. C. B. Dear et al. (orgs. 1995) 634.</w:t>
      </w:r>
    </w:p>
  </w:footnote>
  <w:footnote w:id="63">
    <w:p w:rsidR="000C262C" w:rsidRPr="00946B1F" w:rsidRDefault="000C262C">
      <w:pPr>
        <w:pStyle w:val="Textodenotaderodap"/>
        <w:rPr>
          <w:rFonts w:ascii="Arial Narrow" w:hAnsi="Arial Narrow"/>
        </w:rPr>
      </w:pPr>
      <w:r w:rsidRPr="001A0221">
        <w:rPr>
          <w:rStyle w:val="Refdenotaderodap"/>
          <w:rFonts w:ascii="Arial Narrow" w:hAnsi="Arial Narrow"/>
        </w:rPr>
        <w:footnoteRef/>
      </w:r>
      <w:r w:rsidRPr="00946B1F">
        <w:rPr>
          <w:rFonts w:ascii="Arial Narrow" w:hAnsi="Arial Narrow"/>
        </w:rPr>
        <w:t xml:space="preserve"> Citado em M. Gilbert (2011 b) II 690.</w:t>
      </w:r>
      <w:r w:rsidR="00343293">
        <w:rPr>
          <w:rFonts w:ascii="Arial Narrow" w:hAnsi="Arial Narrow"/>
        </w:rPr>
        <w:t xml:space="preserve"> No entanto, ver neste capítulo a n. 19</w:t>
      </w:r>
      <w:r w:rsidR="00572BB6">
        <w:rPr>
          <w:rFonts w:ascii="Arial Narrow" w:hAnsi="Arial Narrow"/>
        </w:rPr>
        <w:t>2</w:t>
      </w:r>
      <w:r w:rsidR="00343293">
        <w:rPr>
          <w:rFonts w:ascii="Arial Narrow" w:hAnsi="Arial Narrow"/>
        </w:rPr>
        <w:t>.</w:t>
      </w:r>
    </w:p>
  </w:footnote>
  <w:footnote w:id="64">
    <w:p w:rsidR="000C262C" w:rsidRPr="00853C55"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B2463D">
        <w:rPr>
          <w:rFonts w:ascii="Arial Narrow" w:hAnsi="Arial Narrow"/>
          <w:lang w:val="de-DE"/>
        </w:rPr>
        <w:t xml:space="preserve"> J. M. Blum (1976) 46-47; R. Polenberg (1972) 135; G. H. Roeder Jr. </w:t>
      </w:r>
      <w:r w:rsidRPr="00853C55">
        <w:rPr>
          <w:rFonts w:ascii="Arial Narrow" w:hAnsi="Arial Narrow"/>
          <w:lang w:val="en-US"/>
        </w:rPr>
        <w:t>(1993) 86, 109.</w:t>
      </w:r>
    </w:p>
  </w:footnote>
  <w:footnote w:id="65">
    <w:p w:rsidR="000C262C" w:rsidRPr="00853C55"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853C55">
        <w:rPr>
          <w:rFonts w:ascii="Arial Narrow" w:hAnsi="Arial Narrow"/>
          <w:lang w:val="en-US"/>
        </w:rPr>
        <w:t xml:space="preserve"> J. M. Blum (1976) 46.</w:t>
      </w:r>
    </w:p>
  </w:footnote>
  <w:footnote w:id="66">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G. H. Roeder Jr. (1993) 87.</w:t>
      </w:r>
    </w:p>
  </w:footnote>
  <w:footnote w:id="6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45-46, 86, 173 n. 12. Trata-se do filme </w:t>
      </w:r>
      <w:r w:rsidRPr="003E305A">
        <w:rPr>
          <w:rFonts w:ascii="Arial Narrow" w:hAnsi="Arial Narrow"/>
          <w:i/>
        </w:rPr>
        <w:t>Sahara</w:t>
      </w:r>
      <w:r w:rsidRPr="003E305A">
        <w:rPr>
          <w:rFonts w:ascii="Arial Narrow" w:hAnsi="Arial Narrow"/>
        </w:rPr>
        <w:t>.</w:t>
      </w:r>
    </w:p>
  </w:footnote>
  <w:footnote w:id="68">
    <w:p w:rsidR="000C262C" w:rsidRPr="00B2463D"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134, 175 n. 27.</w:t>
      </w:r>
    </w:p>
  </w:footnote>
  <w:footnote w:id="69">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en-GB"/>
        </w:rPr>
        <w:t xml:space="preserve"> Sir Henry Rawlinson citado em Th. </w:t>
      </w:r>
      <w:r w:rsidRPr="00B2463D">
        <w:rPr>
          <w:rFonts w:ascii="Arial Narrow" w:hAnsi="Arial Narrow"/>
          <w:lang w:val="de-DE"/>
        </w:rPr>
        <w:t>Pakenham (1999) 339.</w:t>
      </w:r>
    </w:p>
  </w:footnote>
  <w:footnote w:id="7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J. M. Blum (1976) 183; R. Polenberg (1972) 100; G. H. Roeder Jr. </w:t>
      </w:r>
      <w:r w:rsidRPr="003E305A">
        <w:rPr>
          <w:rFonts w:ascii="Arial Narrow" w:hAnsi="Arial Narrow"/>
        </w:rPr>
        <w:t>(1993) 87, 122.</w:t>
      </w:r>
    </w:p>
  </w:footnote>
  <w:footnote w:id="71">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D. Cronon (1968) 36. Segundo este historiador (pág. 166), no período entre as duas guerras mundiais foi fundada sob a influência das doutrinas expendidas por Marcus Garvey, mas fora do âmbito da UNIA, uma organização que tentava mobilizar os negros norte-americanos em apoio ao Japão. Todavia, a crer em A. Herman (1997) 213, Garvey admitia que, em troca da sua emancipação política, os negros ajudassem militarmente os brancos contra os impérios asiáticos do Japão e da China.</w:t>
      </w:r>
    </w:p>
  </w:footnote>
  <w:footnote w:id="72">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Polenberg (1972) 101.</w:t>
      </w:r>
    </w:p>
  </w:footnote>
  <w:footnote w:id="73">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G. H. Roeder Jr. (1993) 50.</w:t>
      </w:r>
    </w:p>
  </w:footnote>
  <w:footnote w:id="74">
    <w:p w:rsidR="000C262C" w:rsidRPr="00C0231B" w:rsidRDefault="000C262C">
      <w:pPr>
        <w:pStyle w:val="Textodenotaderodap"/>
        <w:rPr>
          <w:rFonts w:ascii="Arial Narrow" w:hAnsi="Arial Narrow"/>
          <w:lang w:val="en-US"/>
        </w:rPr>
      </w:pPr>
      <w:r w:rsidRPr="00C0231B">
        <w:rPr>
          <w:rStyle w:val="Refdenotaderodap"/>
          <w:rFonts w:ascii="Arial Narrow" w:hAnsi="Arial Narrow"/>
        </w:rPr>
        <w:footnoteRef/>
      </w:r>
      <w:r w:rsidRPr="00C0231B">
        <w:rPr>
          <w:rFonts w:ascii="Arial Narrow" w:hAnsi="Arial Narrow"/>
          <w:lang w:val="en-US"/>
        </w:rPr>
        <w:t xml:space="preserve"> </w:t>
      </w:r>
      <w:r>
        <w:rPr>
          <w:rFonts w:ascii="Arial Narrow" w:hAnsi="Arial Narrow"/>
          <w:lang w:val="en-US"/>
        </w:rPr>
        <w:t>Th. Russell (2011) 264-266.</w:t>
      </w:r>
    </w:p>
  </w:footnote>
  <w:footnote w:id="75">
    <w:p w:rsidR="000C262C" w:rsidRPr="003E305A" w:rsidRDefault="000C262C" w:rsidP="005A3930">
      <w:pPr>
        <w:pStyle w:val="Textodenotaderodap"/>
        <w:ind w:firstLine="708"/>
        <w:rPr>
          <w:rFonts w:ascii="Arial Narrow" w:hAnsi="Arial Narrow"/>
          <w:lang w:val="fr-FR"/>
        </w:rPr>
      </w:pPr>
      <w:r w:rsidRPr="003E305A">
        <w:rPr>
          <w:rStyle w:val="Refdenotaderodap"/>
          <w:rFonts w:ascii="Arial Narrow" w:hAnsi="Arial Narrow"/>
        </w:rPr>
        <w:footnoteRef/>
      </w:r>
      <w:r w:rsidRPr="00B2463D">
        <w:rPr>
          <w:rFonts w:ascii="Arial Narrow" w:hAnsi="Arial Narrow"/>
          <w:lang w:val="de-DE"/>
        </w:rPr>
        <w:t xml:space="preserve"> A. Calder (1991) 214; C. R. Koppes, «Hollywood», em I. C. B. Dear et al. </w:t>
      </w:r>
      <w:r w:rsidRPr="003E305A">
        <w:rPr>
          <w:rFonts w:ascii="Arial Narrow" w:hAnsi="Arial Narrow"/>
          <w:lang w:val="fr-FR"/>
        </w:rPr>
        <w:t>(orgs. 1995) 543; G. H. Roeder Jr. (1993) 127.</w:t>
      </w:r>
    </w:p>
  </w:footnote>
  <w:footnote w:id="76">
    <w:p w:rsidR="00993F11" w:rsidRPr="00B2463D" w:rsidRDefault="00993F11" w:rsidP="00993F1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176, 179; L. Brenner (1983) 231; H. L. Feingold (1995) 81, 173; R. Hilberg (1961) 718-720; </w:t>
      </w:r>
      <w:r w:rsidRPr="00265C8F">
        <w:rPr>
          <w:rFonts w:ascii="Arial Narrow" w:hAnsi="Arial Narrow"/>
          <w:bCs/>
          <w:lang w:val="en-US"/>
        </w:rPr>
        <w:t xml:space="preserve">D. E. Lipstadt (1986) </w:t>
      </w:r>
      <w:r>
        <w:rPr>
          <w:rFonts w:ascii="Arial Narrow" w:hAnsi="Arial Narrow"/>
          <w:bCs/>
          <w:lang w:val="en-US"/>
        </w:rPr>
        <w:t xml:space="preserve">275-279; </w:t>
      </w:r>
      <w:r w:rsidRPr="00B2463D">
        <w:rPr>
          <w:rFonts w:ascii="Arial Narrow" w:hAnsi="Arial Narrow"/>
          <w:lang w:val="de-DE"/>
        </w:rPr>
        <w:t>H. M. Sachar (1976) 238.</w:t>
      </w:r>
    </w:p>
  </w:footnote>
  <w:footnote w:id="77">
    <w:p w:rsidR="000C262C" w:rsidRPr="00F127B9" w:rsidRDefault="000C262C" w:rsidP="00B95BFA">
      <w:pPr>
        <w:pStyle w:val="Textodenotaderodap"/>
        <w:rPr>
          <w:rFonts w:ascii="Arial Narrow" w:hAnsi="Arial Narrow"/>
          <w:lang w:val="en-US"/>
        </w:rPr>
      </w:pPr>
      <w:r w:rsidRPr="004D3FC5">
        <w:rPr>
          <w:rStyle w:val="Refdenotaderodap"/>
          <w:rFonts w:ascii="Arial Narrow" w:hAnsi="Arial Narrow"/>
        </w:rPr>
        <w:footnoteRef/>
      </w:r>
      <w:r w:rsidRPr="00F127B9">
        <w:rPr>
          <w:rFonts w:ascii="Arial Narrow" w:hAnsi="Arial Narrow"/>
          <w:lang w:val="en-US"/>
        </w:rPr>
        <w:t xml:space="preserve"> M. Gilbert (2011 b) I 46-47.</w:t>
      </w:r>
    </w:p>
  </w:footnote>
  <w:footnote w:id="78">
    <w:p w:rsidR="00AC19DE" w:rsidRPr="00541E89" w:rsidRDefault="00AC19DE">
      <w:pPr>
        <w:pStyle w:val="Textodenotaderodap"/>
        <w:rPr>
          <w:rFonts w:ascii="Arial Narrow" w:hAnsi="Arial Narrow"/>
          <w:lang w:val="en-US"/>
        </w:rPr>
      </w:pPr>
      <w:r w:rsidRPr="00AC19DE">
        <w:rPr>
          <w:rStyle w:val="Refdenotaderodap"/>
          <w:rFonts w:ascii="Arial Narrow" w:hAnsi="Arial Narrow"/>
        </w:rPr>
        <w:footnoteRef/>
      </w:r>
      <w:r w:rsidRPr="00541E89">
        <w:rPr>
          <w:rFonts w:ascii="Arial Narrow" w:hAnsi="Arial Narrow"/>
          <w:lang w:val="en-US"/>
        </w:rPr>
        <w:t xml:space="preserve"> </w:t>
      </w:r>
      <w:r w:rsidRPr="00AC19DE">
        <w:rPr>
          <w:rFonts w:ascii="Arial Narrow" w:hAnsi="Arial Narrow"/>
          <w:lang w:val="en-US"/>
        </w:rPr>
        <w:t>D. Welch (2002)</w:t>
      </w:r>
      <w:r>
        <w:rPr>
          <w:rFonts w:ascii="Arial Narrow" w:hAnsi="Arial Narrow"/>
          <w:lang w:val="en-US"/>
        </w:rPr>
        <w:t xml:space="preserve"> 89.</w:t>
      </w:r>
    </w:p>
  </w:footnote>
  <w:footnote w:id="79">
    <w:p w:rsidR="00F17FE5" w:rsidRPr="00A358DD" w:rsidRDefault="00F17FE5">
      <w:pPr>
        <w:pStyle w:val="Textodenotaderodap"/>
        <w:rPr>
          <w:rFonts w:ascii="Arial Narrow" w:hAnsi="Arial Narrow"/>
          <w:lang w:val="en-US"/>
        </w:rPr>
      </w:pPr>
      <w:r w:rsidRPr="00F17FE5">
        <w:rPr>
          <w:rStyle w:val="Refdenotaderodap"/>
          <w:rFonts w:ascii="Arial Narrow" w:hAnsi="Arial Narrow"/>
        </w:rPr>
        <w:footnoteRef/>
      </w:r>
      <w:r w:rsidRPr="00A358DD">
        <w:rPr>
          <w:rFonts w:ascii="Arial Narrow" w:hAnsi="Arial Narrow"/>
          <w:lang w:val="en-US"/>
        </w:rPr>
        <w:t xml:space="preserve"> S. Friedländer (2008) 447.</w:t>
      </w:r>
    </w:p>
  </w:footnote>
  <w:footnote w:id="80">
    <w:p w:rsidR="00993F11" w:rsidRPr="00993F11" w:rsidRDefault="00993F11" w:rsidP="00993F11">
      <w:pPr>
        <w:pStyle w:val="Textodenotaderodap"/>
        <w:rPr>
          <w:rFonts w:ascii="Arial Narrow" w:hAnsi="Arial Narrow"/>
        </w:rPr>
      </w:pPr>
      <w:r w:rsidRPr="006F1C3A">
        <w:rPr>
          <w:rStyle w:val="Refdenotaderodap"/>
          <w:rFonts w:ascii="Arial Narrow" w:hAnsi="Arial Narrow"/>
        </w:rPr>
        <w:footnoteRef/>
      </w:r>
      <w:r w:rsidRPr="00A97930">
        <w:rPr>
          <w:rFonts w:ascii="Arial Narrow" w:hAnsi="Arial Narrow"/>
          <w:lang w:val="en-US"/>
        </w:rPr>
        <w:t xml:space="preserve"> </w:t>
      </w:r>
      <w:r w:rsidRPr="00F127B9">
        <w:rPr>
          <w:rFonts w:ascii="Arial Narrow" w:hAnsi="Arial Narrow"/>
          <w:lang w:val="en-US"/>
        </w:rPr>
        <w:t xml:space="preserve">M. Gilbert (2011 b) </w:t>
      </w:r>
      <w:r w:rsidRPr="00A97930">
        <w:rPr>
          <w:rFonts w:ascii="Arial Narrow" w:hAnsi="Arial Narrow"/>
          <w:lang w:val="en-US"/>
        </w:rPr>
        <w:t>I 250-251, 259, 264-265, 272</w:t>
      </w:r>
      <w:r>
        <w:rPr>
          <w:rFonts w:ascii="Arial Narrow" w:hAnsi="Arial Narrow"/>
          <w:lang w:val="en-US"/>
        </w:rPr>
        <w:t>, 410</w:t>
      </w:r>
      <w:r w:rsidRPr="00A97930">
        <w:rPr>
          <w:rFonts w:ascii="Arial Narrow" w:hAnsi="Arial Narrow"/>
          <w:lang w:val="en-US"/>
        </w:rPr>
        <w:t>.</w:t>
      </w:r>
      <w:r>
        <w:rPr>
          <w:rFonts w:ascii="Arial Narrow" w:hAnsi="Arial Narrow"/>
          <w:lang w:val="en-US"/>
        </w:rPr>
        <w:t xml:space="preserve"> </w:t>
      </w:r>
      <w:r w:rsidRPr="00993F11">
        <w:rPr>
          <w:rFonts w:ascii="Arial Narrow" w:hAnsi="Arial Narrow"/>
        </w:rPr>
        <w:t xml:space="preserve">S. Friedländer (2008) </w:t>
      </w:r>
      <w:r w:rsidRPr="00510F74">
        <w:rPr>
          <w:rFonts w:ascii="Arial Narrow" w:hAnsi="Arial Narrow"/>
        </w:rPr>
        <w:t>461</w:t>
      </w:r>
      <w:r>
        <w:rPr>
          <w:rFonts w:ascii="Arial Narrow" w:hAnsi="Arial Narrow"/>
        </w:rPr>
        <w:t xml:space="preserve"> </w:t>
      </w:r>
      <w:r w:rsidRPr="003A4AAD">
        <w:rPr>
          <w:rFonts w:ascii="Arial Narrow" w:hAnsi="Arial Narrow"/>
        </w:rPr>
        <w:t>justific</w:t>
      </w:r>
      <w:r>
        <w:rPr>
          <w:rFonts w:ascii="Arial Narrow" w:hAnsi="Arial Narrow"/>
        </w:rPr>
        <w:t>ou</w:t>
      </w:r>
      <w:r w:rsidRPr="003A4AAD">
        <w:rPr>
          <w:rFonts w:ascii="Arial Narrow" w:hAnsi="Arial Narrow"/>
        </w:rPr>
        <w:t xml:space="preserve"> a passividade brit</w:t>
      </w:r>
      <w:r>
        <w:rPr>
          <w:rFonts w:ascii="Arial Narrow" w:hAnsi="Arial Narrow"/>
        </w:rPr>
        <w:t>ânica perante estas informações com o argumento de que era necessário não revelar que se conseguia penetrar o código das comunicações inimigas, como se não houvesse maneiras de contornar o problema.</w:t>
      </w:r>
    </w:p>
  </w:footnote>
  <w:footnote w:id="81">
    <w:p w:rsidR="00993F11" w:rsidRPr="00A97930" w:rsidRDefault="00993F11" w:rsidP="00993F11">
      <w:pPr>
        <w:pStyle w:val="Textodenotaderodap"/>
        <w:rPr>
          <w:rFonts w:ascii="Arial Narrow" w:hAnsi="Arial Narrow"/>
          <w:lang w:val="en-US"/>
        </w:rPr>
      </w:pPr>
      <w:r w:rsidRPr="00BA567E">
        <w:rPr>
          <w:rStyle w:val="Refdenotaderodap"/>
          <w:rFonts w:ascii="Arial Narrow" w:hAnsi="Arial Narrow"/>
        </w:rPr>
        <w:footnoteRef/>
      </w:r>
      <w:r w:rsidRPr="00A97930">
        <w:rPr>
          <w:rFonts w:ascii="Arial Narrow" w:hAnsi="Arial Narrow"/>
          <w:lang w:val="en-US"/>
        </w:rPr>
        <w:t xml:space="preserve"> M. R. D. Foot (2008) 231.</w:t>
      </w:r>
    </w:p>
  </w:footnote>
  <w:footnote w:id="82">
    <w:p w:rsidR="000C262C" w:rsidRPr="003E305A" w:rsidRDefault="000C262C" w:rsidP="005A3930">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w:t>
      </w:r>
      <w:r w:rsidR="001764F5" w:rsidRPr="001764F5">
        <w:rPr>
          <w:rFonts w:ascii="Arial Narrow" w:hAnsi="Arial Narrow"/>
          <w:lang w:val="en-US"/>
        </w:rPr>
        <w:t xml:space="preserve">S. Friedländer (2008) </w:t>
      </w:r>
      <w:r w:rsidR="005E69A3">
        <w:rPr>
          <w:rFonts w:ascii="Arial Narrow" w:hAnsi="Arial Narrow"/>
          <w:lang w:val="fr-FR"/>
        </w:rPr>
        <w:t xml:space="preserve">503; </w:t>
      </w:r>
      <w:r w:rsidRPr="003E305A">
        <w:rPr>
          <w:rFonts w:ascii="Arial Narrow" w:hAnsi="Arial Narrow"/>
          <w:lang w:val="fr-FR"/>
        </w:rPr>
        <w:t>H. M. Sachar (1976) 238</w:t>
      </w:r>
      <w:r>
        <w:rPr>
          <w:rFonts w:ascii="Arial Narrow" w:hAnsi="Arial Narrow"/>
          <w:lang w:val="fr-FR"/>
        </w:rPr>
        <w:t>; P. Watson (2011) 737</w:t>
      </w:r>
      <w:r w:rsidRPr="003E305A">
        <w:rPr>
          <w:rFonts w:ascii="Arial Narrow" w:hAnsi="Arial Narrow"/>
          <w:lang w:val="fr-FR"/>
        </w:rPr>
        <w:t>.</w:t>
      </w:r>
    </w:p>
  </w:footnote>
  <w:footnote w:id="83">
    <w:p w:rsidR="000C262C" w:rsidRPr="003E305A" w:rsidRDefault="000C262C" w:rsidP="005A3930">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L. Brenner (1983) 230</w:t>
      </w:r>
      <w:r w:rsidR="00980FCF">
        <w:rPr>
          <w:rFonts w:ascii="Arial Narrow" w:hAnsi="Arial Narrow"/>
          <w:lang w:val="fr-FR"/>
        </w:rPr>
        <w:t xml:space="preserve">; </w:t>
      </w:r>
      <w:r w:rsidR="00980FCF" w:rsidRPr="00980FCF">
        <w:rPr>
          <w:rFonts w:ascii="Arial Narrow" w:hAnsi="Arial Narrow"/>
          <w:bCs/>
          <w:lang w:val="en-US"/>
        </w:rPr>
        <w:t>D. E. Lipstadt (1986)</w:t>
      </w:r>
      <w:r w:rsidR="00980FCF">
        <w:rPr>
          <w:rFonts w:ascii="Arial Narrow" w:hAnsi="Arial Narrow"/>
          <w:bCs/>
          <w:lang w:val="en-US"/>
        </w:rPr>
        <w:t xml:space="preserve"> </w:t>
      </w:r>
      <w:r w:rsidR="00F47616">
        <w:rPr>
          <w:rFonts w:ascii="Arial Narrow" w:hAnsi="Arial Narrow"/>
          <w:bCs/>
          <w:lang w:val="en-US"/>
        </w:rPr>
        <w:t>215-216</w:t>
      </w:r>
      <w:r w:rsidRPr="003E305A">
        <w:rPr>
          <w:rFonts w:ascii="Arial Narrow" w:hAnsi="Arial Narrow"/>
          <w:lang w:val="fr-FR"/>
        </w:rPr>
        <w:t>.</w:t>
      </w:r>
    </w:p>
  </w:footnote>
  <w:footnote w:id="84">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sidR="00980FCF" w:rsidRPr="003E305A">
        <w:rPr>
          <w:rFonts w:ascii="Arial Narrow" w:hAnsi="Arial Narrow"/>
          <w:lang w:val="fr-FR"/>
        </w:rPr>
        <w:t xml:space="preserve">L. Brenner (1983) </w:t>
      </w:r>
      <w:r w:rsidRPr="00B2463D">
        <w:rPr>
          <w:rFonts w:ascii="Arial Narrow" w:hAnsi="Arial Narrow"/>
          <w:lang w:val="de-DE"/>
        </w:rPr>
        <w:t>230.</w:t>
      </w:r>
    </w:p>
  </w:footnote>
  <w:footnote w:id="85">
    <w:p w:rsidR="00207189" w:rsidRPr="00207189" w:rsidRDefault="00207189">
      <w:pPr>
        <w:pStyle w:val="Textodenotaderodap"/>
        <w:rPr>
          <w:rFonts w:ascii="Arial Narrow" w:hAnsi="Arial Narrow"/>
        </w:rPr>
      </w:pPr>
      <w:r w:rsidRPr="00207189">
        <w:rPr>
          <w:rStyle w:val="Refdenotaderodap"/>
          <w:rFonts w:ascii="Arial Narrow" w:hAnsi="Arial Narrow"/>
        </w:rPr>
        <w:footnoteRef/>
      </w:r>
      <w:r w:rsidRPr="00207189">
        <w:rPr>
          <w:rFonts w:ascii="Arial Narrow" w:hAnsi="Arial Narrow"/>
        </w:rPr>
        <w:t xml:space="preserve"> </w:t>
      </w:r>
      <w:r>
        <w:rPr>
          <w:rFonts w:ascii="Arial Narrow" w:hAnsi="Arial Narrow"/>
        </w:rPr>
        <w:t xml:space="preserve">Esta passagem do artigo publicado no </w:t>
      </w:r>
      <w:r w:rsidRPr="00CD3BCF">
        <w:rPr>
          <w:rFonts w:ascii="Arial Narrow" w:hAnsi="Arial Narrow"/>
          <w:i/>
        </w:rPr>
        <w:t>Völkischer Beobachter,</w:t>
      </w:r>
      <w:r>
        <w:rPr>
          <w:rFonts w:ascii="Arial Narrow" w:hAnsi="Arial Narrow"/>
        </w:rPr>
        <w:t xml:space="preserve"> </w:t>
      </w:r>
      <w:r w:rsidRPr="00207189">
        <w:rPr>
          <w:rFonts w:ascii="Arial Narrow" w:hAnsi="Arial Narrow"/>
        </w:rPr>
        <w:t>30 de</w:t>
      </w:r>
      <w:r>
        <w:rPr>
          <w:rFonts w:ascii="Arial Narrow" w:hAnsi="Arial Narrow"/>
        </w:rPr>
        <w:t xml:space="preserve"> Abril de 1942, vem reproduzida em </w:t>
      </w:r>
      <w:r w:rsidRPr="00207189">
        <w:rPr>
          <w:rFonts w:ascii="Arial Narrow" w:hAnsi="Arial Narrow"/>
        </w:rPr>
        <w:t>S. Friedländer (2008)</w:t>
      </w:r>
      <w:r>
        <w:rPr>
          <w:rFonts w:ascii="Arial Narrow" w:hAnsi="Arial Narrow"/>
        </w:rPr>
        <w:t xml:space="preserve"> 508-509.</w:t>
      </w:r>
    </w:p>
  </w:footnote>
  <w:footnote w:id="86">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sidR="000D7359">
        <w:rPr>
          <w:rFonts w:ascii="Arial Narrow" w:hAnsi="Arial Narrow"/>
          <w:lang w:val="de-DE"/>
        </w:rPr>
        <w:t xml:space="preserve">Id., ibid., 588-589; </w:t>
      </w:r>
      <w:r>
        <w:rPr>
          <w:rFonts w:ascii="Arial Narrow" w:hAnsi="Arial Narrow"/>
          <w:lang w:val="de-DE"/>
        </w:rPr>
        <w:t xml:space="preserve">M. Gilbert (2011 b) I 392; </w:t>
      </w:r>
      <w:r w:rsidR="00FA2D2A" w:rsidRPr="0044096E">
        <w:rPr>
          <w:rFonts w:ascii="Arial Narrow" w:hAnsi="Arial Narrow"/>
          <w:bCs/>
        </w:rPr>
        <w:t>D. E. Lipstadt (1986) 231-</w:t>
      </w:r>
      <w:r w:rsidR="003C3669" w:rsidRPr="0044096E">
        <w:rPr>
          <w:rFonts w:ascii="Arial Narrow" w:hAnsi="Arial Narrow"/>
          <w:bCs/>
        </w:rPr>
        <w:t>233</w:t>
      </w:r>
      <w:r w:rsidR="005433E5" w:rsidRPr="0044096E">
        <w:rPr>
          <w:rFonts w:ascii="Arial Narrow" w:hAnsi="Arial Narrow"/>
          <w:bCs/>
        </w:rPr>
        <w:t>, 236</w:t>
      </w:r>
      <w:r w:rsidR="00E400A3">
        <w:rPr>
          <w:rFonts w:ascii="Arial Narrow" w:hAnsi="Arial Narrow"/>
          <w:bCs/>
        </w:rPr>
        <w:t xml:space="preserve"> e segs.</w:t>
      </w:r>
      <w:r w:rsidR="00FA2D2A" w:rsidRPr="0044096E">
        <w:rPr>
          <w:rFonts w:ascii="Arial Narrow" w:hAnsi="Arial Narrow"/>
          <w:bCs/>
        </w:rPr>
        <w:t xml:space="preserve">; </w:t>
      </w:r>
      <w:r w:rsidRPr="00B2463D">
        <w:rPr>
          <w:rFonts w:ascii="Arial Narrow" w:hAnsi="Arial Narrow"/>
          <w:lang w:val="de-DE"/>
        </w:rPr>
        <w:t>E. Ringelblum (1964) 317-318; «Ringelblum, Emmanuel», em I. C. B. Dear et al. (orgs. 1995) 949; H. M. Sachar (1976) 238.</w:t>
      </w:r>
      <w:r>
        <w:rPr>
          <w:rFonts w:ascii="Arial Narrow" w:hAnsi="Arial Narrow"/>
          <w:lang w:val="de-DE"/>
        </w:rPr>
        <w:t xml:space="preserve"> Acerca das transmissões da BBC ver também C. Callil (2009) 321, 350 e 364. Segundo Martin Gilbert, </w:t>
      </w:r>
      <w:r w:rsidRPr="005C1089">
        <w:rPr>
          <w:rFonts w:ascii="Arial Narrow" w:hAnsi="Arial Narrow"/>
          <w:lang w:val="de-DE"/>
        </w:rPr>
        <w:t>op. cit.,</w:t>
      </w:r>
      <w:r>
        <w:rPr>
          <w:rFonts w:ascii="Arial Narrow" w:hAnsi="Arial Narrow"/>
          <w:lang w:val="de-DE"/>
        </w:rPr>
        <w:t xml:space="preserve"> I 384, o jornal clandestino do Partido Socialista Polaco publicara estas informações também em Junho.</w:t>
      </w:r>
      <w:r w:rsidR="007E1A6B">
        <w:rPr>
          <w:rFonts w:ascii="Arial Narrow" w:hAnsi="Arial Narrow"/>
          <w:lang w:val="de-DE"/>
        </w:rPr>
        <w:t xml:space="preserve"> </w:t>
      </w:r>
      <w:r w:rsidR="007E1A6B" w:rsidRPr="00A8608B">
        <w:rPr>
          <w:rFonts w:ascii="Arial Narrow" w:hAnsi="Arial Narrow"/>
        </w:rPr>
        <w:t>S. Friedländer (2008) 676-677 indicou que o governo polaco no exílio</w:t>
      </w:r>
      <w:r w:rsidR="00203DAE" w:rsidRPr="00A8608B">
        <w:rPr>
          <w:rFonts w:ascii="Arial Narrow" w:hAnsi="Arial Narrow"/>
        </w:rPr>
        <w:t xml:space="preserve">, muito </w:t>
      </w:r>
      <w:r w:rsidR="001758A3" w:rsidRPr="00A8608B">
        <w:rPr>
          <w:rFonts w:ascii="Arial Narrow" w:hAnsi="Arial Narrow"/>
        </w:rPr>
        <w:t xml:space="preserve">permeado </w:t>
      </w:r>
      <w:r w:rsidR="00203DAE" w:rsidRPr="00A8608B">
        <w:rPr>
          <w:rFonts w:ascii="Arial Narrow" w:hAnsi="Arial Narrow"/>
        </w:rPr>
        <w:t>pelo anti-semitismo,</w:t>
      </w:r>
      <w:r w:rsidR="007E1A6B" w:rsidRPr="00A8608B">
        <w:rPr>
          <w:rFonts w:ascii="Arial Narrow" w:hAnsi="Arial Narrow"/>
        </w:rPr>
        <w:t xml:space="preserve"> não se apressou a transmitir algumas das informações recebidas.</w:t>
      </w:r>
    </w:p>
  </w:footnote>
  <w:footnote w:id="87">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sidR="00331E0E" w:rsidRPr="00331E0E">
        <w:rPr>
          <w:rFonts w:ascii="Arial Narrow" w:hAnsi="Arial Narrow"/>
          <w:lang w:val="en-US"/>
        </w:rPr>
        <w:t xml:space="preserve">S. Friedländer (2008) </w:t>
      </w:r>
      <w:r w:rsidR="00331E0E">
        <w:rPr>
          <w:rFonts w:ascii="Arial Narrow" w:hAnsi="Arial Narrow"/>
          <w:lang w:val="en-US"/>
        </w:rPr>
        <w:t>684</w:t>
      </w:r>
      <w:r w:rsidR="007E579B">
        <w:rPr>
          <w:rFonts w:ascii="Arial Narrow" w:hAnsi="Arial Narrow"/>
          <w:lang w:val="en-US"/>
        </w:rPr>
        <w:t>-685</w:t>
      </w:r>
      <w:r w:rsidR="00331E0E">
        <w:rPr>
          <w:rFonts w:ascii="Arial Narrow" w:hAnsi="Arial Narrow"/>
          <w:lang w:val="en-US"/>
        </w:rPr>
        <w:t xml:space="preserve">; </w:t>
      </w:r>
      <w:r w:rsidR="005E73CB" w:rsidRPr="005E73CB">
        <w:rPr>
          <w:rFonts w:ascii="Arial Narrow" w:hAnsi="Arial Narrow"/>
          <w:bCs/>
          <w:lang w:val="en-US"/>
        </w:rPr>
        <w:t xml:space="preserve">D. E. Lipstadt (1986) </w:t>
      </w:r>
      <w:r w:rsidR="005E73CB">
        <w:rPr>
          <w:rFonts w:ascii="Arial Narrow" w:hAnsi="Arial Narrow"/>
          <w:bCs/>
          <w:lang w:val="en-US"/>
        </w:rPr>
        <w:t xml:space="preserve">275; </w:t>
      </w:r>
      <w:r w:rsidRPr="00B2463D">
        <w:rPr>
          <w:rFonts w:ascii="Arial Narrow" w:hAnsi="Arial Narrow"/>
          <w:lang w:val="de-DE"/>
        </w:rPr>
        <w:t>«Schulte, Eduard», em I. C. B. Dear et al. (orgs. 1995) 982.</w:t>
      </w:r>
    </w:p>
  </w:footnote>
  <w:footnote w:id="88">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L. Brenner (1983) 231; </w:t>
      </w:r>
      <w:r>
        <w:rPr>
          <w:rFonts w:ascii="Arial Narrow" w:hAnsi="Arial Narrow"/>
          <w:lang w:val="de-DE"/>
        </w:rPr>
        <w:t xml:space="preserve">M. Gilbert (2011 b) I 408; </w:t>
      </w:r>
      <w:r w:rsidRPr="00B2463D">
        <w:rPr>
          <w:rFonts w:ascii="Arial Narrow" w:hAnsi="Arial Narrow"/>
          <w:lang w:val="de-DE"/>
        </w:rPr>
        <w:t>R. Hilberg (1961) 718; H. M. Sachar (1976) 238.</w:t>
      </w:r>
    </w:p>
  </w:footnote>
  <w:footnote w:id="89">
    <w:p w:rsidR="00190D28" w:rsidRPr="00A358DD" w:rsidRDefault="00190D28">
      <w:pPr>
        <w:pStyle w:val="Textodenotaderodap"/>
        <w:rPr>
          <w:rFonts w:ascii="Arial Narrow" w:hAnsi="Arial Narrow"/>
          <w:lang w:val="en-US"/>
        </w:rPr>
      </w:pPr>
      <w:r w:rsidRPr="00190D28">
        <w:rPr>
          <w:rStyle w:val="Refdenotaderodap"/>
          <w:rFonts w:ascii="Arial Narrow" w:hAnsi="Arial Narrow"/>
        </w:rPr>
        <w:footnoteRef/>
      </w:r>
      <w:r w:rsidRPr="00A358DD">
        <w:rPr>
          <w:rFonts w:ascii="Arial Narrow" w:hAnsi="Arial Narrow"/>
          <w:lang w:val="en-US"/>
        </w:rPr>
        <w:t xml:space="preserve"> </w:t>
      </w:r>
      <w:r w:rsidRPr="00331E0E">
        <w:rPr>
          <w:rFonts w:ascii="Arial Narrow" w:hAnsi="Arial Narrow"/>
          <w:lang w:val="en-US"/>
        </w:rPr>
        <w:t>S. Friedländer (2008)</w:t>
      </w:r>
      <w:r>
        <w:rPr>
          <w:rFonts w:ascii="Arial Narrow" w:hAnsi="Arial Narrow"/>
          <w:lang w:val="en-US"/>
        </w:rPr>
        <w:t xml:space="preserve"> </w:t>
      </w:r>
      <w:r w:rsidRPr="00387A7D">
        <w:rPr>
          <w:rFonts w:ascii="Arial Narrow" w:hAnsi="Arial Narrow"/>
          <w:lang w:val="en-US"/>
        </w:rPr>
        <w:t>681-684.</w:t>
      </w:r>
    </w:p>
  </w:footnote>
  <w:footnote w:id="90">
    <w:p w:rsidR="000C262C" w:rsidRPr="00A8608B"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«Belzec», em I. C. B. Dear et al. </w:t>
      </w:r>
      <w:r w:rsidRPr="003E305A">
        <w:rPr>
          <w:rFonts w:ascii="Arial Narrow" w:hAnsi="Arial Narrow"/>
          <w:lang w:val="en-GB"/>
        </w:rPr>
        <w:t>(orgs. 1995) 123; «Karski, Jan», em id., ibid., 643-644.</w:t>
      </w:r>
      <w:r w:rsidR="00535A4B">
        <w:rPr>
          <w:rFonts w:ascii="Arial Narrow" w:hAnsi="Arial Narrow"/>
          <w:lang w:val="en-GB"/>
        </w:rPr>
        <w:t xml:space="preserve"> </w:t>
      </w:r>
      <w:r w:rsidR="00535A4B" w:rsidRPr="00A8608B">
        <w:rPr>
          <w:rFonts w:ascii="Arial Narrow" w:hAnsi="Arial Narrow"/>
        </w:rPr>
        <w:t>Para uma perspectiva muito crítica de Karski e da forma como executou a sua missão ver S. Friedländer (2008) 677-678.</w:t>
      </w:r>
    </w:p>
  </w:footnote>
  <w:footnote w:id="91">
    <w:p w:rsidR="00BE4B04" w:rsidRPr="00BE4B04" w:rsidRDefault="00BE4B04">
      <w:pPr>
        <w:pStyle w:val="Textodenotaderodap"/>
        <w:rPr>
          <w:rFonts w:ascii="Arial Narrow" w:hAnsi="Arial Narrow"/>
          <w:lang w:val="en-US"/>
        </w:rPr>
      </w:pPr>
      <w:r w:rsidRPr="00BE4B04">
        <w:rPr>
          <w:rStyle w:val="Refdenotaderodap"/>
          <w:rFonts w:ascii="Arial Narrow" w:hAnsi="Arial Narrow"/>
        </w:rPr>
        <w:footnoteRef/>
      </w:r>
      <w:r w:rsidRPr="00BE4B04">
        <w:rPr>
          <w:rFonts w:ascii="Arial Narrow" w:hAnsi="Arial Narrow"/>
          <w:lang w:val="en-US"/>
        </w:rPr>
        <w:t xml:space="preserve"> S. Friedländer (2008)</w:t>
      </w:r>
      <w:r>
        <w:rPr>
          <w:rFonts w:ascii="Arial Narrow" w:hAnsi="Arial Narrow"/>
          <w:lang w:val="en-US"/>
        </w:rPr>
        <w:t xml:space="preserve"> 686</w:t>
      </w:r>
      <w:r w:rsidR="006D41B8">
        <w:rPr>
          <w:rFonts w:ascii="Arial Narrow" w:hAnsi="Arial Narrow"/>
          <w:lang w:val="en-US"/>
        </w:rPr>
        <w:t>-687</w:t>
      </w:r>
      <w:r w:rsidR="009E77DA">
        <w:rPr>
          <w:rFonts w:ascii="Arial Narrow" w:hAnsi="Arial Narrow"/>
          <w:lang w:val="en-US"/>
        </w:rPr>
        <w:t xml:space="preserve">; </w:t>
      </w:r>
      <w:r w:rsidR="009E77DA" w:rsidRPr="009E77DA">
        <w:rPr>
          <w:rFonts w:ascii="Arial Narrow" w:hAnsi="Arial Narrow"/>
          <w:bCs/>
          <w:lang w:val="en-US"/>
        </w:rPr>
        <w:t>D. E. Lipstadt (1986)</w:t>
      </w:r>
      <w:r w:rsidR="009E77DA">
        <w:rPr>
          <w:rFonts w:ascii="Arial Narrow" w:hAnsi="Arial Narrow"/>
          <w:bCs/>
          <w:lang w:val="en-US"/>
        </w:rPr>
        <w:t xml:space="preserve"> 257</w:t>
      </w:r>
      <w:r w:rsidR="00302BE1">
        <w:rPr>
          <w:rFonts w:ascii="Arial Narrow" w:hAnsi="Arial Narrow"/>
          <w:bCs/>
          <w:lang w:val="en-US"/>
        </w:rPr>
        <w:t>, 265</w:t>
      </w:r>
      <w:r>
        <w:rPr>
          <w:rFonts w:ascii="Arial Narrow" w:hAnsi="Arial Narrow"/>
          <w:lang w:val="en-US"/>
        </w:rPr>
        <w:t>.</w:t>
      </w:r>
    </w:p>
  </w:footnote>
  <w:footnote w:id="92">
    <w:p w:rsidR="000C262C" w:rsidRPr="000815F2" w:rsidRDefault="000C262C">
      <w:pPr>
        <w:pStyle w:val="Textodenotaderodap"/>
        <w:rPr>
          <w:rFonts w:ascii="Arial Narrow" w:hAnsi="Arial Narrow"/>
        </w:rPr>
      </w:pPr>
      <w:r w:rsidRPr="000815F2">
        <w:rPr>
          <w:rStyle w:val="Refdenotaderodap"/>
          <w:rFonts w:ascii="Arial Narrow" w:hAnsi="Arial Narrow"/>
        </w:rPr>
        <w:footnoteRef/>
      </w:r>
      <w:r w:rsidRPr="00DC2388">
        <w:rPr>
          <w:rFonts w:ascii="Arial Narrow" w:hAnsi="Arial Narrow"/>
        </w:rPr>
        <w:t xml:space="preserve"> M. Gilbert (2011 b) II 518. </w:t>
      </w:r>
      <w:r>
        <w:rPr>
          <w:rFonts w:ascii="Arial Narrow" w:hAnsi="Arial Narrow"/>
        </w:rPr>
        <w:t xml:space="preserve">Acerca de </w:t>
      </w:r>
      <w:r w:rsidR="00993F11">
        <w:rPr>
          <w:rFonts w:ascii="Arial Narrow" w:hAnsi="Arial Narrow"/>
        </w:rPr>
        <w:t>um</w:t>
      </w:r>
      <w:r>
        <w:rPr>
          <w:rFonts w:ascii="Arial Narrow" w:hAnsi="Arial Narrow"/>
        </w:rPr>
        <w:t xml:space="preserve"> julgamento realizado em Dezembro de 1943 ver id., ibid., II 560.</w:t>
      </w:r>
    </w:p>
  </w:footnote>
  <w:footnote w:id="93">
    <w:p w:rsidR="000C262C" w:rsidRPr="0044096E"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 F. Stone em </w:t>
      </w:r>
      <w:r w:rsidRPr="003E305A">
        <w:rPr>
          <w:rFonts w:ascii="Arial Narrow" w:hAnsi="Arial Narrow"/>
          <w:i/>
        </w:rPr>
        <w:t>The Nation,</w:t>
      </w:r>
      <w:r w:rsidRPr="003E305A">
        <w:rPr>
          <w:rFonts w:ascii="Arial Narrow" w:hAnsi="Arial Narrow"/>
        </w:rPr>
        <w:t xml:space="preserve"> 10 de Junho de 1944, reproduzido em K. V. Heuvel et al. </w:t>
      </w:r>
      <w:r w:rsidRPr="0044096E">
        <w:rPr>
          <w:rFonts w:ascii="Arial Narrow" w:hAnsi="Arial Narrow"/>
        </w:rPr>
        <w:t>(orgs. 1994) 247.</w:t>
      </w:r>
      <w:r w:rsidR="00E04730" w:rsidRPr="0044096E">
        <w:rPr>
          <w:rFonts w:ascii="Arial Narrow" w:hAnsi="Arial Narrow"/>
        </w:rPr>
        <w:t xml:space="preserve"> Segundo </w:t>
      </w:r>
      <w:r w:rsidR="00E04730" w:rsidRPr="0044096E">
        <w:rPr>
          <w:rFonts w:ascii="Arial Narrow" w:hAnsi="Arial Narrow"/>
          <w:bCs/>
        </w:rPr>
        <w:t xml:space="preserve">D. E. Lipstadt (1986) 225, </w:t>
      </w:r>
      <w:r w:rsidR="00E04730" w:rsidRPr="0044096E">
        <w:rPr>
          <w:rFonts w:ascii="Arial Narrow" w:hAnsi="Arial Narrow"/>
        </w:rPr>
        <w:t xml:space="preserve">já em Dezembro de 1941 </w:t>
      </w:r>
      <w:r w:rsidR="000B2215" w:rsidRPr="0044096E">
        <w:rPr>
          <w:rFonts w:ascii="Arial Narrow" w:hAnsi="Arial Narrow"/>
        </w:rPr>
        <w:t xml:space="preserve">o jornalista </w:t>
      </w:r>
      <w:r w:rsidR="00E04730" w:rsidRPr="0044096E">
        <w:rPr>
          <w:rFonts w:ascii="Arial Narrow" w:hAnsi="Arial Narrow"/>
        </w:rPr>
        <w:t xml:space="preserve">George Sokolsky, num artigo publicado no </w:t>
      </w:r>
      <w:r w:rsidR="00E04730" w:rsidRPr="0044096E">
        <w:rPr>
          <w:rFonts w:ascii="Arial Narrow" w:hAnsi="Arial Narrow"/>
          <w:i/>
        </w:rPr>
        <w:t>New York Sun,</w:t>
      </w:r>
      <w:r w:rsidR="00E04730" w:rsidRPr="0044096E">
        <w:rPr>
          <w:rFonts w:ascii="Arial Narrow" w:hAnsi="Arial Narrow"/>
        </w:rPr>
        <w:t xml:space="preserve"> previra que no final da guerra haver</w:t>
      </w:r>
      <w:r w:rsidR="00C20796" w:rsidRPr="0044096E">
        <w:rPr>
          <w:rFonts w:ascii="Arial Narrow" w:hAnsi="Arial Narrow"/>
        </w:rPr>
        <w:t>i</w:t>
      </w:r>
      <w:r w:rsidR="00E04730" w:rsidRPr="0044096E">
        <w:rPr>
          <w:rFonts w:ascii="Arial Narrow" w:hAnsi="Arial Narrow"/>
        </w:rPr>
        <w:t>a quatro milhões de judeus mortos pelos nacionais-socialistas.</w:t>
      </w:r>
    </w:p>
  </w:footnote>
  <w:footnote w:id="94">
    <w:p w:rsidR="000C262C" w:rsidRPr="0013777B"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13777B">
        <w:rPr>
          <w:rFonts w:ascii="Arial Narrow" w:hAnsi="Arial Narrow"/>
          <w:lang w:val="en-US"/>
        </w:rPr>
        <w:t xml:space="preserve"> M. Gilbert (2011 b) I 449-450; R. Hilberg (1961) 719.</w:t>
      </w:r>
    </w:p>
  </w:footnote>
  <w:footnote w:id="95">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 Avishai (1985) 161-162; H. L. Feingold (1995) 7; H. M. Sachar (1976) 238-239.</w:t>
      </w:r>
    </w:p>
  </w:footnote>
  <w:footnote w:id="96">
    <w:p w:rsidR="000C262C" w:rsidRPr="00A82CA8" w:rsidRDefault="000C262C">
      <w:pPr>
        <w:pStyle w:val="Textodenotaderodap"/>
        <w:rPr>
          <w:rFonts w:ascii="Arial Narrow" w:hAnsi="Arial Narrow"/>
        </w:rPr>
      </w:pPr>
      <w:r w:rsidRPr="00A82CA8">
        <w:rPr>
          <w:rStyle w:val="Refdenotaderodap"/>
          <w:rFonts w:ascii="Arial Narrow" w:hAnsi="Arial Narrow"/>
        </w:rPr>
        <w:footnoteRef/>
      </w:r>
      <w:r w:rsidRPr="00A82CA8">
        <w:rPr>
          <w:rFonts w:ascii="Arial Narrow" w:hAnsi="Arial Narrow"/>
        </w:rPr>
        <w:t xml:space="preserve"> </w:t>
      </w:r>
      <w:r>
        <w:rPr>
          <w:rFonts w:ascii="Arial Narrow" w:hAnsi="Arial Narrow"/>
        </w:rPr>
        <w:t>Citado em P. Watson (2011) 700.</w:t>
      </w:r>
    </w:p>
  </w:footnote>
  <w:footnote w:id="97">
    <w:p w:rsidR="000C262C" w:rsidRPr="00ED2A3A" w:rsidRDefault="000C262C" w:rsidP="005E0CDB">
      <w:pPr>
        <w:pStyle w:val="Textodenotaderodap"/>
        <w:rPr>
          <w:rFonts w:ascii="Arial Narrow" w:hAnsi="Arial Narrow"/>
          <w:lang w:val="en-US"/>
        </w:rPr>
      </w:pPr>
      <w:r w:rsidRPr="00596B05">
        <w:rPr>
          <w:rStyle w:val="Refdenotaderodap"/>
          <w:rFonts w:ascii="Arial Narrow" w:hAnsi="Arial Narrow"/>
        </w:rPr>
        <w:footnoteRef/>
      </w:r>
      <w:r w:rsidRPr="00ED2A3A">
        <w:rPr>
          <w:rFonts w:ascii="Arial Narrow" w:hAnsi="Arial Narrow"/>
          <w:lang w:val="en-US"/>
        </w:rPr>
        <w:t xml:space="preserve"> </w:t>
      </w:r>
      <w:r w:rsidRPr="00ED2A3A">
        <w:rPr>
          <w:rFonts w:ascii="Arial Narrow" w:hAnsi="Arial Narrow"/>
          <w:bCs/>
          <w:lang w:val="en-US"/>
        </w:rPr>
        <w:t>A. Sohn-Rethel</w:t>
      </w:r>
      <w:r w:rsidRPr="00ED2A3A">
        <w:rPr>
          <w:rFonts w:ascii="Arial Narrow" w:hAnsi="Arial Narrow"/>
          <w:lang w:val="en-US"/>
        </w:rPr>
        <w:t xml:space="preserve"> (1987) 40.</w:t>
      </w:r>
    </w:p>
  </w:footnote>
  <w:footnote w:id="98">
    <w:p w:rsidR="00622406" w:rsidRPr="00ED2A3A" w:rsidRDefault="00622406">
      <w:pPr>
        <w:pStyle w:val="Textodenotaderodap"/>
        <w:rPr>
          <w:rFonts w:ascii="Arial Narrow" w:hAnsi="Arial Narrow"/>
          <w:lang w:val="en-US"/>
        </w:rPr>
      </w:pPr>
      <w:r w:rsidRPr="00622406">
        <w:rPr>
          <w:rStyle w:val="Refdenotaderodap"/>
          <w:rFonts w:ascii="Arial Narrow" w:hAnsi="Arial Narrow"/>
        </w:rPr>
        <w:footnoteRef/>
      </w:r>
      <w:r w:rsidRPr="00ED2A3A">
        <w:rPr>
          <w:rFonts w:ascii="Arial Narrow" w:hAnsi="Arial Narrow"/>
          <w:lang w:val="en-US"/>
        </w:rPr>
        <w:t xml:space="preserve"> </w:t>
      </w:r>
      <w:r w:rsidRPr="00622406">
        <w:rPr>
          <w:rFonts w:ascii="Arial Narrow" w:hAnsi="Arial Narrow"/>
          <w:lang w:val="en-US"/>
        </w:rPr>
        <w:t>K. A. Schleunes (1990)</w:t>
      </w:r>
      <w:r>
        <w:rPr>
          <w:rFonts w:ascii="Arial Narrow" w:hAnsi="Arial Narrow"/>
          <w:lang w:val="en-US"/>
        </w:rPr>
        <w:t xml:space="preserve"> 186.</w:t>
      </w:r>
    </w:p>
  </w:footnote>
  <w:footnote w:id="99">
    <w:p w:rsidR="000C262C" w:rsidRPr="005A3930"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«Bermuda Conference», em I. C. B. Dear et al. </w:t>
      </w:r>
      <w:r w:rsidRPr="005A3930">
        <w:rPr>
          <w:rFonts w:ascii="Arial Narrow" w:hAnsi="Arial Narrow"/>
          <w:lang w:val="en-US"/>
        </w:rPr>
        <w:t>(orgs. 1995) 128; J. M. Blum (1976</w:t>
      </w:r>
      <w:r w:rsidR="00B3505E">
        <w:rPr>
          <w:rFonts w:ascii="Arial Narrow" w:hAnsi="Arial Narrow"/>
          <w:lang w:val="en-US"/>
        </w:rPr>
        <w:t xml:space="preserve">) 178; H. L. Feingold (1995) 83; </w:t>
      </w:r>
      <w:r w:rsidR="00B3505E" w:rsidRPr="00387A7D">
        <w:rPr>
          <w:rFonts w:ascii="Arial Narrow" w:hAnsi="Arial Narrow"/>
          <w:lang w:val="en-US"/>
        </w:rPr>
        <w:t>S. Friedländer (2008) 878</w:t>
      </w:r>
      <w:r w:rsidR="00AA4E7B">
        <w:rPr>
          <w:rFonts w:ascii="Arial Narrow" w:hAnsi="Arial Narrow"/>
          <w:lang w:val="en-US"/>
        </w:rPr>
        <w:t xml:space="preserve">; </w:t>
      </w:r>
      <w:r w:rsidR="00AA4E7B" w:rsidRPr="00AA4E7B">
        <w:rPr>
          <w:rFonts w:ascii="Arial Narrow" w:hAnsi="Arial Narrow"/>
          <w:bCs/>
          <w:lang w:val="en-US"/>
        </w:rPr>
        <w:t>D. E. Lipstadt (1986)</w:t>
      </w:r>
      <w:r w:rsidR="00AA4E7B">
        <w:rPr>
          <w:rFonts w:ascii="Arial Narrow" w:hAnsi="Arial Narrow"/>
          <w:bCs/>
          <w:lang w:val="en-US"/>
        </w:rPr>
        <w:t xml:space="preserve"> 292</w:t>
      </w:r>
      <w:r w:rsidR="00BF5416">
        <w:rPr>
          <w:rFonts w:ascii="Arial Narrow" w:hAnsi="Arial Narrow"/>
          <w:bCs/>
          <w:lang w:val="en-US"/>
        </w:rPr>
        <w:t xml:space="preserve"> e segs.</w:t>
      </w:r>
      <w:r w:rsidR="007B399B">
        <w:rPr>
          <w:rFonts w:ascii="Arial Narrow" w:hAnsi="Arial Narrow"/>
          <w:bCs/>
          <w:lang w:val="en-US"/>
        </w:rPr>
        <w:t xml:space="preserve">; </w:t>
      </w:r>
      <w:r w:rsidR="007B399B" w:rsidRPr="007B399B">
        <w:rPr>
          <w:rFonts w:ascii="Arial Narrow" w:hAnsi="Arial Narrow"/>
          <w:bCs/>
          <w:lang w:val="en-US"/>
        </w:rPr>
        <w:t>N. Lochery (2011)</w:t>
      </w:r>
      <w:r w:rsidR="007B399B">
        <w:rPr>
          <w:rFonts w:ascii="Arial Narrow" w:hAnsi="Arial Narrow"/>
          <w:bCs/>
          <w:lang w:val="en-US"/>
        </w:rPr>
        <w:t xml:space="preserve"> 235.</w:t>
      </w:r>
    </w:p>
  </w:footnote>
  <w:footnote w:id="10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5A3930">
        <w:rPr>
          <w:rFonts w:ascii="Arial Narrow" w:hAnsi="Arial Narrow"/>
          <w:lang w:val="en-US"/>
        </w:rPr>
        <w:t xml:space="preserve"> H. L. Feingold (1995) 8, 84; </w:t>
      </w:r>
      <w:r w:rsidR="00EC7907" w:rsidRPr="00EC7907">
        <w:rPr>
          <w:rFonts w:ascii="Arial Narrow" w:hAnsi="Arial Narrow"/>
          <w:bCs/>
          <w:lang w:val="en-US"/>
        </w:rPr>
        <w:t xml:space="preserve">D. E. Lipstadt (1986) </w:t>
      </w:r>
      <w:r w:rsidR="00EC7907">
        <w:rPr>
          <w:rFonts w:ascii="Arial Narrow" w:hAnsi="Arial Narrow"/>
          <w:bCs/>
          <w:lang w:val="en-US"/>
        </w:rPr>
        <w:t>32</w:t>
      </w:r>
      <w:r w:rsidR="0063529D">
        <w:rPr>
          <w:rFonts w:ascii="Arial Narrow" w:hAnsi="Arial Narrow"/>
          <w:bCs/>
          <w:lang w:val="en-US"/>
        </w:rPr>
        <w:t>2-324</w:t>
      </w:r>
      <w:r w:rsidR="00506D6B">
        <w:rPr>
          <w:rFonts w:ascii="Arial Narrow" w:hAnsi="Arial Narrow"/>
          <w:bCs/>
          <w:lang w:val="en-US"/>
        </w:rPr>
        <w:t>, 328-3</w:t>
      </w:r>
      <w:r w:rsidR="00793045">
        <w:rPr>
          <w:rFonts w:ascii="Arial Narrow" w:hAnsi="Arial Narrow"/>
          <w:bCs/>
          <w:lang w:val="en-US"/>
        </w:rPr>
        <w:t>30</w:t>
      </w:r>
      <w:r w:rsidR="00EC7907">
        <w:rPr>
          <w:rFonts w:ascii="Arial Narrow" w:hAnsi="Arial Narrow"/>
          <w:bCs/>
          <w:lang w:val="en-US"/>
        </w:rPr>
        <w:t xml:space="preserve">; </w:t>
      </w:r>
      <w:r w:rsidRPr="005A3930">
        <w:rPr>
          <w:rFonts w:ascii="Arial Narrow" w:hAnsi="Arial Narrow"/>
          <w:lang w:val="en-US"/>
        </w:rPr>
        <w:t xml:space="preserve">«War Refugee Board», em I. C. B. Dear et al. </w:t>
      </w:r>
      <w:r w:rsidRPr="003E305A">
        <w:rPr>
          <w:rFonts w:ascii="Arial Narrow" w:hAnsi="Arial Narrow"/>
        </w:rPr>
        <w:t>(orgs. 1995) 1260.</w:t>
      </w:r>
    </w:p>
  </w:footnote>
  <w:footnote w:id="101">
    <w:p w:rsidR="000C262C" w:rsidRPr="00A21A2C"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«Palestine», em I. C. B. Dear et al. (orgs. </w:t>
      </w:r>
      <w:r w:rsidRPr="00A21A2C">
        <w:rPr>
          <w:rFonts w:ascii="Arial Narrow" w:hAnsi="Arial Narrow"/>
          <w:lang w:val="en-US"/>
        </w:rPr>
        <w:t>1995) 864.</w:t>
      </w:r>
    </w:p>
  </w:footnote>
  <w:footnote w:id="102">
    <w:p w:rsidR="000C262C" w:rsidRPr="00A21A2C" w:rsidRDefault="000C262C">
      <w:pPr>
        <w:pStyle w:val="Textodenotaderodap"/>
        <w:rPr>
          <w:rFonts w:ascii="Arial Narrow" w:hAnsi="Arial Narrow"/>
          <w:lang w:val="en-US"/>
        </w:rPr>
      </w:pPr>
      <w:r w:rsidRPr="008931E8">
        <w:rPr>
          <w:rStyle w:val="Refdenotaderodap"/>
          <w:rFonts w:ascii="Arial Narrow" w:hAnsi="Arial Narrow"/>
        </w:rPr>
        <w:footnoteRef/>
      </w:r>
      <w:r w:rsidRPr="00A21A2C">
        <w:rPr>
          <w:rFonts w:ascii="Arial Narrow" w:hAnsi="Arial Narrow"/>
          <w:lang w:val="en-US"/>
        </w:rPr>
        <w:t xml:space="preserve"> Sh. F. Weiss (2010) 50, 56.</w:t>
      </w:r>
    </w:p>
  </w:footnote>
  <w:footnote w:id="103">
    <w:p w:rsidR="000C262C" w:rsidRPr="00A21A2C"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A21A2C">
        <w:rPr>
          <w:rFonts w:ascii="Arial Narrow" w:hAnsi="Arial Narrow"/>
          <w:lang w:val="en-US"/>
        </w:rPr>
        <w:t xml:space="preserve"> E. Black (2003) 281 e segs.</w:t>
      </w:r>
    </w:p>
  </w:footnote>
  <w:footnote w:id="104">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Citados respectivamente em id., ibid., 297 e 298.</w:t>
      </w:r>
    </w:p>
  </w:footnote>
  <w:footnote w:id="105">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301-302.</w:t>
      </w:r>
    </w:p>
  </w:footnote>
  <w:footnote w:id="106">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313.</w:t>
      </w:r>
    </w:p>
  </w:footnote>
  <w:footnote w:id="107">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do artigo de Clarence Campbell encontra-se citada em id., ibid., 315.</w:t>
      </w:r>
      <w:r>
        <w:rPr>
          <w:rFonts w:ascii="Arial Narrow" w:hAnsi="Arial Narrow"/>
        </w:rPr>
        <w:t xml:space="preserve"> Ver igualmente Sh. F. Weiss (2010) 277.</w:t>
      </w:r>
    </w:p>
  </w:footnote>
  <w:footnote w:id="108">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As declarações de Marie Kopp encontram-se resumidas e citadas em E. Black (2003) 315.</w:t>
      </w:r>
    </w:p>
  </w:footnote>
  <w:footnote w:id="109">
    <w:p w:rsidR="000C262C" w:rsidRPr="00097430" w:rsidRDefault="000C262C">
      <w:pPr>
        <w:pStyle w:val="Textodenotaderodap"/>
        <w:rPr>
          <w:rFonts w:ascii="Arial Narrow" w:hAnsi="Arial Narrow"/>
        </w:rPr>
      </w:pPr>
      <w:r w:rsidRPr="00097430">
        <w:rPr>
          <w:rStyle w:val="Refdenotaderodap"/>
          <w:rFonts w:ascii="Arial Narrow" w:hAnsi="Arial Narrow"/>
        </w:rPr>
        <w:footnoteRef/>
      </w:r>
      <w:r w:rsidRPr="00097430">
        <w:rPr>
          <w:rFonts w:ascii="Arial Narrow" w:hAnsi="Arial Narrow"/>
        </w:rPr>
        <w:t xml:space="preserve"> </w:t>
      </w:r>
      <w:r>
        <w:rPr>
          <w:rFonts w:ascii="Arial Narrow" w:hAnsi="Arial Narrow"/>
        </w:rPr>
        <w:t>Estas passagens do artigo de Hilda von Hellmer Wullen estão citadas em Sh. F. Weiss (2010) 278.</w:t>
      </w:r>
    </w:p>
  </w:footnote>
  <w:footnote w:id="11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O texto de Lothrop Stoddard está sintetizado em S. Kühl (1994) 61-62. As citações encontram-se em E. Black (2003) 318 e Stefan Kühl, </w:t>
      </w:r>
      <w:r w:rsidRPr="0091235F">
        <w:rPr>
          <w:rFonts w:ascii="Arial Narrow" w:hAnsi="Arial Narrow"/>
        </w:rPr>
        <w:t>op.cit.,</w:t>
      </w:r>
      <w:r w:rsidRPr="003E305A">
        <w:rPr>
          <w:rFonts w:ascii="Arial Narrow" w:hAnsi="Arial Narrow"/>
        </w:rPr>
        <w:t xml:space="preserve"> 62.</w:t>
      </w:r>
    </w:p>
  </w:footnote>
  <w:footnote w:id="111">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O artigo de Tage U. H. Ellinger encontra-se citado em E. Black (2003) 415-416. Ver igualmente S. Kühl (1994) 60.</w:t>
      </w:r>
    </w:p>
  </w:footnote>
  <w:footnote w:id="112">
    <w:p w:rsidR="000C262C" w:rsidRPr="00845978" w:rsidRDefault="000C262C">
      <w:pPr>
        <w:pStyle w:val="Textodenotaderodap"/>
        <w:rPr>
          <w:rFonts w:ascii="Arial Narrow" w:hAnsi="Arial Narrow"/>
        </w:rPr>
      </w:pPr>
      <w:r w:rsidRPr="00845978">
        <w:rPr>
          <w:rStyle w:val="Refdenotaderodap"/>
          <w:rFonts w:ascii="Arial Narrow" w:hAnsi="Arial Narrow"/>
        </w:rPr>
        <w:footnoteRef/>
      </w:r>
      <w:r w:rsidRPr="00845978">
        <w:rPr>
          <w:rFonts w:ascii="Arial Narrow" w:hAnsi="Arial Narrow"/>
        </w:rPr>
        <w:t xml:space="preserve"> </w:t>
      </w:r>
      <w:r>
        <w:rPr>
          <w:rFonts w:ascii="Arial Narrow" w:hAnsi="Arial Narrow"/>
        </w:rPr>
        <w:t>Sh. F. Weiss (2010) 281-282.</w:t>
      </w:r>
    </w:p>
  </w:footnote>
  <w:footnote w:id="113">
    <w:p w:rsidR="000C262C" w:rsidRPr="001B1F0A"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Acerca da conferência de Évian e dos planos de asilo ver H. L. Feingold (1995) 74-75, 94-140</w:t>
      </w:r>
      <w:r w:rsidR="006748B8">
        <w:rPr>
          <w:rFonts w:ascii="Arial Narrow" w:hAnsi="Arial Narrow"/>
        </w:rPr>
        <w:t>,</w:t>
      </w:r>
      <w:r w:rsidRPr="003E305A">
        <w:rPr>
          <w:rFonts w:ascii="Arial Narrow" w:hAnsi="Arial Narrow"/>
        </w:rPr>
        <w:t xml:space="preserve"> 188</w:t>
      </w:r>
      <w:r w:rsidR="00974958">
        <w:rPr>
          <w:rFonts w:ascii="Arial Narrow" w:hAnsi="Arial Narrow"/>
        </w:rPr>
        <w:t>,</w:t>
      </w:r>
      <w:r w:rsidR="006748B8">
        <w:rPr>
          <w:rFonts w:ascii="Arial Narrow" w:hAnsi="Arial Narrow"/>
        </w:rPr>
        <w:t xml:space="preserve"> </w:t>
      </w:r>
      <w:r w:rsidR="006748B8" w:rsidRPr="006748B8">
        <w:rPr>
          <w:rFonts w:ascii="Arial Narrow" w:hAnsi="Arial Narrow"/>
          <w:bCs/>
        </w:rPr>
        <w:t>D. E. Lipstadt (1986)</w:t>
      </w:r>
      <w:r w:rsidR="006748B8">
        <w:rPr>
          <w:rFonts w:ascii="Arial Narrow" w:hAnsi="Arial Narrow"/>
          <w:bCs/>
        </w:rPr>
        <w:t xml:space="preserve"> 138-</w:t>
      </w:r>
      <w:r w:rsidR="001D0863">
        <w:rPr>
          <w:rFonts w:ascii="Arial Narrow" w:hAnsi="Arial Narrow"/>
          <w:bCs/>
        </w:rPr>
        <w:t>145</w:t>
      </w:r>
      <w:r w:rsidR="00974958">
        <w:rPr>
          <w:rFonts w:ascii="Arial Narrow" w:hAnsi="Arial Narrow"/>
          <w:bCs/>
        </w:rPr>
        <w:t xml:space="preserve"> e </w:t>
      </w:r>
      <w:r w:rsidR="00974958" w:rsidRPr="00974958">
        <w:rPr>
          <w:rFonts w:ascii="Arial Narrow" w:hAnsi="Arial Narrow"/>
          <w:bCs/>
        </w:rPr>
        <w:t>A. Tooze (2006)</w:t>
      </w:r>
      <w:r w:rsidR="00974958">
        <w:rPr>
          <w:rFonts w:ascii="Arial Narrow" w:hAnsi="Arial Narrow"/>
          <w:bCs/>
        </w:rPr>
        <w:t xml:space="preserve"> 279-280</w:t>
      </w:r>
      <w:r w:rsidRPr="003E305A">
        <w:rPr>
          <w:rFonts w:ascii="Arial Narrow" w:hAnsi="Arial Narrow"/>
        </w:rPr>
        <w:t>.</w:t>
      </w:r>
      <w:r>
        <w:rPr>
          <w:rFonts w:ascii="Arial Narrow" w:hAnsi="Arial Narrow"/>
        </w:rPr>
        <w:t xml:space="preserve"> «Duvido que façam muita coisa», escreveu na página do seu diário relativa a essa conferência um jornalista que acompanhou o acontecimento. «Os britânicos, os franceses e os americanos parecem ansiosos por não fazer nada que possa ofender Hitler». </w:t>
      </w:r>
      <w:r w:rsidRPr="001B1F0A">
        <w:rPr>
          <w:rFonts w:ascii="Arial Narrow" w:hAnsi="Arial Narrow"/>
          <w:lang w:val="en-US"/>
        </w:rPr>
        <w:t xml:space="preserve">Ver </w:t>
      </w:r>
      <w:r w:rsidRPr="001B1F0A">
        <w:rPr>
          <w:rFonts w:ascii="Arial Narrow" w:hAnsi="Arial Narrow"/>
          <w:bCs/>
          <w:lang w:val="en-US"/>
        </w:rPr>
        <w:t>W. L. Shirer (2011) 129.</w:t>
      </w:r>
    </w:p>
  </w:footnote>
  <w:footnote w:id="114">
    <w:p w:rsidR="000C262C" w:rsidRPr="001B1F0A" w:rsidRDefault="000C262C">
      <w:pPr>
        <w:pStyle w:val="Textodenotaderodap"/>
        <w:rPr>
          <w:rFonts w:ascii="Arial Narrow" w:hAnsi="Arial Narrow"/>
          <w:lang w:val="en-US"/>
        </w:rPr>
      </w:pPr>
      <w:r w:rsidRPr="00A37230">
        <w:rPr>
          <w:rStyle w:val="Refdenotaderodap"/>
          <w:rFonts w:ascii="Arial Narrow" w:hAnsi="Arial Narrow"/>
        </w:rPr>
        <w:footnoteRef/>
      </w:r>
      <w:r w:rsidRPr="001B1F0A">
        <w:rPr>
          <w:rFonts w:ascii="Arial Narrow" w:hAnsi="Arial Narrow"/>
          <w:lang w:val="en-US"/>
        </w:rPr>
        <w:t xml:space="preserve"> K. Polkehn (1976) 81.</w:t>
      </w:r>
    </w:p>
  </w:footnote>
  <w:footnote w:id="115">
    <w:p w:rsidR="00324B8A" w:rsidRPr="00324B8A" w:rsidRDefault="00324B8A">
      <w:pPr>
        <w:pStyle w:val="Textodenotaderodap"/>
        <w:rPr>
          <w:rFonts w:ascii="Arial Narrow" w:hAnsi="Arial Narrow"/>
          <w:lang w:val="en-US"/>
        </w:rPr>
      </w:pPr>
      <w:r w:rsidRPr="00324B8A">
        <w:rPr>
          <w:rStyle w:val="Refdenotaderodap"/>
          <w:rFonts w:ascii="Arial Narrow" w:hAnsi="Arial Narrow"/>
        </w:rPr>
        <w:footnoteRef/>
      </w:r>
      <w:r w:rsidRPr="00324B8A">
        <w:rPr>
          <w:rFonts w:ascii="Arial Narrow" w:hAnsi="Arial Narrow"/>
          <w:lang w:val="en-US"/>
        </w:rPr>
        <w:t xml:space="preserve"> K. A. Schleunes (1990)</w:t>
      </w:r>
      <w:r>
        <w:rPr>
          <w:rFonts w:ascii="Arial Narrow" w:hAnsi="Arial Narrow"/>
          <w:lang w:val="en-US"/>
        </w:rPr>
        <w:t xml:space="preserve"> 232-23</w:t>
      </w:r>
      <w:r w:rsidR="001E6662">
        <w:rPr>
          <w:rFonts w:ascii="Arial Narrow" w:hAnsi="Arial Narrow"/>
          <w:lang w:val="en-US"/>
        </w:rPr>
        <w:t>4</w:t>
      </w:r>
      <w:r>
        <w:rPr>
          <w:rFonts w:ascii="Arial Narrow" w:hAnsi="Arial Narrow"/>
          <w:lang w:val="en-US"/>
        </w:rPr>
        <w:t>.</w:t>
      </w:r>
    </w:p>
  </w:footnote>
  <w:footnote w:id="116">
    <w:p w:rsidR="000C262C" w:rsidRPr="0029797A" w:rsidRDefault="000C262C">
      <w:pPr>
        <w:pStyle w:val="Textodenotaderodap"/>
        <w:rPr>
          <w:rFonts w:ascii="Arial Narrow" w:hAnsi="Arial Narrow"/>
        </w:rPr>
      </w:pPr>
      <w:r w:rsidRPr="0029797A">
        <w:rPr>
          <w:rStyle w:val="Refdenotaderodap"/>
          <w:rFonts w:ascii="Arial Narrow" w:hAnsi="Arial Narrow"/>
        </w:rPr>
        <w:footnoteRef/>
      </w:r>
      <w:r w:rsidRPr="00324B8A">
        <w:rPr>
          <w:rFonts w:ascii="Arial Narrow" w:hAnsi="Arial Narrow"/>
          <w:lang w:val="en-US"/>
        </w:rPr>
        <w:t xml:space="preserve"> L. Degrelle (2006) 82. </w:t>
      </w:r>
      <w:r>
        <w:rPr>
          <w:rFonts w:ascii="Arial Narrow" w:hAnsi="Arial Narrow"/>
        </w:rPr>
        <w:t>«[...] os países estrangeiros não estavam desejosos de receber judeus indigentes [...]», escreveram J. Noakes et al. (orgs. 2008-2010) II 354.</w:t>
      </w:r>
      <w:r w:rsidR="000A22F0">
        <w:rPr>
          <w:rFonts w:ascii="Arial Narrow" w:hAnsi="Arial Narrow"/>
        </w:rPr>
        <w:t xml:space="preserve"> Ver igualmente </w:t>
      </w:r>
      <w:r w:rsidR="000A22F0" w:rsidRPr="000A22F0">
        <w:rPr>
          <w:rFonts w:ascii="Arial Narrow" w:hAnsi="Arial Narrow"/>
        </w:rPr>
        <w:t>S. Friedländer (2008)</w:t>
      </w:r>
      <w:r w:rsidR="000A22F0">
        <w:rPr>
          <w:rFonts w:ascii="Arial Narrow" w:hAnsi="Arial Narrow"/>
        </w:rPr>
        <w:t xml:space="preserve"> 877.</w:t>
      </w:r>
    </w:p>
  </w:footnote>
  <w:footnote w:id="117">
    <w:p w:rsidR="000C262C" w:rsidRPr="0097354E" w:rsidRDefault="000C262C">
      <w:pPr>
        <w:pStyle w:val="Textodenotaderodap"/>
        <w:rPr>
          <w:rFonts w:ascii="Arial Narrow" w:hAnsi="Arial Narrow"/>
        </w:rPr>
      </w:pPr>
      <w:r w:rsidRPr="0097354E">
        <w:rPr>
          <w:rStyle w:val="Refdenotaderodap"/>
          <w:rFonts w:ascii="Arial Narrow" w:hAnsi="Arial Narrow"/>
        </w:rPr>
        <w:footnoteRef/>
      </w:r>
      <w:r w:rsidRPr="0097354E">
        <w:rPr>
          <w:rFonts w:ascii="Arial Narrow" w:hAnsi="Arial Narrow"/>
        </w:rPr>
        <w:t xml:space="preserve"> </w:t>
      </w:r>
      <w:r>
        <w:rPr>
          <w:rFonts w:ascii="Arial Narrow" w:hAnsi="Arial Narrow"/>
        </w:rPr>
        <w:t>M. Roseman (2012) 21.</w:t>
      </w:r>
    </w:p>
  </w:footnote>
  <w:footnote w:id="118">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viagem do navio St. Louis ver </w:t>
      </w:r>
      <w:r w:rsidR="00834211" w:rsidRPr="0044096E">
        <w:rPr>
          <w:rFonts w:ascii="Arial Narrow" w:hAnsi="Arial Narrow"/>
          <w:bCs/>
        </w:rPr>
        <w:t>D. E. Lipstadt (1986) 169-</w:t>
      </w:r>
      <w:r w:rsidR="00E15B4B" w:rsidRPr="0044096E">
        <w:rPr>
          <w:rFonts w:ascii="Arial Narrow" w:hAnsi="Arial Narrow"/>
          <w:bCs/>
        </w:rPr>
        <w:t>175</w:t>
      </w:r>
      <w:r w:rsidR="00834211" w:rsidRPr="0044096E">
        <w:rPr>
          <w:rFonts w:ascii="Arial Narrow" w:hAnsi="Arial Narrow"/>
          <w:bCs/>
        </w:rPr>
        <w:t xml:space="preserve"> e </w:t>
      </w:r>
      <w:r w:rsidR="003A53D2" w:rsidRPr="003A53D2">
        <w:rPr>
          <w:rFonts w:ascii="Arial Narrow" w:hAnsi="Arial Narrow"/>
          <w:bCs/>
        </w:rPr>
        <w:t>G. Thomas et al. (2014)</w:t>
      </w:r>
      <w:r w:rsidR="004B35B9">
        <w:rPr>
          <w:rFonts w:ascii="Arial Narrow" w:hAnsi="Arial Narrow"/>
          <w:bCs/>
        </w:rPr>
        <w:t xml:space="preserve"> </w:t>
      </w:r>
      <w:r w:rsidR="00BA6A91" w:rsidRPr="00BA6A91">
        <w:rPr>
          <w:rFonts w:ascii="Arial Narrow" w:hAnsi="Arial Narrow"/>
          <w:bCs/>
          <w:i/>
        </w:rPr>
        <w:t>passim</w:t>
      </w:r>
      <w:r w:rsidR="00CA1A79">
        <w:rPr>
          <w:rFonts w:ascii="Arial Narrow" w:hAnsi="Arial Narrow"/>
          <w:bCs/>
        </w:rPr>
        <w:t>.</w:t>
      </w:r>
      <w:r w:rsidR="003A53D2" w:rsidRPr="003A53D2">
        <w:rPr>
          <w:rFonts w:ascii="Arial Narrow" w:hAnsi="Arial Narrow"/>
          <w:bCs/>
        </w:rPr>
        <w:t xml:space="preserve"> </w:t>
      </w:r>
      <w:r>
        <w:rPr>
          <w:rFonts w:ascii="Arial Narrow" w:hAnsi="Arial Narrow"/>
        </w:rPr>
        <w:t xml:space="preserve">Ver também L. Degrelle (2006) 82-83. </w:t>
      </w:r>
      <w:r w:rsidRPr="003E305A">
        <w:rPr>
          <w:rFonts w:ascii="Arial Narrow" w:hAnsi="Arial Narrow"/>
        </w:rPr>
        <w:t xml:space="preserve">Quanto à atitude tomada pelo governo do Canadá ver </w:t>
      </w:r>
      <w:r w:rsidRPr="003E305A">
        <w:rPr>
          <w:rFonts w:ascii="Arial Narrow" w:hAnsi="Arial Narrow"/>
          <w:i/>
        </w:rPr>
        <w:t>The Economist,</w:t>
      </w:r>
      <w:r w:rsidRPr="003E305A">
        <w:rPr>
          <w:rFonts w:ascii="Arial Narrow" w:hAnsi="Arial Narrow"/>
        </w:rPr>
        <w:t xml:space="preserve"> 24 de Junho de 2006, pág. 58.</w:t>
      </w:r>
    </w:p>
  </w:footnote>
  <w:footnote w:id="119">
    <w:p w:rsidR="00C2123E" w:rsidRPr="00C2123E" w:rsidRDefault="00C2123E">
      <w:pPr>
        <w:pStyle w:val="Textodenotaderodap"/>
        <w:rPr>
          <w:rFonts w:ascii="Arial Narrow" w:hAnsi="Arial Narrow"/>
        </w:rPr>
      </w:pPr>
      <w:r w:rsidRPr="00C2123E">
        <w:rPr>
          <w:rStyle w:val="Refdenotaderodap"/>
          <w:rFonts w:ascii="Arial Narrow" w:hAnsi="Arial Narrow"/>
        </w:rPr>
        <w:footnoteRef/>
      </w:r>
      <w:r w:rsidRPr="00C2123E">
        <w:rPr>
          <w:rFonts w:ascii="Arial Narrow" w:hAnsi="Arial Narrow"/>
        </w:rPr>
        <w:t xml:space="preserve"> </w:t>
      </w:r>
      <w:r w:rsidRPr="003E305A">
        <w:rPr>
          <w:rFonts w:ascii="Arial Narrow" w:hAnsi="Arial Narrow"/>
        </w:rPr>
        <w:t>Acerca da viagem do navio Quanza ver H. L. Feingold (1995) 78-79.</w:t>
      </w:r>
    </w:p>
  </w:footnote>
  <w:footnote w:id="120">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Sobre Breckinridge Long, vice-secretário do Departamento de Estado encarregado do Departamento de Problemas Especiais, ver id., ibid., 79, 81, 86, 143</w:t>
      </w:r>
      <w:r w:rsidR="00633609">
        <w:rPr>
          <w:rFonts w:ascii="Arial Narrow" w:hAnsi="Arial Narrow"/>
        </w:rPr>
        <w:t>,</w:t>
      </w:r>
      <w:r w:rsidRPr="003E305A">
        <w:rPr>
          <w:rFonts w:ascii="Arial Narrow" w:hAnsi="Arial Narrow"/>
        </w:rPr>
        <w:t xml:space="preserve"> 172-173</w:t>
      </w:r>
      <w:r w:rsidR="00BF5416">
        <w:rPr>
          <w:rFonts w:ascii="Arial Narrow" w:hAnsi="Arial Narrow"/>
        </w:rPr>
        <w:t>,</w:t>
      </w:r>
      <w:r w:rsidR="00633609">
        <w:rPr>
          <w:rFonts w:ascii="Arial Narrow" w:hAnsi="Arial Narrow"/>
        </w:rPr>
        <w:t xml:space="preserve"> </w:t>
      </w:r>
      <w:r w:rsidR="00633609" w:rsidRPr="00F17FE5">
        <w:rPr>
          <w:rFonts w:ascii="Arial Narrow" w:hAnsi="Arial Narrow"/>
        </w:rPr>
        <w:t>S. Friedländer (2008) 148-149</w:t>
      </w:r>
      <w:r w:rsidR="00BF5416">
        <w:rPr>
          <w:rFonts w:ascii="Arial Narrow" w:hAnsi="Arial Narrow"/>
        </w:rPr>
        <w:t xml:space="preserve"> e </w:t>
      </w:r>
      <w:r w:rsidR="00BF5416" w:rsidRPr="00BF5416">
        <w:rPr>
          <w:rFonts w:ascii="Arial Narrow" w:hAnsi="Arial Narrow"/>
          <w:bCs/>
        </w:rPr>
        <w:t>D. E. Lipstadt (1986)</w:t>
      </w:r>
      <w:r w:rsidR="00BF5416">
        <w:rPr>
          <w:rFonts w:ascii="Arial Narrow" w:hAnsi="Arial Narrow"/>
          <w:bCs/>
        </w:rPr>
        <w:t xml:space="preserve"> 297</w:t>
      </w:r>
      <w:r w:rsidR="00D77A70">
        <w:rPr>
          <w:rFonts w:ascii="Arial Narrow" w:hAnsi="Arial Narrow"/>
          <w:bCs/>
        </w:rPr>
        <w:t>, 321</w:t>
      </w:r>
      <w:r w:rsidR="00FE14A5">
        <w:rPr>
          <w:rFonts w:ascii="Arial Narrow" w:hAnsi="Arial Narrow"/>
          <w:bCs/>
        </w:rPr>
        <w:t>-322</w:t>
      </w:r>
      <w:r w:rsidRPr="003E305A">
        <w:rPr>
          <w:rFonts w:ascii="Arial Narrow" w:hAnsi="Arial Narrow"/>
        </w:rPr>
        <w:t>.</w:t>
      </w:r>
    </w:p>
  </w:footnote>
  <w:footnote w:id="121">
    <w:p w:rsidR="000C262C" w:rsidRPr="00F17FE5"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F17FE5">
        <w:rPr>
          <w:rFonts w:ascii="Arial Narrow" w:hAnsi="Arial Narrow"/>
          <w:lang w:val="en-US"/>
        </w:rPr>
        <w:t xml:space="preserve"> </w:t>
      </w:r>
      <w:r w:rsidR="00633609" w:rsidRPr="00F17FE5">
        <w:rPr>
          <w:rFonts w:ascii="Arial Narrow" w:hAnsi="Arial Narrow"/>
          <w:lang w:val="en-US"/>
        </w:rPr>
        <w:t xml:space="preserve">H. L. Feingold (1995) </w:t>
      </w:r>
      <w:r w:rsidRPr="00F17FE5">
        <w:rPr>
          <w:rFonts w:ascii="Arial Narrow" w:hAnsi="Arial Narrow"/>
          <w:lang w:val="en-US"/>
        </w:rPr>
        <w:t>142, 173, 193.</w:t>
      </w:r>
    </w:p>
  </w:footnote>
  <w:footnote w:id="122">
    <w:p w:rsidR="000C262C" w:rsidRPr="00F17FE5"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F17FE5">
        <w:rPr>
          <w:rFonts w:ascii="Arial Narrow" w:hAnsi="Arial Narrow"/>
          <w:lang w:val="en-US"/>
        </w:rPr>
        <w:t xml:space="preserve"> Id., ibid., 64.</w:t>
      </w:r>
    </w:p>
  </w:footnote>
  <w:footnote w:id="123">
    <w:p w:rsidR="006B3DA2" w:rsidRPr="006B3DA2" w:rsidRDefault="006B3DA2">
      <w:pPr>
        <w:pStyle w:val="Textodenotaderodap"/>
        <w:rPr>
          <w:rFonts w:ascii="Arial Narrow" w:hAnsi="Arial Narrow"/>
        </w:rPr>
      </w:pPr>
      <w:r w:rsidRPr="006B3DA2">
        <w:rPr>
          <w:rStyle w:val="Refdenotaderodap"/>
          <w:rFonts w:ascii="Arial Narrow" w:hAnsi="Arial Narrow"/>
        </w:rPr>
        <w:footnoteRef/>
      </w:r>
      <w:r w:rsidRPr="006B3DA2">
        <w:rPr>
          <w:rFonts w:ascii="Arial Narrow" w:hAnsi="Arial Narrow"/>
        </w:rPr>
        <w:t xml:space="preserve"> </w:t>
      </w:r>
      <w:r w:rsidRPr="005D681D">
        <w:rPr>
          <w:rFonts w:ascii="Arial Narrow" w:hAnsi="Arial Narrow"/>
        </w:rPr>
        <w:t>N. Lochery (2011) 68.</w:t>
      </w:r>
      <w:r w:rsidR="00BC34DD">
        <w:rPr>
          <w:rFonts w:ascii="Arial Narrow" w:hAnsi="Arial Narrow"/>
        </w:rPr>
        <w:t xml:space="preserve"> Curiosamente, este mesmo argumento fora já empregue </w:t>
      </w:r>
      <w:r w:rsidR="00E5719B">
        <w:rPr>
          <w:rFonts w:ascii="Arial Narrow" w:hAnsi="Arial Narrow"/>
        </w:rPr>
        <w:t xml:space="preserve">em 1936 </w:t>
      </w:r>
      <w:r w:rsidR="00BC34DD">
        <w:rPr>
          <w:rFonts w:ascii="Arial Narrow" w:hAnsi="Arial Narrow"/>
        </w:rPr>
        <w:t>por Marcelo Matias</w:t>
      </w:r>
      <w:r w:rsidR="00E5719B">
        <w:rPr>
          <w:rFonts w:ascii="Arial Narrow" w:hAnsi="Arial Narrow"/>
        </w:rPr>
        <w:t>, uma alta personalidade do Ministério dos Negócios Estrangeiros português</w:t>
      </w:r>
      <w:r w:rsidR="00BC34DD">
        <w:rPr>
          <w:rFonts w:ascii="Arial Narrow" w:hAnsi="Arial Narrow"/>
        </w:rPr>
        <w:t>. Ver S. Chalante (2011) 53-54.</w:t>
      </w:r>
    </w:p>
  </w:footnote>
  <w:footnote w:id="124">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por R. Hilberg (1961) 720 n. 19.</w:t>
      </w:r>
    </w:p>
  </w:footnote>
  <w:footnote w:id="125">
    <w:p w:rsidR="00E827EE" w:rsidRPr="00E827EE" w:rsidRDefault="00E827EE">
      <w:pPr>
        <w:pStyle w:val="Textodenotaderodap"/>
        <w:rPr>
          <w:rFonts w:ascii="Arial Narrow" w:hAnsi="Arial Narrow"/>
        </w:rPr>
      </w:pPr>
      <w:r w:rsidRPr="00E827EE">
        <w:rPr>
          <w:rStyle w:val="Refdenotaderodap"/>
          <w:rFonts w:ascii="Arial Narrow" w:hAnsi="Arial Narrow"/>
        </w:rPr>
        <w:footnoteRef/>
      </w:r>
      <w:r w:rsidRPr="00E827EE">
        <w:rPr>
          <w:rFonts w:ascii="Arial Narrow" w:hAnsi="Arial Narrow"/>
        </w:rPr>
        <w:t xml:space="preserve"> </w:t>
      </w:r>
      <w:r w:rsidRPr="000D7359">
        <w:rPr>
          <w:rFonts w:ascii="Arial Narrow" w:hAnsi="Arial Narrow"/>
        </w:rPr>
        <w:t>S. Friedländer (2008) 497-498.</w:t>
      </w:r>
    </w:p>
  </w:footnote>
  <w:footnote w:id="126">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3E305A">
        <w:rPr>
          <w:rFonts w:ascii="Arial Narrow" w:hAnsi="Arial Narrow"/>
        </w:rPr>
        <w:t xml:space="preserve"> I. F. Stone em </w:t>
      </w:r>
      <w:r w:rsidRPr="003E305A">
        <w:rPr>
          <w:rFonts w:ascii="Arial Narrow" w:hAnsi="Arial Narrow"/>
          <w:i/>
        </w:rPr>
        <w:t>The Nation,</w:t>
      </w:r>
      <w:r w:rsidRPr="003E305A">
        <w:rPr>
          <w:rFonts w:ascii="Arial Narrow" w:hAnsi="Arial Narrow"/>
        </w:rPr>
        <w:t xml:space="preserve"> 10 de Junho de 1944, reproduzido em K. V. Heuvel et al. </w:t>
      </w:r>
      <w:r w:rsidRPr="00B2463D">
        <w:rPr>
          <w:rFonts w:ascii="Arial Narrow" w:hAnsi="Arial Narrow"/>
          <w:lang w:val="de-DE"/>
        </w:rPr>
        <w:t>(orgs. 1994) 247.</w:t>
      </w:r>
    </w:p>
  </w:footnote>
  <w:footnote w:id="127">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Hilberg (1961) 720-721; H. M. Sachar (1976) 238.</w:t>
      </w:r>
    </w:p>
  </w:footnote>
  <w:footnote w:id="128">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Hilberg (1961) 721.</w:t>
      </w:r>
      <w:r w:rsidR="00B76E61">
        <w:rPr>
          <w:rFonts w:ascii="Arial Narrow" w:hAnsi="Arial Narrow"/>
          <w:lang w:val="de-DE"/>
        </w:rPr>
        <w:t xml:space="preserve"> Ver também </w:t>
      </w:r>
      <w:r w:rsidR="00B76E61" w:rsidRPr="00B76E61">
        <w:rPr>
          <w:rFonts w:ascii="Arial Narrow" w:hAnsi="Arial Narrow"/>
        </w:rPr>
        <w:t>S. Friedländer (2008)</w:t>
      </w:r>
      <w:r w:rsidR="00B76E61">
        <w:rPr>
          <w:rFonts w:ascii="Arial Narrow" w:hAnsi="Arial Narrow"/>
        </w:rPr>
        <w:t xml:space="preserve"> 878.</w:t>
      </w:r>
    </w:p>
  </w:footnote>
  <w:footnote w:id="129">
    <w:p w:rsidR="000C262C" w:rsidRPr="00A8608B"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J. M. Blum (1976) 179-180; </w:t>
      </w:r>
      <w:r w:rsidR="00613DD1" w:rsidRPr="00387A7D">
        <w:rPr>
          <w:rFonts w:ascii="Arial Narrow" w:hAnsi="Arial Narrow"/>
          <w:lang w:val="en-US"/>
        </w:rPr>
        <w:t xml:space="preserve">S. Friedländer (2008) 877-878; </w:t>
      </w:r>
      <w:r w:rsidRPr="00B2463D">
        <w:rPr>
          <w:rFonts w:ascii="Arial Narrow" w:hAnsi="Arial Narrow"/>
          <w:lang w:val="de-DE"/>
        </w:rPr>
        <w:t xml:space="preserve">R. Hilberg (1961) 721. </w:t>
      </w:r>
      <w:r w:rsidRPr="003E305A">
        <w:rPr>
          <w:rFonts w:ascii="Arial Narrow" w:hAnsi="Arial Narrow"/>
        </w:rPr>
        <w:t xml:space="preserve">A frase citada encontra-se em Raul Hilberg, </w:t>
      </w:r>
      <w:r w:rsidRPr="008B4836">
        <w:rPr>
          <w:rFonts w:ascii="Arial Narrow" w:hAnsi="Arial Narrow"/>
        </w:rPr>
        <w:t>op. cit.,</w:t>
      </w:r>
      <w:r w:rsidRPr="003E305A">
        <w:rPr>
          <w:rFonts w:ascii="Arial Narrow" w:hAnsi="Arial Narrow"/>
        </w:rPr>
        <w:t xml:space="preserve"> 721.</w:t>
      </w:r>
      <w:r>
        <w:rPr>
          <w:rFonts w:ascii="Arial Narrow" w:hAnsi="Arial Narrow"/>
        </w:rPr>
        <w:t xml:space="preserve"> </w:t>
      </w:r>
      <w:r w:rsidR="00613DD1" w:rsidRPr="00A8608B">
        <w:rPr>
          <w:rFonts w:ascii="Arial Narrow" w:hAnsi="Arial Narrow"/>
        </w:rPr>
        <w:t>S</w:t>
      </w:r>
      <w:r w:rsidR="00613DD1">
        <w:rPr>
          <w:rFonts w:ascii="Arial Narrow" w:hAnsi="Arial Narrow"/>
        </w:rPr>
        <w:t>aul</w:t>
      </w:r>
      <w:r w:rsidR="00613DD1" w:rsidRPr="00A8608B">
        <w:rPr>
          <w:rFonts w:ascii="Arial Narrow" w:hAnsi="Arial Narrow"/>
        </w:rPr>
        <w:t xml:space="preserve"> Friedländer</w:t>
      </w:r>
      <w:r w:rsidR="00613DD1">
        <w:rPr>
          <w:rFonts w:ascii="Arial Narrow" w:hAnsi="Arial Narrow"/>
        </w:rPr>
        <w:t xml:space="preserve"> indicou setenta mil judeus a duzentas libras palestinianas por pessoa. Se uma libra palestiniana equivalesse a uma libra esterlina</w:t>
      </w:r>
      <w:r w:rsidR="004C344B">
        <w:rPr>
          <w:rFonts w:ascii="Arial Narrow" w:hAnsi="Arial Narrow"/>
        </w:rPr>
        <w:t xml:space="preserve"> e esta a cinco dólares</w:t>
      </w:r>
      <w:r w:rsidR="00613DD1">
        <w:rPr>
          <w:rFonts w:ascii="Arial Narrow" w:hAnsi="Arial Narrow"/>
        </w:rPr>
        <w:t xml:space="preserve">, como penso, o negócio seria mais avultado, setenta milhões de dólares no total. </w:t>
      </w:r>
      <w:r w:rsidR="00834321">
        <w:rPr>
          <w:rFonts w:ascii="Arial Narrow" w:hAnsi="Arial Narrow"/>
        </w:rPr>
        <w:t>Para a origem d</w:t>
      </w:r>
      <w:r w:rsidR="00AE6D04">
        <w:rPr>
          <w:rFonts w:ascii="Arial Narrow" w:hAnsi="Arial Narrow"/>
        </w:rPr>
        <w:t>e um</w:t>
      </w:r>
      <w:r w:rsidR="00834321">
        <w:rPr>
          <w:rFonts w:ascii="Arial Narrow" w:hAnsi="Arial Narrow"/>
        </w:rPr>
        <w:t xml:space="preserve">a menção a cinquenta dólares por pessoa ver </w:t>
      </w:r>
      <w:r w:rsidR="00834321" w:rsidRPr="00834321">
        <w:rPr>
          <w:rFonts w:ascii="Arial Narrow" w:hAnsi="Arial Narrow"/>
          <w:bCs/>
        </w:rPr>
        <w:t xml:space="preserve">D. E. Lipstadt (1986) </w:t>
      </w:r>
      <w:r w:rsidR="00834321">
        <w:rPr>
          <w:rFonts w:ascii="Arial Narrow" w:hAnsi="Arial Narrow"/>
          <w:bCs/>
        </w:rPr>
        <w:t>285.</w:t>
      </w:r>
      <w:r w:rsidR="00AE6D04">
        <w:rPr>
          <w:rFonts w:ascii="Arial Narrow" w:hAnsi="Arial Narrow"/>
          <w:bCs/>
        </w:rPr>
        <w:t xml:space="preserve"> </w:t>
      </w:r>
      <w:r w:rsidR="00613DD1">
        <w:rPr>
          <w:rFonts w:ascii="Arial Narrow" w:hAnsi="Arial Narrow"/>
        </w:rPr>
        <w:t xml:space="preserve">Aquela </w:t>
      </w:r>
      <w:r>
        <w:rPr>
          <w:rFonts w:ascii="Arial Narrow" w:hAnsi="Arial Narrow"/>
        </w:rPr>
        <w:t>proposta do ditador romeno compreende-se melhor se soubermos que a acta da conferência interdepartamental reunida em Wannsee, em J</w:t>
      </w:r>
      <w:r w:rsidRPr="00712498">
        <w:rPr>
          <w:rFonts w:ascii="Arial Narrow" w:hAnsi="Arial Narrow"/>
        </w:rPr>
        <w:t>aneiro de 1942</w:t>
      </w:r>
      <w:r>
        <w:rPr>
          <w:rFonts w:ascii="Arial Narrow" w:hAnsi="Arial Narrow"/>
        </w:rPr>
        <w:t>,</w:t>
      </w:r>
      <w:r w:rsidRPr="00712498">
        <w:rPr>
          <w:rFonts w:ascii="Arial Narrow" w:hAnsi="Arial Narrow"/>
        </w:rPr>
        <w:t xml:space="preserve"> </w:t>
      </w:r>
      <w:r>
        <w:rPr>
          <w:rFonts w:ascii="Arial Narrow" w:hAnsi="Arial Narrow"/>
        </w:rPr>
        <w:t xml:space="preserve">sob a presidência de </w:t>
      </w:r>
      <w:r w:rsidRPr="00712498">
        <w:rPr>
          <w:rFonts w:ascii="Arial Narrow" w:hAnsi="Arial Narrow"/>
        </w:rPr>
        <w:t>Heydrich</w:t>
      </w:r>
      <w:r>
        <w:rPr>
          <w:rFonts w:ascii="Arial Narrow" w:hAnsi="Arial Narrow"/>
        </w:rPr>
        <w:t xml:space="preserve">, regista indignação pelo facto de «mesmo hoje o Judeu poder comprar documentos na Roménia, que provem oficialmente a sua cidadania estrangeira». </w:t>
      </w:r>
      <w:r w:rsidRPr="00A8608B">
        <w:rPr>
          <w:rFonts w:ascii="Arial Narrow" w:hAnsi="Arial Narrow"/>
        </w:rPr>
        <w:t>Ver M. Roseman (2012) 115.</w:t>
      </w:r>
      <w:r w:rsidR="000E6EFB" w:rsidRPr="00A8608B">
        <w:rPr>
          <w:rFonts w:ascii="Arial Narrow" w:hAnsi="Arial Narrow"/>
        </w:rPr>
        <w:t xml:space="preserve"> </w:t>
      </w:r>
      <w:r w:rsidR="008B6494">
        <w:rPr>
          <w:rFonts w:ascii="Arial Narrow" w:hAnsi="Arial Narrow"/>
        </w:rPr>
        <w:t xml:space="preserve">Será que se deve </w:t>
      </w:r>
      <w:r w:rsidR="000E6EFB" w:rsidRPr="00A8608B">
        <w:rPr>
          <w:rFonts w:ascii="Arial Narrow" w:hAnsi="Arial Narrow"/>
        </w:rPr>
        <w:t>interpretar neste sentido S</w:t>
      </w:r>
      <w:r w:rsidR="00613DD1">
        <w:rPr>
          <w:rFonts w:ascii="Arial Narrow" w:hAnsi="Arial Narrow"/>
        </w:rPr>
        <w:t>aul</w:t>
      </w:r>
      <w:r w:rsidR="000E6EFB" w:rsidRPr="00A8608B">
        <w:rPr>
          <w:rFonts w:ascii="Arial Narrow" w:hAnsi="Arial Narrow"/>
        </w:rPr>
        <w:t xml:space="preserve"> Friedländer</w:t>
      </w:r>
      <w:r w:rsidR="00613DD1">
        <w:rPr>
          <w:rFonts w:ascii="Arial Narrow" w:hAnsi="Arial Narrow"/>
        </w:rPr>
        <w:t>, op. cit.,</w:t>
      </w:r>
      <w:r w:rsidR="000E6EFB" w:rsidRPr="00A8608B">
        <w:rPr>
          <w:rFonts w:ascii="Arial Narrow" w:hAnsi="Arial Narrow"/>
        </w:rPr>
        <w:t xml:space="preserve"> 669-670?</w:t>
      </w:r>
      <w:r w:rsidR="00613DD1">
        <w:rPr>
          <w:rFonts w:ascii="Arial Narrow" w:hAnsi="Arial Narrow"/>
        </w:rPr>
        <w:t xml:space="preserve"> </w:t>
      </w:r>
    </w:p>
  </w:footnote>
  <w:footnote w:id="130">
    <w:p w:rsidR="000C262C" w:rsidRPr="00B2463D" w:rsidRDefault="000C262C" w:rsidP="005A393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H. L. Feingold (1995) 155-160.</w:t>
      </w:r>
    </w:p>
  </w:footnote>
  <w:footnote w:id="131">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H. Arendt (1994) 116, 144, 198; «Brand, Joel», em I. C. B. Dear et al. (orgs. 1995) 155; L. Brenner (1983) 252-255; H. L. Feingold (1995) 160-162; </w:t>
      </w:r>
      <w:r w:rsidR="001F286B" w:rsidRPr="001F286B">
        <w:rPr>
          <w:rFonts w:ascii="Arial Narrow" w:hAnsi="Arial Narrow"/>
          <w:lang w:val="en-US"/>
        </w:rPr>
        <w:t xml:space="preserve">S. Friedländer (2008) </w:t>
      </w:r>
      <w:r w:rsidR="001F286B">
        <w:rPr>
          <w:rFonts w:ascii="Arial Narrow" w:hAnsi="Arial Narrow"/>
          <w:lang w:val="en-US"/>
        </w:rPr>
        <w:t>915-9</w:t>
      </w:r>
      <w:r w:rsidR="008452CF">
        <w:rPr>
          <w:rFonts w:ascii="Arial Narrow" w:hAnsi="Arial Narrow"/>
          <w:lang w:val="en-US"/>
        </w:rPr>
        <w:t>20</w:t>
      </w:r>
      <w:r w:rsidR="001F286B">
        <w:rPr>
          <w:rFonts w:ascii="Arial Narrow" w:hAnsi="Arial Narrow"/>
          <w:lang w:val="en-US"/>
        </w:rPr>
        <w:t xml:space="preserve">; </w:t>
      </w:r>
      <w:r w:rsidRPr="00B2463D">
        <w:rPr>
          <w:rFonts w:ascii="Arial Narrow" w:hAnsi="Arial Narrow"/>
          <w:lang w:val="de-DE"/>
        </w:rPr>
        <w:t xml:space="preserve">R. Hilberg (1961) </w:t>
      </w:r>
      <w:r w:rsidRPr="00B2463D">
        <w:rPr>
          <w:rFonts w:ascii="Arial Narrow" w:hAnsi="Arial Narrow"/>
          <w:smallCaps/>
          <w:lang w:val="de-DE"/>
        </w:rPr>
        <w:t xml:space="preserve">544, 724-728; </w:t>
      </w:r>
      <w:r w:rsidRPr="00B2463D">
        <w:rPr>
          <w:rFonts w:ascii="Arial Narrow" w:hAnsi="Arial Narrow"/>
          <w:lang w:val="de-DE"/>
        </w:rPr>
        <w:t xml:space="preserve">H. M. Sachar (1976) 239. </w:t>
      </w:r>
      <w:r w:rsidR="001F286B" w:rsidRPr="001F286B">
        <w:rPr>
          <w:rFonts w:ascii="Arial Narrow" w:hAnsi="Arial Narrow"/>
        </w:rPr>
        <w:t>S</w:t>
      </w:r>
      <w:r w:rsidR="001F286B">
        <w:rPr>
          <w:rFonts w:ascii="Arial Narrow" w:hAnsi="Arial Narrow"/>
        </w:rPr>
        <w:t>aul</w:t>
      </w:r>
      <w:r w:rsidR="001F286B" w:rsidRPr="001F286B">
        <w:rPr>
          <w:rFonts w:ascii="Arial Narrow" w:hAnsi="Arial Narrow"/>
        </w:rPr>
        <w:t xml:space="preserve"> Friedländer</w:t>
      </w:r>
      <w:r w:rsidR="001F286B">
        <w:rPr>
          <w:rFonts w:ascii="Arial Narrow" w:hAnsi="Arial Narrow"/>
        </w:rPr>
        <w:t xml:space="preserve">, op. cit., 916 e </w:t>
      </w:r>
      <w:r w:rsidRPr="003E305A">
        <w:rPr>
          <w:rFonts w:ascii="Arial Narrow" w:hAnsi="Arial Narrow"/>
        </w:rPr>
        <w:t>Howard Sachar</w:t>
      </w:r>
      <w:r>
        <w:rPr>
          <w:rFonts w:ascii="Arial Narrow" w:hAnsi="Arial Narrow"/>
        </w:rPr>
        <w:t>,</w:t>
      </w:r>
      <w:r w:rsidRPr="003E305A">
        <w:rPr>
          <w:rFonts w:ascii="Arial Narrow" w:hAnsi="Arial Narrow"/>
        </w:rPr>
        <w:t xml:space="preserve"> </w:t>
      </w:r>
      <w:r w:rsidRPr="00C12236">
        <w:rPr>
          <w:rFonts w:ascii="Arial Narrow" w:hAnsi="Arial Narrow"/>
        </w:rPr>
        <w:t>op. cit.,</w:t>
      </w:r>
      <w:r w:rsidRPr="003E305A">
        <w:rPr>
          <w:rFonts w:ascii="Arial Narrow" w:hAnsi="Arial Narrow"/>
        </w:rPr>
        <w:t xml:space="preserve"> 239 refer</w:t>
      </w:r>
      <w:r>
        <w:rPr>
          <w:rFonts w:ascii="Arial Narrow" w:hAnsi="Arial Narrow"/>
        </w:rPr>
        <w:t>i</w:t>
      </w:r>
      <w:r w:rsidR="001F286B">
        <w:rPr>
          <w:rFonts w:ascii="Arial Narrow" w:hAnsi="Arial Narrow"/>
        </w:rPr>
        <w:t>ram</w:t>
      </w:r>
      <w:r w:rsidRPr="003E305A">
        <w:rPr>
          <w:rFonts w:ascii="Arial Narrow" w:hAnsi="Arial Narrow"/>
        </w:rPr>
        <w:t xml:space="preserve"> somente oitocentos mil judeus. Com efeito, Raul Hilberg</w:t>
      </w:r>
      <w:r>
        <w:rPr>
          <w:rFonts w:ascii="Arial Narrow" w:hAnsi="Arial Narrow"/>
        </w:rPr>
        <w:t>,</w:t>
      </w:r>
      <w:r w:rsidRPr="003E305A">
        <w:rPr>
          <w:rFonts w:ascii="Arial Narrow" w:hAnsi="Arial Narrow"/>
        </w:rPr>
        <w:t xml:space="preserve"> </w:t>
      </w:r>
      <w:r w:rsidRPr="00C12236">
        <w:rPr>
          <w:rFonts w:ascii="Arial Narrow" w:hAnsi="Arial Narrow"/>
        </w:rPr>
        <w:t>op. cit.,</w:t>
      </w:r>
      <w:r w:rsidRPr="003E305A">
        <w:rPr>
          <w:rFonts w:ascii="Arial Narrow" w:hAnsi="Arial Narrow"/>
        </w:rPr>
        <w:t xml:space="preserve"> 544 afirm</w:t>
      </w:r>
      <w:r>
        <w:rPr>
          <w:rFonts w:ascii="Arial Narrow" w:hAnsi="Arial Narrow"/>
        </w:rPr>
        <w:t>ou</w:t>
      </w:r>
      <w:r w:rsidRPr="003E305A">
        <w:rPr>
          <w:rFonts w:ascii="Arial Narrow" w:hAnsi="Arial Narrow"/>
        </w:rPr>
        <w:t xml:space="preserve"> que Eichmann, em representação directa de Himmler, propôs trocar a vida de todos os judeus magiares pelos camiões e os restantes artigos; ora, escreve</w:t>
      </w:r>
      <w:r>
        <w:rPr>
          <w:rFonts w:ascii="Arial Narrow" w:hAnsi="Arial Narrow"/>
        </w:rPr>
        <w:t>u</w:t>
      </w:r>
      <w:r w:rsidRPr="003E305A">
        <w:rPr>
          <w:rFonts w:ascii="Arial Narrow" w:hAnsi="Arial Narrow"/>
        </w:rPr>
        <w:t xml:space="preserve"> aquele historiador </w:t>
      </w:r>
      <w:r>
        <w:rPr>
          <w:rFonts w:ascii="Arial Narrow" w:hAnsi="Arial Narrow"/>
        </w:rPr>
        <w:t>(</w:t>
      </w:r>
      <w:r w:rsidRPr="003E305A">
        <w:rPr>
          <w:rFonts w:ascii="Arial Narrow" w:hAnsi="Arial Narrow"/>
        </w:rPr>
        <w:t>pág. 543</w:t>
      </w:r>
      <w:r>
        <w:rPr>
          <w:rFonts w:ascii="Arial Narrow" w:hAnsi="Arial Narrow"/>
        </w:rPr>
        <w:t>)</w:t>
      </w:r>
      <w:r w:rsidRPr="003E305A">
        <w:rPr>
          <w:rFonts w:ascii="Arial Narrow" w:hAnsi="Arial Narrow"/>
        </w:rPr>
        <w:t>, havia na Hungria setecentos e cinquenta mil judeus condenados ao extermínio. No entanto, e sempre segundo Hilberg</w:t>
      </w:r>
      <w:r>
        <w:rPr>
          <w:rFonts w:ascii="Arial Narrow" w:hAnsi="Arial Narrow"/>
        </w:rPr>
        <w:t xml:space="preserve"> (pág. </w:t>
      </w:r>
      <w:r w:rsidRPr="003E305A">
        <w:rPr>
          <w:rFonts w:ascii="Arial Narrow" w:hAnsi="Arial Narrow"/>
        </w:rPr>
        <w:t>724</w:t>
      </w:r>
      <w:r>
        <w:rPr>
          <w:rFonts w:ascii="Arial Narrow" w:hAnsi="Arial Narrow"/>
        </w:rPr>
        <w:t>)</w:t>
      </w:r>
      <w:r w:rsidRPr="003E305A">
        <w:rPr>
          <w:rFonts w:ascii="Arial Narrow" w:hAnsi="Arial Narrow"/>
        </w:rPr>
        <w:t>, na primeira das reuniões com o intermediário sionista Eichmann mencionou a possibilidade de salvar a vida a um milhão de judeus, acrescentando que podiam ser provenientes não só da Hungria mas também de outros países. Como, porém, consoante a proposta de Eichmann, até chegar uma resposta dos Aliados o programa de extermínio continuaria a efectuar-se (pág. 544) e como os SS estavam dispostos a realizar o negócio em parcelas, transaccionando quantidades sucessivas de camiões por quantidades sucessivas de judeus (pág. 724), o número de pessoas que teriam a vida sal</w:t>
      </w:r>
      <w:r>
        <w:rPr>
          <w:rFonts w:ascii="Arial Narrow" w:hAnsi="Arial Narrow"/>
        </w:rPr>
        <w:t>va era de antemão indeterminado</w:t>
      </w:r>
      <w:r w:rsidRPr="003E305A">
        <w:rPr>
          <w:rFonts w:ascii="Arial Narrow" w:hAnsi="Arial Narrow"/>
        </w:rPr>
        <w:t xml:space="preserve"> e não fixo. Um milhão seria decerto o montante máximo.</w:t>
      </w:r>
      <w:r>
        <w:rPr>
          <w:rFonts w:ascii="Arial Narrow" w:hAnsi="Arial Narrow"/>
        </w:rPr>
        <w:t xml:space="preserve"> Note-se ainda que, a crer em J. Noakes et al. (orgs. 2008-2010) IV 260 e 262, no final de 1944 o Terceiro Reich deparava com especiais dificuldades na produção de camiões.</w:t>
      </w:r>
      <w:r w:rsidR="00AC1558">
        <w:rPr>
          <w:rFonts w:ascii="Arial Narrow" w:hAnsi="Arial Narrow"/>
        </w:rPr>
        <w:t xml:space="preserve"> Para alguns precedentes deste tipo de transacção ver </w:t>
      </w:r>
      <w:r w:rsidR="00AC1558" w:rsidRPr="00AC1558">
        <w:rPr>
          <w:rFonts w:ascii="Arial Narrow" w:hAnsi="Arial Narrow"/>
        </w:rPr>
        <w:t>S</w:t>
      </w:r>
      <w:r w:rsidR="008452CF">
        <w:rPr>
          <w:rFonts w:ascii="Arial Narrow" w:hAnsi="Arial Narrow"/>
        </w:rPr>
        <w:t>aul</w:t>
      </w:r>
      <w:r w:rsidR="00AC1558" w:rsidRPr="00AC1558">
        <w:rPr>
          <w:rFonts w:ascii="Arial Narrow" w:hAnsi="Arial Narrow"/>
        </w:rPr>
        <w:t xml:space="preserve"> Friedländer</w:t>
      </w:r>
      <w:r w:rsidR="008452CF">
        <w:rPr>
          <w:rFonts w:ascii="Arial Narrow" w:hAnsi="Arial Narrow"/>
        </w:rPr>
        <w:t xml:space="preserve">, op. cit., </w:t>
      </w:r>
      <w:r w:rsidR="00AC1558">
        <w:rPr>
          <w:rFonts w:ascii="Arial Narrow" w:hAnsi="Arial Narrow"/>
        </w:rPr>
        <w:t>860-862.</w:t>
      </w:r>
      <w:r w:rsidR="008452CF">
        <w:rPr>
          <w:rFonts w:ascii="Arial Narrow" w:hAnsi="Arial Narrow"/>
        </w:rPr>
        <w:t xml:space="preserve"> Este autor defendeu (págs. 917, 919) que a proposta se destinara somente a criar discórdias entre a União Soviética e os Aliados ocidentais.</w:t>
      </w:r>
    </w:p>
  </w:footnote>
  <w:footnote w:id="132">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Este desabafo de Lord Moyne encontra-se citado em H. L. Feingold (1995) 87-88.</w:t>
      </w:r>
    </w:p>
  </w:footnote>
  <w:footnote w:id="133">
    <w:p w:rsidR="000C262C" w:rsidRPr="00A21A2C"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3A53D2">
        <w:rPr>
          <w:rFonts w:ascii="Arial Narrow" w:hAnsi="Arial Narrow"/>
          <w:lang w:val="en-US"/>
        </w:rPr>
        <w:t xml:space="preserve"> I. F. Stone em </w:t>
      </w:r>
      <w:r w:rsidRPr="003A53D2">
        <w:rPr>
          <w:rFonts w:ascii="Arial Narrow" w:hAnsi="Arial Narrow"/>
          <w:i/>
          <w:lang w:val="en-US"/>
        </w:rPr>
        <w:t>The Nation,</w:t>
      </w:r>
      <w:r w:rsidRPr="003A53D2">
        <w:rPr>
          <w:rFonts w:ascii="Arial Narrow" w:hAnsi="Arial Narrow"/>
          <w:lang w:val="en-US"/>
        </w:rPr>
        <w:t xml:space="preserve"> reproduzido em K</w:t>
      </w:r>
      <w:r w:rsidRPr="00A21A2C">
        <w:rPr>
          <w:rFonts w:ascii="Arial Narrow" w:hAnsi="Arial Narrow"/>
          <w:lang w:val="en-US"/>
        </w:rPr>
        <w:t>. V. Heuvel et al. (orgs. 1994) 245.</w:t>
      </w:r>
    </w:p>
  </w:footnote>
  <w:footnote w:id="134">
    <w:p w:rsidR="000C262C" w:rsidRPr="00A21A2C"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A21A2C">
        <w:rPr>
          <w:rFonts w:ascii="Arial Narrow" w:hAnsi="Arial Narrow"/>
          <w:lang w:val="en-US"/>
        </w:rPr>
        <w:t xml:space="preserve"> B. Avishai (1985) 162; J. M. Blum (1976) 175-176, 178; L. Brenner (1983) 238, 244; Sh. F. Weiss (2010) 272.</w:t>
      </w:r>
    </w:p>
  </w:footnote>
  <w:footnote w:id="135">
    <w:p w:rsidR="000C262C" w:rsidRPr="003E305A" w:rsidRDefault="000C262C" w:rsidP="005A393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(1999) 16-17, 280-281.</w:t>
      </w:r>
    </w:p>
  </w:footnote>
  <w:footnote w:id="136">
    <w:p w:rsidR="004D3EB2" w:rsidRPr="004D3EB2" w:rsidRDefault="004D3EB2">
      <w:pPr>
        <w:pStyle w:val="Textodenotaderodap"/>
        <w:rPr>
          <w:rFonts w:ascii="Arial Narrow" w:hAnsi="Arial Narrow"/>
          <w:lang w:val="en-US"/>
        </w:rPr>
      </w:pPr>
      <w:r w:rsidRPr="004D3EB2">
        <w:rPr>
          <w:rStyle w:val="Refdenotaderodap"/>
          <w:rFonts w:ascii="Arial Narrow" w:hAnsi="Arial Narrow"/>
        </w:rPr>
        <w:footnoteRef/>
      </w:r>
      <w:r w:rsidRPr="004D3EB2">
        <w:rPr>
          <w:rFonts w:ascii="Arial Narrow" w:hAnsi="Arial Narrow"/>
          <w:lang w:val="en-US"/>
        </w:rPr>
        <w:t xml:space="preserve"> </w:t>
      </w:r>
      <w:r w:rsidRPr="004D3EB2">
        <w:rPr>
          <w:rFonts w:ascii="Arial Narrow" w:hAnsi="Arial Narrow"/>
          <w:bCs/>
          <w:lang w:val="en-US"/>
        </w:rPr>
        <w:t>D. E. Lipstadt (1986)</w:t>
      </w:r>
      <w:r>
        <w:rPr>
          <w:rFonts w:ascii="Arial Narrow" w:hAnsi="Arial Narrow"/>
          <w:bCs/>
          <w:lang w:val="en-US"/>
        </w:rPr>
        <w:t xml:space="preserve"> 126</w:t>
      </w:r>
      <w:r w:rsidR="00536D65">
        <w:rPr>
          <w:rFonts w:ascii="Arial Narrow" w:hAnsi="Arial Narrow"/>
          <w:bCs/>
          <w:lang w:val="en-US"/>
        </w:rPr>
        <w:t>, 133</w:t>
      </w:r>
      <w:r w:rsidR="00AB4DCA">
        <w:rPr>
          <w:rFonts w:ascii="Arial Narrow" w:hAnsi="Arial Narrow"/>
          <w:bCs/>
          <w:lang w:val="en-US"/>
        </w:rPr>
        <w:t>, 136</w:t>
      </w:r>
      <w:r w:rsidR="00D44853">
        <w:rPr>
          <w:rFonts w:ascii="Arial Narrow" w:hAnsi="Arial Narrow"/>
          <w:bCs/>
          <w:lang w:val="en-US"/>
        </w:rPr>
        <w:t>, 156-160</w:t>
      </w:r>
      <w:r>
        <w:rPr>
          <w:rFonts w:ascii="Arial Narrow" w:hAnsi="Arial Narrow"/>
          <w:bCs/>
          <w:lang w:val="en-US"/>
        </w:rPr>
        <w:t>.</w:t>
      </w:r>
    </w:p>
  </w:footnote>
  <w:footnote w:id="137">
    <w:p w:rsidR="000C262C" w:rsidRPr="006D0E95" w:rsidRDefault="000C262C" w:rsidP="005A3930">
      <w:pPr>
        <w:pStyle w:val="Textodenotaderodap"/>
        <w:rPr>
          <w:rFonts w:ascii="Arial Narrow" w:hAnsi="Arial Narrow"/>
        </w:rPr>
      </w:pPr>
      <w:r w:rsidRPr="003E305A">
        <w:rPr>
          <w:rStyle w:val="Refdenotaderodap"/>
          <w:rFonts w:ascii="Arial Narrow" w:hAnsi="Arial Narrow"/>
        </w:rPr>
        <w:footnoteRef/>
      </w:r>
      <w:r w:rsidRPr="006D0E95">
        <w:rPr>
          <w:rFonts w:ascii="Arial Narrow" w:hAnsi="Arial Narrow"/>
        </w:rPr>
        <w:t xml:space="preserve"> </w:t>
      </w:r>
      <w:r w:rsidR="004D3EB2" w:rsidRPr="006D0E95">
        <w:rPr>
          <w:rFonts w:ascii="Arial Narrow" w:hAnsi="Arial Narrow"/>
        </w:rPr>
        <w:t xml:space="preserve">E. Black </w:t>
      </w:r>
      <w:r w:rsidRPr="006D0E95">
        <w:rPr>
          <w:rFonts w:ascii="Arial Narrow" w:hAnsi="Arial Narrow"/>
        </w:rPr>
        <w:t>(2003) 393-394. Ver também Sh. F. Weiss (2010) 283.</w:t>
      </w:r>
    </w:p>
  </w:footnote>
  <w:footnote w:id="138">
    <w:p w:rsidR="000C262C" w:rsidRPr="003E305A" w:rsidRDefault="000C262C" w:rsidP="005A393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w:t>
      </w:r>
      <w:r>
        <w:rPr>
          <w:rFonts w:ascii="Arial Narrow" w:hAnsi="Arial Narrow"/>
          <w:lang w:val="en-GB"/>
        </w:rPr>
        <w:t xml:space="preserve"> </w:t>
      </w:r>
      <w:r w:rsidRPr="003E305A">
        <w:rPr>
          <w:rFonts w:ascii="Arial Narrow" w:hAnsi="Arial Narrow"/>
          <w:lang w:val="en-GB"/>
        </w:rPr>
        <w:t>312</w:t>
      </w:r>
      <w:r>
        <w:rPr>
          <w:rFonts w:ascii="Arial Narrow" w:hAnsi="Arial Narrow"/>
          <w:lang w:val="en-GB"/>
        </w:rPr>
        <w:t>; Sh. F. Weiss (2010) 280</w:t>
      </w:r>
      <w:r w:rsidRPr="003E305A">
        <w:rPr>
          <w:rFonts w:ascii="Arial Narrow" w:hAnsi="Arial Narrow"/>
          <w:lang w:val="en-GB"/>
        </w:rPr>
        <w:t>.</w:t>
      </w:r>
    </w:p>
  </w:footnote>
  <w:footnote w:id="139">
    <w:p w:rsidR="000C262C" w:rsidRPr="005A3930"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5A3930">
        <w:rPr>
          <w:rFonts w:ascii="Arial Narrow" w:hAnsi="Arial Narrow"/>
          <w:lang w:val="en-US"/>
        </w:rPr>
        <w:t xml:space="preserve"> </w:t>
      </w:r>
      <w:r w:rsidRPr="003E305A">
        <w:rPr>
          <w:rFonts w:ascii="Arial Narrow" w:hAnsi="Arial Narrow"/>
          <w:lang w:val="en-GB"/>
        </w:rPr>
        <w:t xml:space="preserve">E. Black (1999) </w:t>
      </w:r>
      <w:r w:rsidRPr="005A3930">
        <w:rPr>
          <w:rFonts w:ascii="Arial Narrow" w:hAnsi="Arial Narrow"/>
          <w:lang w:val="en-US"/>
        </w:rPr>
        <w:t>205, 393.</w:t>
      </w:r>
    </w:p>
  </w:footnote>
  <w:footnote w:id="140">
    <w:p w:rsidR="000C262C" w:rsidRPr="005A3930"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5A3930">
        <w:rPr>
          <w:rFonts w:ascii="Arial Narrow" w:hAnsi="Arial Narrow"/>
          <w:lang w:val="en-US"/>
        </w:rPr>
        <w:t xml:space="preserve"> J. M. Blum (1976) 172-175; R. Polenberg (1972) 138; G. H. Roeder Jr. </w:t>
      </w:r>
      <w:r w:rsidRPr="00541096">
        <w:rPr>
          <w:rFonts w:ascii="Arial Narrow" w:hAnsi="Arial Narrow"/>
        </w:rPr>
        <w:t>(1993) 172 n. 3</w:t>
      </w:r>
      <w:r w:rsidR="004756E8">
        <w:rPr>
          <w:rFonts w:ascii="Arial Narrow" w:hAnsi="Arial Narrow"/>
        </w:rPr>
        <w:t xml:space="preserve">; </w:t>
      </w:r>
      <w:r w:rsidR="004756E8" w:rsidRPr="003A53D2">
        <w:rPr>
          <w:rFonts w:ascii="Arial Narrow" w:hAnsi="Arial Narrow"/>
          <w:bCs/>
        </w:rPr>
        <w:t>G. Thomas et al. (2014) 15</w:t>
      </w:r>
      <w:r w:rsidRPr="00541096">
        <w:rPr>
          <w:rFonts w:ascii="Arial Narrow" w:hAnsi="Arial Narrow"/>
        </w:rPr>
        <w:t xml:space="preserve">. Segundo </w:t>
      </w:r>
      <w:r w:rsidRPr="003E305A">
        <w:rPr>
          <w:rFonts w:ascii="Arial Narrow" w:hAnsi="Arial Narrow"/>
        </w:rPr>
        <w:t>H. L. Feingold (1995) 92, 174 e 272, uma sondagem de opinião efectuada nos Estados Unidos em Dezembro de 1944 revelou que setenta e cinco por cento dos inquiridos calculava</w:t>
      </w:r>
      <w:r>
        <w:rPr>
          <w:rFonts w:ascii="Arial Narrow" w:hAnsi="Arial Narrow"/>
        </w:rPr>
        <w:t>m</w:t>
      </w:r>
      <w:r w:rsidRPr="003E305A">
        <w:rPr>
          <w:rFonts w:ascii="Arial Narrow" w:hAnsi="Arial Narrow"/>
        </w:rPr>
        <w:t xml:space="preserve"> as vítimas do genocídio na ordem das dezenas de milhar e não dos milhões.</w:t>
      </w:r>
      <w:r>
        <w:rPr>
          <w:rFonts w:ascii="Arial Narrow" w:hAnsi="Arial Narrow"/>
        </w:rPr>
        <w:t xml:space="preserve"> Ora, como </w:t>
      </w:r>
      <w:r w:rsidRPr="00754655">
        <w:rPr>
          <w:rFonts w:ascii="Arial Narrow" w:hAnsi="Arial Narrow"/>
        </w:rPr>
        <w:t xml:space="preserve">em Junho </w:t>
      </w:r>
      <w:r>
        <w:rPr>
          <w:rFonts w:ascii="Arial Narrow" w:hAnsi="Arial Narrow"/>
        </w:rPr>
        <w:t>desse ano um jornalista publicara n</w:t>
      </w:r>
      <w:r w:rsidRPr="00754655">
        <w:rPr>
          <w:rFonts w:ascii="Arial Narrow" w:hAnsi="Arial Narrow"/>
        </w:rPr>
        <w:t>uma revista de Nova Iorque</w:t>
      </w:r>
      <w:r>
        <w:rPr>
          <w:rFonts w:ascii="Arial Narrow" w:hAnsi="Arial Narrow"/>
        </w:rPr>
        <w:t xml:space="preserve"> a estimativa de que montariam a </w:t>
      </w:r>
      <w:r w:rsidRPr="00754655">
        <w:rPr>
          <w:rFonts w:ascii="Arial Narrow" w:hAnsi="Arial Narrow"/>
        </w:rPr>
        <w:t xml:space="preserve">quatro </w:t>
      </w:r>
      <w:r>
        <w:rPr>
          <w:rFonts w:ascii="Arial Narrow" w:hAnsi="Arial Narrow"/>
        </w:rPr>
        <w:t>ou</w:t>
      </w:r>
      <w:r w:rsidRPr="00754655">
        <w:rPr>
          <w:rFonts w:ascii="Arial Narrow" w:hAnsi="Arial Narrow"/>
        </w:rPr>
        <w:t xml:space="preserve"> cinco milhões </w:t>
      </w:r>
      <w:r>
        <w:rPr>
          <w:rFonts w:ascii="Arial Narrow" w:hAnsi="Arial Narrow"/>
        </w:rPr>
        <w:t xml:space="preserve">as </w:t>
      </w:r>
      <w:r w:rsidRPr="00754655">
        <w:rPr>
          <w:rFonts w:ascii="Arial Narrow" w:hAnsi="Arial Narrow"/>
        </w:rPr>
        <w:t>vítimas do genocídio</w:t>
      </w:r>
      <w:r>
        <w:rPr>
          <w:rFonts w:ascii="Arial Narrow" w:hAnsi="Arial Narrow"/>
        </w:rPr>
        <w:t xml:space="preserve">, concluo que a opinião pública acreditava naquilo que lhe convinha. Ver o artigo de </w:t>
      </w:r>
      <w:r w:rsidRPr="00D47C85">
        <w:rPr>
          <w:rFonts w:ascii="Arial Narrow" w:hAnsi="Arial Narrow"/>
        </w:rPr>
        <w:t xml:space="preserve">I. F. Stone em </w:t>
      </w:r>
      <w:r w:rsidRPr="00D47C85">
        <w:rPr>
          <w:rFonts w:ascii="Arial Narrow" w:hAnsi="Arial Narrow"/>
          <w:i/>
        </w:rPr>
        <w:t>The Nation,</w:t>
      </w:r>
      <w:r w:rsidRPr="00D47C85">
        <w:rPr>
          <w:rFonts w:ascii="Arial Narrow" w:hAnsi="Arial Narrow"/>
        </w:rPr>
        <w:t xml:space="preserve"> 10 de Junho de 1944, reproduzido em K. V. Heuvel et al. </w:t>
      </w:r>
      <w:r w:rsidRPr="005A3930">
        <w:rPr>
          <w:rFonts w:ascii="Arial Narrow" w:hAnsi="Arial Narrow"/>
          <w:lang w:val="en-US"/>
        </w:rPr>
        <w:t>(orgs. 1994) 247.</w:t>
      </w:r>
    </w:p>
  </w:footnote>
  <w:footnote w:id="141">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3E305A">
        <w:rPr>
          <w:rFonts w:ascii="Arial Narrow" w:hAnsi="Arial Narrow"/>
          <w:lang w:val="fr-FR"/>
        </w:rPr>
        <w:t xml:space="preserve"> «Channel Islands», em I. C. B. Dear et al. </w:t>
      </w:r>
      <w:r w:rsidRPr="003E305A">
        <w:rPr>
          <w:rFonts w:ascii="Arial Narrow" w:hAnsi="Arial Narrow"/>
          <w:lang w:val="en-GB"/>
        </w:rPr>
        <w:t xml:space="preserve">(orgs. </w:t>
      </w:r>
      <w:r w:rsidRPr="00B2463D">
        <w:rPr>
          <w:rFonts w:ascii="Arial Narrow" w:hAnsi="Arial Narrow"/>
          <w:lang w:val="de-DE"/>
        </w:rPr>
        <w:t>1995) 202.</w:t>
      </w:r>
    </w:p>
  </w:footnote>
  <w:footnote w:id="142">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M. Blum (1976) 175, 177; R. Hilberg (1961) 718</w:t>
      </w:r>
      <w:r w:rsidR="00F2665F">
        <w:rPr>
          <w:rFonts w:ascii="Arial Narrow" w:hAnsi="Arial Narrow"/>
          <w:lang w:val="de-DE"/>
        </w:rPr>
        <w:t xml:space="preserve">; </w:t>
      </w:r>
      <w:r w:rsidR="00F2665F" w:rsidRPr="00F2665F">
        <w:rPr>
          <w:rFonts w:ascii="Arial Narrow" w:hAnsi="Arial Narrow"/>
          <w:lang w:val="en-US"/>
        </w:rPr>
        <w:t>N. Lochery (2011)</w:t>
      </w:r>
      <w:r w:rsidR="00F2665F">
        <w:rPr>
          <w:rFonts w:ascii="Arial Narrow" w:hAnsi="Arial Narrow"/>
          <w:lang w:val="en-US"/>
        </w:rPr>
        <w:t xml:space="preserve"> 232-233</w:t>
      </w:r>
      <w:r w:rsidRPr="00B2463D">
        <w:rPr>
          <w:rFonts w:ascii="Arial Narrow" w:hAnsi="Arial Narrow"/>
          <w:lang w:val="de-DE"/>
        </w:rPr>
        <w:t>.</w:t>
      </w:r>
    </w:p>
  </w:footnote>
  <w:footnote w:id="143">
    <w:p w:rsidR="005D681D" w:rsidRPr="00090F63" w:rsidRDefault="005D681D">
      <w:pPr>
        <w:pStyle w:val="Textodenotaderodap"/>
        <w:rPr>
          <w:rFonts w:ascii="Arial Narrow" w:hAnsi="Arial Narrow"/>
          <w:lang w:val="en-US"/>
        </w:rPr>
      </w:pPr>
      <w:r w:rsidRPr="005D681D">
        <w:rPr>
          <w:rStyle w:val="Refdenotaderodap"/>
          <w:rFonts w:ascii="Arial Narrow" w:hAnsi="Arial Narrow"/>
        </w:rPr>
        <w:footnoteRef/>
      </w:r>
      <w:r w:rsidRPr="00090F63">
        <w:rPr>
          <w:rFonts w:ascii="Arial Narrow" w:hAnsi="Arial Narrow"/>
          <w:lang w:val="en-US"/>
        </w:rPr>
        <w:t xml:space="preserve"> </w:t>
      </w:r>
      <w:r w:rsidRPr="005D681D">
        <w:rPr>
          <w:rFonts w:ascii="Arial Narrow" w:hAnsi="Arial Narrow"/>
          <w:lang w:val="en-US"/>
        </w:rPr>
        <w:t>N. Lochery (2011)</w:t>
      </w:r>
      <w:r w:rsidR="004E0145">
        <w:rPr>
          <w:rFonts w:ascii="Arial Narrow" w:hAnsi="Arial Narrow"/>
          <w:lang w:val="en-US"/>
        </w:rPr>
        <w:t xml:space="preserve"> 235.</w:t>
      </w:r>
    </w:p>
  </w:footnote>
  <w:footnote w:id="144">
    <w:p w:rsidR="000C262C" w:rsidRPr="007D7CC3"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7D7CC3">
        <w:rPr>
          <w:rFonts w:ascii="Arial Narrow" w:hAnsi="Arial Narrow"/>
          <w:lang w:val="en-US"/>
        </w:rPr>
        <w:t xml:space="preserve"> R. Hilberg (1961) 721.</w:t>
      </w:r>
    </w:p>
  </w:footnote>
  <w:footnote w:id="145">
    <w:p w:rsidR="000C262C" w:rsidRPr="007D7CC3" w:rsidRDefault="000C262C">
      <w:pPr>
        <w:pStyle w:val="Textodenotaderodap"/>
        <w:rPr>
          <w:rFonts w:ascii="Arial Narrow" w:hAnsi="Arial Narrow"/>
          <w:lang w:val="en-US"/>
        </w:rPr>
      </w:pPr>
      <w:r w:rsidRPr="007D7CC3">
        <w:rPr>
          <w:rStyle w:val="Refdenotaderodap"/>
          <w:rFonts w:ascii="Arial Narrow" w:hAnsi="Arial Narrow"/>
        </w:rPr>
        <w:footnoteRef/>
      </w:r>
      <w:r w:rsidRPr="007D7CC3">
        <w:rPr>
          <w:rFonts w:ascii="Arial Narrow" w:hAnsi="Arial Narrow"/>
          <w:lang w:val="en-US"/>
        </w:rPr>
        <w:t xml:space="preserve"> H. L. Feingold (1995) 255.</w:t>
      </w:r>
    </w:p>
  </w:footnote>
  <w:footnote w:id="146">
    <w:p w:rsidR="000C262C" w:rsidRPr="00B2463D" w:rsidRDefault="000C262C" w:rsidP="005A3930">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Pr>
          <w:rFonts w:ascii="Arial Narrow" w:hAnsi="Arial Narrow"/>
          <w:lang w:val="de-DE"/>
        </w:rPr>
        <w:t xml:space="preserve">Id., ibid., </w:t>
      </w:r>
      <w:r w:rsidRPr="00B2463D">
        <w:rPr>
          <w:rFonts w:ascii="Arial Narrow" w:hAnsi="Arial Narrow"/>
          <w:lang w:val="de-DE"/>
        </w:rPr>
        <w:t>64-65, 87; R. Hilberg (1961) 320.</w:t>
      </w:r>
    </w:p>
  </w:footnote>
  <w:footnote w:id="147">
    <w:p w:rsidR="000C262C" w:rsidRPr="007D7CC3"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7D7CC3">
        <w:rPr>
          <w:rFonts w:ascii="Arial Narrow" w:hAnsi="Arial Narrow"/>
          <w:lang w:val="en-US"/>
        </w:rPr>
        <w:t xml:space="preserve"> Posfácio de Jacob Sloan a E. Ringelblum (1964) 363.</w:t>
      </w:r>
    </w:p>
  </w:footnote>
  <w:footnote w:id="148">
    <w:p w:rsidR="000C262C" w:rsidRPr="00B2463D" w:rsidRDefault="000C262C" w:rsidP="00874F4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L. Brenner (1983) 249, 256; R. Hilberg (1961) 725; H. Langbein (1981) 75, 253-254.</w:t>
      </w:r>
    </w:p>
  </w:footnote>
  <w:footnote w:id="149">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A53D2">
        <w:rPr>
          <w:rFonts w:ascii="Arial Narrow" w:hAnsi="Arial Narrow"/>
          <w:lang w:val="en-US"/>
        </w:rPr>
        <w:t xml:space="preserve"> </w:t>
      </w:r>
      <w:r w:rsidR="00964050" w:rsidRPr="003A53D2">
        <w:rPr>
          <w:rFonts w:ascii="Arial Narrow" w:hAnsi="Arial Narrow"/>
          <w:lang w:val="en-US"/>
        </w:rPr>
        <w:t>S. Friedländer (2008) 921-92</w:t>
      </w:r>
      <w:r w:rsidR="0096312C" w:rsidRPr="003A53D2">
        <w:rPr>
          <w:rFonts w:ascii="Arial Narrow" w:hAnsi="Arial Narrow"/>
          <w:lang w:val="en-US"/>
        </w:rPr>
        <w:t>5</w:t>
      </w:r>
      <w:r w:rsidR="00964050" w:rsidRPr="003A53D2">
        <w:rPr>
          <w:rFonts w:ascii="Arial Narrow" w:hAnsi="Arial Narrow"/>
          <w:lang w:val="en-US"/>
        </w:rPr>
        <w:t xml:space="preserve">; </w:t>
      </w:r>
      <w:r w:rsidRPr="003A53D2">
        <w:rPr>
          <w:rFonts w:ascii="Arial Narrow" w:hAnsi="Arial Narrow"/>
          <w:lang w:val="en-US"/>
        </w:rPr>
        <w:t xml:space="preserve">R. Hilberg (1961) 542, 723, 725; H. Langbein (1981) 253-254. </w:t>
      </w:r>
      <w:r w:rsidRPr="003E305A">
        <w:rPr>
          <w:rFonts w:ascii="Arial Narrow" w:hAnsi="Arial Narrow"/>
        </w:rPr>
        <w:t>Argument</w:t>
      </w:r>
      <w:r>
        <w:rPr>
          <w:rFonts w:ascii="Arial Narrow" w:hAnsi="Arial Narrow"/>
        </w:rPr>
        <w:t>ou</w:t>
      </w:r>
      <w:r w:rsidRPr="003E305A">
        <w:rPr>
          <w:rFonts w:ascii="Arial Narrow" w:hAnsi="Arial Narrow"/>
        </w:rPr>
        <w:t xml:space="preserve"> H. L. Feingold (1995) 15 que «não existe hoje consenso acerca da eficácia dos bombardeamentos das câmaras de gás e das linhas de caminhos</w:t>
      </w:r>
      <w:r w:rsidR="00E226D4">
        <w:rPr>
          <w:rFonts w:ascii="Arial Narrow" w:hAnsi="Arial Narrow"/>
        </w:rPr>
        <w:t>-</w:t>
      </w:r>
      <w:r w:rsidRPr="003E305A">
        <w:rPr>
          <w:rFonts w:ascii="Arial Narrow" w:hAnsi="Arial Narrow"/>
        </w:rPr>
        <w:t>de</w:t>
      </w:r>
      <w:r w:rsidR="00E226D4">
        <w:rPr>
          <w:rFonts w:ascii="Arial Narrow" w:hAnsi="Arial Narrow"/>
        </w:rPr>
        <w:t>-</w:t>
      </w:r>
      <w:r w:rsidRPr="003E305A">
        <w:rPr>
          <w:rFonts w:ascii="Arial Narrow" w:hAnsi="Arial Narrow"/>
        </w:rPr>
        <w:t xml:space="preserve">ferro que as serviam», mas penso que as decisões </w:t>
      </w:r>
      <w:r>
        <w:rPr>
          <w:rFonts w:ascii="Arial Narrow" w:hAnsi="Arial Narrow"/>
        </w:rPr>
        <w:t xml:space="preserve">técnicas </w:t>
      </w:r>
      <w:r w:rsidRPr="003E305A">
        <w:rPr>
          <w:rFonts w:ascii="Arial Narrow" w:hAnsi="Arial Narrow"/>
        </w:rPr>
        <w:t>tomadas durante a segunda guerra mundial devem ser avaliadas consoante os critérios e as convicções daquela época.</w:t>
      </w:r>
    </w:p>
  </w:footnote>
  <w:footnote w:id="150">
    <w:p w:rsidR="000C262C" w:rsidRPr="00A97930" w:rsidRDefault="000C262C" w:rsidP="009B7F8F">
      <w:pPr>
        <w:pStyle w:val="Textodenotaderodap"/>
        <w:rPr>
          <w:rFonts w:ascii="Arial Narrow" w:hAnsi="Arial Narrow"/>
          <w:lang w:val="en-US"/>
        </w:rPr>
      </w:pPr>
      <w:r w:rsidRPr="00BA567E">
        <w:rPr>
          <w:rStyle w:val="Refdenotaderodap"/>
          <w:rFonts w:ascii="Arial Narrow" w:hAnsi="Arial Narrow"/>
        </w:rPr>
        <w:footnoteRef/>
      </w:r>
      <w:r w:rsidRPr="00A97930">
        <w:rPr>
          <w:rFonts w:ascii="Arial Narrow" w:hAnsi="Arial Narrow"/>
          <w:lang w:val="en-US"/>
        </w:rPr>
        <w:t xml:space="preserve"> M. R. D. Foot (2008) 231.</w:t>
      </w:r>
    </w:p>
  </w:footnote>
  <w:footnote w:id="151">
    <w:p w:rsidR="000C262C" w:rsidRPr="00C5600C" w:rsidRDefault="000C262C" w:rsidP="00874F41">
      <w:pPr>
        <w:pStyle w:val="Textodenotaderodap"/>
        <w:rPr>
          <w:rFonts w:ascii="Arial Narrow" w:hAnsi="Arial Narrow"/>
          <w:lang w:val="en-US"/>
        </w:rPr>
      </w:pPr>
      <w:r w:rsidRPr="00C5600C">
        <w:rPr>
          <w:rStyle w:val="Refdenotaderodap"/>
          <w:rFonts w:ascii="Arial Narrow" w:hAnsi="Arial Narrow"/>
        </w:rPr>
        <w:footnoteRef/>
      </w:r>
      <w:r w:rsidRPr="00C5600C">
        <w:rPr>
          <w:rFonts w:ascii="Arial Narrow" w:hAnsi="Arial Narrow"/>
          <w:lang w:val="en-US"/>
        </w:rPr>
        <w:t xml:space="preserve"> </w:t>
      </w:r>
      <w:r>
        <w:rPr>
          <w:rFonts w:ascii="Arial Narrow" w:hAnsi="Arial Narrow"/>
          <w:lang w:val="en-US"/>
        </w:rPr>
        <w:t>M. Gilbert (2011 b) II 597, 617.</w:t>
      </w:r>
    </w:p>
  </w:footnote>
  <w:footnote w:id="152">
    <w:p w:rsidR="000C262C" w:rsidRPr="00E2530B" w:rsidRDefault="000C262C">
      <w:pPr>
        <w:pStyle w:val="Textodenotaderodap"/>
        <w:rPr>
          <w:rFonts w:ascii="Arial Narrow" w:hAnsi="Arial Narrow"/>
          <w:lang w:val="en-US"/>
        </w:rPr>
      </w:pPr>
      <w:r w:rsidRPr="00E407D9">
        <w:rPr>
          <w:rStyle w:val="Refdenotaderodap"/>
          <w:rFonts w:ascii="Arial Narrow" w:hAnsi="Arial Narrow"/>
        </w:rPr>
        <w:footnoteRef/>
      </w:r>
      <w:r w:rsidRPr="00E2530B">
        <w:rPr>
          <w:rFonts w:ascii="Arial Narrow" w:hAnsi="Arial Narrow"/>
          <w:lang w:val="en-US"/>
        </w:rPr>
        <w:t xml:space="preserve"> Id., ibid., II 672-674, 686</w:t>
      </w:r>
      <w:r>
        <w:rPr>
          <w:rFonts w:ascii="Arial Narrow" w:hAnsi="Arial Narrow"/>
          <w:lang w:val="en-US"/>
        </w:rPr>
        <w:t>, 720.</w:t>
      </w:r>
    </w:p>
  </w:footnote>
  <w:footnote w:id="153">
    <w:p w:rsidR="000C262C" w:rsidRPr="00497608" w:rsidRDefault="000C262C">
      <w:pPr>
        <w:pStyle w:val="Textodenotaderodap"/>
        <w:rPr>
          <w:rFonts w:ascii="Arial Narrow" w:hAnsi="Arial Narrow"/>
          <w:lang w:val="en-US"/>
        </w:rPr>
      </w:pPr>
      <w:r w:rsidRPr="00497608">
        <w:rPr>
          <w:rStyle w:val="Refdenotaderodap"/>
          <w:rFonts w:ascii="Arial Narrow" w:hAnsi="Arial Narrow"/>
        </w:rPr>
        <w:footnoteRef/>
      </w:r>
      <w:r w:rsidRPr="00497608">
        <w:rPr>
          <w:rFonts w:ascii="Arial Narrow" w:hAnsi="Arial Narrow"/>
          <w:lang w:val="en-US"/>
        </w:rPr>
        <w:t xml:space="preserve"> J. Noakes et al. (orgs. </w:t>
      </w:r>
      <w:r>
        <w:rPr>
          <w:rFonts w:ascii="Arial Narrow" w:hAnsi="Arial Narrow"/>
          <w:lang w:val="en-US"/>
        </w:rPr>
        <w:t>2008-2010) III 593.</w:t>
      </w:r>
    </w:p>
  </w:footnote>
  <w:footnote w:id="154">
    <w:p w:rsidR="000C262C" w:rsidRPr="00A85C06" w:rsidRDefault="000C262C">
      <w:pPr>
        <w:pStyle w:val="Textodenotaderodap"/>
        <w:rPr>
          <w:rFonts w:ascii="Arial Narrow" w:hAnsi="Arial Narrow"/>
          <w:lang w:val="en-US"/>
        </w:rPr>
      </w:pPr>
      <w:r w:rsidRPr="00E2530B">
        <w:rPr>
          <w:rStyle w:val="Refdenotaderodap"/>
          <w:rFonts w:ascii="Arial Narrow" w:hAnsi="Arial Narrow"/>
        </w:rPr>
        <w:footnoteRef/>
      </w:r>
      <w:r w:rsidRPr="00A85C06">
        <w:rPr>
          <w:rFonts w:ascii="Arial Narrow" w:hAnsi="Arial Narrow"/>
          <w:lang w:val="en-US"/>
        </w:rPr>
        <w:t xml:space="preserve"> </w:t>
      </w:r>
      <w:r>
        <w:rPr>
          <w:rFonts w:ascii="Arial Narrow" w:hAnsi="Arial Narrow"/>
          <w:lang w:val="en-US"/>
        </w:rPr>
        <w:t xml:space="preserve">M. Gilbert (2011 b) </w:t>
      </w:r>
      <w:r w:rsidRPr="00A85C06">
        <w:rPr>
          <w:rFonts w:ascii="Arial Narrow" w:hAnsi="Arial Narrow"/>
          <w:lang w:val="en-US"/>
        </w:rPr>
        <w:t>II 686</w:t>
      </w:r>
      <w:r>
        <w:rPr>
          <w:rFonts w:ascii="Arial Narrow" w:hAnsi="Arial Narrow"/>
          <w:lang w:val="en-US"/>
        </w:rPr>
        <w:t>, 723</w:t>
      </w:r>
      <w:r w:rsidRPr="00A85C06">
        <w:rPr>
          <w:rFonts w:ascii="Arial Narrow" w:hAnsi="Arial Narrow"/>
          <w:lang w:val="en-US"/>
        </w:rPr>
        <w:t>.</w:t>
      </w:r>
    </w:p>
  </w:footnote>
  <w:footnote w:id="155">
    <w:p w:rsidR="000C262C" w:rsidRPr="004B65F2" w:rsidRDefault="000C262C" w:rsidP="005A3930">
      <w:pPr>
        <w:pStyle w:val="Textodenotaderodap"/>
        <w:rPr>
          <w:rFonts w:ascii="Arial Narrow" w:hAnsi="Arial Narrow"/>
          <w:lang w:val="en-GB"/>
        </w:rPr>
      </w:pPr>
      <w:r w:rsidRPr="009E5AE0">
        <w:rPr>
          <w:rStyle w:val="Refdenotaderodap"/>
          <w:rFonts w:ascii="Arial Narrow" w:hAnsi="Arial Narrow"/>
        </w:rPr>
        <w:footnoteRef/>
      </w:r>
      <w:r w:rsidRPr="004B65F2">
        <w:rPr>
          <w:rFonts w:ascii="Arial Narrow" w:hAnsi="Arial Narrow"/>
          <w:lang w:val="en-GB"/>
        </w:rPr>
        <w:t xml:space="preserve"> </w:t>
      </w:r>
      <w:r w:rsidRPr="009E5AE0">
        <w:rPr>
          <w:rFonts w:ascii="Arial Narrow" w:hAnsi="Arial Narrow"/>
          <w:lang w:val="en-GB"/>
        </w:rPr>
        <w:t>M. R. D. Foot (2008)</w:t>
      </w:r>
      <w:r>
        <w:rPr>
          <w:rFonts w:ascii="Arial Narrow" w:hAnsi="Arial Narrow"/>
          <w:lang w:val="en-GB"/>
        </w:rPr>
        <w:t xml:space="preserve"> </w:t>
      </w:r>
      <w:r w:rsidRPr="009E5AE0">
        <w:rPr>
          <w:rFonts w:ascii="Arial Narrow" w:hAnsi="Arial Narrow"/>
          <w:lang w:val="en-GB"/>
        </w:rPr>
        <w:t>231</w:t>
      </w:r>
      <w:r>
        <w:rPr>
          <w:rFonts w:ascii="Arial Narrow" w:hAnsi="Arial Narrow"/>
          <w:lang w:val="en-GB"/>
        </w:rPr>
        <w:t>.</w:t>
      </w:r>
    </w:p>
  </w:footnote>
  <w:footnote w:id="156">
    <w:p w:rsidR="000C262C" w:rsidRPr="00B2463D" w:rsidRDefault="000C262C" w:rsidP="005A3930">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H. L. Feingold (1995) 150</w:t>
      </w:r>
      <w:r>
        <w:rPr>
          <w:rFonts w:ascii="Arial Narrow" w:hAnsi="Arial Narrow"/>
          <w:lang w:val="de-DE"/>
        </w:rPr>
        <w:t>; M. Gilbert (2011 b) II 635</w:t>
      </w:r>
      <w:r w:rsidRPr="00B2463D">
        <w:rPr>
          <w:rFonts w:ascii="Arial Narrow" w:hAnsi="Arial Narrow"/>
          <w:lang w:val="de-DE"/>
        </w:rPr>
        <w:t>.</w:t>
      </w:r>
      <w:r w:rsidR="009922FC">
        <w:rPr>
          <w:rFonts w:ascii="Arial Narrow" w:hAnsi="Arial Narrow"/>
          <w:lang w:val="de-DE"/>
        </w:rPr>
        <w:t xml:space="preserve"> Isto não impediu que </w:t>
      </w:r>
      <w:r w:rsidR="009922FC" w:rsidRPr="00C17751">
        <w:rPr>
          <w:rFonts w:ascii="Arial Narrow" w:hAnsi="Arial Narrow"/>
        </w:rPr>
        <w:t xml:space="preserve">M. Rady (2011) 270 referisse, embora sem especificar, «uma ofensiva de bombardeamentos </w:t>
      </w:r>
      <w:r w:rsidR="007E445B" w:rsidRPr="00C17751">
        <w:rPr>
          <w:rFonts w:ascii="Arial Narrow" w:hAnsi="Arial Narrow"/>
        </w:rPr>
        <w:t xml:space="preserve">aéreos </w:t>
      </w:r>
      <w:r w:rsidR="009922FC" w:rsidRPr="00C17751">
        <w:rPr>
          <w:rFonts w:ascii="Arial Narrow" w:hAnsi="Arial Narrow"/>
        </w:rPr>
        <w:t xml:space="preserve">aliados com a finalidade ostensiva de </w:t>
      </w:r>
      <w:r w:rsidR="00847270" w:rsidRPr="00C17751">
        <w:rPr>
          <w:rFonts w:ascii="Arial Narrow" w:hAnsi="Arial Narrow"/>
        </w:rPr>
        <w:t xml:space="preserve">interromper as </w:t>
      </w:r>
      <w:r w:rsidR="009922FC" w:rsidRPr="00C17751">
        <w:rPr>
          <w:rFonts w:ascii="Arial Narrow" w:hAnsi="Arial Narrow"/>
        </w:rPr>
        <w:t>deportações».</w:t>
      </w:r>
    </w:p>
  </w:footnote>
  <w:footnote w:id="157">
    <w:p w:rsidR="000C262C" w:rsidRPr="00ED21F8" w:rsidRDefault="000C262C">
      <w:pPr>
        <w:pStyle w:val="Textodenotaderodap"/>
        <w:rPr>
          <w:rFonts w:ascii="Arial Narrow" w:hAnsi="Arial Narrow"/>
        </w:rPr>
      </w:pPr>
      <w:r w:rsidRPr="00ED21F8">
        <w:rPr>
          <w:rStyle w:val="Refdenotaderodap"/>
          <w:rFonts w:ascii="Arial Narrow" w:hAnsi="Arial Narrow"/>
        </w:rPr>
        <w:footnoteRef/>
      </w:r>
      <w:r w:rsidRPr="00ED21F8">
        <w:rPr>
          <w:rFonts w:ascii="Arial Narrow" w:hAnsi="Arial Narrow"/>
        </w:rPr>
        <w:t xml:space="preserve"> </w:t>
      </w:r>
      <w:r>
        <w:rPr>
          <w:rFonts w:ascii="Arial Narrow" w:hAnsi="Arial Narrow"/>
        </w:rPr>
        <w:t xml:space="preserve">Citados em M. Gilbert (2011 b) II 635-636. O lúgubre trocadilho reproduz literalmente o original, </w:t>
      </w:r>
      <w:r w:rsidRPr="00ED21F8">
        <w:rPr>
          <w:rFonts w:ascii="Arial Narrow" w:hAnsi="Arial Narrow"/>
          <w:i/>
        </w:rPr>
        <w:t>«to “kill” this»</w:t>
      </w:r>
      <w:r>
        <w:rPr>
          <w:rFonts w:ascii="Arial Narrow" w:hAnsi="Arial Narrow"/>
        </w:rPr>
        <w:t>.</w:t>
      </w:r>
    </w:p>
  </w:footnote>
  <w:footnote w:id="158">
    <w:p w:rsidR="000C262C" w:rsidRPr="003E305A" w:rsidRDefault="000C262C" w:rsidP="005A393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Kogon (2002) 308-309.</w:t>
      </w:r>
      <w:r>
        <w:rPr>
          <w:rFonts w:ascii="Arial Narrow" w:hAnsi="Arial Narrow"/>
          <w:lang w:val="fr-FR"/>
        </w:rPr>
        <w:t xml:space="preserve"> Os presos que morreram ou ficaram feridos devido a este bombardeamento estavam a trabalhar no exterior do campo, como se lê na pág. 309.</w:t>
      </w:r>
    </w:p>
  </w:footnote>
  <w:footnote w:id="159">
    <w:p w:rsidR="000C262C" w:rsidRPr="003E305A" w:rsidRDefault="000C262C" w:rsidP="005A393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H. Langbein (1981) 254.</w:t>
      </w:r>
    </w:p>
  </w:footnote>
  <w:footnote w:id="160">
    <w:p w:rsidR="000C262C" w:rsidRPr="003E305A" w:rsidRDefault="000C262C" w:rsidP="005A3930">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Id., ibid., 253.</w:t>
      </w:r>
    </w:p>
  </w:footnote>
  <w:footnote w:id="161">
    <w:p w:rsidR="000C262C" w:rsidRPr="005B31B0"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«Amiens Prison Raid», em I. C. B. Dear et al. </w:t>
      </w:r>
      <w:r w:rsidRPr="00C87000">
        <w:rPr>
          <w:rFonts w:ascii="Arial Narrow" w:hAnsi="Arial Narrow"/>
        </w:rPr>
        <w:t xml:space="preserve">(orgs. </w:t>
      </w:r>
      <w:r w:rsidRPr="005B31B0">
        <w:rPr>
          <w:rFonts w:ascii="Arial Narrow" w:hAnsi="Arial Narrow"/>
        </w:rPr>
        <w:t xml:space="preserve">1995) 32. Todavia, </w:t>
      </w:r>
      <w:r w:rsidR="00C401FE" w:rsidRPr="00C401FE">
        <w:rPr>
          <w:rFonts w:ascii="Arial Narrow" w:hAnsi="Arial Narrow"/>
          <w:lang w:val="fr-FR"/>
        </w:rPr>
        <w:t>J</w:t>
      </w:r>
      <w:r w:rsidR="00C401FE">
        <w:rPr>
          <w:rFonts w:ascii="Arial Narrow" w:hAnsi="Arial Narrow"/>
          <w:lang w:val="fr-FR"/>
        </w:rPr>
        <w:t xml:space="preserve">. </w:t>
      </w:r>
      <w:r w:rsidR="00C401FE" w:rsidRPr="00C401FE">
        <w:rPr>
          <w:rFonts w:ascii="Arial Narrow" w:hAnsi="Arial Narrow"/>
          <w:lang w:val="fr-FR"/>
        </w:rPr>
        <w:t xml:space="preserve">Galtier-Boissière (1994) </w:t>
      </w:r>
      <w:r w:rsidR="00C401FE">
        <w:rPr>
          <w:rFonts w:ascii="Arial Narrow" w:hAnsi="Arial Narrow"/>
          <w:lang w:val="fr-FR"/>
        </w:rPr>
        <w:t xml:space="preserve">884 indicou apenas a fuga de cento e vinte membros da resistência e </w:t>
      </w:r>
      <w:r w:rsidRPr="005B31B0">
        <w:rPr>
          <w:rFonts w:ascii="Arial Narrow" w:hAnsi="Arial Narrow"/>
        </w:rPr>
        <w:t>M. Gilbert (2011 b) II 581 mencionou noventa e seis presos mortos, incluindo cinquenta e seis membros da resist</w:t>
      </w:r>
      <w:r>
        <w:rPr>
          <w:rFonts w:ascii="Arial Narrow" w:hAnsi="Arial Narrow"/>
        </w:rPr>
        <w:t>ência, e só cinquenta fugitivos.</w:t>
      </w:r>
    </w:p>
  </w:footnote>
  <w:footnote w:id="162">
    <w:p w:rsidR="000C262C" w:rsidRPr="00E642F9" w:rsidRDefault="000C262C">
      <w:pPr>
        <w:pStyle w:val="Textodenotaderodap"/>
        <w:rPr>
          <w:rFonts w:ascii="Arial Narrow" w:hAnsi="Arial Narrow"/>
          <w:lang w:val="en-US"/>
        </w:rPr>
      </w:pPr>
      <w:r w:rsidRPr="00E642F9">
        <w:rPr>
          <w:rStyle w:val="Refdenotaderodap"/>
          <w:rFonts w:ascii="Arial Narrow" w:hAnsi="Arial Narrow"/>
        </w:rPr>
        <w:footnoteRef/>
      </w:r>
      <w:r w:rsidRPr="00E642F9">
        <w:rPr>
          <w:rFonts w:ascii="Arial Narrow" w:hAnsi="Arial Narrow"/>
          <w:lang w:val="en-US"/>
        </w:rPr>
        <w:t xml:space="preserve"> </w:t>
      </w:r>
      <w:r>
        <w:rPr>
          <w:rFonts w:ascii="Arial Narrow" w:hAnsi="Arial Narrow"/>
          <w:lang w:val="en-US"/>
        </w:rPr>
        <w:t>M. Gilbert (2011 b) II 600.</w:t>
      </w:r>
    </w:p>
  </w:footnote>
  <w:footnote w:id="163">
    <w:p w:rsidR="000C262C" w:rsidRPr="00FC6201" w:rsidRDefault="000C262C">
      <w:pPr>
        <w:pStyle w:val="Textodenotaderodap"/>
        <w:rPr>
          <w:rFonts w:ascii="Arial Narrow" w:hAnsi="Arial Narrow"/>
          <w:lang w:val="en-US"/>
        </w:rPr>
      </w:pPr>
      <w:r w:rsidRPr="00FC6201">
        <w:rPr>
          <w:rStyle w:val="Refdenotaderodap"/>
          <w:rFonts w:ascii="Arial Narrow" w:hAnsi="Arial Narrow"/>
        </w:rPr>
        <w:footnoteRef/>
      </w:r>
      <w:r w:rsidRPr="00FC6201">
        <w:rPr>
          <w:rFonts w:ascii="Arial Narrow" w:hAnsi="Arial Narrow"/>
          <w:lang w:val="en-US"/>
        </w:rPr>
        <w:t xml:space="preserve"> </w:t>
      </w:r>
      <w:r>
        <w:rPr>
          <w:rFonts w:ascii="Arial Narrow" w:hAnsi="Arial Narrow"/>
          <w:lang w:val="en-US"/>
        </w:rPr>
        <w:t>Id., ibid., II 707.</w:t>
      </w:r>
    </w:p>
  </w:footnote>
  <w:footnote w:id="164">
    <w:p w:rsidR="000C262C" w:rsidRPr="008931E8"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w:t>
      </w:r>
      <w:r>
        <w:rPr>
          <w:rFonts w:ascii="Arial Narrow" w:hAnsi="Arial Narrow"/>
          <w:lang w:val="en-GB"/>
        </w:rPr>
        <w:t xml:space="preserve">Id., ibid., II 755-756; </w:t>
      </w:r>
      <w:r w:rsidRPr="003E305A">
        <w:rPr>
          <w:rFonts w:ascii="Arial Narrow" w:hAnsi="Arial Narrow"/>
          <w:lang w:val="en-GB"/>
        </w:rPr>
        <w:t xml:space="preserve">«Shell House Raid», em </w:t>
      </w:r>
      <w:r w:rsidRPr="003E305A">
        <w:rPr>
          <w:rFonts w:ascii="Arial Narrow" w:hAnsi="Arial Narrow"/>
          <w:lang w:val="fr-FR"/>
        </w:rPr>
        <w:t xml:space="preserve">I. C. B. Dear et al. </w:t>
      </w:r>
      <w:r w:rsidRPr="008931E8">
        <w:rPr>
          <w:rFonts w:ascii="Arial Narrow" w:hAnsi="Arial Narrow"/>
        </w:rPr>
        <w:t>(orgs. 1995) 1000. Ver também M. R. D. Foot (2008) 252.</w:t>
      </w:r>
    </w:p>
  </w:footnote>
  <w:footnote w:id="165">
    <w:p w:rsidR="000C262C" w:rsidRPr="008931E8" w:rsidRDefault="000C262C">
      <w:pPr>
        <w:pStyle w:val="Textodenotaderodap"/>
        <w:rPr>
          <w:rFonts w:ascii="Arial Narrow" w:hAnsi="Arial Narrow"/>
        </w:rPr>
      </w:pPr>
      <w:r w:rsidRPr="006419C3">
        <w:rPr>
          <w:rStyle w:val="Refdenotaderodap"/>
          <w:rFonts w:ascii="Arial Narrow" w:hAnsi="Arial Narrow"/>
        </w:rPr>
        <w:footnoteRef/>
      </w:r>
      <w:r w:rsidRPr="008931E8">
        <w:rPr>
          <w:rFonts w:ascii="Arial Narrow" w:hAnsi="Arial Narrow"/>
        </w:rPr>
        <w:t xml:space="preserve"> M. Gilbert (2011 b) II 724.</w:t>
      </w:r>
    </w:p>
  </w:footnote>
  <w:footnote w:id="166">
    <w:p w:rsidR="000C262C" w:rsidRPr="00A65824" w:rsidRDefault="000C262C">
      <w:pPr>
        <w:pStyle w:val="Textodenotaderodap"/>
        <w:rPr>
          <w:rFonts w:ascii="Arial Narrow" w:hAnsi="Arial Narrow"/>
          <w:lang w:val="en-US"/>
        </w:rPr>
      </w:pPr>
      <w:r w:rsidRPr="00987BE3">
        <w:rPr>
          <w:rStyle w:val="Refdenotaderodap"/>
          <w:rFonts w:ascii="Arial Narrow" w:hAnsi="Arial Narrow"/>
        </w:rPr>
        <w:footnoteRef/>
      </w:r>
      <w:r w:rsidRPr="00A65824">
        <w:rPr>
          <w:rFonts w:ascii="Arial Narrow" w:hAnsi="Arial Narrow"/>
          <w:lang w:val="en-US"/>
        </w:rPr>
        <w:t xml:space="preserve"> Id., ibid., I 5.</w:t>
      </w:r>
    </w:p>
  </w:footnote>
  <w:footnote w:id="167">
    <w:p w:rsidR="000C262C" w:rsidRPr="00A65824" w:rsidRDefault="000C262C">
      <w:pPr>
        <w:pStyle w:val="Textodenotaderodap"/>
        <w:rPr>
          <w:rFonts w:ascii="Arial Narrow" w:hAnsi="Arial Narrow"/>
          <w:lang w:val="en-US"/>
        </w:rPr>
      </w:pPr>
      <w:r w:rsidRPr="00A65824">
        <w:rPr>
          <w:rStyle w:val="Refdenotaderodap"/>
          <w:rFonts w:ascii="Arial Narrow" w:hAnsi="Arial Narrow"/>
        </w:rPr>
        <w:footnoteRef/>
      </w:r>
      <w:r w:rsidRPr="00A65824">
        <w:rPr>
          <w:rFonts w:ascii="Arial Narrow" w:hAnsi="Arial Narrow"/>
          <w:lang w:val="en-US"/>
        </w:rPr>
        <w:t xml:space="preserve"> A. Calder (1991) 21</w:t>
      </w:r>
      <w:r>
        <w:rPr>
          <w:rFonts w:ascii="Arial Narrow" w:hAnsi="Arial Narrow"/>
          <w:lang w:val="en-US"/>
        </w:rPr>
        <w:t>;</w:t>
      </w:r>
      <w:r w:rsidRPr="00A65824">
        <w:rPr>
          <w:rFonts w:ascii="Arial Narrow" w:hAnsi="Arial Narrow"/>
          <w:lang w:val="en-US"/>
        </w:rPr>
        <w:t xml:space="preserve"> M. Gilbert (2011 b) I 5, 21, 41, 55, 57</w:t>
      </w:r>
      <w:r>
        <w:rPr>
          <w:rFonts w:ascii="Arial Narrow" w:hAnsi="Arial Narrow"/>
          <w:lang w:val="en-US"/>
        </w:rPr>
        <w:t>;</w:t>
      </w:r>
      <w:r w:rsidRPr="00A65824">
        <w:rPr>
          <w:rFonts w:ascii="Arial Narrow" w:hAnsi="Arial Narrow"/>
          <w:lang w:val="en-US"/>
        </w:rPr>
        <w:t xml:space="preserve"> J. M. Spaight (1944) 55-56, 61.</w:t>
      </w:r>
    </w:p>
  </w:footnote>
  <w:footnote w:id="168">
    <w:p w:rsidR="000C262C" w:rsidRPr="00444C20" w:rsidRDefault="000C262C">
      <w:pPr>
        <w:pStyle w:val="Textodenotaderodap"/>
        <w:rPr>
          <w:rFonts w:ascii="Arial Narrow" w:hAnsi="Arial Narrow"/>
        </w:rPr>
      </w:pPr>
      <w:r w:rsidRPr="00740F64">
        <w:rPr>
          <w:rStyle w:val="Refdenotaderodap"/>
          <w:rFonts w:ascii="Arial Narrow" w:hAnsi="Arial Narrow"/>
        </w:rPr>
        <w:footnoteRef/>
      </w:r>
      <w:r w:rsidRPr="00703BFB">
        <w:rPr>
          <w:rFonts w:ascii="Arial Narrow" w:hAnsi="Arial Narrow"/>
        </w:rPr>
        <w:t xml:space="preserve"> J. M. Spaight (1944) 67-68. </w:t>
      </w:r>
      <w:r>
        <w:rPr>
          <w:rFonts w:ascii="Arial Narrow" w:hAnsi="Arial Narrow"/>
        </w:rPr>
        <w:t>É estranho que um escritor fascista, numa obra destinada a acusar os Aliados e defender a memória do Terceiro Reich, tivesse datado só de Dezembro de 1943 a decisão de proceder ao bombardeamento aéreo da população civil das cidades em vez de atacar alvos militares. Ver M. Bardèche (1948) 22.</w:t>
      </w:r>
    </w:p>
  </w:footnote>
  <w:footnote w:id="169">
    <w:p w:rsidR="000C262C" w:rsidRPr="003B5AD2" w:rsidRDefault="000C262C" w:rsidP="005A3930">
      <w:pPr>
        <w:pStyle w:val="Textodenotaderodap"/>
        <w:rPr>
          <w:rFonts w:ascii="Arial Narrow" w:hAnsi="Arial Narrow"/>
        </w:rPr>
      </w:pPr>
      <w:r w:rsidRPr="00392E3A">
        <w:rPr>
          <w:rStyle w:val="Refdenotaderodap"/>
          <w:rFonts w:ascii="Arial Narrow" w:hAnsi="Arial Narrow"/>
        </w:rPr>
        <w:footnoteRef/>
      </w:r>
      <w:r w:rsidRPr="008931E8">
        <w:rPr>
          <w:rFonts w:ascii="Arial Narrow" w:hAnsi="Arial Narrow"/>
        </w:rPr>
        <w:t xml:space="preserve"> Citado em H. G. Da</w:t>
      </w:r>
      <w:r>
        <w:rPr>
          <w:rFonts w:ascii="Arial Narrow" w:hAnsi="Arial Narrow"/>
        </w:rPr>
        <w:t xml:space="preserve">hms (1968) I 404 (corrigi </w:t>
      </w:r>
      <w:r w:rsidRPr="00BF767F">
        <w:rPr>
          <w:rFonts w:ascii="Arial Narrow" w:hAnsi="Arial Narrow"/>
          <w:i/>
        </w:rPr>
        <w:t>petróleo</w:t>
      </w:r>
      <w:r>
        <w:rPr>
          <w:rFonts w:ascii="Arial Narrow" w:hAnsi="Arial Narrow"/>
        </w:rPr>
        <w:t xml:space="preserve"> para </w:t>
      </w:r>
      <w:r w:rsidRPr="00BF767F">
        <w:rPr>
          <w:rFonts w:ascii="Arial Narrow" w:hAnsi="Arial Narrow"/>
          <w:i/>
        </w:rPr>
        <w:t>gasolina</w:t>
      </w:r>
      <w:r>
        <w:rPr>
          <w:rFonts w:ascii="Arial Narrow" w:hAnsi="Arial Narrow"/>
        </w:rPr>
        <w:t>).</w:t>
      </w:r>
    </w:p>
  </w:footnote>
  <w:footnote w:id="170">
    <w:p w:rsidR="000C262C" w:rsidRPr="00492169" w:rsidRDefault="000C262C">
      <w:pPr>
        <w:pStyle w:val="Textodenotaderodap"/>
        <w:rPr>
          <w:rFonts w:ascii="Arial Narrow" w:hAnsi="Arial Narrow"/>
          <w:lang w:val="en-US"/>
        </w:rPr>
      </w:pPr>
      <w:r w:rsidRPr="003B2910">
        <w:rPr>
          <w:rStyle w:val="Refdenotaderodap"/>
          <w:rFonts w:ascii="Arial Narrow" w:hAnsi="Arial Narrow"/>
        </w:rPr>
        <w:footnoteRef/>
      </w:r>
      <w:r w:rsidRPr="00492169">
        <w:rPr>
          <w:rFonts w:ascii="Arial Narrow" w:hAnsi="Arial Narrow"/>
          <w:lang w:val="en-US"/>
        </w:rPr>
        <w:t xml:space="preserve"> J. M. Spaight (1944) 71-72.</w:t>
      </w:r>
    </w:p>
  </w:footnote>
  <w:footnote w:id="171">
    <w:p w:rsidR="000C262C" w:rsidRPr="00E86B76" w:rsidRDefault="000C262C">
      <w:pPr>
        <w:pStyle w:val="Textodenotaderodap"/>
        <w:rPr>
          <w:rFonts w:ascii="Arial Narrow" w:hAnsi="Arial Narrow"/>
        </w:rPr>
      </w:pPr>
      <w:r w:rsidRPr="00D233A2">
        <w:rPr>
          <w:rStyle w:val="Refdenotaderodap"/>
          <w:rFonts w:ascii="Arial Narrow" w:hAnsi="Arial Narrow"/>
        </w:rPr>
        <w:footnoteRef/>
      </w:r>
      <w:r w:rsidRPr="00622406">
        <w:rPr>
          <w:rFonts w:ascii="Arial Narrow" w:hAnsi="Arial Narrow"/>
        </w:rPr>
        <w:t xml:space="preserve"> M. Gilbert (2011 b) I 147. </w:t>
      </w:r>
      <w:r w:rsidRPr="00E86B76">
        <w:rPr>
          <w:rFonts w:ascii="Arial Narrow" w:hAnsi="Arial Narrow"/>
          <w:bCs/>
        </w:rPr>
        <w:t>W. L. Shirer (2011) 509 anotou que na noite de 6 para 7 de Setembro de 1940 a aviação britânica atingiu Berlim com o maior bombardeamento desde o começo da guerra, e o mesmo quatro noites depois (pág. 512).</w:t>
      </w:r>
    </w:p>
  </w:footnote>
  <w:footnote w:id="172">
    <w:p w:rsidR="000C262C" w:rsidRPr="0091093B" w:rsidRDefault="000C262C">
      <w:pPr>
        <w:pStyle w:val="Textodenotaderodap"/>
        <w:rPr>
          <w:rFonts w:ascii="Arial Narrow" w:hAnsi="Arial Narrow"/>
        </w:rPr>
      </w:pPr>
      <w:r w:rsidRPr="0091093B">
        <w:rPr>
          <w:rStyle w:val="Refdenotaderodap"/>
          <w:rFonts w:ascii="Arial Narrow" w:hAnsi="Arial Narrow"/>
        </w:rPr>
        <w:footnoteRef/>
      </w:r>
      <w:r w:rsidRPr="00492169">
        <w:rPr>
          <w:rFonts w:ascii="Arial Narrow" w:hAnsi="Arial Narrow"/>
        </w:rPr>
        <w:t xml:space="preserve"> </w:t>
      </w:r>
      <w:r w:rsidRPr="00E86B76">
        <w:rPr>
          <w:rFonts w:ascii="Arial Narrow" w:hAnsi="Arial Narrow"/>
        </w:rPr>
        <w:t xml:space="preserve">M. Gilbert (2011 b) </w:t>
      </w:r>
      <w:r w:rsidRPr="00492169">
        <w:rPr>
          <w:rFonts w:ascii="Arial Narrow" w:hAnsi="Arial Narrow"/>
        </w:rPr>
        <w:t xml:space="preserve">I 157. </w:t>
      </w:r>
      <w:r>
        <w:rPr>
          <w:rFonts w:ascii="Arial Narrow" w:hAnsi="Arial Narrow"/>
        </w:rPr>
        <w:t xml:space="preserve">Ver em Martin Gilbert, </w:t>
      </w:r>
      <w:r w:rsidRPr="00DE6F9D">
        <w:rPr>
          <w:rFonts w:ascii="Arial Narrow" w:hAnsi="Arial Narrow"/>
        </w:rPr>
        <w:t>op. cit.,</w:t>
      </w:r>
      <w:r>
        <w:rPr>
          <w:rFonts w:ascii="Arial Narrow" w:hAnsi="Arial Narrow"/>
        </w:rPr>
        <w:t xml:space="preserve"> I 169 um exemplo de execução desta nova norma em Novembro de 1940. </w:t>
      </w:r>
      <w:r w:rsidRPr="0091093B">
        <w:rPr>
          <w:rFonts w:ascii="Arial Narrow" w:hAnsi="Arial Narrow"/>
        </w:rPr>
        <w:t>Todavia, segundo o autor</w:t>
      </w:r>
      <w:r w:rsidR="00DE6F9D">
        <w:rPr>
          <w:rFonts w:ascii="Arial Narrow" w:hAnsi="Arial Narrow"/>
        </w:rPr>
        <w:t xml:space="preserve"> (</w:t>
      </w:r>
      <w:r>
        <w:rPr>
          <w:rFonts w:ascii="Arial Narrow" w:hAnsi="Arial Narrow"/>
        </w:rPr>
        <w:t>vol. I, pág. 157</w:t>
      </w:r>
      <w:r w:rsidR="00DE6F9D">
        <w:rPr>
          <w:rFonts w:ascii="Arial Narrow" w:hAnsi="Arial Narrow"/>
        </w:rPr>
        <w:t>)</w:t>
      </w:r>
      <w:r>
        <w:rPr>
          <w:rFonts w:ascii="Arial Narrow" w:hAnsi="Arial Narrow"/>
        </w:rPr>
        <w:t>, a medida foi mantida secreta para que o público não se alarmasse com o facto de a precisão dos bombardeamentos ser menor do que imaginava.</w:t>
      </w:r>
    </w:p>
  </w:footnote>
  <w:footnote w:id="173">
    <w:p w:rsidR="000C262C" w:rsidRPr="00EB064F" w:rsidRDefault="000C262C">
      <w:pPr>
        <w:pStyle w:val="Textodenotaderodap"/>
        <w:rPr>
          <w:rFonts w:ascii="Arial Narrow" w:hAnsi="Arial Narrow"/>
        </w:rPr>
      </w:pPr>
      <w:r w:rsidRPr="00EB064F">
        <w:rPr>
          <w:rStyle w:val="Refdenotaderodap"/>
          <w:rFonts w:ascii="Arial Narrow" w:hAnsi="Arial Narrow"/>
        </w:rPr>
        <w:footnoteRef/>
      </w:r>
      <w:r w:rsidRPr="00EB064F">
        <w:rPr>
          <w:rFonts w:ascii="Arial Narrow" w:hAnsi="Arial Narrow"/>
        </w:rPr>
        <w:t xml:space="preserve"> </w:t>
      </w:r>
      <w:r>
        <w:rPr>
          <w:rFonts w:ascii="Arial Narrow" w:hAnsi="Arial Narrow"/>
        </w:rPr>
        <w:t>Citado em id., ibid., I 173.</w:t>
      </w:r>
    </w:p>
  </w:footnote>
  <w:footnote w:id="174">
    <w:p w:rsidR="00A358DD" w:rsidRPr="00A72EAA" w:rsidRDefault="00A358DD" w:rsidP="00A358DD">
      <w:pPr>
        <w:pStyle w:val="Textodenotaderodap"/>
        <w:rPr>
          <w:rFonts w:ascii="Arial Narrow" w:hAnsi="Arial Narrow"/>
          <w:lang w:val="en-US"/>
        </w:rPr>
      </w:pPr>
      <w:r w:rsidRPr="00A72EAA">
        <w:rPr>
          <w:rStyle w:val="Refdenotaderodap"/>
          <w:rFonts w:ascii="Arial Narrow" w:hAnsi="Arial Narrow"/>
        </w:rPr>
        <w:footnoteRef/>
      </w:r>
      <w:r w:rsidRPr="00A72EAA">
        <w:rPr>
          <w:rFonts w:ascii="Arial Narrow" w:hAnsi="Arial Narrow"/>
          <w:lang w:val="en-US"/>
        </w:rPr>
        <w:t xml:space="preserve"> J. C. Fest (1974)</w:t>
      </w:r>
      <w:r>
        <w:rPr>
          <w:rFonts w:ascii="Arial Narrow" w:hAnsi="Arial Narrow"/>
          <w:lang w:val="en-US"/>
        </w:rPr>
        <w:t xml:space="preserve"> 1136, 1230-1231.</w:t>
      </w:r>
    </w:p>
  </w:footnote>
  <w:footnote w:id="175">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A358DD">
        <w:rPr>
          <w:rFonts w:ascii="Arial Narrow" w:hAnsi="Arial Narrow"/>
          <w:lang w:val="en-US"/>
        </w:rPr>
        <w:t xml:space="preserve"> G. Vassiltchikov (org. 1991) 71. </w:t>
      </w:r>
      <w:r w:rsidRPr="003E305A">
        <w:rPr>
          <w:rFonts w:ascii="Arial Narrow" w:hAnsi="Arial Narrow"/>
        </w:rPr>
        <w:t>Ver também A. Calder (1991) 39. Em 1 de Maio de 1944 o judeu alemão Victor Klemperer registou no seu diário: «Enquanto meio de pressão sobre o moral, a ofensiva aérea é um fracasso». Ver</w:t>
      </w:r>
      <w:r>
        <w:rPr>
          <w:rFonts w:ascii="Arial Narrow" w:hAnsi="Arial Narrow"/>
        </w:rPr>
        <w:t xml:space="preserve"> M. Chalmers (org. 2006 b) 361.</w:t>
      </w:r>
    </w:p>
  </w:footnote>
  <w:footnote w:id="176">
    <w:p w:rsidR="000C262C" w:rsidRPr="004A7B4F" w:rsidRDefault="000C262C" w:rsidP="005A3930">
      <w:pPr>
        <w:pStyle w:val="Textodenotaderodap"/>
        <w:rPr>
          <w:rFonts w:ascii="Arial Narrow" w:hAnsi="Arial Narrow"/>
        </w:rPr>
      </w:pPr>
      <w:r w:rsidRPr="004A7B4F">
        <w:rPr>
          <w:rStyle w:val="Refdenotaderodap"/>
          <w:rFonts w:ascii="Arial Narrow" w:hAnsi="Arial Narrow"/>
        </w:rPr>
        <w:footnoteRef/>
      </w:r>
      <w:r w:rsidRPr="004A7B4F">
        <w:rPr>
          <w:rFonts w:ascii="Arial Narrow" w:hAnsi="Arial Narrow"/>
        </w:rPr>
        <w:t xml:space="preserve"> </w:t>
      </w:r>
      <w:r>
        <w:rPr>
          <w:rFonts w:ascii="Arial Narrow" w:hAnsi="Arial Narrow"/>
        </w:rPr>
        <w:t xml:space="preserve">Esta passagem de um memorando de Frederick Lindemann encontra-se </w:t>
      </w:r>
      <w:r w:rsidRPr="004A7B4F">
        <w:rPr>
          <w:rFonts w:ascii="Arial Narrow" w:hAnsi="Arial Narrow"/>
        </w:rPr>
        <w:t>citad</w:t>
      </w:r>
      <w:r>
        <w:rPr>
          <w:rFonts w:ascii="Arial Narrow" w:hAnsi="Arial Narrow"/>
        </w:rPr>
        <w:t>a</w:t>
      </w:r>
      <w:r w:rsidRPr="004A7B4F">
        <w:rPr>
          <w:rFonts w:ascii="Arial Narrow" w:hAnsi="Arial Narrow"/>
        </w:rPr>
        <w:t xml:space="preserve"> em H. G. Dahms (1968) I 40</w:t>
      </w:r>
      <w:r>
        <w:rPr>
          <w:rFonts w:ascii="Arial Narrow" w:hAnsi="Arial Narrow"/>
        </w:rPr>
        <w:t>7</w:t>
      </w:r>
      <w:r w:rsidRPr="004A7B4F">
        <w:rPr>
          <w:rFonts w:ascii="Arial Narrow" w:hAnsi="Arial Narrow"/>
        </w:rPr>
        <w:t>.</w:t>
      </w:r>
    </w:p>
  </w:footnote>
  <w:footnote w:id="177">
    <w:p w:rsidR="000C262C" w:rsidRPr="00B2463D"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w:t>
      </w:r>
      <w:r w:rsidRPr="00B2463D">
        <w:rPr>
          <w:rFonts w:ascii="Arial Narrow" w:hAnsi="Arial Narrow"/>
        </w:rPr>
        <w:t xml:space="preserve">ada em «Combined Bomber Offensive», em </w:t>
      </w:r>
      <w:r w:rsidRPr="004A6C27">
        <w:rPr>
          <w:rFonts w:ascii="Arial Narrow" w:hAnsi="Arial Narrow"/>
        </w:rPr>
        <w:t xml:space="preserve">I. C. B. Dear et al. </w:t>
      </w:r>
      <w:r w:rsidRPr="003E305A">
        <w:rPr>
          <w:rFonts w:ascii="Arial Narrow" w:hAnsi="Arial Narrow"/>
        </w:rPr>
        <w:t xml:space="preserve">(orgs. 1995) </w:t>
      </w:r>
      <w:r w:rsidRPr="00B2463D">
        <w:rPr>
          <w:rFonts w:ascii="Arial Narrow" w:hAnsi="Arial Narrow"/>
        </w:rPr>
        <w:t>253</w:t>
      </w:r>
      <w:r>
        <w:rPr>
          <w:rFonts w:ascii="Arial Narrow" w:hAnsi="Arial Narrow"/>
        </w:rPr>
        <w:t xml:space="preserve"> e M. Gilbert (2011 b) II 458-459</w:t>
      </w:r>
      <w:r w:rsidRPr="00B2463D">
        <w:rPr>
          <w:rFonts w:ascii="Arial Narrow" w:hAnsi="Arial Narrow"/>
        </w:rPr>
        <w:t>.</w:t>
      </w:r>
      <w:r>
        <w:rPr>
          <w:rFonts w:ascii="Arial Narrow" w:hAnsi="Arial Narrow"/>
        </w:rPr>
        <w:t xml:space="preserve"> Empregando praticamente os mesmos termos, como se verifica em Martin Gilbert, </w:t>
      </w:r>
      <w:r w:rsidRPr="00DE6F9D">
        <w:rPr>
          <w:rFonts w:ascii="Arial Narrow" w:hAnsi="Arial Narrow"/>
        </w:rPr>
        <w:t>op. cit.,</w:t>
      </w:r>
      <w:r>
        <w:rPr>
          <w:rFonts w:ascii="Arial Narrow" w:hAnsi="Arial Narrow"/>
        </w:rPr>
        <w:t xml:space="preserve"> II 498, os chefes de estado-maior britânico e norte-americano, reunidos em Washington</w:t>
      </w:r>
      <w:r w:rsidRPr="004D3503">
        <w:rPr>
          <w:rFonts w:ascii="Arial Narrow" w:hAnsi="Arial Narrow"/>
        </w:rPr>
        <w:t xml:space="preserve"> </w:t>
      </w:r>
      <w:r>
        <w:rPr>
          <w:rFonts w:ascii="Arial Narrow" w:hAnsi="Arial Narrow"/>
        </w:rPr>
        <w:t>em Maio de 1943, decidiram lançar uma nova ofensiva de bombardeamento aéreo sobre o Reich.</w:t>
      </w:r>
    </w:p>
  </w:footnote>
  <w:footnote w:id="178">
    <w:p w:rsidR="000C262C" w:rsidRPr="00492169"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492169">
        <w:rPr>
          <w:rFonts w:ascii="Arial Narrow" w:hAnsi="Arial Narrow"/>
          <w:lang w:val="en-US"/>
        </w:rPr>
        <w:t xml:space="preserve"> A. Calder (1991) 39.</w:t>
      </w:r>
    </w:p>
  </w:footnote>
  <w:footnote w:id="179">
    <w:p w:rsidR="000C262C" w:rsidRPr="00492169" w:rsidRDefault="000C262C">
      <w:pPr>
        <w:pStyle w:val="Textodenotaderodap"/>
        <w:rPr>
          <w:rFonts w:ascii="Arial Narrow" w:hAnsi="Arial Narrow"/>
          <w:lang w:val="en-US"/>
        </w:rPr>
      </w:pPr>
      <w:r w:rsidRPr="00B526ED">
        <w:rPr>
          <w:rStyle w:val="Refdenotaderodap"/>
          <w:rFonts w:ascii="Arial Narrow" w:hAnsi="Arial Narrow"/>
        </w:rPr>
        <w:footnoteRef/>
      </w:r>
      <w:r w:rsidRPr="00492169">
        <w:rPr>
          <w:rFonts w:ascii="Arial Narrow" w:hAnsi="Arial Narrow"/>
          <w:lang w:val="en-US"/>
        </w:rPr>
        <w:t xml:space="preserve"> J. M. Spaight (1944) 94.</w:t>
      </w:r>
    </w:p>
  </w:footnote>
  <w:footnote w:id="180">
    <w:p w:rsidR="000C262C" w:rsidRPr="003E305A" w:rsidRDefault="000C262C" w:rsidP="00A9409B">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rPr>
        <w:t xml:space="preserve"> General Alfredo Kindélan citado em P. Broué et al. </w:t>
      </w:r>
      <w:r w:rsidRPr="004B0F0B">
        <w:rPr>
          <w:rFonts w:ascii="Arial Narrow" w:hAnsi="Arial Narrow"/>
        </w:rPr>
        <w:t xml:space="preserve">(1961) 229. Maurice Bardèche, que assistira à guerra civil espanhola ao lado das tropas de Franco, deveria ter melhor memória quando escreveu que os ataques da aviação do Terceiro Reich a Coventry e Londres haviam sido os «primeiros bombardeamentos aéreos de populações civis». </w:t>
      </w:r>
      <w:r>
        <w:rPr>
          <w:rFonts w:ascii="Arial Narrow" w:hAnsi="Arial Narrow"/>
          <w:lang w:val="en-GB"/>
        </w:rPr>
        <w:t>Ver M. Bardèche (1948) 19.</w:t>
      </w:r>
    </w:p>
  </w:footnote>
  <w:footnote w:id="181">
    <w:p w:rsidR="000C262C" w:rsidRPr="005A3930"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5A3930">
        <w:rPr>
          <w:rFonts w:ascii="Arial Narrow" w:hAnsi="Arial Narrow"/>
          <w:lang w:val="en-US"/>
        </w:rPr>
        <w:t xml:space="preserve"> A. Calder (1991) 39.</w:t>
      </w:r>
    </w:p>
  </w:footnote>
  <w:footnote w:id="182">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N. Frankland, «Strategic Air Offensives, 1. Against </w:t>
      </w:r>
      <w:smartTag w:uri="urn:schemas-microsoft-com:office:smarttags" w:element="country-region">
        <w:smartTag w:uri="urn:schemas-microsoft-com:office:smarttags" w:element="place">
          <w:r w:rsidRPr="003E305A">
            <w:rPr>
              <w:rFonts w:ascii="Arial Narrow" w:hAnsi="Arial Narrow"/>
              <w:lang w:val="en-GB"/>
            </w:rPr>
            <w:t>Germany</w:t>
          </w:r>
        </w:smartTag>
      </w:smartTag>
      <w:r w:rsidRPr="003E305A">
        <w:rPr>
          <w:rFonts w:ascii="Arial Narrow" w:hAnsi="Arial Narrow"/>
          <w:lang w:val="en-GB"/>
        </w:rPr>
        <w:t xml:space="preserve">», em I. C. B. Dear et al. (orgs. 1995) 1071-1073; </w:t>
      </w:r>
      <w:r>
        <w:rPr>
          <w:rFonts w:ascii="Arial Narrow" w:hAnsi="Arial Narrow"/>
          <w:lang w:val="en-GB"/>
        </w:rPr>
        <w:t xml:space="preserve">M. Gilbert (2011 b) I 453; </w:t>
      </w:r>
      <w:r w:rsidRPr="003E305A">
        <w:rPr>
          <w:rFonts w:ascii="Arial Narrow" w:hAnsi="Arial Narrow"/>
          <w:lang w:val="en-GB"/>
        </w:rPr>
        <w:t>D. Richards, «Air Power», em I. C. B. Dear et al. (orgs. 1995) 19-20.</w:t>
      </w:r>
    </w:p>
  </w:footnote>
  <w:footnote w:id="183">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«Combined Bomber Offensive», em I. C. B. Dear et al. (orgs. 1995) 253.</w:t>
      </w:r>
    </w:p>
  </w:footnote>
  <w:footnote w:id="184">
    <w:p w:rsidR="000C262C" w:rsidRPr="00CD0609"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«Hamburg Air Offensive», em id., ibid., 523. </w:t>
      </w:r>
      <w:r w:rsidRPr="00EF7AD0">
        <w:rPr>
          <w:rFonts w:ascii="Arial Narrow" w:hAnsi="Arial Narrow"/>
        </w:rPr>
        <w:t>M.</w:t>
      </w:r>
      <w:r>
        <w:rPr>
          <w:rFonts w:ascii="Arial Narrow" w:hAnsi="Arial Narrow"/>
        </w:rPr>
        <w:t xml:space="preserve"> Gilbert (2011 b) </w:t>
      </w:r>
      <w:r w:rsidR="00CD2969">
        <w:rPr>
          <w:rFonts w:ascii="Arial Narrow" w:hAnsi="Arial Narrow"/>
        </w:rPr>
        <w:t xml:space="preserve">II 745 </w:t>
      </w:r>
      <w:r>
        <w:rPr>
          <w:rFonts w:ascii="Arial Narrow" w:hAnsi="Arial Narrow"/>
        </w:rPr>
        <w:t xml:space="preserve">mencionou quarenta e dois mil mortos e </w:t>
      </w:r>
      <w:r w:rsidR="00AC5467">
        <w:rPr>
          <w:rFonts w:ascii="Arial Narrow" w:hAnsi="Arial Narrow"/>
        </w:rPr>
        <w:t xml:space="preserve">(pág. 522) </w:t>
      </w:r>
      <w:r>
        <w:rPr>
          <w:rFonts w:ascii="Arial Narrow" w:hAnsi="Arial Narrow"/>
        </w:rPr>
        <w:t xml:space="preserve">mais de quarenta e dois mil, mas </w:t>
      </w:r>
      <w:r w:rsidR="00AC5467">
        <w:rPr>
          <w:rFonts w:ascii="Arial Narrow" w:hAnsi="Arial Narrow"/>
        </w:rPr>
        <w:t xml:space="preserve">também </w:t>
      </w:r>
      <w:r>
        <w:rPr>
          <w:rFonts w:ascii="Arial Narrow" w:hAnsi="Arial Narrow"/>
        </w:rPr>
        <w:t xml:space="preserve">referiu </w:t>
      </w:r>
      <w:r w:rsidR="00AC5467">
        <w:rPr>
          <w:rFonts w:ascii="Arial Narrow" w:hAnsi="Arial Narrow"/>
        </w:rPr>
        <w:t xml:space="preserve">(pág. 529) </w:t>
      </w:r>
      <w:r>
        <w:rPr>
          <w:rFonts w:ascii="Arial Narrow" w:hAnsi="Arial Narrow"/>
        </w:rPr>
        <w:t xml:space="preserve">quarenta e quatro mil mortos, enquanto </w:t>
      </w:r>
      <w:r w:rsidRPr="003E305A">
        <w:rPr>
          <w:rFonts w:ascii="Arial Narrow" w:hAnsi="Arial Narrow"/>
        </w:rPr>
        <w:t>A. Calder (1991) 40 consider</w:t>
      </w:r>
      <w:r>
        <w:rPr>
          <w:rFonts w:ascii="Arial Narrow" w:hAnsi="Arial Narrow"/>
        </w:rPr>
        <w:t>ou</w:t>
      </w:r>
      <w:r w:rsidRPr="003E305A">
        <w:rPr>
          <w:rFonts w:ascii="Arial Narrow" w:hAnsi="Arial Narrow"/>
        </w:rPr>
        <w:t xml:space="preserve"> que talvez tivesse havido cinquenta mil mortos e quarenta mil feridos.</w:t>
      </w:r>
      <w:r>
        <w:rPr>
          <w:rFonts w:ascii="Arial Narrow" w:hAnsi="Arial Narrow"/>
        </w:rPr>
        <w:t xml:space="preserve"> </w:t>
      </w:r>
      <w:r w:rsidR="00AA37C0">
        <w:rPr>
          <w:rFonts w:ascii="Arial Narrow" w:hAnsi="Arial Narrow"/>
        </w:rPr>
        <w:t xml:space="preserve">Cinquenta mil </w:t>
      </w:r>
      <w:r w:rsidR="00731F02">
        <w:rPr>
          <w:rFonts w:ascii="Arial Narrow" w:hAnsi="Arial Narrow"/>
        </w:rPr>
        <w:t xml:space="preserve">mortos </w:t>
      </w:r>
      <w:r w:rsidR="00AA37C0">
        <w:rPr>
          <w:rFonts w:ascii="Arial Narrow" w:hAnsi="Arial Narrow"/>
        </w:rPr>
        <w:t xml:space="preserve">foi também o número mencionado por </w:t>
      </w:r>
      <w:r w:rsidR="00AA37C0" w:rsidRPr="00AA37C0">
        <w:rPr>
          <w:rFonts w:ascii="Arial Narrow" w:hAnsi="Arial Narrow"/>
        </w:rPr>
        <w:t xml:space="preserve">G. MacDonogh (2009) </w:t>
      </w:r>
      <w:r w:rsidR="00AA37C0">
        <w:rPr>
          <w:rFonts w:ascii="Arial Narrow" w:hAnsi="Arial Narrow"/>
        </w:rPr>
        <w:t>46</w:t>
      </w:r>
      <w:r w:rsidR="00A33F36">
        <w:rPr>
          <w:rFonts w:ascii="Arial Narrow" w:hAnsi="Arial Narrow"/>
        </w:rPr>
        <w:t>, mas para apenas dois dias de bombardeamentos</w:t>
      </w:r>
      <w:r w:rsidR="00AA37C0">
        <w:rPr>
          <w:rFonts w:ascii="Arial Narrow" w:hAnsi="Arial Narrow"/>
        </w:rPr>
        <w:t xml:space="preserve">. </w:t>
      </w:r>
      <w:r w:rsidRPr="005F346E">
        <w:rPr>
          <w:rFonts w:ascii="Arial Narrow" w:hAnsi="Arial Narrow"/>
        </w:rPr>
        <w:t xml:space="preserve">Por seu lado, J. Noakes et al. (orgs. </w:t>
      </w:r>
      <w:r w:rsidRPr="00CD0609">
        <w:rPr>
          <w:rFonts w:ascii="Arial Narrow" w:hAnsi="Arial Narrow"/>
        </w:rPr>
        <w:t>2008-2010) IV 554 adianta</w:t>
      </w:r>
      <w:r>
        <w:rPr>
          <w:rFonts w:ascii="Arial Narrow" w:hAnsi="Arial Narrow"/>
        </w:rPr>
        <w:t>ra</w:t>
      </w:r>
      <w:r w:rsidRPr="00CD0609">
        <w:rPr>
          <w:rFonts w:ascii="Arial Narrow" w:hAnsi="Arial Narrow"/>
        </w:rPr>
        <w:t>m que pelo menos quarenta e dois mil civis foram mortos e mais de cem mil ficaram feridos.</w:t>
      </w:r>
      <w:r w:rsidR="00832F34">
        <w:rPr>
          <w:rFonts w:ascii="Arial Narrow" w:hAnsi="Arial Narrow"/>
        </w:rPr>
        <w:t xml:space="preserve"> </w:t>
      </w:r>
      <w:r w:rsidR="00832F34" w:rsidRPr="00387A7D">
        <w:rPr>
          <w:rFonts w:ascii="Arial Narrow" w:hAnsi="Arial Narrow"/>
        </w:rPr>
        <w:t>S. Friedländer (2008) 697 pretendeu que houve entre trinta e quarenta mil mortos, mas talvez estivesse a referir-se somente aos bombardeamentos de Julho.</w:t>
      </w:r>
      <w:r w:rsidR="009A7096">
        <w:rPr>
          <w:rFonts w:ascii="Arial Narrow" w:hAnsi="Arial Narrow"/>
        </w:rPr>
        <w:t xml:space="preserve"> No entanto, referindo-se </w:t>
      </w:r>
      <w:r w:rsidR="00C72755">
        <w:rPr>
          <w:rFonts w:ascii="Arial Narrow" w:hAnsi="Arial Narrow"/>
        </w:rPr>
        <w:t>apenas</w:t>
      </w:r>
      <w:r w:rsidR="009A7096">
        <w:rPr>
          <w:rFonts w:ascii="Arial Narrow" w:hAnsi="Arial Narrow"/>
        </w:rPr>
        <w:t xml:space="preserve"> aos bombardeamentos de Julho, </w:t>
      </w:r>
      <w:r w:rsidR="009A7096" w:rsidRPr="009A7096">
        <w:rPr>
          <w:rFonts w:ascii="Arial Narrow" w:hAnsi="Arial Narrow"/>
        </w:rPr>
        <w:t>B. L. Davis (2007)</w:t>
      </w:r>
      <w:r w:rsidR="009A7096">
        <w:rPr>
          <w:rFonts w:ascii="Arial Narrow" w:hAnsi="Arial Narrow"/>
        </w:rPr>
        <w:t xml:space="preserve"> 101 indicou «pelo menos» quarenta e dois mil mortos.</w:t>
      </w:r>
    </w:p>
  </w:footnote>
  <w:footnote w:id="185">
    <w:p w:rsidR="000C262C" w:rsidRPr="002425CB" w:rsidRDefault="000C262C">
      <w:pPr>
        <w:pStyle w:val="Textodenotaderodap"/>
        <w:rPr>
          <w:rFonts w:ascii="Arial Narrow" w:hAnsi="Arial Narrow"/>
          <w:lang w:val="en-US"/>
        </w:rPr>
      </w:pPr>
      <w:r w:rsidRPr="002425CB">
        <w:rPr>
          <w:rStyle w:val="Refdenotaderodap"/>
          <w:rFonts w:ascii="Arial Narrow" w:hAnsi="Arial Narrow"/>
        </w:rPr>
        <w:footnoteRef/>
      </w:r>
      <w:r w:rsidRPr="002425CB">
        <w:rPr>
          <w:rFonts w:ascii="Arial Narrow" w:hAnsi="Arial Narrow"/>
          <w:lang w:val="en-US"/>
        </w:rPr>
        <w:t xml:space="preserve"> </w:t>
      </w:r>
      <w:r>
        <w:rPr>
          <w:rFonts w:ascii="Arial Narrow" w:hAnsi="Arial Narrow"/>
          <w:lang w:val="en-US"/>
        </w:rPr>
        <w:t>M. Gilbert (2011 b) II 522.</w:t>
      </w:r>
    </w:p>
  </w:footnote>
  <w:footnote w:id="186">
    <w:p w:rsidR="000C262C" w:rsidRPr="008151B6" w:rsidRDefault="000C262C">
      <w:pPr>
        <w:pStyle w:val="Textodenotaderodap"/>
        <w:rPr>
          <w:rFonts w:ascii="Arial Narrow" w:hAnsi="Arial Narrow"/>
          <w:lang w:val="en-US"/>
        </w:rPr>
      </w:pPr>
      <w:r w:rsidRPr="008151B6">
        <w:rPr>
          <w:rStyle w:val="Refdenotaderodap"/>
          <w:rFonts w:ascii="Arial Narrow" w:hAnsi="Arial Narrow"/>
        </w:rPr>
        <w:footnoteRef/>
      </w:r>
      <w:r w:rsidRPr="008151B6">
        <w:rPr>
          <w:rFonts w:ascii="Arial Narrow" w:hAnsi="Arial Narrow"/>
          <w:lang w:val="en-US"/>
        </w:rPr>
        <w:t xml:space="preserve"> </w:t>
      </w:r>
      <w:r>
        <w:rPr>
          <w:rFonts w:ascii="Arial Narrow" w:hAnsi="Arial Narrow"/>
          <w:lang w:val="en-US"/>
        </w:rPr>
        <w:t>Id., ibid., II 577.</w:t>
      </w:r>
    </w:p>
  </w:footnote>
  <w:footnote w:id="187">
    <w:p w:rsidR="000C262C" w:rsidRPr="00C87000"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2425CB">
        <w:rPr>
          <w:rFonts w:ascii="Arial Narrow" w:hAnsi="Arial Narrow"/>
          <w:lang w:val="en-US"/>
        </w:rPr>
        <w:t xml:space="preserve"> A. N. Frankland, «Strategic Air Offensives, 1. </w:t>
      </w:r>
      <w:r w:rsidRPr="00C87000">
        <w:rPr>
          <w:rFonts w:ascii="Arial Narrow" w:hAnsi="Arial Narrow"/>
          <w:lang w:val="en-US"/>
        </w:rPr>
        <w:t>Against Germany», em I. C. B. Dear et al. (orgs. 1995) 1073.</w:t>
      </w:r>
    </w:p>
  </w:footnote>
  <w:footnote w:id="188">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C87000">
        <w:rPr>
          <w:rFonts w:ascii="Arial Narrow" w:hAnsi="Arial Narrow"/>
          <w:lang w:val="en-US"/>
        </w:rPr>
        <w:t xml:space="preserve"> «Portal, Mar</w:t>
      </w:r>
      <w:r w:rsidRPr="003E305A">
        <w:rPr>
          <w:rFonts w:ascii="Arial Narrow" w:hAnsi="Arial Narrow"/>
          <w:lang w:val="en-GB"/>
        </w:rPr>
        <w:t>shal of the Royal Air Force Sir Charles», em id., ibid., 910.</w:t>
      </w:r>
    </w:p>
  </w:footnote>
  <w:footnote w:id="189">
    <w:p w:rsidR="000C262C" w:rsidRPr="00222CE6" w:rsidRDefault="000C262C">
      <w:pPr>
        <w:pStyle w:val="Textodenotaderodap"/>
        <w:rPr>
          <w:rFonts w:ascii="Arial Narrow" w:hAnsi="Arial Narrow"/>
          <w:lang w:val="en-US"/>
        </w:rPr>
      </w:pPr>
      <w:r w:rsidRPr="00222CE6">
        <w:rPr>
          <w:rStyle w:val="Refdenotaderodap"/>
          <w:rFonts w:ascii="Arial Narrow" w:hAnsi="Arial Narrow"/>
        </w:rPr>
        <w:footnoteRef/>
      </w:r>
      <w:r w:rsidRPr="00222CE6">
        <w:rPr>
          <w:rFonts w:ascii="Arial Narrow" w:hAnsi="Arial Narrow"/>
          <w:lang w:val="en-US"/>
        </w:rPr>
        <w:t xml:space="preserve"> </w:t>
      </w:r>
      <w:r>
        <w:rPr>
          <w:rFonts w:ascii="Arial Narrow" w:hAnsi="Arial Narrow"/>
          <w:lang w:val="en-US"/>
        </w:rPr>
        <w:t>L. Rebatet (2007) 109.</w:t>
      </w:r>
    </w:p>
  </w:footnote>
  <w:footnote w:id="190">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Ch. Messenger, «</w:t>
      </w:r>
      <w:smartTag w:uri="urn:schemas-microsoft-com:office:smarttags" w:element="City">
        <w:smartTag w:uri="urn:schemas-microsoft-com:office:smarttags" w:element="place">
          <w:r w:rsidRPr="003E305A">
            <w:rPr>
              <w:rFonts w:ascii="Arial Narrow" w:hAnsi="Arial Narrow"/>
              <w:lang w:val="en-GB"/>
            </w:rPr>
            <w:t>Dresden</w:t>
          </w:r>
        </w:smartTag>
      </w:smartTag>
      <w:r w:rsidRPr="003E305A">
        <w:rPr>
          <w:rFonts w:ascii="Arial Narrow" w:hAnsi="Arial Narrow"/>
          <w:lang w:val="en-GB"/>
        </w:rPr>
        <w:t>, Raid on», em id., ibid., 311-312.</w:t>
      </w:r>
    </w:p>
  </w:footnote>
  <w:footnote w:id="191">
    <w:p w:rsidR="000C262C" w:rsidRPr="005F346E" w:rsidRDefault="000C262C">
      <w:pPr>
        <w:pStyle w:val="Textodenotaderodap"/>
        <w:rPr>
          <w:rFonts w:ascii="Arial Narrow" w:hAnsi="Arial Narrow"/>
        </w:rPr>
      </w:pPr>
      <w:r w:rsidRPr="00017F60">
        <w:rPr>
          <w:rStyle w:val="Refdenotaderodap"/>
          <w:rFonts w:ascii="Arial Narrow" w:hAnsi="Arial Narrow"/>
        </w:rPr>
        <w:footnoteRef/>
      </w:r>
      <w:r w:rsidRPr="00017F60">
        <w:rPr>
          <w:rFonts w:ascii="Arial Narrow" w:hAnsi="Arial Narrow"/>
        </w:rPr>
        <w:t xml:space="preserve"> Id., ibid., 311 </w:t>
      </w:r>
      <w:r>
        <w:rPr>
          <w:rFonts w:ascii="Arial Narrow" w:hAnsi="Arial Narrow"/>
        </w:rPr>
        <w:t>escreveu</w:t>
      </w:r>
      <w:r w:rsidRPr="00017F60">
        <w:rPr>
          <w:rFonts w:ascii="Arial Narrow" w:hAnsi="Arial Narrow"/>
        </w:rPr>
        <w:t xml:space="preserve"> que </w:t>
      </w:r>
      <w:r>
        <w:rPr>
          <w:rFonts w:ascii="Arial Narrow" w:hAnsi="Arial Narrow"/>
        </w:rPr>
        <w:t xml:space="preserve">houve </w:t>
      </w:r>
      <w:r w:rsidRPr="00017F60">
        <w:rPr>
          <w:rFonts w:ascii="Arial Narrow" w:hAnsi="Arial Narrow"/>
        </w:rPr>
        <w:t>cerca de 50.000</w:t>
      </w:r>
      <w:r>
        <w:rPr>
          <w:rFonts w:ascii="Arial Narrow" w:hAnsi="Arial Narrow"/>
        </w:rPr>
        <w:t xml:space="preserve"> mortos, mas M. Gilbert (2011 b) II 744 indicou que, além dos 39.773 mortos identificados oficialmente, houve pelo menos mais 20.000 vítimas. </w:t>
      </w:r>
      <w:r w:rsidRPr="005F346E">
        <w:rPr>
          <w:rFonts w:ascii="Arial Narrow" w:hAnsi="Arial Narrow"/>
        </w:rPr>
        <w:t>Mais modestamente, J. Noakes et al. (orgs. 2008-2010) IV 554 limitaram a entre 35.000 e 40.000 o número de civis mortos.</w:t>
      </w:r>
      <w:r>
        <w:rPr>
          <w:rFonts w:ascii="Arial Narrow" w:hAnsi="Arial Narrow"/>
        </w:rPr>
        <w:t xml:space="preserve"> Por seu lado, C. Coulson (2000) 26 escreveu que «as estimativas sobre o número de baixas em Dresden variam desde 35.000 até um máximo de cerca de 200.000».</w:t>
      </w:r>
    </w:p>
  </w:footnote>
  <w:footnote w:id="192">
    <w:p w:rsidR="000C262C" w:rsidRPr="00303204" w:rsidRDefault="000C262C">
      <w:pPr>
        <w:pStyle w:val="Textodenotaderodap"/>
        <w:rPr>
          <w:rFonts w:ascii="Arial Narrow" w:hAnsi="Arial Narrow"/>
        </w:rPr>
      </w:pPr>
      <w:r w:rsidRPr="00303204">
        <w:rPr>
          <w:rStyle w:val="Refdenotaderodap"/>
          <w:rFonts w:ascii="Arial Narrow" w:hAnsi="Arial Narrow"/>
        </w:rPr>
        <w:footnoteRef/>
      </w:r>
      <w:r w:rsidRPr="00090F63">
        <w:rPr>
          <w:rFonts w:ascii="Arial Narrow" w:hAnsi="Arial Narrow"/>
          <w:lang w:val="en-US"/>
        </w:rPr>
        <w:t xml:space="preserve"> </w:t>
      </w:r>
      <w:r w:rsidR="00253239" w:rsidRPr="003E305A">
        <w:rPr>
          <w:rFonts w:ascii="Arial Narrow" w:hAnsi="Arial Narrow"/>
          <w:lang w:val="en-GB"/>
        </w:rPr>
        <w:t xml:space="preserve">A. N. Frankland, «Strategic Air Offensives, 1. Against </w:t>
      </w:r>
      <w:smartTag w:uri="urn:schemas-microsoft-com:office:smarttags" w:element="country-region">
        <w:smartTag w:uri="urn:schemas-microsoft-com:office:smarttags" w:element="place">
          <w:r w:rsidR="00253239" w:rsidRPr="003E305A">
            <w:rPr>
              <w:rFonts w:ascii="Arial Narrow" w:hAnsi="Arial Narrow"/>
              <w:lang w:val="en-GB"/>
            </w:rPr>
            <w:t>Germany</w:t>
          </w:r>
        </w:smartTag>
      </w:smartTag>
      <w:r w:rsidR="00253239" w:rsidRPr="003E305A">
        <w:rPr>
          <w:rFonts w:ascii="Arial Narrow" w:hAnsi="Arial Narrow"/>
          <w:lang w:val="en-GB"/>
        </w:rPr>
        <w:t xml:space="preserve">», em </w:t>
      </w:r>
      <w:r w:rsidR="00253239" w:rsidRPr="00C87000">
        <w:rPr>
          <w:rFonts w:ascii="Arial Narrow" w:hAnsi="Arial Narrow"/>
          <w:lang w:val="en-US"/>
        </w:rPr>
        <w:t xml:space="preserve">I. C. B. Dear et al. </w:t>
      </w:r>
      <w:r w:rsidR="00253239" w:rsidRPr="008931E8">
        <w:rPr>
          <w:rFonts w:ascii="Arial Narrow" w:hAnsi="Arial Narrow"/>
        </w:rPr>
        <w:t xml:space="preserve">(orgs. 1995) 1073. </w:t>
      </w:r>
      <w:r w:rsidR="00253239">
        <w:rPr>
          <w:rFonts w:ascii="Arial Narrow" w:hAnsi="Arial Narrow"/>
        </w:rPr>
        <w:t xml:space="preserve">C. Coulson (2000) 2 e </w:t>
      </w:r>
      <w:r w:rsidR="00253239" w:rsidRPr="003E305A">
        <w:rPr>
          <w:rFonts w:ascii="Arial Narrow" w:hAnsi="Arial Narrow"/>
        </w:rPr>
        <w:t>G. Vassiltchikov (org. 1991) 71 mencion</w:t>
      </w:r>
      <w:r w:rsidR="00253239">
        <w:rPr>
          <w:rFonts w:ascii="Arial Narrow" w:hAnsi="Arial Narrow"/>
        </w:rPr>
        <w:t>aram</w:t>
      </w:r>
      <w:r w:rsidR="00253239" w:rsidRPr="003E305A">
        <w:rPr>
          <w:rFonts w:ascii="Arial Narrow" w:hAnsi="Arial Narrow"/>
        </w:rPr>
        <w:t xml:space="preserve"> cerca de seiscentas mil vítimas civis.</w:t>
      </w:r>
      <w:r w:rsidR="00253239">
        <w:rPr>
          <w:rFonts w:ascii="Arial Narrow" w:hAnsi="Arial Narrow"/>
        </w:rPr>
        <w:t xml:space="preserve"> J. Noakes et al. (orgs. 2008-2010) IV ix preveniram que «ainda não existe um estudo substancial dos efeitos dos ataques aéreos aliados sobre a população alemã e da reacção do regime», o que não os impediu de considerar (vol. IV, pág. 552) que os bombardeamentos aéreos teriam provocado, entre os civis, trezentos e cinco mil mortos e setecentos e oitenta mil feridos, números idênticos aos indicados em </w:t>
      </w:r>
      <w:r w:rsidR="00253239" w:rsidRPr="00701DC5">
        <w:rPr>
          <w:rFonts w:ascii="Arial Narrow" w:hAnsi="Arial Narrow"/>
        </w:rPr>
        <w:t>B. L. Davis (2007)</w:t>
      </w:r>
      <w:r w:rsidR="00253239">
        <w:rPr>
          <w:rFonts w:ascii="Arial Narrow" w:hAnsi="Arial Narrow"/>
        </w:rPr>
        <w:t xml:space="preserve"> 99. Por seu lado, </w:t>
      </w:r>
      <w:r w:rsidR="00253239" w:rsidRPr="00DF7738">
        <w:rPr>
          <w:rFonts w:ascii="Arial Narrow" w:hAnsi="Arial Narrow"/>
        </w:rPr>
        <w:t>R. Bessel (2010) 23 indicou cerca de meio milhão de alemães mortos pelos bombardeamentos aéreos.</w:t>
      </w:r>
      <w:r w:rsidR="00253239">
        <w:rPr>
          <w:rFonts w:ascii="Arial Narrow" w:hAnsi="Arial Narrow"/>
        </w:rPr>
        <w:t xml:space="preserve"> </w:t>
      </w:r>
      <w:r w:rsidRPr="00303204">
        <w:rPr>
          <w:rFonts w:ascii="Arial Narrow" w:hAnsi="Arial Narrow"/>
        </w:rPr>
        <w:t>Segundo M. Gilbert (2011 b) II 826</w:t>
      </w:r>
      <w:r>
        <w:rPr>
          <w:rFonts w:ascii="Arial Narrow" w:hAnsi="Arial Narrow"/>
        </w:rPr>
        <w:t>-827 e 863, logo em seguida ao lançamento da primeira bomba atómica morerram em Hiroshima oitenta mil pessoas, que duas semanas depois somavam mais de noventa e duas mil, subindo no final a quase cento e trinta e nove mil. A segunda bomba atómica, lançada sobre Nagasaki, provocou de imediato mais de quarenta mil mortos, que no final chegaram quase a quarenta e nove mil, de acordo com Martin Gilbert</w:t>
      </w:r>
      <w:r w:rsidR="00CE7413">
        <w:rPr>
          <w:rFonts w:ascii="Arial Narrow" w:hAnsi="Arial Narrow"/>
        </w:rPr>
        <w:t>,</w:t>
      </w:r>
      <w:r>
        <w:rPr>
          <w:rFonts w:ascii="Arial Narrow" w:hAnsi="Arial Narrow"/>
        </w:rPr>
        <w:t xml:space="preserve"> </w:t>
      </w:r>
      <w:r w:rsidRPr="00CE7413">
        <w:rPr>
          <w:rFonts w:ascii="Arial Narrow" w:hAnsi="Arial Narrow"/>
        </w:rPr>
        <w:t xml:space="preserve">op. cit., </w:t>
      </w:r>
      <w:r>
        <w:rPr>
          <w:rFonts w:ascii="Arial Narrow" w:hAnsi="Arial Narrow"/>
        </w:rPr>
        <w:t>II 828.</w:t>
      </w:r>
    </w:p>
  </w:footnote>
  <w:footnote w:id="193">
    <w:p w:rsidR="000C262C" w:rsidRPr="003E305A" w:rsidRDefault="000C262C" w:rsidP="00C96E84">
      <w:pPr>
        <w:pStyle w:val="Textodenotaderodap"/>
        <w:ind w:firstLine="708"/>
        <w:rPr>
          <w:rFonts w:ascii="Arial Narrow" w:hAnsi="Arial Narrow"/>
        </w:rPr>
      </w:pPr>
      <w:r w:rsidRPr="003E305A">
        <w:rPr>
          <w:rStyle w:val="Refdenotaderodap"/>
          <w:rFonts w:ascii="Arial Narrow" w:hAnsi="Arial Narrow"/>
        </w:rPr>
        <w:footnoteRef/>
      </w:r>
      <w:r w:rsidRPr="00B2463D">
        <w:rPr>
          <w:rFonts w:ascii="Arial Narrow" w:hAnsi="Arial Narrow"/>
          <w:lang w:val="en-GB"/>
        </w:rPr>
        <w:t xml:space="preserve"> R. Overy, «Strategic Air Offensives, 2. Against </w:t>
      </w:r>
      <w:smartTag w:uri="urn:schemas-microsoft-com:office:smarttags" w:element="place">
        <w:r w:rsidRPr="00B2463D">
          <w:rPr>
            <w:rFonts w:ascii="Arial Narrow" w:hAnsi="Arial Narrow"/>
            <w:lang w:val="en-GB"/>
          </w:rPr>
          <w:t>Europe</w:t>
        </w:r>
      </w:smartTag>
      <w:r w:rsidRPr="00B2463D">
        <w:rPr>
          <w:rFonts w:ascii="Arial Narrow" w:hAnsi="Arial Narrow"/>
          <w:lang w:val="en-GB"/>
        </w:rPr>
        <w:t xml:space="preserve"> outside </w:t>
      </w:r>
      <w:smartTag w:uri="urn:schemas-microsoft-com:office:smarttags" w:element="country-region">
        <w:smartTag w:uri="urn:schemas-microsoft-com:office:smarttags" w:element="place">
          <w:r w:rsidRPr="00B2463D">
            <w:rPr>
              <w:rFonts w:ascii="Arial Narrow" w:hAnsi="Arial Narrow"/>
              <w:lang w:val="en-GB"/>
            </w:rPr>
            <w:t>Germany</w:t>
          </w:r>
        </w:smartTag>
      </w:smartTag>
      <w:r w:rsidRPr="00B2463D">
        <w:rPr>
          <w:rFonts w:ascii="Arial Narrow" w:hAnsi="Arial Narrow"/>
          <w:lang w:val="en-GB"/>
        </w:rPr>
        <w:t xml:space="preserve">», em I. C. B. Dear et al. </w:t>
      </w:r>
      <w:r w:rsidRPr="003E305A">
        <w:rPr>
          <w:rFonts w:ascii="Arial Narrow" w:hAnsi="Arial Narrow"/>
        </w:rPr>
        <w:t>(orgs. 1995) 1073.</w:t>
      </w:r>
      <w:r>
        <w:rPr>
          <w:rFonts w:ascii="Arial Narrow" w:hAnsi="Arial Narrow"/>
        </w:rPr>
        <w:t xml:space="preserve"> Ver também M. Gilbert (2011 b) II 525 e 564.</w:t>
      </w:r>
    </w:p>
  </w:footnote>
  <w:footnote w:id="194">
    <w:p w:rsidR="000C262C" w:rsidRPr="00C96E84" w:rsidRDefault="000C262C">
      <w:pPr>
        <w:pStyle w:val="Textodenotaderodap"/>
        <w:rPr>
          <w:rFonts w:ascii="Arial Narrow" w:hAnsi="Arial Narrow"/>
        </w:rPr>
      </w:pPr>
      <w:r w:rsidRPr="00D2741C">
        <w:rPr>
          <w:rStyle w:val="Refdenotaderodap"/>
          <w:rFonts w:ascii="Arial Narrow" w:hAnsi="Arial Narrow"/>
        </w:rPr>
        <w:footnoteRef/>
      </w:r>
      <w:r w:rsidRPr="00C96E84">
        <w:rPr>
          <w:rFonts w:ascii="Arial Narrow" w:hAnsi="Arial Narrow"/>
        </w:rPr>
        <w:t xml:space="preserve"> J. M. Spaight (1944) 94.</w:t>
      </w:r>
    </w:p>
  </w:footnote>
  <w:footnote w:id="195">
    <w:p w:rsidR="000C262C" w:rsidRPr="005B1F63" w:rsidRDefault="000C262C" w:rsidP="00D2741C">
      <w:pPr>
        <w:pStyle w:val="Textodenotaderodap"/>
        <w:rPr>
          <w:rFonts w:ascii="Arial Narrow" w:hAnsi="Arial Narrow"/>
          <w:lang w:val="en-US"/>
        </w:rPr>
      </w:pPr>
      <w:r w:rsidRPr="005B1F63">
        <w:rPr>
          <w:rStyle w:val="Refdenotaderodap"/>
          <w:rFonts w:ascii="Arial Narrow" w:hAnsi="Arial Narrow"/>
        </w:rPr>
        <w:footnoteRef/>
      </w:r>
      <w:r w:rsidRPr="005B1F63">
        <w:rPr>
          <w:rFonts w:ascii="Arial Narrow" w:hAnsi="Arial Narrow"/>
          <w:lang w:val="en-US"/>
        </w:rPr>
        <w:t xml:space="preserve"> </w:t>
      </w:r>
      <w:r>
        <w:rPr>
          <w:rFonts w:ascii="Arial Narrow" w:hAnsi="Arial Narrow"/>
          <w:lang w:val="en-US"/>
        </w:rPr>
        <w:t>E. Gentile (2010) 252.</w:t>
      </w:r>
    </w:p>
  </w:footnote>
  <w:footnote w:id="196">
    <w:p w:rsidR="000C262C" w:rsidRPr="005A3930" w:rsidRDefault="000C262C" w:rsidP="00366DF3">
      <w:pPr>
        <w:pStyle w:val="Textodenotaderodap"/>
        <w:ind w:firstLine="708"/>
        <w:rPr>
          <w:rFonts w:ascii="Arial Narrow" w:hAnsi="Arial Narrow"/>
          <w:lang w:val="en-US"/>
        </w:rPr>
      </w:pPr>
      <w:r w:rsidRPr="003E305A">
        <w:rPr>
          <w:rStyle w:val="Refdenotaderodap"/>
          <w:rFonts w:ascii="Arial Narrow" w:hAnsi="Arial Narrow"/>
        </w:rPr>
        <w:footnoteRef/>
      </w:r>
      <w:r w:rsidRPr="003E305A">
        <w:rPr>
          <w:rFonts w:ascii="Arial Narrow" w:hAnsi="Arial Narrow"/>
          <w:lang w:val="en-GB"/>
        </w:rPr>
        <w:t xml:space="preserve"> R. Overy, «Strategic Air Offensives, 2. Against </w:t>
      </w:r>
      <w:smartTag w:uri="urn:schemas-microsoft-com:office:smarttags" w:element="place">
        <w:r w:rsidRPr="003E305A">
          <w:rPr>
            <w:rFonts w:ascii="Arial Narrow" w:hAnsi="Arial Narrow"/>
            <w:lang w:val="en-GB"/>
          </w:rPr>
          <w:t>Europe</w:t>
        </w:r>
      </w:smartTag>
      <w:r w:rsidRPr="003E305A">
        <w:rPr>
          <w:rFonts w:ascii="Arial Narrow" w:hAnsi="Arial Narrow"/>
          <w:lang w:val="en-GB"/>
        </w:rPr>
        <w:t xml:space="preserve"> outside </w:t>
      </w:r>
      <w:smartTag w:uri="urn:schemas-microsoft-com:office:smarttags" w:element="country-region">
        <w:smartTag w:uri="urn:schemas-microsoft-com:office:smarttags" w:element="place">
          <w:r w:rsidRPr="003E305A">
            <w:rPr>
              <w:rFonts w:ascii="Arial Narrow" w:hAnsi="Arial Narrow"/>
              <w:lang w:val="en-GB"/>
            </w:rPr>
            <w:t>Germany</w:t>
          </w:r>
        </w:smartTag>
      </w:smartTag>
      <w:r w:rsidRPr="003E305A">
        <w:rPr>
          <w:rFonts w:ascii="Arial Narrow" w:hAnsi="Arial Narrow"/>
          <w:lang w:val="en-GB"/>
        </w:rPr>
        <w:t xml:space="preserve">», em I. C. B. Dear et al. </w:t>
      </w:r>
      <w:r w:rsidRPr="005A3930">
        <w:rPr>
          <w:rFonts w:ascii="Arial Narrow" w:hAnsi="Arial Narrow"/>
          <w:lang w:val="en-US"/>
        </w:rPr>
        <w:t>(orgs. 1995) 1073-1074.</w:t>
      </w:r>
    </w:p>
  </w:footnote>
  <w:footnote w:id="19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J. Galtier-Boissière et al. </w:t>
      </w:r>
      <w:r w:rsidRPr="003E305A">
        <w:rPr>
          <w:rFonts w:ascii="Arial Narrow" w:hAnsi="Arial Narrow"/>
          <w:lang w:val="en-GB"/>
        </w:rPr>
        <w:t xml:space="preserve">(1949) V 374-375; R. Overy, «Strategic Air Offensives, 2. Against </w:t>
      </w:r>
      <w:smartTag w:uri="urn:schemas-microsoft-com:office:smarttags" w:element="place">
        <w:r w:rsidRPr="003E305A">
          <w:rPr>
            <w:rFonts w:ascii="Arial Narrow" w:hAnsi="Arial Narrow"/>
            <w:lang w:val="en-GB"/>
          </w:rPr>
          <w:t>Europe</w:t>
        </w:r>
      </w:smartTag>
      <w:r w:rsidRPr="003E305A">
        <w:rPr>
          <w:rFonts w:ascii="Arial Narrow" w:hAnsi="Arial Narrow"/>
          <w:lang w:val="en-GB"/>
        </w:rPr>
        <w:t xml:space="preserve"> outside </w:t>
      </w:r>
      <w:smartTag w:uri="urn:schemas-microsoft-com:office:smarttags" w:element="country-region">
        <w:smartTag w:uri="urn:schemas-microsoft-com:office:smarttags" w:element="place">
          <w:r w:rsidRPr="003E305A">
            <w:rPr>
              <w:rFonts w:ascii="Arial Narrow" w:hAnsi="Arial Narrow"/>
              <w:lang w:val="en-GB"/>
            </w:rPr>
            <w:t>Germany</w:t>
          </w:r>
        </w:smartTag>
      </w:smartTag>
      <w:r w:rsidRPr="003E305A">
        <w:rPr>
          <w:rFonts w:ascii="Arial Narrow" w:hAnsi="Arial Narrow"/>
          <w:lang w:val="en-GB"/>
        </w:rPr>
        <w:t xml:space="preserve">», em I. C. B. Dear et al. </w:t>
      </w:r>
      <w:r w:rsidRPr="003E305A">
        <w:rPr>
          <w:rFonts w:ascii="Arial Narrow" w:hAnsi="Arial Narrow"/>
        </w:rPr>
        <w:t xml:space="preserve">(orgs. 1995) 1076; R. O. Paxton (1973) 230, 289. </w:t>
      </w:r>
      <w:r>
        <w:rPr>
          <w:rFonts w:ascii="Arial Narrow" w:hAnsi="Arial Narrow"/>
        </w:rPr>
        <w:t xml:space="preserve">Segundo M. Gilbert (2011 b) II 864, as </w:t>
      </w:r>
      <w:r w:rsidRPr="003E305A">
        <w:rPr>
          <w:rFonts w:ascii="Arial Narrow" w:hAnsi="Arial Narrow"/>
        </w:rPr>
        <w:t>operações efectuadas pela aviação do Reich</w:t>
      </w:r>
      <w:r>
        <w:rPr>
          <w:rFonts w:ascii="Arial Narrow" w:hAnsi="Arial Narrow"/>
        </w:rPr>
        <w:t xml:space="preserve"> e pelas bombas voadoras provocaram na Grã-Bretanha um pouco mais de sessenta mil civis mortos. Ora, </w:t>
      </w:r>
      <w:r w:rsidRPr="003E305A">
        <w:rPr>
          <w:rFonts w:ascii="Arial Narrow" w:hAnsi="Arial Narrow"/>
        </w:rPr>
        <w:t>a crer em R. Belin (1978) 193, mais de setenta mil civis franceses foram mortos nos bombardeamentos aliados, mas um documento de origem norte-americana transcrito por Jean Galtier-Boissière et al.</w:t>
      </w:r>
      <w:r w:rsidR="00452E7F">
        <w:rPr>
          <w:rFonts w:ascii="Arial Narrow" w:hAnsi="Arial Narrow"/>
        </w:rPr>
        <w:t>,</w:t>
      </w:r>
      <w:r w:rsidRPr="003E305A">
        <w:rPr>
          <w:rFonts w:ascii="Arial Narrow" w:hAnsi="Arial Narrow"/>
        </w:rPr>
        <w:t xml:space="preserve"> </w:t>
      </w:r>
      <w:r w:rsidRPr="00452E7F">
        <w:rPr>
          <w:rFonts w:ascii="Arial Narrow" w:hAnsi="Arial Narrow"/>
        </w:rPr>
        <w:t>op. cit.,</w:t>
      </w:r>
      <w:r w:rsidRPr="003E305A">
        <w:rPr>
          <w:rFonts w:ascii="Arial Narrow" w:hAnsi="Arial Narrow"/>
        </w:rPr>
        <w:t xml:space="preserve"> V 391 contabiliz</w:t>
      </w:r>
      <w:r>
        <w:rPr>
          <w:rFonts w:ascii="Arial Narrow" w:hAnsi="Arial Narrow"/>
        </w:rPr>
        <w:t>ou</w:t>
      </w:r>
      <w:r w:rsidRPr="003E305A">
        <w:rPr>
          <w:rFonts w:ascii="Arial Narrow" w:hAnsi="Arial Narrow"/>
        </w:rPr>
        <w:t xml:space="preserve"> cinquenta e cinco mil vítimas mortais. Segundo D. Wolf (1969) 391 n. 1, que me parece melhor documentado, os ataques aéreos aliados teriam provocado na população civil francesa mais de sessenta e sete mil mortos</w:t>
      </w:r>
      <w:r w:rsidR="00452E7F">
        <w:rPr>
          <w:rFonts w:ascii="Arial Narrow" w:hAnsi="Arial Narrow"/>
        </w:rPr>
        <w:t>.</w:t>
      </w:r>
      <w:r>
        <w:rPr>
          <w:rFonts w:ascii="Arial Narrow" w:hAnsi="Arial Narrow"/>
        </w:rPr>
        <w:t xml:space="preserve"> </w:t>
      </w:r>
      <w:r w:rsidR="00452E7F">
        <w:rPr>
          <w:rFonts w:ascii="Arial Narrow" w:hAnsi="Arial Narrow"/>
        </w:rPr>
        <w:t xml:space="preserve">Sessenta </w:t>
      </w:r>
      <w:r>
        <w:rPr>
          <w:rFonts w:ascii="Arial Narrow" w:hAnsi="Arial Narrow"/>
        </w:rPr>
        <w:t>e oito mil escreveu L. Degrelle (2000) 183</w:t>
      </w:r>
      <w:r w:rsidRPr="003E305A">
        <w:rPr>
          <w:rFonts w:ascii="Arial Narrow" w:hAnsi="Arial Narrow"/>
        </w:rPr>
        <w:t xml:space="preserve">. Também </w:t>
      </w:r>
      <w:r w:rsidR="00452E7F" w:rsidRPr="00452E7F">
        <w:rPr>
          <w:rFonts w:ascii="Arial Narrow" w:hAnsi="Arial Narrow"/>
        </w:rPr>
        <w:t xml:space="preserve">I. C. B. </w:t>
      </w:r>
      <w:r w:rsidRPr="003E305A">
        <w:rPr>
          <w:rFonts w:ascii="Arial Narrow" w:hAnsi="Arial Narrow"/>
        </w:rPr>
        <w:t>Dear et al.</w:t>
      </w:r>
      <w:r w:rsidR="00452E7F">
        <w:rPr>
          <w:rFonts w:ascii="Arial Narrow" w:hAnsi="Arial Narrow"/>
        </w:rPr>
        <w:t>,</w:t>
      </w:r>
      <w:r w:rsidRPr="003E305A">
        <w:rPr>
          <w:rFonts w:ascii="Arial Narrow" w:hAnsi="Arial Narrow"/>
        </w:rPr>
        <w:t xml:space="preserve"> </w:t>
      </w:r>
      <w:r w:rsidRPr="00452E7F">
        <w:rPr>
          <w:rFonts w:ascii="Arial Narrow" w:hAnsi="Arial Narrow"/>
        </w:rPr>
        <w:t>op. cit.,</w:t>
      </w:r>
      <w:r w:rsidRPr="003E305A">
        <w:rPr>
          <w:rFonts w:ascii="Arial Narrow" w:hAnsi="Arial Narrow"/>
        </w:rPr>
        <w:t xml:space="preserve"> 1135 calcula</w:t>
      </w:r>
      <w:r>
        <w:rPr>
          <w:rFonts w:ascii="Arial Narrow" w:hAnsi="Arial Narrow"/>
        </w:rPr>
        <w:t>ra</w:t>
      </w:r>
      <w:r w:rsidRPr="003E305A">
        <w:rPr>
          <w:rFonts w:ascii="Arial Narrow" w:hAnsi="Arial Narrow"/>
        </w:rPr>
        <w:t xml:space="preserve">m em sessenta mil as vítimas mortais dos bombardeamentos aéreos germânicos sobre a </w:t>
      </w:r>
      <w:r>
        <w:rPr>
          <w:rFonts w:ascii="Arial Narrow" w:hAnsi="Arial Narrow"/>
        </w:rPr>
        <w:t xml:space="preserve">Grã-Bretanha </w:t>
      </w:r>
      <w:r w:rsidRPr="003E305A">
        <w:rPr>
          <w:rFonts w:ascii="Arial Narrow" w:hAnsi="Arial Narrow"/>
        </w:rPr>
        <w:t>e indica</w:t>
      </w:r>
      <w:r>
        <w:rPr>
          <w:rFonts w:ascii="Arial Narrow" w:hAnsi="Arial Narrow"/>
        </w:rPr>
        <w:t>ra</w:t>
      </w:r>
      <w:r w:rsidRPr="003E305A">
        <w:rPr>
          <w:rFonts w:ascii="Arial Narrow" w:hAnsi="Arial Narrow"/>
        </w:rPr>
        <w:t>m de forma vaga (pág. 393) que as vítimas francesas da aviação aliada somaram mais de sessenta mil.</w:t>
      </w:r>
    </w:p>
  </w:footnote>
  <w:footnote w:id="198">
    <w:p w:rsidR="000C262C" w:rsidRPr="0092522E" w:rsidRDefault="000C262C" w:rsidP="00366DF3">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240-241.</w:t>
      </w:r>
    </w:p>
  </w:footnote>
  <w:footnote w:id="199">
    <w:p w:rsidR="000C262C" w:rsidRPr="00DC23D4" w:rsidRDefault="000C262C" w:rsidP="005A3930">
      <w:pPr>
        <w:pStyle w:val="Textodenotaderodap"/>
        <w:rPr>
          <w:rFonts w:ascii="Arial Narrow" w:hAnsi="Arial Narrow"/>
          <w:lang w:val="en-GB"/>
        </w:rPr>
      </w:pPr>
      <w:r w:rsidRPr="00DC23D4">
        <w:rPr>
          <w:rStyle w:val="Refdenotaderodap"/>
          <w:rFonts w:ascii="Arial Narrow" w:hAnsi="Arial Narrow"/>
        </w:rPr>
        <w:footnoteRef/>
      </w:r>
      <w:r w:rsidRPr="00DC23D4">
        <w:rPr>
          <w:rFonts w:ascii="Arial Narrow" w:hAnsi="Arial Narrow"/>
          <w:lang w:val="en-GB"/>
        </w:rPr>
        <w:t xml:space="preserve"> M. R. D. Foot (2008)</w:t>
      </w:r>
      <w:r>
        <w:rPr>
          <w:rFonts w:ascii="Arial Narrow" w:hAnsi="Arial Narrow"/>
          <w:lang w:val="en-GB"/>
        </w:rPr>
        <w:t xml:space="preserve"> </w:t>
      </w:r>
      <w:r w:rsidRPr="00DC23D4">
        <w:rPr>
          <w:rFonts w:ascii="Arial Narrow" w:hAnsi="Arial Narrow"/>
          <w:lang w:val="en-GB"/>
        </w:rPr>
        <w:t>28.</w:t>
      </w:r>
    </w:p>
  </w:footnote>
  <w:footnote w:id="200">
    <w:p w:rsidR="000C262C" w:rsidRPr="005A3930" w:rsidRDefault="000C262C" w:rsidP="005A3930">
      <w:pPr>
        <w:pStyle w:val="Textodenotaderodap"/>
        <w:rPr>
          <w:rFonts w:ascii="Arial Narrow" w:hAnsi="Arial Narrow"/>
          <w:lang w:val="en-US"/>
        </w:rPr>
      </w:pPr>
      <w:r w:rsidRPr="00DC23D4">
        <w:rPr>
          <w:rStyle w:val="Refdenotaderodap"/>
          <w:rFonts w:ascii="Arial Narrow" w:hAnsi="Arial Narrow"/>
        </w:rPr>
        <w:footnoteRef/>
      </w:r>
      <w:r w:rsidRPr="005A3930">
        <w:rPr>
          <w:rFonts w:ascii="Arial Narrow" w:hAnsi="Arial Narrow"/>
          <w:lang w:val="en-US"/>
        </w:rPr>
        <w:t xml:space="preserve"> Id., ibid., 112.</w:t>
      </w:r>
    </w:p>
  </w:footnote>
  <w:footnote w:id="201">
    <w:p w:rsidR="000C262C" w:rsidRPr="005A3930" w:rsidRDefault="000C262C" w:rsidP="005A3930">
      <w:pPr>
        <w:pStyle w:val="Textodenotaderodap"/>
        <w:rPr>
          <w:rFonts w:ascii="Arial Narrow" w:hAnsi="Arial Narrow"/>
          <w:lang w:val="en-US"/>
        </w:rPr>
      </w:pPr>
      <w:r w:rsidRPr="00DC23D4">
        <w:rPr>
          <w:rStyle w:val="Refdenotaderodap"/>
          <w:rFonts w:ascii="Arial Narrow" w:hAnsi="Arial Narrow"/>
        </w:rPr>
        <w:footnoteRef/>
      </w:r>
      <w:r w:rsidRPr="005A3930">
        <w:rPr>
          <w:rFonts w:ascii="Arial Narrow" w:hAnsi="Arial Narrow"/>
          <w:lang w:val="en-US"/>
        </w:rPr>
        <w:t xml:space="preserve"> Id., ibid., 269.</w:t>
      </w:r>
    </w:p>
  </w:footnote>
  <w:footnote w:id="202">
    <w:p w:rsidR="000C262C" w:rsidRPr="005A3930" w:rsidRDefault="000C262C" w:rsidP="005A3930">
      <w:pPr>
        <w:pStyle w:val="Textodenotaderodap"/>
        <w:rPr>
          <w:rFonts w:ascii="Arial Narrow" w:hAnsi="Arial Narrow"/>
          <w:lang w:val="en-US"/>
        </w:rPr>
      </w:pPr>
      <w:r w:rsidRPr="00CF12A3">
        <w:rPr>
          <w:rStyle w:val="Refdenotaderodap"/>
          <w:rFonts w:ascii="Arial Narrow" w:hAnsi="Arial Narrow"/>
        </w:rPr>
        <w:footnoteRef/>
      </w:r>
      <w:r w:rsidRPr="005A3930">
        <w:rPr>
          <w:rFonts w:ascii="Arial Narrow" w:hAnsi="Arial Narrow"/>
          <w:lang w:val="en-US"/>
        </w:rPr>
        <w:t xml:space="preserve"> Id., ibid., 270.</w:t>
      </w:r>
    </w:p>
  </w:footnote>
  <w:footnote w:id="203">
    <w:p w:rsidR="000C262C" w:rsidRPr="005A3930" w:rsidRDefault="000C262C" w:rsidP="005A3930">
      <w:pPr>
        <w:pStyle w:val="Textodenotaderodap"/>
        <w:rPr>
          <w:rFonts w:ascii="Arial Narrow" w:hAnsi="Arial Narrow"/>
          <w:lang w:val="en-US"/>
        </w:rPr>
      </w:pPr>
      <w:r w:rsidRPr="00D7611E">
        <w:rPr>
          <w:rStyle w:val="Refdenotaderodap"/>
          <w:rFonts w:ascii="Arial Narrow" w:hAnsi="Arial Narrow"/>
        </w:rPr>
        <w:footnoteRef/>
      </w:r>
      <w:r w:rsidRPr="005A3930">
        <w:rPr>
          <w:rFonts w:ascii="Arial Narrow" w:hAnsi="Arial Narrow"/>
          <w:lang w:val="en-US"/>
        </w:rPr>
        <w:t xml:space="preserve"> Id., ibid., 245.</w:t>
      </w:r>
    </w:p>
  </w:footnote>
  <w:footnote w:id="204">
    <w:p w:rsidR="000C262C" w:rsidRPr="005A3930" w:rsidRDefault="000C262C" w:rsidP="005A3930">
      <w:pPr>
        <w:pStyle w:val="Textodenotaderodap"/>
        <w:rPr>
          <w:rFonts w:ascii="Arial Narrow" w:hAnsi="Arial Narrow"/>
          <w:lang w:val="en-US"/>
        </w:rPr>
      </w:pPr>
      <w:r w:rsidRPr="00D7611E">
        <w:rPr>
          <w:rStyle w:val="Refdenotaderodap"/>
          <w:rFonts w:ascii="Arial Narrow" w:hAnsi="Arial Narrow"/>
        </w:rPr>
        <w:footnoteRef/>
      </w:r>
      <w:r w:rsidRPr="005A3930">
        <w:rPr>
          <w:rFonts w:ascii="Arial Narrow" w:hAnsi="Arial Narrow"/>
          <w:lang w:val="en-US"/>
        </w:rPr>
        <w:t xml:space="preserve"> Id., ibid., 192.</w:t>
      </w:r>
    </w:p>
  </w:footnote>
  <w:footnote w:id="205">
    <w:p w:rsidR="000C262C" w:rsidRPr="00DC23D4" w:rsidRDefault="000C262C" w:rsidP="005A3930">
      <w:pPr>
        <w:pStyle w:val="Textodenotaderodap"/>
        <w:rPr>
          <w:rFonts w:ascii="Arial Narrow" w:hAnsi="Arial Narrow"/>
        </w:rPr>
      </w:pPr>
      <w:r w:rsidRPr="003E305A">
        <w:rPr>
          <w:rStyle w:val="Refdenotaderodap"/>
          <w:rFonts w:ascii="Arial Narrow" w:hAnsi="Arial Narrow"/>
        </w:rPr>
        <w:footnoteRef/>
      </w:r>
      <w:r w:rsidRPr="005A3930">
        <w:rPr>
          <w:rFonts w:ascii="Arial Narrow" w:hAnsi="Arial Narrow"/>
          <w:lang w:val="en-US"/>
        </w:rPr>
        <w:t xml:space="preserve"> A. Calder (1991) 40. </w:t>
      </w:r>
      <w:r>
        <w:rPr>
          <w:rFonts w:ascii="Arial Narrow" w:hAnsi="Arial Narrow"/>
        </w:rPr>
        <w:t>Segundo H. G. Dahms (1968) II 307, ao longo do primeiro semestre de 1944 a produção bélica do Reich aumentara 50% e este autor acrescentou (vol. II, pág. 351) que o fabrico de carros de combate nunca alcançara cifras tão elevadas como em Maio, Junho e Julho de 1944.</w:t>
      </w:r>
    </w:p>
  </w:footnote>
  <w:footnote w:id="206">
    <w:p w:rsidR="000C262C" w:rsidRPr="00C87000" w:rsidRDefault="000C262C">
      <w:pPr>
        <w:pStyle w:val="Textodenotaderodap"/>
        <w:rPr>
          <w:rFonts w:ascii="Arial Narrow" w:hAnsi="Arial Narrow"/>
          <w:lang w:val="en-US"/>
        </w:rPr>
      </w:pPr>
      <w:r w:rsidRPr="0008112D">
        <w:rPr>
          <w:rStyle w:val="Refdenotaderodap"/>
          <w:rFonts w:ascii="Arial Narrow" w:hAnsi="Arial Narrow"/>
        </w:rPr>
        <w:footnoteRef/>
      </w:r>
      <w:r w:rsidRPr="00C87000">
        <w:rPr>
          <w:rFonts w:ascii="Arial Narrow" w:hAnsi="Arial Narrow"/>
          <w:lang w:val="en-US"/>
        </w:rPr>
        <w:t xml:space="preserve"> M. Gilbert (2011 b) II 584.</w:t>
      </w:r>
    </w:p>
  </w:footnote>
  <w:footnote w:id="207">
    <w:p w:rsidR="000C262C" w:rsidRPr="00DC2388"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C87000">
        <w:rPr>
          <w:rFonts w:ascii="Arial Narrow" w:hAnsi="Arial Narrow"/>
          <w:lang w:val="en-US"/>
        </w:rPr>
        <w:t xml:space="preserve"> A. Speer (1979) 380-382. </w:t>
      </w:r>
      <w:r w:rsidRPr="003E305A">
        <w:rPr>
          <w:rFonts w:ascii="Arial Narrow" w:hAnsi="Arial Narrow"/>
        </w:rPr>
        <w:t>O trecho citado encontra-se na pág. 382.</w:t>
      </w:r>
      <w:r w:rsidR="00FF11C0">
        <w:rPr>
          <w:rFonts w:ascii="Arial Narrow" w:hAnsi="Arial Narrow"/>
        </w:rPr>
        <w:t xml:space="preserve"> É interessante saber que um relatório confidencial apresentado por Franz Neumann </w:t>
      </w:r>
      <w:r w:rsidR="00FF11C0" w:rsidRPr="00843A21">
        <w:rPr>
          <w:rFonts w:ascii="Arial Narrow" w:hAnsi="Arial Narrow"/>
        </w:rPr>
        <w:t>à Research and Analysis Branch do OSS</w:t>
      </w:r>
      <w:r w:rsidR="00FF11C0">
        <w:rPr>
          <w:rFonts w:ascii="Arial Narrow" w:hAnsi="Arial Narrow"/>
        </w:rPr>
        <w:t xml:space="preserve"> em 9 de Junho de 1944 indicou que </w:t>
      </w:r>
      <w:r w:rsidR="00DF33FA">
        <w:rPr>
          <w:rFonts w:ascii="Arial Narrow" w:hAnsi="Arial Narrow"/>
        </w:rPr>
        <w:t>em</w:t>
      </w:r>
      <w:r w:rsidR="00FF11C0">
        <w:rPr>
          <w:rFonts w:ascii="Arial Narrow" w:hAnsi="Arial Narrow"/>
        </w:rPr>
        <w:t xml:space="preserve"> Abril desse ano a produção </w:t>
      </w:r>
      <w:r w:rsidR="00DF33FA">
        <w:rPr>
          <w:rFonts w:ascii="Arial Narrow" w:hAnsi="Arial Narrow"/>
        </w:rPr>
        <w:t xml:space="preserve">mensal </w:t>
      </w:r>
      <w:r w:rsidR="00FF11C0">
        <w:rPr>
          <w:rFonts w:ascii="Arial Narrow" w:hAnsi="Arial Narrow"/>
        </w:rPr>
        <w:t xml:space="preserve">de rolamentos de esferas tinha caído </w:t>
      </w:r>
      <w:r w:rsidR="000D1599">
        <w:rPr>
          <w:rFonts w:ascii="Arial Narrow" w:hAnsi="Arial Narrow"/>
        </w:rPr>
        <w:t>para</w:t>
      </w:r>
      <w:r w:rsidR="00FF11C0">
        <w:rPr>
          <w:rFonts w:ascii="Arial Narrow" w:hAnsi="Arial Narrow"/>
        </w:rPr>
        <w:t xml:space="preserve"> metade. </w:t>
      </w:r>
      <w:r w:rsidR="00FF11C0" w:rsidRPr="00DC2388">
        <w:rPr>
          <w:rFonts w:ascii="Arial Narrow" w:hAnsi="Arial Narrow"/>
          <w:lang w:val="en-US"/>
        </w:rPr>
        <w:t>Ver R. Laudani (org. 2013) 217.</w:t>
      </w:r>
    </w:p>
  </w:footnote>
  <w:footnote w:id="208">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5A3930">
        <w:rPr>
          <w:rFonts w:ascii="Arial Narrow" w:hAnsi="Arial Narrow"/>
          <w:lang w:val="en-US"/>
        </w:rPr>
        <w:t xml:space="preserve"> </w:t>
      </w:r>
      <w:r w:rsidR="000633A7" w:rsidRPr="00C87000">
        <w:rPr>
          <w:rFonts w:ascii="Arial Narrow" w:hAnsi="Arial Narrow"/>
          <w:lang w:val="en-US"/>
        </w:rPr>
        <w:t xml:space="preserve">A. Speer (1979) </w:t>
      </w:r>
      <w:r w:rsidRPr="005A3930">
        <w:rPr>
          <w:rFonts w:ascii="Arial Narrow" w:hAnsi="Arial Narrow"/>
          <w:lang w:val="en-US"/>
        </w:rPr>
        <w:t>465-466, 468, 530-</w:t>
      </w:r>
      <w:r w:rsidRPr="003E305A">
        <w:rPr>
          <w:rFonts w:ascii="Arial Narrow" w:hAnsi="Arial Narrow"/>
          <w:lang w:val="en-GB"/>
        </w:rPr>
        <w:t>531, 548.</w:t>
      </w:r>
    </w:p>
  </w:footnote>
  <w:footnote w:id="209">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747 n. 5.</w:t>
      </w:r>
    </w:p>
  </w:footnote>
  <w:footnote w:id="210">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382-383, 721 n. 22.</w:t>
      </w:r>
    </w:p>
  </w:footnote>
  <w:footnote w:id="211">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719-720 nn. 17, 20.</w:t>
      </w:r>
    </w:p>
  </w:footnote>
  <w:footnote w:id="212">
    <w:p w:rsidR="000C262C" w:rsidRPr="00B2463D"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380, 383, 720 n. 17.</w:t>
      </w:r>
    </w:p>
  </w:footnote>
  <w:footnote w:id="213">
    <w:p w:rsidR="000C262C" w:rsidRPr="00492169" w:rsidRDefault="000C262C">
      <w:pPr>
        <w:pStyle w:val="Textodenotaderodap"/>
        <w:rPr>
          <w:rFonts w:ascii="Arial Narrow" w:hAnsi="Arial Narrow"/>
          <w:lang w:val="en-US"/>
        </w:rPr>
      </w:pPr>
      <w:r w:rsidRPr="00BF767F">
        <w:rPr>
          <w:rStyle w:val="Refdenotaderodap"/>
          <w:rFonts w:ascii="Arial Narrow" w:hAnsi="Arial Narrow"/>
        </w:rPr>
        <w:footnoteRef/>
      </w:r>
      <w:r w:rsidRPr="00492169">
        <w:rPr>
          <w:rFonts w:ascii="Arial Narrow" w:hAnsi="Arial Narrow"/>
          <w:lang w:val="en-US"/>
        </w:rPr>
        <w:t xml:space="preserve"> C. Coulson (2000) 26.</w:t>
      </w:r>
    </w:p>
  </w:footnote>
  <w:footnote w:id="214">
    <w:p w:rsidR="000C262C" w:rsidRPr="00053B99" w:rsidRDefault="000C262C">
      <w:pPr>
        <w:pStyle w:val="Textodenotaderodap"/>
        <w:rPr>
          <w:rFonts w:ascii="Arial Narrow" w:hAnsi="Arial Narrow"/>
          <w:lang w:val="en-US"/>
        </w:rPr>
      </w:pPr>
      <w:r w:rsidRPr="00CF3829">
        <w:rPr>
          <w:rStyle w:val="Refdenotaderodap"/>
          <w:rFonts w:ascii="Arial Narrow" w:hAnsi="Arial Narrow"/>
        </w:rPr>
        <w:footnoteRef/>
      </w:r>
      <w:r w:rsidRPr="00053B99">
        <w:rPr>
          <w:rFonts w:ascii="Arial Narrow" w:hAnsi="Arial Narrow"/>
          <w:lang w:val="en-US"/>
        </w:rPr>
        <w:t xml:space="preserve"> J. Bacque (1991) 193.</w:t>
      </w:r>
    </w:p>
  </w:footnote>
  <w:footnote w:id="215">
    <w:p w:rsidR="000C262C" w:rsidRPr="00DF7738" w:rsidRDefault="000C262C">
      <w:pPr>
        <w:pStyle w:val="Textodenotaderodap"/>
        <w:rPr>
          <w:rFonts w:ascii="Arial Narrow" w:hAnsi="Arial Narrow"/>
        </w:rPr>
      </w:pPr>
      <w:r w:rsidRPr="0056689E">
        <w:rPr>
          <w:rStyle w:val="Refdenotaderodap"/>
          <w:rFonts w:ascii="Arial Narrow" w:hAnsi="Arial Narrow"/>
        </w:rPr>
        <w:footnoteRef/>
      </w:r>
      <w:r w:rsidRPr="00053B99">
        <w:rPr>
          <w:rFonts w:ascii="Arial Narrow" w:hAnsi="Arial Narrow"/>
          <w:lang w:val="en-US"/>
        </w:rPr>
        <w:t xml:space="preserve"> Id., ibid., 63.</w:t>
      </w:r>
      <w:r w:rsidR="00E065C1">
        <w:rPr>
          <w:rFonts w:ascii="Arial Narrow" w:hAnsi="Arial Narrow"/>
          <w:lang w:val="en-US"/>
        </w:rPr>
        <w:t xml:space="preserve"> </w:t>
      </w:r>
      <w:r w:rsidR="00E065C1" w:rsidRPr="00DF7738">
        <w:rPr>
          <w:rFonts w:ascii="Arial Narrow" w:hAnsi="Arial Narrow"/>
        </w:rPr>
        <w:t xml:space="preserve">Ver também </w:t>
      </w:r>
      <w:r w:rsidR="00E065C1" w:rsidRPr="00E065C1">
        <w:rPr>
          <w:rFonts w:ascii="Arial Narrow" w:hAnsi="Arial Narrow"/>
        </w:rPr>
        <w:t>R. Bessel (2010)</w:t>
      </w:r>
      <w:r w:rsidR="00E065C1">
        <w:rPr>
          <w:rFonts w:ascii="Arial Narrow" w:hAnsi="Arial Narrow"/>
        </w:rPr>
        <w:t xml:space="preserve"> 496-497.</w:t>
      </w:r>
    </w:p>
  </w:footnote>
  <w:footnote w:id="216">
    <w:p w:rsidR="000C262C" w:rsidRPr="00DF7738" w:rsidRDefault="000C262C" w:rsidP="005A3930">
      <w:pPr>
        <w:pStyle w:val="Textodenotaderodap"/>
        <w:rPr>
          <w:rFonts w:ascii="Arial Narrow" w:hAnsi="Arial Narrow"/>
        </w:rPr>
      </w:pPr>
      <w:r w:rsidRPr="00783CBF">
        <w:rPr>
          <w:rStyle w:val="Refdenotaderodap"/>
          <w:rFonts w:ascii="Arial Narrow" w:hAnsi="Arial Narrow"/>
        </w:rPr>
        <w:footnoteRef/>
      </w:r>
      <w:r w:rsidRPr="00DF7738">
        <w:rPr>
          <w:rFonts w:ascii="Arial Narrow" w:hAnsi="Arial Narrow"/>
        </w:rPr>
        <w:t xml:space="preserve"> M. R. D. Foot (2008) 266.</w:t>
      </w:r>
    </w:p>
  </w:footnote>
  <w:footnote w:id="217">
    <w:p w:rsidR="008B4954" w:rsidRPr="00DF7738" w:rsidRDefault="008B4954">
      <w:pPr>
        <w:pStyle w:val="Textodenotaderodap"/>
        <w:rPr>
          <w:rFonts w:ascii="Arial Narrow" w:hAnsi="Arial Narrow"/>
        </w:rPr>
      </w:pPr>
      <w:r w:rsidRPr="008B4954">
        <w:rPr>
          <w:rStyle w:val="Refdenotaderodap"/>
          <w:rFonts w:ascii="Arial Narrow" w:hAnsi="Arial Narrow"/>
        </w:rPr>
        <w:footnoteRef/>
      </w:r>
      <w:r w:rsidRPr="00DF7738">
        <w:rPr>
          <w:rFonts w:ascii="Arial Narrow" w:hAnsi="Arial Narrow"/>
        </w:rPr>
        <w:t xml:space="preserve"> B. L. Davis (2007) 99.</w:t>
      </w:r>
      <w:r w:rsidR="00FD66B9" w:rsidRPr="00DF7738">
        <w:rPr>
          <w:rFonts w:ascii="Arial Narrow" w:hAnsi="Arial Narrow"/>
        </w:rPr>
        <w:t xml:space="preserve"> Segundo </w:t>
      </w:r>
      <w:r w:rsidR="00FD66B9" w:rsidRPr="00FD66B9">
        <w:rPr>
          <w:rFonts w:ascii="Arial Narrow" w:hAnsi="Arial Narrow"/>
        </w:rPr>
        <w:t>G. MacDonogh (2009)</w:t>
      </w:r>
      <w:r w:rsidR="00FD66B9">
        <w:rPr>
          <w:rFonts w:ascii="Arial Narrow" w:hAnsi="Arial Narrow"/>
        </w:rPr>
        <w:t xml:space="preserve"> 374, num grande número de casos as estações ferroviárias eram as únicas estruturas intactas nos centros urbanos.</w:t>
      </w:r>
    </w:p>
  </w:footnote>
  <w:footnote w:id="218">
    <w:p w:rsidR="000C262C" w:rsidRPr="00DC2388"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CD3285">
        <w:rPr>
          <w:rFonts w:ascii="Arial Narrow" w:hAnsi="Arial Narrow"/>
        </w:rPr>
        <w:t xml:space="preserve"> A. Piettre (1952) 65-67 (subs. orig.). </w:t>
      </w:r>
      <w:r w:rsidR="006C08D0" w:rsidRPr="00DF7738">
        <w:rPr>
          <w:rFonts w:ascii="Arial Narrow" w:hAnsi="Arial Narrow"/>
        </w:rPr>
        <w:t>R. Bessel (2010) 258</w:t>
      </w:r>
      <w:r w:rsidR="00E07289" w:rsidRPr="00DF7738">
        <w:rPr>
          <w:rFonts w:ascii="Arial Narrow" w:hAnsi="Arial Narrow"/>
        </w:rPr>
        <w:t xml:space="preserve"> e </w:t>
      </w:r>
      <w:r w:rsidR="008E02D5" w:rsidRPr="00DF7738">
        <w:rPr>
          <w:rFonts w:ascii="Arial Narrow" w:hAnsi="Arial Narrow"/>
        </w:rPr>
        <w:t>497-</w:t>
      </w:r>
      <w:r w:rsidR="00E07289" w:rsidRPr="00DF7738">
        <w:rPr>
          <w:rFonts w:ascii="Arial Narrow" w:hAnsi="Arial Narrow"/>
        </w:rPr>
        <w:t>498</w:t>
      </w:r>
      <w:r w:rsidR="006C08D0" w:rsidRPr="00DF7738">
        <w:rPr>
          <w:rFonts w:ascii="Arial Narrow" w:hAnsi="Arial Narrow"/>
        </w:rPr>
        <w:t xml:space="preserve"> </w:t>
      </w:r>
      <w:r w:rsidR="00686620" w:rsidRPr="00DF7738">
        <w:rPr>
          <w:rFonts w:ascii="Arial Narrow" w:hAnsi="Arial Narrow"/>
        </w:rPr>
        <w:t xml:space="preserve">confirmou </w:t>
      </w:r>
      <w:r w:rsidR="006C08D0" w:rsidRPr="00DF7738">
        <w:rPr>
          <w:rFonts w:ascii="Arial Narrow" w:hAnsi="Arial Narrow"/>
        </w:rPr>
        <w:t xml:space="preserve">que os bombardeamentos deixaram incólume </w:t>
      </w:r>
      <w:r w:rsidR="00E07289" w:rsidRPr="00DF7738">
        <w:rPr>
          <w:rFonts w:ascii="Arial Narrow" w:hAnsi="Arial Narrow"/>
        </w:rPr>
        <w:t xml:space="preserve">a sede </w:t>
      </w:r>
      <w:r w:rsidR="006C08D0" w:rsidRPr="00DF7738">
        <w:rPr>
          <w:rFonts w:ascii="Arial Narrow" w:hAnsi="Arial Narrow"/>
        </w:rPr>
        <w:t>da IG Farben</w:t>
      </w:r>
      <w:r w:rsidR="00E07289" w:rsidRPr="00DF7738">
        <w:rPr>
          <w:rFonts w:ascii="Arial Narrow" w:hAnsi="Arial Narrow"/>
        </w:rPr>
        <w:t xml:space="preserve"> e que a capacidade de produção das fábricas da Krupp </w:t>
      </w:r>
      <w:r w:rsidR="00036FD7" w:rsidRPr="00DF7738">
        <w:rPr>
          <w:rFonts w:ascii="Arial Narrow" w:hAnsi="Arial Narrow"/>
        </w:rPr>
        <w:t>ficou</w:t>
      </w:r>
      <w:r w:rsidR="00E07289" w:rsidRPr="00DF7738">
        <w:rPr>
          <w:rFonts w:ascii="Arial Narrow" w:hAnsi="Arial Narrow"/>
        </w:rPr>
        <w:t xml:space="preserve"> em grande medida intacta</w:t>
      </w:r>
      <w:r w:rsidR="006C08D0" w:rsidRPr="00DF7738">
        <w:rPr>
          <w:rFonts w:ascii="Arial Narrow" w:hAnsi="Arial Narrow"/>
        </w:rPr>
        <w:t xml:space="preserve">. </w:t>
      </w:r>
      <w:r w:rsidR="0057357C" w:rsidRPr="00DF7738">
        <w:rPr>
          <w:rFonts w:ascii="Arial Narrow" w:hAnsi="Arial Narrow"/>
        </w:rPr>
        <w:t xml:space="preserve">Ver também </w:t>
      </w:r>
      <w:r w:rsidR="0057357C" w:rsidRPr="0057357C">
        <w:rPr>
          <w:rFonts w:ascii="Arial Narrow" w:hAnsi="Arial Narrow"/>
        </w:rPr>
        <w:t xml:space="preserve">G. MacDonogh (2009) </w:t>
      </w:r>
      <w:r w:rsidR="0057357C">
        <w:rPr>
          <w:rFonts w:ascii="Arial Narrow" w:hAnsi="Arial Narrow"/>
        </w:rPr>
        <w:t xml:space="preserve">474-475. </w:t>
      </w:r>
      <w:r w:rsidRPr="00A244F9">
        <w:rPr>
          <w:rFonts w:ascii="Arial Narrow" w:hAnsi="Arial Narrow"/>
        </w:rPr>
        <w:t xml:space="preserve">Segundo </w:t>
      </w:r>
      <w:r w:rsidRPr="003E305A">
        <w:rPr>
          <w:rFonts w:ascii="Arial Narrow" w:hAnsi="Arial Narrow"/>
        </w:rPr>
        <w:t xml:space="preserve">H. Langbein (1981) 75, apesar das mensagens enviadas pelos organismos de resistência dos prisioneiros de Auschwitz reclamando bombardeamentos aéreos que destruíssem, além das câmaras de gás e dos </w:t>
      </w:r>
      <w:r>
        <w:rPr>
          <w:rFonts w:ascii="Arial Narrow" w:hAnsi="Arial Narrow"/>
        </w:rPr>
        <w:t xml:space="preserve">fornos </w:t>
      </w:r>
      <w:r w:rsidRPr="003E305A">
        <w:rPr>
          <w:rFonts w:ascii="Arial Narrow" w:hAnsi="Arial Narrow"/>
        </w:rPr>
        <w:t>crematórios, as fábricas que a Krupp instalara ao lado do campo de concentração, tanto aquelas instalações do genocício como as da indústria de guerra foram poupadas pela aviação aliada.</w:t>
      </w:r>
      <w:r w:rsidR="00BB6CE5">
        <w:rPr>
          <w:rFonts w:ascii="Arial Narrow" w:hAnsi="Arial Narrow"/>
        </w:rPr>
        <w:t xml:space="preserve"> Esta estratégia reproduziu-se depois da guerra no </w:t>
      </w:r>
      <w:r w:rsidR="00BB6CE5" w:rsidRPr="00BB6CE5">
        <w:rPr>
          <w:rFonts w:ascii="Arial Narrow" w:hAnsi="Arial Narrow"/>
        </w:rPr>
        <w:t>Tribunal Militar Internacional de Nuremberga</w:t>
      </w:r>
      <w:r w:rsidR="00BB6CE5">
        <w:rPr>
          <w:rFonts w:ascii="Arial Narrow" w:hAnsi="Arial Narrow"/>
        </w:rPr>
        <w:t xml:space="preserve">, onde </w:t>
      </w:r>
      <w:r w:rsidR="00BB6CE5" w:rsidRPr="00BB6CE5">
        <w:rPr>
          <w:rFonts w:ascii="Arial Narrow" w:hAnsi="Arial Narrow"/>
        </w:rPr>
        <w:t xml:space="preserve">o juiz Robert H. Jackson, encarregado da acusação, </w:t>
      </w:r>
      <w:r w:rsidR="00BB6CE5">
        <w:rPr>
          <w:rFonts w:ascii="Arial Narrow" w:hAnsi="Arial Narrow"/>
        </w:rPr>
        <w:t xml:space="preserve">embora </w:t>
      </w:r>
      <w:r w:rsidR="00BB6CE5" w:rsidRPr="00BB6CE5">
        <w:rPr>
          <w:rFonts w:ascii="Arial Narrow" w:hAnsi="Arial Narrow"/>
        </w:rPr>
        <w:t>dispusesse de estudos mostra</w:t>
      </w:r>
      <w:r w:rsidR="00BB6CE5">
        <w:rPr>
          <w:rFonts w:ascii="Arial Narrow" w:hAnsi="Arial Narrow"/>
        </w:rPr>
        <w:t>ndo</w:t>
      </w:r>
      <w:r w:rsidR="00BB6CE5" w:rsidRPr="00BB6CE5">
        <w:rPr>
          <w:rFonts w:ascii="Arial Narrow" w:hAnsi="Arial Narrow"/>
        </w:rPr>
        <w:t xml:space="preserve"> a conivência dos grandes industriais germânicos nos crimes de guerra cometidos pelo Terceiro Reich e lhe tivesse sido fornecida uma lista de sessenta e cinco grandes empresários que eram os principais implicados, </w:t>
      </w:r>
      <w:r w:rsidR="00BB6CE5">
        <w:rPr>
          <w:rFonts w:ascii="Arial Narrow" w:hAnsi="Arial Narrow"/>
        </w:rPr>
        <w:t xml:space="preserve">optou por não usar </w:t>
      </w:r>
      <w:r w:rsidR="00BB6CE5" w:rsidRPr="00BB6CE5">
        <w:rPr>
          <w:rFonts w:ascii="Arial Narrow" w:hAnsi="Arial Narrow"/>
        </w:rPr>
        <w:t>estes elementos de prova.</w:t>
      </w:r>
      <w:r w:rsidR="00BB6CE5">
        <w:rPr>
          <w:rFonts w:ascii="Arial Narrow" w:hAnsi="Arial Narrow"/>
        </w:rPr>
        <w:t xml:space="preserve"> </w:t>
      </w:r>
      <w:r w:rsidR="00BB6CE5" w:rsidRPr="00DC2388">
        <w:rPr>
          <w:rFonts w:ascii="Arial Narrow" w:hAnsi="Arial Narrow"/>
          <w:lang w:val="en-US"/>
        </w:rPr>
        <w:t>Ver R. Laudani (org. 2013) 71.</w:t>
      </w:r>
    </w:p>
  </w:footnote>
  <w:footnote w:id="219">
    <w:p w:rsidR="000C262C" w:rsidRPr="00BF1BB0" w:rsidRDefault="000C262C">
      <w:pPr>
        <w:pStyle w:val="Textodenotaderodap"/>
        <w:rPr>
          <w:rFonts w:ascii="Arial Narrow" w:hAnsi="Arial Narrow"/>
          <w:lang w:val="en-US"/>
        </w:rPr>
      </w:pPr>
      <w:r w:rsidRPr="00BF1BB0">
        <w:rPr>
          <w:rStyle w:val="Refdenotaderodap"/>
          <w:rFonts w:ascii="Arial Narrow" w:hAnsi="Arial Narrow"/>
        </w:rPr>
        <w:footnoteRef/>
      </w:r>
      <w:r w:rsidRPr="00BF1BB0">
        <w:rPr>
          <w:rFonts w:ascii="Arial Narrow" w:hAnsi="Arial Narrow"/>
          <w:lang w:val="en-US"/>
        </w:rPr>
        <w:t xml:space="preserve"> </w:t>
      </w:r>
      <w:r w:rsidRPr="00492169">
        <w:rPr>
          <w:rFonts w:ascii="Arial Narrow" w:hAnsi="Arial Narrow"/>
          <w:lang w:val="en-US"/>
        </w:rPr>
        <w:t>J. M. Spaight (1944) 112, 115.</w:t>
      </w:r>
    </w:p>
  </w:footnote>
  <w:footnote w:id="22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M. Fritz, «Economic Warfare», em I. C. B. Dear et al. </w:t>
      </w:r>
      <w:r w:rsidRPr="00B2463D">
        <w:rPr>
          <w:rFonts w:ascii="Arial Narrow" w:hAnsi="Arial Narrow"/>
        </w:rPr>
        <w:t xml:space="preserve">(orgs. </w:t>
      </w:r>
      <w:r w:rsidRPr="003E305A">
        <w:rPr>
          <w:rFonts w:ascii="Arial Narrow" w:hAnsi="Arial Narrow"/>
        </w:rPr>
        <w:t>1995) 320.</w:t>
      </w:r>
    </w:p>
  </w:footnote>
  <w:footnote w:id="221">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 R. Greenough (1982) 81-82.</w:t>
      </w:r>
    </w:p>
  </w:footnote>
  <w:footnote w:id="222">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E305A">
        <w:rPr>
          <w:rFonts w:ascii="Arial Narrow" w:hAnsi="Arial Narrow"/>
          <w:i/>
        </w:rPr>
        <w:t>Encyclopædia Britannica</w:t>
      </w:r>
      <w:r w:rsidRPr="003E305A">
        <w:rPr>
          <w:rFonts w:ascii="Arial Narrow" w:hAnsi="Arial Narrow"/>
        </w:rPr>
        <w:t xml:space="preserve"> (ed. de 1971), vol. 4, pág. 442A.</w:t>
      </w:r>
    </w:p>
  </w:footnote>
  <w:footnote w:id="223">
    <w:p w:rsidR="000C262C" w:rsidRPr="003E305A" w:rsidRDefault="000C262C" w:rsidP="005A3930">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rPr>
        <w:t xml:space="preserve"> Acerca da fome de Bengala consultei P. R. Greenough (1982) </w:t>
      </w:r>
      <w:r w:rsidRPr="003E305A">
        <w:rPr>
          <w:rFonts w:ascii="Arial Narrow" w:hAnsi="Arial Narrow"/>
          <w:i/>
        </w:rPr>
        <w:t>passim</w:t>
      </w:r>
      <w:r w:rsidRPr="003E305A">
        <w:rPr>
          <w:rFonts w:ascii="Arial Narrow" w:hAnsi="Arial Narrow"/>
        </w:rPr>
        <w:t xml:space="preserve">. Para uma apreciação resumida ver J. Brown, «India», em I. C. B. Dear et al. </w:t>
      </w:r>
      <w:r w:rsidRPr="003E305A">
        <w:rPr>
          <w:rFonts w:ascii="Arial Narrow" w:hAnsi="Arial Narrow"/>
          <w:lang w:val="en-GB"/>
        </w:rPr>
        <w:t>(orgs. 1995) 557-558.</w:t>
      </w:r>
    </w:p>
  </w:footnote>
  <w:footnote w:id="224">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Keay (2003) II 576.</w:t>
      </w:r>
    </w:p>
  </w:footnote>
  <w:footnote w:id="225">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P. R. Greenough (1982) 127-129.</w:t>
      </w:r>
    </w:p>
  </w:footnote>
  <w:footnote w:id="226">
    <w:p w:rsidR="000C262C" w:rsidRPr="003E305A" w:rsidRDefault="000C262C" w:rsidP="005A3930">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103.</w:t>
      </w:r>
    </w:p>
  </w:footnote>
  <w:footnote w:id="22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J. Brown, «</w:t>
      </w:r>
      <w:smartTag w:uri="urn:schemas-microsoft-com:office:smarttags" w:element="country-region">
        <w:smartTag w:uri="urn:schemas-microsoft-com:office:smarttags" w:element="place">
          <w:r w:rsidRPr="003E305A">
            <w:rPr>
              <w:rFonts w:ascii="Arial Narrow" w:hAnsi="Arial Narrow"/>
              <w:lang w:val="en-GB"/>
            </w:rPr>
            <w:t>India</w:t>
          </w:r>
        </w:smartTag>
      </w:smartTag>
      <w:r w:rsidRPr="003E305A">
        <w:rPr>
          <w:rFonts w:ascii="Arial Narrow" w:hAnsi="Arial Narrow"/>
          <w:lang w:val="en-GB"/>
        </w:rPr>
        <w:t xml:space="preserve">», em I. C. B. Dear et al. </w:t>
      </w:r>
      <w:r w:rsidRPr="003E305A">
        <w:rPr>
          <w:rFonts w:ascii="Arial Narrow" w:hAnsi="Arial Narrow"/>
        </w:rPr>
        <w:t>(orgs. 1995) 558. Com grande candura, P. R. Greenough (1982) 261 escreve</w:t>
      </w:r>
      <w:r>
        <w:rPr>
          <w:rFonts w:ascii="Arial Narrow" w:hAnsi="Arial Narrow"/>
        </w:rPr>
        <w:t>u</w:t>
      </w:r>
      <w:r w:rsidRPr="003E305A">
        <w:rPr>
          <w:rFonts w:ascii="Arial Narrow" w:hAnsi="Arial Narrow"/>
        </w:rPr>
        <w:t xml:space="preserve">: «Não é [...] plausível sustentar que as actividades militares precipitaram directamente a fome. Bengala nunca foi invadida e não houve </w:t>
      </w:r>
      <w:r w:rsidR="00D95736">
        <w:rPr>
          <w:rFonts w:ascii="Arial Narrow" w:hAnsi="Arial Narrow"/>
        </w:rPr>
        <w:t>nenhum</w:t>
      </w:r>
      <w:r w:rsidRPr="003E305A">
        <w:rPr>
          <w:rFonts w:ascii="Arial Narrow" w:hAnsi="Arial Narrow"/>
        </w:rPr>
        <w:t xml:space="preserve"> inimigo a condenar à fome as cidades [...] E as autoridades militares aliadas em Bengala não precipitaram a fome através de </w:t>
      </w:r>
      <w:r w:rsidR="00D95736">
        <w:rPr>
          <w:rFonts w:ascii="Arial Narrow" w:hAnsi="Arial Narrow"/>
        </w:rPr>
        <w:t>nenhumas</w:t>
      </w:r>
      <w:r w:rsidRPr="003E305A">
        <w:rPr>
          <w:rFonts w:ascii="Arial Narrow" w:hAnsi="Arial Narrow"/>
        </w:rPr>
        <w:t xml:space="preserve"> pilhagens das áreas rurais nem de requisições de arroz [...]». Mas os problemas</w:t>
      </w:r>
      <w:r w:rsidR="00D95736">
        <w:rPr>
          <w:rFonts w:ascii="Arial Narrow" w:hAnsi="Arial Narrow"/>
        </w:rPr>
        <w:t xml:space="preserve"> </w:t>
      </w:r>
      <w:r w:rsidRPr="003E305A">
        <w:rPr>
          <w:rFonts w:ascii="Arial Narrow" w:hAnsi="Arial Narrow"/>
        </w:rPr>
        <w:t>foram outros, e de nada vale enunciar o que os Aliados não fizeram</w:t>
      </w:r>
      <w:r>
        <w:rPr>
          <w:rFonts w:ascii="Arial Narrow" w:hAnsi="Arial Narrow"/>
        </w:rPr>
        <w:t>,</w:t>
      </w:r>
      <w:r w:rsidRPr="003E305A">
        <w:rPr>
          <w:rFonts w:ascii="Arial Narrow" w:hAnsi="Arial Narrow"/>
        </w:rPr>
        <w:t xml:space="preserve"> </w:t>
      </w:r>
      <w:r>
        <w:rPr>
          <w:rFonts w:ascii="Arial Narrow" w:hAnsi="Arial Narrow"/>
        </w:rPr>
        <w:t>esquecendo o que se abstiveram de fazer</w:t>
      </w:r>
      <w:r w:rsidRPr="003E305A">
        <w:rPr>
          <w:rFonts w:ascii="Arial Narrow" w:hAnsi="Arial Narrow"/>
        </w:rPr>
        <w:t>.</w:t>
      </w:r>
    </w:p>
  </w:footnote>
  <w:footnote w:id="228">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 R. Greenough (1982) viii calcul</w:t>
      </w:r>
      <w:r>
        <w:rPr>
          <w:rFonts w:ascii="Arial Narrow" w:hAnsi="Arial Narrow"/>
        </w:rPr>
        <w:t>ou</w:t>
      </w:r>
      <w:r w:rsidRPr="003E305A">
        <w:rPr>
          <w:rFonts w:ascii="Arial Narrow" w:hAnsi="Arial Narrow"/>
        </w:rPr>
        <w:t xml:space="preserve"> em três milhões e meio as vítimas mortais da fome, mas especific</w:t>
      </w:r>
      <w:r>
        <w:rPr>
          <w:rFonts w:ascii="Arial Narrow" w:hAnsi="Arial Narrow"/>
        </w:rPr>
        <w:t>ou</w:t>
      </w:r>
      <w:r w:rsidRPr="003E305A">
        <w:rPr>
          <w:rFonts w:ascii="Arial Narrow" w:hAnsi="Arial Narrow"/>
        </w:rPr>
        <w:t xml:space="preserve"> </w:t>
      </w:r>
      <w:r w:rsidR="00634DD5">
        <w:rPr>
          <w:rFonts w:ascii="Arial Narrow" w:hAnsi="Arial Narrow"/>
        </w:rPr>
        <w:t>(</w:t>
      </w:r>
      <w:r w:rsidR="00634DD5" w:rsidRPr="003E305A">
        <w:rPr>
          <w:rFonts w:ascii="Arial Narrow" w:hAnsi="Arial Narrow"/>
        </w:rPr>
        <w:t>pág. 237</w:t>
      </w:r>
      <w:r w:rsidR="00634DD5">
        <w:rPr>
          <w:rFonts w:ascii="Arial Narrow" w:hAnsi="Arial Narrow"/>
        </w:rPr>
        <w:t xml:space="preserve">) </w:t>
      </w:r>
      <w:r w:rsidRPr="003E305A">
        <w:rPr>
          <w:rFonts w:ascii="Arial Narrow" w:hAnsi="Arial Narrow"/>
        </w:rPr>
        <w:t>que o número provável se situou entre 3,5 milhões e 3,8 milhões no período de 1943 a 1946 e que na segunda metade de 1943 teria ocorrido pelo menos um milhão de mortes. Paul Greenough apresent</w:t>
      </w:r>
      <w:r>
        <w:rPr>
          <w:rFonts w:ascii="Arial Narrow" w:hAnsi="Arial Narrow"/>
        </w:rPr>
        <w:t>ou</w:t>
      </w:r>
      <w:r w:rsidRPr="003E305A">
        <w:rPr>
          <w:rFonts w:ascii="Arial Narrow" w:hAnsi="Arial Narrow"/>
        </w:rPr>
        <w:t xml:space="preserve"> de maneira minuciosa estas estimativas nas págs. 299 e segs. Por seu lado, J. Brown, «India», em I. C. B. Dear et al. (orgs. 1995) 558 consider</w:t>
      </w:r>
      <w:r>
        <w:rPr>
          <w:rFonts w:ascii="Arial Narrow" w:hAnsi="Arial Narrow"/>
        </w:rPr>
        <w:t>ou</w:t>
      </w:r>
      <w:r w:rsidRPr="003E305A">
        <w:rPr>
          <w:rFonts w:ascii="Arial Narrow" w:hAnsi="Arial Narrow"/>
        </w:rPr>
        <w:t xml:space="preserve"> que o número de mortos excedeu provavelmente três milhões. R. Hudson (org. 1999) 613, todavia, indic</w:t>
      </w:r>
      <w:r>
        <w:rPr>
          <w:rFonts w:ascii="Arial Narrow" w:hAnsi="Arial Narrow"/>
        </w:rPr>
        <w:t>ou</w:t>
      </w:r>
      <w:r w:rsidRPr="003E305A">
        <w:rPr>
          <w:rFonts w:ascii="Arial Narrow" w:hAnsi="Arial Narrow"/>
        </w:rPr>
        <w:t xml:space="preserve"> que o número de vítimas se situou entre um e três milhões e J. Keay (2003) II 576 estabelece</w:t>
      </w:r>
      <w:r>
        <w:rPr>
          <w:rFonts w:ascii="Arial Narrow" w:hAnsi="Arial Narrow"/>
        </w:rPr>
        <w:t>u</w:t>
      </w:r>
      <w:r w:rsidRPr="003E305A">
        <w:rPr>
          <w:rFonts w:ascii="Arial Narrow" w:hAnsi="Arial Narrow"/>
        </w:rPr>
        <w:t xml:space="preserve"> como limites dois e quatro milhões.</w:t>
      </w:r>
    </w:p>
  </w:footnote>
  <w:footnote w:id="229">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659-660, A. Dallin (1957) 123, 415 e W. L. Shirer (1995) II 252 n.</w:t>
      </w:r>
    </w:p>
  </w:footnote>
  <w:footnote w:id="230">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J. Keay (2003) II 560-561.</w:t>
      </w:r>
    </w:p>
  </w:footnote>
  <w:footnote w:id="231">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J. Brown, «India», em I. C. B. Dear et al. (orgs. 1995) 561; R. Holland, «Anti-Imperialism», em id., ibid., 40; J. Keay (2003) II 569. A frase do vice-rei </w:t>
      </w:r>
      <w:r>
        <w:rPr>
          <w:rFonts w:ascii="Arial Narrow" w:hAnsi="Arial Narrow"/>
        </w:rPr>
        <w:t>foi</w:t>
      </w:r>
      <w:r w:rsidRPr="003E305A">
        <w:rPr>
          <w:rFonts w:ascii="Arial Narrow" w:hAnsi="Arial Narrow"/>
        </w:rPr>
        <w:t xml:space="preserve"> citada por John Keay.</w:t>
      </w:r>
    </w:p>
  </w:footnote>
  <w:footnote w:id="232">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 Fuentes (2004) 439.</w:t>
      </w:r>
    </w:p>
  </w:footnote>
  <w:footnote w:id="233">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G. Lukács (1980) 433. Herder, por exemplo, considerava que os povos não possuíam capacidade de renovação. Ver a este respeito J. Droz (1966) 37.</w:t>
      </w:r>
    </w:p>
  </w:footnote>
  <w:footnote w:id="234">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N. Chomsky (1969) 198, 201.</w:t>
      </w:r>
    </w:p>
  </w:footnote>
  <w:footnote w:id="235">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Th. Pakenham (1999) 628</w:t>
      </w:r>
      <w:r>
        <w:rPr>
          <w:rFonts w:ascii="Arial Narrow" w:hAnsi="Arial Narrow"/>
        </w:rPr>
        <w:t>; J. Simpson (2011) 42.</w:t>
      </w:r>
    </w:p>
  </w:footnote>
  <w:footnote w:id="236">
    <w:p w:rsidR="000C262C" w:rsidRPr="005926BB" w:rsidRDefault="000C262C" w:rsidP="005A3930">
      <w:pPr>
        <w:pStyle w:val="Textodenotaderodap"/>
        <w:rPr>
          <w:rFonts w:ascii="Arial Narrow" w:hAnsi="Arial Narrow"/>
        </w:rPr>
      </w:pPr>
      <w:r w:rsidRPr="005926BB">
        <w:rPr>
          <w:rStyle w:val="Refdenotaderodap"/>
          <w:rFonts w:ascii="Arial Narrow" w:hAnsi="Arial Narrow"/>
        </w:rPr>
        <w:footnoteRef/>
      </w:r>
      <w:r w:rsidRPr="005926BB">
        <w:rPr>
          <w:rFonts w:ascii="Arial Narrow" w:hAnsi="Arial Narrow"/>
        </w:rPr>
        <w:t xml:space="preserve"> B. Ulloa (1981) 1117</w:t>
      </w:r>
      <w:r>
        <w:rPr>
          <w:rFonts w:ascii="Arial Narrow" w:hAnsi="Arial Narrow"/>
        </w:rPr>
        <w:t>,</w:t>
      </w:r>
      <w:r w:rsidRPr="005926BB">
        <w:rPr>
          <w:rFonts w:ascii="Arial Narrow" w:hAnsi="Arial Narrow"/>
        </w:rPr>
        <w:t xml:space="preserve"> 1140</w:t>
      </w:r>
      <w:r>
        <w:rPr>
          <w:rFonts w:ascii="Arial Narrow" w:hAnsi="Arial Narrow"/>
        </w:rPr>
        <w:t>.</w:t>
      </w:r>
    </w:p>
  </w:footnote>
  <w:footnote w:id="237">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Th. Pakenham (1999) 613-615, 618, 625, 628 e segs., 641 e segs., 689.</w:t>
      </w:r>
    </w:p>
  </w:footnote>
  <w:footnote w:id="238">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713-714. A passagem citada vem na pág. 713. </w:t>
      </w:r>
      <w:r>
        <w:rPr>
          <w:rFonts w:ascii="Arial Narrow" w:hAnsi="Arial Narrow"/>
        </w:rPr>
        <w:t>J. Simpson (2011) 44 indica como provável a morte de 26.000 brancos e 12.000 negros.</w:t>
      </w:r>
    </w:p>
  </w:footnote>
  <w:footnote w:id="239">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S. Weil (1950) 127.</w:t>
      </w:r>
    </w:p>
  </w:footnote>
  <w:footnote w:id="240">
    <w:p w:rsidR="000C262C" w:rsidRPr="00651337" w:rsidRDefault="000C262C">
      <w:pPr>
        <w:pStyle w:val="Textodenotaderodap"/>
        <w:rPr>
          <w:rFonts w:ascii="Arial Narrow" w:hAnsi="Arial Narrow"/>
        </w:rPr>
      </w:pPr>
      <w:r w:rsidRPr="00651337">
        <w:rPr>
          <w:rStyle w:val="Refdenotaderodap"/>
          <w:rFonts w:ascii="Arial Narrow" w:hAnsi="Arial Narrow"/>
        </w:rPr>
        <w:footnoteRef/>
      </w:r>
      <w:r w:rsidRPr="00651337">
        <w:rPr>
          <w:rFonts w:ascii="Arial Narrow" w:hAnsi="Arial Narrow"/>
        </w:rPr>
        <w:t xml:space="preserve"> </w:t>
      </w:r>
      <w:r>
        <w:rPr>
          <w:rFonts w:ascii="Arial Narrow" w:hAnsi="Arial Narrow"/>
        </w:rPr>
        <w:t>M. Bardèche (1948) 174.</w:t>
      </w:r>
    </w:p>
  </w:footnote>
  <w:footnote w:id="241">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«geração roubada» dos aborígenes australianos ver: </w:t>
      </w:r>
      <w:r w:rsidRPr="003E305A">
        <w:rPr>
          <w:rFonts w:ascii="Arial Narrow" w:hAnsi="Arial Narrow"/>
          <w:i/>
        </w:rPr>
        <w:t>The Economist,</w:t>
      </w:r>
      <w:r w:rsidRPr="003E305A">
        <w:rPr>
          <w:rFonts w:ascii="Arial Narrow" w:hAnsi="Arial Narrow"/>
        </w:rPr>
        <w:t xml:space="preserve"> 14 de Junho de 1997; id., 11 de Setembro de 1999; id., 27 de Maio de 2000; id., 19 de Agosto de 2000; id., </w:t>
      </w:r>
      <w:r w:rsidRPr="003E305A">
        <w:rPr>
          <w:rFonts w:ascii="Arial Narrow" w:hAnsi="Arial Narrow"/>
          <w:i/>
        </w:rPr>
        <w:t>A Survey of Australia,</w:t>
      </w:r>
      <w:r w:rsidRPr="003E305A">
        <w:rPr>
          <w:rFonts w:ascii="Arial Narrow" w:hAnsi="Arial Narrow"/>
        </w:rPr>
        <w:t xml:space="preserve"> 9 de Setembro de 2000, pág. 12. A </w:t>
      </w:r>
      <w:r w:rsidRPr="003E305A">
        <w:rPr>
          <w:rFonts w:ascii="Arial Narrow" w:hAnsi="Arial Narrow"/>
          <w:i/>
        </w:rPr>
        <w:t>Encyclopædia Britannica</w:t>
      </w:r>
      <w:r w:rsidRPr="003E305A">
        <w:rPr>
          <w:rFonts w:ascii="Arial Narrow" w:hAnsi="Arial Narrow"/>
        </w:rPr>
        <w:t xml:space="preserve"> (ed. de 1971), vol. 18, pág. 141 informa que a população total da Polónia em Setembro de 1939 seria de 35.339.000, segundo uma estimativa oficial. A mesma fonte esclarece</w:t>
      </w:r>
      <w:r w:rsidR="00381F56">
        <w:rPr>
          <w:rFonts w:ascii="Arial Narrow" w:hAnsi="Arial Narrow"/>
        </w:rPr>
        <w:t xml:space="preserve"> (</w:t>
      </w:r>
      <w:r w:rsidR="00381F56" w:rsidRPr="003E305A">
        <w:rPr>
          <w:rFonts w:ascii="Arial Narrow" w:hAnsi="Arial Narrow"/>
        </w:rPr>
        <w:t>vol. 2,</w:t>
      </w:r>
      <w:r w:rsidRPr="003E305A">
        <w:rPr>
          <w:rFonts w:ascii="Arial Narrow" w:hAnsi="Arial Narrow"/>
        </w:rPr>
        <w:t xml:space="preserve"> pág. 784</w:t>
      </w:r>
      <w:r w:rsidR="00381F56">
        <w:rPr>
          <w:rFonts w:ascii="Arial Narrow" w:hAnsi="Arial Narrow"/>
        </w:rPr>
        <w:t>)</w:t>
      </w:r>
      <w:r w:rsidRPr="003E305A">
        <w:rPr>
          <w:rFonts w:ascii="Arial Narrow" w:hAnsi="Arial Narrow"/>
        </w:rPr>
        <w:t xml:space="preserve"> que em 1930 havia menos de 40.000 nativos australianos não-miscigenados e, numa data não especificada, mais de 39.000 miscigenados; leio </w:t>
      </w:r>
      <w:r w:rsidR="00381F56">
        <w:rPr>
          <w:rFonts w:ascii="Arial Narrow" w:hAnsi="Arial Narrow"/>
        </w:rPr>
        <w:t>também (</w:t>
      </w:r>
      <w:r w:rsidR="00381F56" w:rsidRPr="003E305A">
        <w:rPr>
          <w:rFonts w:ascii="Arial Narrow" w:hAnsi="Arial Narrow"/>
        </w:rPr>
        <w:t>vol. 2</w:t>
      </w:r>
      <w:r w:rsidR="00381F56">
        <w:rPr>
          <w:rFonts w:ascii="Arial Narrow" w:hAnsi="Arial Narrow"/>
        </w:rPr>
        <w:t xml:space="preserve">, </w:t>
      </w:r>
      <w:r w:rsidR="00381F56" w:rsidRPr="003E305A">
        <w:rPr>
          <w:rFonts w:ascii="Arial Narrow" w:hAnsi="Arial Narrow"/>
        </w:rPr>
        <w:t>pág. 809</w:t>
      </w:r>
      <w:r w:rsidR="00381F56">
        <w:rPr>
          <w:rFonts w:ascii="Arial Narrow" w:hAnsi="Arial Narrow"/>
        </w:rPr>
        <w:t xml:space="preserve">) </w:t>
      </w:r>
      <w:r w:rsidRPr="003E305A">
        <w:rPr>
          <w:rFonts w:ascii="Arial Narrow" w:hAnsi="Arial Narrow"/>
        </w:rPr>
        <w:t>que o recenseamento de 1966 contabilizou 80.207 aborígenes na Austrália.</w:t>
      </w:r>
    </w:p>
  </w:footnote>
  <w:footnote w:id="242">
    <w:p w:rsidR="000C262C" w:rsidRPr="003E305A" w:rsidRDefault="000C262C" w:rsidP="005A3930">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E305A">
        <w:rPr>
          <w:rFonts w:ascii="Arial Narrow" w:hAnsi="Arial Narrow"/>
          <w:i/>
        </w:rPr>
        <w:t>The Economist,</w:t>
      </w:r>
      <w:r w:rsidRPr="003E305A">
        <w:rPr>
          <w:rFonts w:ascii="Arial Narrow" w:hAnsi="Arial Narrow"/>
        </w:rPr>
        <w:t xml:space="preserve"> 28 de Outubro de 2000. Segundo a </w:t>
      </w:r>
      <w:r w:rsidRPr="003E305A">
        <w:rPr>
          <w:rFonts w:ascii="Arial Narrow" w:hAnsi="Arial Narrow"/>
          <w:i/>
        </w:rPr>
        <w:t>Encyclopædia Britannica</w:t>
      </w:r>
      <w:r w:rsidRPr="003E305A">
        <w:rPr>
          <w:rFonts w:ascii="Arial Narrow" w:hAnsi="Arial Narrow"/>
        </w:rPr>
        <w:t xml:space="preserve"> (ed. de 1971), vol. 4, pág. 747, calcula-se que em 1965 houvesse cerca de 217.800 índios no Canadá.</w:t>
      </w:r>
    </w:p>
  </w:footnote>
  <w:footnote w:id="243">
    <w:p w:rsidR="000C262C" w:rsidRPr="00F17FE5" w:rsidRDefault="000C262C" w:rsidP="005A3930">
      <w:pPr>
        <w:pStyle w:val="Textodenotaderodap"/>
        <w:ind w:firstLine="708"/>
        <w:rPr>
          <w:rFonts w:ascii="Arial Narrow" w:hAnsi="Arial Narrow"/>
          <w:lang w:val="en-US"/>
        </w:rPr>
      </w:pPr>
      <w:r w:rsidRPr="003E305A">
        <w:rPr>
          <w:rStyle w:val="Refdenotaderodap"/>
          <w:rFonts w:ascii="Arial Narrow" w:hAnsi="Arial Narrow"/>
        </w:rPr>
        <w:footnoteRef/>
      </w:r>
      <w:r w:rsidRPr="00F17FE5">
        <w:rPr>
          <w:rFonts w:ascii="Arial Narrow" w:hAnsi="Arial Narrow"/>
          <w:lang w:val="en-US"/>
        </w:rPr>
        <w:t xml:space="preserve"> Citado em Th. Pakenham (1999) 339.</w:t>
      </w:r>
    </w:p>
  </w:footnote>
  <w:footnote w:id="244">
    <w:p w:rsidR="000C262C" w:rsidRPr="00F17FE5" w:rsidRDefault="000C262C" w:rsidP="005A3930">
      <w:pPr>
        <w:pStyle w:val="Textodenotaderodap"/>
        <w:rPr>
          <w:rFonts w:ascii="Arial Narrow" w:hAnsi="Arial Narrow"/>
          <w:lang w:val="en-US"/>
        </w:rPr>
      </w:pPr>
      <w:r w:rsidRPr="003E305A">
        <w:rPr>
          <w:rStyle w:val="Refdenotaderodap"/>
          <w:rFonts w:ascii="Arial Narrow" w:hAnsi="Arial Narrow"/>
        </w:rPr>
        <w:footnoteRef/>
      </w:r>
      <w:r w:rsidRPr="00F17FE5">
        <w:rPr>
          <w:rFonts w:ascii="Arial Narrow" w:hAnsi="Arial Narrow"/>
          <w:lang w:val="en-US"/>
        </w:rPr>
        <w:t xml:space="preserve"> </w:t>
      </w:r>
      <w:r w:rsidR="005B3D17" w:rsidRPr="00F17FE5">
        <w:rPr>
          <w:rFonts w:ascii="Arial Narrow" w:hAnsi="Arial Narrow"/>
          <w:bCs/>
          <w:i/>
          <w:iCs/>
          <w:lang w:val="en-US"/>
        </w:rPr>
        <w:t>Hitler’s Table Talk</w:t>
      </w:r>
      <w:r w:rsidR="005B3D17" w:rsidRPr="00F17FE5">
        <w:rPr>
          <w:rFonts w:ascii="Arial Narrow" w:hAnsi="Arial Narrow"/>
          <w:iCs/>
          <w:lang w:val="en-US"/>
        </w:rPr>
        <w:t>..., 69.</w:t>
      </w:r>
    </w:p>
  </w:footnote>
  <w:footnote w:id="245">
    <w:p w:rsidR="000C262C" w:rsidRPr="003E305A" w:rsidRDefault="000C262C" w:rsidP="005A3930">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sua [de Hitler] leitura preferida são as histórias de </w:t>
      </w:r>
      <w:r w:rsidRPr="003E305A">
        <w:rPr>
          <w:rFonts w:ascii="Arial Narrow" w:hAnsi="Arial Narrow"/>
          <w:i/>
        </w:rPr>
        <w:t>cow-boys</w:t>
      </w:r>
      <w:r w:rsidRPr="003E305A">
        <w:rPr>
          <w:rFonts w:ascii="Arial Narrow" w:hAnsi="Arial Narrow"/>
        </w:rPr>
        <w:t xml:space="preserve"> e os romances policiais», afirm</w:t>
      </w:r>
      <w:r>
        <w:rPr>
          <w:rFonts w:ascii="Arial Narrow" w:hAnsi="Arial Narrow"/>
        </w:rPr>
        <w:t>ou</w:t>
      </w:r>
      <w:r w:rsidRPr="003E305A">
        <w:rPr>
          <w:rFonts w:ascii="Arial Narrow" w:hAnsi="Arial Narrow"/>
        </w:rPr>
        <w:t xml:space="preserve"> H. Rauschning (1939) 288.</w:t>
      </w:r>
      <w:r>
        <w:rPr>
          <w:rFonts w:ascii="Arial Narrow" w:hAnsi="Arial Narrow"/>
        </w:rPr>
        <w:t xml:space="preserve"> Conversando com os comensais em </w:t>
      </w:r>
      <w:r w:rsidRPr="00053B99">
        <w:rPr>
          <w:rFonts w:ascii="Arial Narrow" w:hAnsi="Arial Narrow"/>
          <w:iCs/>
        </w:rPr>
        <w:t xml:space="preserve">17 de Fevereiro de 1942 e em 15 de Junho do ano seguinte Hitler recordou com saudade as suas leituras de Karl May. </w:t>
      </w:r>
      <w:r w:rsidRPr="00755037">
        <w:rPr>
          <w:rFonts w:ascii="Arial Narrow" w:hAnsi="Arial Narrow"/>
          <w:iCs/>
        </w:rPr>
        <w:t xml:space="preserve">Ver </w:t>
      </w:r>
      <w:r w:rsidRPr="002E336C">
        <w:rPr>
          <w:rFonts w:ascii="Arial Narrow" w:hAnsi="Arial Narrow"/>
          <w:bCs/>
          <w:i/>
          <w:iCs/>
        </w:rPr>
        <w:t>Hitler’s Table Talk</w:t>
      </w:r>
      <w:r w:rsidRPr="002E336C">
        <w:rPr>
          <w:rFonts w:ascii="Arial Narrow" w:hAnsi="Arial Narrow"/>
          <w:iCs/>
        </w:rPr>
        <w:t>...,</w:t>
      </w:r>
      <w:r>
        <w:rPr>
          <w:rFonts w:ascii="Arial Narrow" w:hAnsi="Arial Narrow"/>
          <w:iCs/>
        </w:rPr>
        <w:t xml:space="preserve"> 316 e 707.</w:t>
      </w:r>
      <w:r w:rsidR="00F055E9">
        <w:rPr>
          <w:rFonts w:ascii="Arial Narrow" w:hAnsi="Arial Narrow"/>
          <w:iCs/>
        </w:rPr>
        <w:t xml:space="preserve"> </w:t>
      </w:r>
      <w:r w:rsidR="00C40171">
        <w:rPr>
          <w:rFonts w:ascii="Arial Narrow" w:hAnsi="Arial Narrow"/>
          <w:iCs/>
        </w:rPr>
        <w:t xml:space="preserve">Nos seus primeiros meses como chanceler Hitler releu uma vez mais os cerca de setenta volumes </w:t>
      </w:r>
      <w:r w:rsidR="008017A5">
        <w:rPr>
          <w:rFonts w:ascii="Arial Narrow" w:hAnsi="Arial Narrow"/>
          <w:iCs/>
        </w:rPr>
        <w:t>d</w:t>
      </w:r>
      <w:r w:rsidR="00C40171">
        <w:rPr>
          <w:rFonts w:ascii="Arial Narrow" w:hAnsi="Arial Narrow"/>
          <w:iCs/>
        </w:rPr>
        <w:t xml:space="preserve">as obras de Karl May, indicou </w:t>
      </w:r>
      <w:r w:rsidR="00C40171" w:rsidRPr="00DF7738">
        <w:rPr>
          <w:rFonts w:ascii="Arial Narrow" w:hAnsi="Arial Narrow"/>
          <w:iCs/>
        </w:rPr>
        <w:t xml:space="preserve">J. C. Fest (1974) 762, que recordou também (pág. </w:t>
      </w:r>
      <w:r w:rsidR="00F055E9" w:rsidRPr="00DF7738">
        <w:rPr>
          <w:rFonts w:ascii="Arial Narrow" w:hAnsi="Arial Narrow"/>
          <w:iCs/>
        </w:rPr>
        <w:t>226</w:t>
      </w:r>
      <w:r w:rsidR="00C40171" w:rsidRPr="00DF7738">
        <w:rPr>
          <w:rFonts w:ascii="Arial Narrow" w:hAnsi="Arial Narrow"/>
          <w:iCs/>
        </w:rPr>
        <w:t>)</w:t>
      </w:r>
      <w:r w:rsidR="00F055E9" w:rsidRPr="00DF7738">
        <w:rPr>
          <w:rFonts w:ascii="Arial Narrow" w:hAnsi="Arial Narrow"/>
          <w:iCs/>
        </w:rPr>
        <w:t xml:space="preserve"> </w:t>
      </w:r>
      <w:r w:rsidR="00C40171" w:rsidRPr="00DF7738">
        <w:rPr>
          <w:rFonts w:ascii="Arial Narrow" w:hAnsi="Arial Narrow"/>
          <w:iCs/>
        </w:rPr>
        <w:t xml:space="preserve">que </w:t>
      </w:r>
      <w:r w:rsidR="00F055E9">
        <w:rPr>
          <w:rFonts w:ascii="Arial Narrow" w:hAnsi="Arial Narrow"/>
          <w:iCs/>
        </w:rPr>
        <w:t>alguém que conhece</w:t>
      </w:r>
      <w:r w:rsidR="00C40171">
        <w:rPr>
          <w:rFonts w:ascii="Arial Narrow" w:hAnsi="Arial Narrow"/>
          <w:iCs/>
        </w:rPr>
        <w:t>ra</w:t>
      </w:r>
      <w:r w:rsidR="00F055E9">
        <w:rPr>
          <w:rFonts w:ascii="Arial Narrow" w:hAnsi="Arial Narrow"/>
          <w:iCs/>
        </w:rPr>
        <w:t xml:space="preserve"> Hitler nos seus tempos de jovem tribuno o </w:t>
      </w:r>
      <w:r w:rsidR="008017A5">
        <w:rPr>
          <w:rFonts w:ascii="Arial Narrow" w:hAnsi="Arial Narrow"/>
          <w:iCs/>
        </w:rPr>
        <w:t xml:space="preserve">havia </w:t>
      </w:r>
      <w:r w:rsidR="00F055E9">
        <w:rPr>
          <w:rFonts w:ascii="Arial Narrow" w:hAnsi="Arial Narrow"/>
          <w:iCs/>
        </w:rPr>
        <w:t>compara</w:t>
      </w:r>
      <w:r w:rsidR="008017A5">
        <w:rPr>
          <w:rFonts w:ascii="Arial Narrow" w:hAnsi="Arial Narrow"/>
          <w:iCs/>
        </w:rPr>
        <w:t>do</w:t>
      </w:r>
      <w:r w:rsidR="00F055E9">
        <w:rPr>
          <w:rFonts w:ascii="Arial Narrow" w:hAnsi="Arial Narrow"/>
          <w:iCs/>
        </w:rPr>
        <w:t xml:space="preserve"> a um personagem de Karl May.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A3930"/>
    <w:rsid w:val="000002B6"/>
    <w:rsid w:val="00000DD0"/>
    <w:rsid w:val="00006844"/>
    <w:rsid w:val="00010827"/>
    <w:rsid w:val="00017F60"/>
    <w:rsid w:val="000224AC"/>
    <w:rsid w:val="00024D3E"/>
    <w:rsid w:val="00033310"/>
    <w:rsid w:val="00033677"/>
    <w:rsid w:val="00036FD7"/>
    <w:rsid w:val="0004093B"/>
    <w:rsid w:val="00042169"/>
    <w:rsid w:val="00044F5C"/>
    <w:rsid w:val="00047194"/>
    <w:rsid w:val="00047635"/>
    <w:rsid w:val="00053B99"/>
    <w:rsid w:val="00055798"/>
    <w:rsid w:val="00060B39"/>
    <w:rsid w:val="00061930"/>
    <w:rsid w:val="000633A7"/>
    <w:rsid w:val="00063AC4"/>
    <w:rsid w:val="0006550A"/>
    <w:rsid w:val="000719C4"/>
    <w:rsid w:val="00072E91"/>
    <w:rsid w:val="00074607"/>
    <w:rsid w:val="0008112D"/>
    <w:rsid w:val="000815F2"/>
    <w:rsid w:val="00090F63"/>
    <w:rsid w:val="00092897"/>
    <w:rsid w:val="00093FEB"/>
    <w:rsid w:val="00094DFD"/>
    <w:rsid w:val="00095E2A"/>
    <w:rsid w:val="00097430"/>
    <w:rsid w:val="000A1D4E"/>
    <w:rsid w:val="000A204B"/>
    <w:rsid w:val="000A21F8"/>
    <w:rsid w:val="000A22F0"/>
    <w:rsid w:val="000A7254"/>
    <w:rsid w:val="000B022A"/>
    <w:rsid w:val="000B2215"/>
    <w:rsid w:val="000B2698"/>
    <w:rsid w:val="000B7207"/>
    <w:rsid w:val="000B79A2"/>
    <w:rsid w:val="000B7F45"/>
    <w:rsid w:val="000C1B6A"/>
    <w:rsid w:val="000C1E92"/>
    <w:rsid w:val="000C24CA"/>
    <w:rsid w:val="000C262C"/>
    <w:rsid w:val="000C60AF"/>
    <w:rsid w:val="000D069D"/>
    <w:rsid w:val="000D1599"/>
    <w:rsid w:val="000D1F12"/>
    <w:rsid w:val="000D2927"/>
    <w:rsid w:val="000D5866"/>
    <w:rsid w:val="000D609C"/>
    <w:rsid w:val="000D7359"/>
    <w:rsid w:val="000D777B"/>
    <w:rsid w:val="000E0E36"/>
    <w:rsid w:val="000E1F61"/>
    <w:rsid w:val="000E2065"/>
    <w:rsid w:val="000E4C2E"/>
    <w:rsid w:val="000E6EFB"/>
    <w:rsid w:val="000E7A6A"/>
    <w:rsid w:val="000E7CCD"/>
    <w:rsid w:val="000F0D08"/>
    <w:rsid w:val="000F6493"/>
    <w:rsid w:val="000F683F"/>
    <w:rsid w:val="000F6F91"/>
    <w:rsid w:val="00100C8D"/>
    <w:rsid w:val="001012A9"/>
    <w:rsid w:val="00101665"/>
    <w:rsid w:val="00101ABC"/>
    <w:rsid w:val="00101AE8"/>
    <w:rsid w:val="001026BF"/>
    <w:rsid w:val="00102CC0"/>
    <w:rsid w:val="001051E5"/>
    <w:rsid w:val="00105D5C"/>
    <w:rsid w:val="00105E42"/>
    <w:rsid w:val="00110B86"/>
    <w:rsid w:val="001114B4"/>
    <w:rsid w:val="0011554D"/>
    <w:rsid w:val="00120065"/>
    <w:rsid w:val="00124F2C"/>
    <w:rsid w:val="00127CC0"/>
    <w:rsid w:val="0013127E"/>
    <w:rsid w:val="0013321D"/>
    <w:rsid w:val="0013434E"/>
    <w:rsid w:val="001376A6"/>
    <w:rsid w:val="0013777B"/>
    <w:rsid w:val="001412E7"/>
    <w:rsid w:val="00141708"/>
    <w:rsid w:val="001435CB"/>
    <w:rsid w:val="00144CBD"/>
    <w:rsid w:val="00144D0D"/>
    <w:rsid w:val="0014552D"/>
    <w:rsid w:val="00150D31"/>
    <w:rsid w:val="00154F9A"/>
    <w:rsid w:val="001570EC"/>
    <w:rsid w:val="00160CF5"/>
    <w:rsid w:val="00163825"/>
    <w:rsid w:val="00170264"/>
    <w:rsid w:val="00170BA5"/>
    <w:rsid w:val="001718E6"/>
    <w:rsid w:val="001758A3"/>
    <w:rsid w:val="001764F5"/>
    <w:rsid w:val="00184BBC"/>
    <w:rsid w:val="00190D28"/>
    <w:rsid w:val="001931EC"/>
    <w:rsid w:val="001942C6"/>
    <w:rsid w:val="00196AF3"/>
    <w:rsid w:val="001971DC"/>
    <w:rsid w:val="0019722E"/>
    <w:rsid w:val="001A0221"/>
    <w:rsid w:val="001A0714"/>
    <w:rsid w:val="001A336F"/>
    <w:rsid w:val="001A4D19"/>
    <w:rsid w:val="001A6406"/>
    <w:rsid w:val="001B1C02"/>
    <w:rsid w:val="001B1F0A"/>
    <w:rsid w:val="001B29FC"/>
    <w:rsid w:val="001B31B2"/>
    <w:rsid w:val="001B39A5"/>
    <w:rsid w:val="001B5DAB"/>
    <w:rsid w:val="001B69B6"/>
    <w:rsid w:val="001B7EC7"/>
    <w:rsid w:val="001C0C3E"/>
    <w:rsid w:val="001C22A2"/>
    <w:rsid w:val="001C415E"/>
    <w:rsid w:val="001C594F"/>
    <w:rsid w:val="001C5EAF"/>
    <w:rsid w:val="001C6E1E"/>
    <w:rsid w:val="001C7D10"/>
    <w:rsid w:val="001C7FD3"/>
    <w:rsid w:val="001D0863"/>
    <w:rsid w:val="001D0EE5"/>
    <w:rsid w:val="001D60C5"/>
    <w:rsid w:val="001E3768"/>
    <w:rsid w:val="001E40C2"/>
    <w:rsid w:val="001E5D0B"/>
    <w:rsid w:val="001E6662"/>
    <w:rsid w:val="001F1EB8"/>
    <w:rsid w:val="001F286B"/>
    <w:rsid w:val="001F2B74"/>
    <w:rsid w:val="001F3790"/>
    <w:rsid w:val="001F3C6C"/>
    <w:rsid w:val="00202719"/>
    <w:rsid w:val="00203DAE"/>
    <w:rsid w:val="00207189"/>
    <w:rsid w:val="0020772A"/>
    <w:rsid w:val="0021081E"/>
    <w:rsid w:val="00211833"/>
    <w:rsid w:val="002124BF"/>
    <w:rsid w:val="002129CC"/>
    <w:rsid w:val="0021429A"/>
    <w:rsid w:val="0021440C"/>
    <w:rsid w:val="002148DE"/>
    <w:rsid w:val="00215470"/>
    <w:rsid w:val="0021657C"/>
    <w:rsid w:val="00216751"/>
    <w:rsid w:val="0022072E"/>
    <w:rsid w:val="00222CE6"/>
    <w:rsid w:val="00230DA9"/>
    <w:rsid w:val="002356AE"/>
    <w:rsid w:val="0023771F"/>
    <w:rsid w:val="002425CB"/>
    <w:rsid w:val="002433ED"/>
    <w:rsid w:val="0024504D"/>
    <w:rsid w:val="002468BD"/>
    <w:rsid w:val="00250DFC"/>
    <w:rsid w:val="00253239"/>
    <w:rsid w:val="002549F2"/>
    <w:rsid w:val="00254A7C"/>
    <w:rsid w:val="00257994"/>
    <w:rsid w:val="00263A67"/>
    <w:rsid w:val="00264E77"/>
    <w:rsid w:val="00265C8F"/>
    <w:rsid w:val="002664F4"/>
    <w:rsid w:val="00267A45"/>
    <w:rsid w:val="00270247"/>
    <w:rsid w:val="0027572C"/>
    <w:rsid w:val="002826F9"/>
    <w:rsid w:val="0028380C"/>
    <w:rsid w:val="00286C67"/>
    <w:rsid w:val="002952B0"/>
    <w:rsid w:val="0029797A"/>
    <w:rsid w:val="002A2BCB"/>
    <w:rsid w:val="002A5874"/>
    <w:rsid w:val="002B07C7"/>
    <w:rsid w:val="002B1C2E"/>
    <w:rsid w:val="002B4C76"/>
    <w:rsid w:val="002B4FE4"/>
    <w:rsid w:val="002B7B64"/>
    <w:rsid w:val="002C0F05"/>
    <w:rsid w:val="002C29EE"/>
    <w:rsid w:val="002C4596"/>
    <w:rsid w:val="002C4AB2"/>
    <w:rsid w:val="002D04FD"/>
    <w:rsid w:val="002D2C31"/>
    <w:rsid w:val="002D5EE6"/>
    <w:rsid w:val="002D61F1"/>
    <w:rsid w:val="002E2B93"/>
    <w:rsid w:val="002E336C"/>
    <w:rsid w:val="002E3F9C"/>
    <w:rsid w:val="002E5AF9"/>
    <w:rsid w:val="002E698C"/>
    <w:rsid w:val="002E7D5B"/>
    <w:rsid w:val="002F249A"/>
    <w:rsid w:val="002F4691"/>
    <w:rsid w:val="002F578A"/>
    <w:rsid w:val="002F6851"/>
    <w:rsid w:val="003007BD"/>
    <w:rsid w:val="00300FE7"/>
    <w:rsid w:val="00301BAC"/>
    <w:rsid w:val="003027EE"/>
    <w:rsid w:val="00302BE1"/>
    <w:rsid w:val="00303204"/>
    <w:rsid w:val="00304F44"/>
    <w:rsid w:val="003056C0"/>
    <w:rsid w:val="00307940"/>
    <w:rsid w:val="00317C98"/>
    <w:rsid w:val="00324B8A"/>
    <w:rsid w:val="00331E0E"/>
    <w:rsid w:val="00333614"/>
    <w:rsid w:val="00337C8C"/>
    <w:rsid w:val="00343190"/>
    <w:rsid w:val="00343293"/>
    <w:rsid w:val="00344172"/>
    <w:rsid w:val="00351DAD"/>
    <w:rsid w:val="0036140A"/>
    <w:rsid w:val="00361CCB"/>
    <w:rsid w:val="00362E30"/>
    <w:rsid w:val="00366DF3"/>
    <w:rsid w:val="00367A6F"/>
    <w:rsid w:val="003716E2"/>
    <w:rsid w:val="00372689"/>
    <w:rsid w:val="00374525"/>
    <w:rsid w:val="00381F56"/>
    <w:rsid w:val="003853E3"/>
    <w:rsid w:val="00387A7D"/>
    <w:rsid w:val="003928F7"/>
    <w:rsid w:val="003A40DE"/>
    <w:rsid w:val="003A4AAD"/>
    <w:rsid w:val="003A53D2"/>
    <w:rsid w:val="003A5534"/>
    <w:rsid w:val="003B2910"/>
    <w:rsid w:val="003B2DD9"/>
    <w:rsid w:val="003B5A87"/>
    <w:rsid w:val="003B6981"/>
    <w:rsid w:val="003B7BC6"/>
    <w:rsid w:val="003B7D75"/>
    <w:rsid w:val="003C1FE2"/>
    <w:rsid w:val="003C28A1"/>
    <w:rsid w:val="003C3669"/>
    <w:rsid w:val="003C60A8"/>
    <w:rsid w:val="003C631B"/>
    <w:rsid w:val="003C6EDD"/>
    <w:rsid w:val="003C782A"/>
    <w:rsid w:val="003D1E2B"/>
    <w:rsid w:val="003D4A47"/>
    <w:rsid w:val="003D5475"/>
    <w:rsid w:val="003E674C"/>
    <w:rsid w:val="003E6D04"/>
    <w:rsid w:val="003F3565"/>
    <w:rsid w:val="00401BF5"/>
    <w:rsid w:val="00402921"/>
    <w:rsid w:val="004030C4"/>
    <w:rsid w:val="00404CC5"/>
    <w:rsid w:val="00410C69"/>
    <w:rsid w:val="00412C8F"/>
    <w:rsid w:val="00417EE3"/>
    <w:rsid w:val="00420E90"/>
    <w:rsid w:val="00422A58"/>
    <w:rsid w:val="004258CF"/>
    <w:rsid w:val="00427118"/>
    <w:rsid w:val="00430370"/>
    <w:rsid w:val="004318AD"/>
    <w:rsid w:val="00435076"/>
    <w:rsid w:val="0043666D"/>
    <w:rsid w:val="00436797"/>
    <w:rsid w:val="00437369"/>
    <w:rsid w:val="00437F6D"/>
    <w:rsid w:val="0044096E"/>
    <w:rsid w:val="00442DCD"/>
    <w:rsid w:val="00443790"/>
    <w:rsid w:val="00443BE2"/>
    <w:rsid w:val="00444C20"/>
    <w:rsid w:val="00445E6B"/>
    <w:rsid w:val="00446B30"/>
    <w:rsid w:val="00447ED0"/>
    <w:rsid w:val="00450DD9"/>
    <w:rsid w:val="00452E7F"/>
    <w:rsid w:val="004546F4"/>
    <w:rsid w:val="00455F6A"/>
    <w:rsid w:val="0045772F"/>
    <w:rsid w:val="004623A2"/>
    <w:rsid w:val="00462455"/>
    <w:rsid w:val="0046463A"/>
    <w:rsid w:val="00465828"/>
    <w:rsid w:val="00474C9E"/>
    <w:rsid w:val="0047565F"/>
    <w:rsid w:val="004756E8"/>
    <w:rsid w:val="00475E52"/>
    <w:rsid w:val="00477764"/>
    <w:rsid w:val="00477E05"/>
    <w:rsid w:val="00482A5F"/>
    <w:rsid w:val="00483052"/>
    <w:rsid w:val="00491043"/>
    <w:rsid w:val="00492169"/>
    <w:rsid w:val="00494933"/>
    <w:rsid w:val="00497608"/>
    <w:rsid w:val="004A29D8"/>
    <w:rsid w:val="004A4721"/>
    <w:rsid w:val="004A6C27"/>
    <w:rsid w:val="004B0F0B"/>
    <w:rsid w:val="004B1AB5"/>
    <w:rsid w:val="004B269B"/>
    <w:rsid w:val="004B35B9"/>
    <w:rsid w:val="004B3B32"/>
    <w:rsid w:val="004B532C"/>
    <w:rsid w:val="004B7CB0"/>
    <w:rsid w:val="004C07E9"/>
    <w:rsid w:val="004C23DC"/>
    <w:rsid w:val="004C344B"/>
    <w:rsid w:val="004C554E"/>
    <w:rsid w:val="004C6409"/>
    <w:rsid w:val="004D1204"/>
    <w:rsid w:val="004D31F6"/>
    <w:rsid w:val="004D3503"/>
    <w:rsid w:val="004D3EB2"/>
    <w:rsid w:val="004D3FC5"/>
    <w:rsid w:val="004D5C5B"/>
    <w:rsid w:val="004E0145"/>
    <w:rsid w:val="004E6906"/>
    <w:rsid w:val="004E6CF1"/>
    <w:rsid w:val="004F1974"/>
    <w:rsid w:val="004F2221"/>
    <w:rsid w:val="004F285B"/>
    <w:rsid w:val="004F4A1E"/>
    <w:rsid w:val="00501B9B"/>
    <w:rsid w:val="00506D14"/>
    <w:rsid w:val="00506D6B"/>
    <w:rsid w:val="00510024"/>
    <w:rsid w:val="00510F74"/>
    <w:rsid w:val="00511B97"/>
    <w:rsid w:val="0051416A"/>
    <w:rsid w:val="00514377"/>
    <w:rsid w:val="00520D68"/>
    <w:rsid w:val="00521855"/>
    <w:rsid w:val="00521FE0"/>
    <w:rsid w:val="00527E64"/>
    <w:rsid w:val="005309E8"/>
    <w:rsid w:val="005312A3"/>
    <w:rsid w:val="005325CF"/>
    <w:rsid w:val="00535A4B"/>
    <w:rsid w:val="00535ADE"/>
    <w:rsid w:val="00535DD2"/>
    <w:rsid w:val="00536D65"/>
    <w:rsid w:val="00540CC6"/>
    <w:rsid w:val="00541096"/>
    <w:rsid w:val="00541E89"/>
    <w:rsid w:val="005433E5"/>
    <w:rsid w:val="0054455F"/>
    <w:rsid w:val="0055182C"/>
    <w:rsid w:val="005519C3"/>
    <w:rsid w:val="00552773"/>
    <w:rsid w:val="0055388B"/>
    <w:rsid w:val="005561A4"/>
    <w:rsid w:val="00556625"/>
    <w:rsid w:val="00557AB6"/>
    <w:rsid w:val="00561054"/>
    <w:rsid w:val="0056116D"/>
    <w:rsid w:val="00561395"/>
    <w:rsid w:val="00563847"/>
    <w:rsid w:val="0056689E"/>
    <w:rsid w:val="005716C3"/>
    <w:rsid w:val="00572BB6"/>
    <w:rsid w:val="0057357C"/>
    <w:rsid w:val="00574D4E"/>
    <w:rsid w:val="00577651"/>
    <w:rsid w:val="00581025"/>
    <w:rsid w:val="00581F61"/>
    <w:rsid w:val="005826DE"/>
    <w:rsid w:val="00583CFF"/>
    <w:rsid w:val="0058423C"/>
    <w:rsid w:val="00586544"/>
    <w:rsid w:val="005879CA"/>
    <w:rsid w:val="00587A28"/>
    <w:rsid w:val="0059051F"/>
    <w:rsid w:val="00592FC6"/>
    <w:rsid w:val="00596B05"/>
    <w:rsid w:val="00597359"/>
    <w:rsid w:val="005A1B6B"/>
    <w:rsid w:val="005A2592"/>
    <w:rsid w:val="005A34F2"/>
    <w:rsid w:val="005A362F"/>
    <w:rsid w:val="005A3930"/>
    <w:rsid w:val="005A54C7"/>
    <w:rsid w:val="005A756C"/>
    <w:rsid w:val="005B0DFE"/>
    <w:rsid w:val="005B1489"/>
    <w:rsid w:val="005B1F63"/>
    <w:rsid w:val="005B1FF8"/>
    <w:rsid w:val="005B2008"/>
    <w:rsid w:val="005B31B0"/>
    <w:rsid w:val="005B3A49"/>
    <w:rsid w:val="005B3D17"/>
    <w:rsid w:val="005B52D5"/>
    <w:rsid w:val="005B6A7A"/>
    <w:rsid w:val="005B7263"/>
    <w:rsid w:val="005C1089"/>
    <w:rsid w:val="005C15C1"/>
    <w:rsid w:val="005C3012"/>
    <w:rsid w:val="005C3FF7"/>
    <w:rsid w:val="005C5BBE"/>
    <w:rsid w:val="005C6C22"/>
    <w:rsid w:val="005D4433"/>
    <w:rsid w:val="005D681D"/>
    <w:rsid w:val="005D71CE"/>
    <w:rsid w:val="005E0CDB"/>
    <w:rsid w:val="005E2822"/>
    <w:rsid w:val="005E2C85"/>
    <w:rsid w:val="005E46B4"/>
    <w:rsid w:val="005E4931"/>
    <w:rsid w:val="005E69A3"/>
    <w:rsid w:val="005E6F5C"/>
    <w:rsid w:val="005E73CB"/>
    <w:rsid w:val="005F0E6F"/>
    <w:rsid w:val="005F346E"/>
    <w:rsid w:val="005F4476"/>
    <w:rsid w:val="005F46FD"/>
    <w:rsid w:val="005F527D"/>
    <w:rsid w:val="00601DBC"/>
    <w:rsid w:val="006020D3"/>
    <w:rsid w:val="00603E17"/>
    <w:rsid w:val="00607A17"/>
    <w:rsid w:val="00607AC1"/>
    <w:rsid w:val="00613062"/>
    <w:rsid w:val="00613DD1"/>
    <w:rsid w:val="00615627"/>
    <w:rsid w:val="00616F19"/>
    <w:rsid w:val="00621416"/>
    <w:rsid w:val="00622098"/>
    <w:rsid w:val="00622406"/>
    <w:rsid w:val="00622B37"/>
    <w:rsid w:val="00624466"/>
    <w:rsid w:val="00631AA3"/>
    <w:rsid w:val="00631B86"/>
    <w:rsid w:val="00631CA8"/>
    <w:rsid w:val="00633609"/>
    <w:rsid w:val="006342C4"/>
    <w:rsid w:val="006342E4"/>
    <w:rsid w:val="00634DD5"/>
    <w:rsid w:val="0063529D"/>
    <w:rsid w:val="00636722"/>
    <w:rsid w:val="006419C3"/>
    <w:rsid w:val="0064448F"/>
    <w:rsid w:val="006469A9"/>
    <w:rsid w:val="00650039"/>
    <w:rsid w:val="00651337"/>
    <w:rsid w:val="0065156C"/>
    <w:rsid w:val="00651B47"/>
    <w:rsid w:val="00652056"/>
    <w:rsid w:val="0065228B"/>
    <w:rsid w:val="00654BC4"/>
    <w:rsid w:val="00662951"/>
    <w:rsid w:val="00662F77"/>
    <w:rsid w:val="00667013"/>
    <w:rsid w:val="006748B8"/>
    <w:rsid w:val="00675AE0"/>
    <w:rsid w:val="00676581"/>
    <w:rsid w:val="006770D0"/>
    <w:rsid w:val="006775BB"/>
    <w:rsid w:val="00680688"/>
    <w:rsid w:val="0068229B"/>
    <w:rsid w:val="006831E7"/>
    <w:rsid w:val="006860AF"/>
    <w:rsid w:val="00686620"/>
    <w:rsid w:val="00687D52"/>
    <w:rsid w:val="006905A0"/>
    <w:rsid w:val="00691DAE"/>
    <w:rsid w:val="006928A0"/>
    <w:rsid w:val="00694185"/>
    <w:rsid w:val="00694D5F"/>
    <w:rsid w:val="006967C4"/>
    <w:rsid w:val="00697770"/>
    <w:rsid w:val="00697AB2"/>
    <w:rsid w:val="00697EA9"/>
    <w:rsid w:val="006A0E4A"/>
    <w:rsid w:val="006A1C4E"/>
    <w:rsid w:val="006A4377"/>
    <w:rsid w:val="006A4A15"/>
    <w:rsid w:val="006A5510"/>
    <w:rsid w:val="006A5AA1"/>
    <w:rsid w:val="006A60E0"/>
    <w:rsid w:val="006A675A"/>
    <w:rsid w:val="006A7DED"/>
    <w:rsid w:val="006B02E3"/>
    <w:rsid w:val="006B1A86"/>
    <w:rsid w:val="006B2A7E"/>
    <w:rsid w:val="006B349B"/>
    <w:rsid w:val="006B3BA2"/>
    <w:rsid w:val="006B3DA2"/>
    <w:rsid w:val="006B5CA9"/>
    <w:rsid w:val="006B7252"/>
    <w:rsid w:val="006C08D0"/>
    <w:rsid w:val="006D0E95"/>
    <w:rsid w:val="006D41B8"/>
    <w:rsid w:val="006E0568"/>
    <w:rsid w:val="006E069A"/>
    <w:rsid w:val="006E1616"/>
    <w:rsid w:val="006E1B8A"/>
    <w:rsid w:val="006E5F61"/>
    <w:rsid w:val="006F1C3A"/>
    <w:rsid w:val="006F38D1"/>
    <w:rsid w:val="00701DC5"/>
    <w:rsid w:val="00702C73"/>
    <w:rsid w:val="00703BFB"/>
    <w:rsid w:val="007053AD"/>
    <w:rsid w:val="00706F4F"/>
    <w:rsid w:val="00713CC8"/>
    <w:rsid w:val="007146C5"/>
    <w:rsid w:val="00715033"/>
    <w:rsid w:val="0072540A"/>
    <w:rsid w:val="007264B1"/>
    <w:rsid w:val="00731E83"/>
    <w:rsid w:val="00731F02"/>
    <w:rsid w:val="00732EF4"/>
    <w:rsid w:val="00735B69"/>
    <w:rsid w:val="00736B0F"/>
    <w:rsid w:val="00740671"/>
    <w:rsid w:val="00740F64"/>
    <w:rsid w:val="0074368E"/>
    <w:rsid w:val="0074391E"/>
    <w:rsid w:val="00745095"/>
    <w:rsid w:val="00745E4E"/>
    <w:rsid w:val="00751390"/>
    <w:rsid w:val="00755037"/>
    <w:rsid w:val="0075583D"/>
    <w:rsid w:val="00756196"/>
    <w:rsid w:val="00760519"/>
    <w:rsid w:val="00765B6C"/>
    <w:rsid w:val="00765DE2"/>
    <w:rsid w:val="00770D7E"/>
    <w:rsid w:val="00774FF3"/>
    <w:rsid w:val="0077524F"/>
    <w:rsid w:val="00782899"/>
    <w:rsid w:val="00784F0D"/>
    <w:rsid w:val="00787922"/>
    <w:rsid w:val="00790A93"/>
    <w:rsid w:val="00793045"/>
    <w:rsid w:val="00794E84"/>
    <w:rsid w:val="00797061"/>
    <w:rsid w:val="007A2169"/>
    <w:rsid w:val="007A3C37"/>
    <w:rsid w:val="007A4F2A"/>
    <w:rsid w:val="007A6448"/>
    <w:rsid w:val="007A6A11"/>
    <w:rsid w:val="007B399B"/>
    <w:rsid w:val="007B7129"/>
    <w:rsid w:val="007B72D0"/>
    <w:rsid w:val="007C6F4C"/>
    <w:rsid w:val="007D31BF"/>
    <w:rsid w:val="007D4824"/>
    <w:rsid w:val="007D48D6"/>
    <w:rsid w:val="007D5717"/>
    <w:rsid w:val="007D6156"/>
    <w:rsid w:val="007D6948"/>
    <w:rsid w:val="007D7CC3"/>
    <w:rsid w:val="007E035B"/>
    <w:rsid w:val="007E1A6B"/>
    <w:rsid w:val="007E3F14"/>
    <w:rsid w:val="007E445B"/>
    <w:rsid w:val="007E498B"/>
    <w:rsid w:val="007E579B"/>
    <w:rsid w:val="007F1BAC"/>
    <w:rsid w:val="007F2424"/>
    <w:rsid w:val="007F43AB"/>
    <w:rsid w:val="007F766D"/>
    <w:rsid w:val="0080152B"/>
    <w:rsid w:val="008017A5"/>
    <w:rsid w:val="00801CA7"/>
    <w:rsid w:val="0080560E"/>
    <w:rsid w:val="0080712F"/>
    <w:rsid w:val="0080794B"/>
    <w:rsid w:val="00811EF5"/>
    <w:rsid w:val="00814F82"/>
    <w:rsid w:val="008151B6"/>
    <w:rsid w:val="00822F3D"/>
    <w:rsid w:val="0082625B"/>
    <w:rsid w:val="00831A2A"/>
    <w:rsid w:val="00832C84"/>
    <w:rsid w:val="00832F34"/>
    <w:rsid w:val="00834211"/>
    <w:rsid w:val="00834321"/>
    <w:rsid w:val="00841E73"/>
    <w:rsid w:val="00842765"/>
    <w:rsid w:val="008452CF"/>
    <w:rsid w:val="00845978"/>
    <w:rsid w:val="00847270"/>
    <w:rsid w:val="00847E9B"/>
    <w:rsid w:val="00852876"/>
    <w:rsid w:val="00852EC6"/>
    <w:rsid w:val="00853C55"/>
    <w:rsid w:val="0085474D"/>
    <w:rsid w:val="0085550F"/>
    <w:rsid w:val="00856075"/>
    <w:rsid w:val="0085695B"/>
    <w:rsid w:val="008606A3"/>
    <w:rsid w:val="00861B37"/>
    <w:rsid w:val="00863E20"/>
    <w:rsid w:val="00864B49"/>
    <w:rsid w:val="00865F49"/>
    <w:rsid w:val="00866A38"/>
    <w:rsid w:val="0087013A"/>
    <w:rsid w:val="00870B74"/>
    <w:rsid w:val="00872516"/>
    <w:rsid w:val="00873147"/>
    <w:rsid w:val="00874F41"/>
    <w:rsid w:val="008754BB"/>
    <w:rsid w:val="00876EA5"/>
    <w:rsid w:val="00882CDD"/>
    <w:rsid w:val="00890233"/>
    <w:rsid w:val="00890F18"/>
    <w:rsid w:val="00893047"/>
    <w:rsid w:val="008931BB"/>
    <w:rsid w:val="008931E8"/>
    <w:rsid w:val="00895669"/>
    <w:rsid w:val="00895855"/>
    <w:rsid w:val="00896027"/>
    <w:rsid w:val="00896A26"/>
    <w:rsid w:val="00896DA7"/>
    <w:rsid w:val="00897813"/>
    <w:rsid w:val="008A24A4"/>
    <w:rsid w:val="008A2599"/>
    <w:rsid w:val="008A789D"/>
    <w:rsid w:val="008A7DAB"/>
    <w:rsid w:val="008B0ACD"/>
    <w:rsid w:val="008B13B6"/>
    <w:rsid w:val="008B299A"/>
    <w:rsid w:val="008B2C46"/>
    <w:rsid w:val="008B303A"/>
    <w:rsid w:val="008B3787"/>
    <w:rsid w:val="008B3ED7"/>
    <w:rsid w:val="008B4836"/>
    <w:rsid w:val="008B4954"/>
    <w:rsid w:val="008B5581"/>
    <w:rsid w:val="008B6494"/>
    <w:rsid w:val="008B680A"/>
    <w:rsid w:val="008C09AF"/>
    <w:rsid w:val="008C410B"/>
    <w:rsid w:val="008C6CA7"/>
    <w:rsid w:val="008C6CC6"/>
    <w:rsid w:val="008D054E"/>
    <w:rsid w:val="008D6FD6"/>
    <w:rsid w:val="008E02D5"/>
    <w:rsid w:val="008E0553"/>
    <w:rsid w:val="008F0855"/>
    <w:rsid w:val="008F1251"/>
    <w:rsid w:val="008F35E7"/>
    <w:rsid w:val="008F3739"/>
    <w:rsid w:val="008F47C1"/>
    <w:rsid w:val="008F690C"/>
    <w:rsid w:val="008F7709"/>
    <w:rsid w:val="008F78B5"/>
    <w:rsid w:val="0090454E"/>
    <w:rsid w:val="00905258"/>
    <w:rsid w:val="00906148"/>
    <w:rsid w:val="009068C1"/>
    <w:rsid w:val="009107C7"/>
    <w:rsid w:val="0091093B"/>
    <w:rsid w:val="009113F3"/>
    <w:rsid w:val="0091235F"/>
    <w:rsid w:val="009176C8"/>
    <w:rsid w:val="00920591"/>
    <w:rsid w:val="00920A42"/>
    <w:rsid w:val="0092124E"/>
    <w:rsid w:val="00922F94"/>
    <w:rsid w:val="009260FA"/>
    <w:rsid w:val="00927FDD"/>
    <w:rsid w:val="00930757"/>
    <w:rsid w:val="009340B2"/>
    <w:rsid w:val="009357AA"/>
    <w:rsid w:val="009373DD"/>
    <w:rsid w:val="00946B1F"/>
    <w:rsid w:val="009546B1"/>
    <w:rsid w:val="0095771B"/>
    <w:rsid w:val="00961985"/>
    <w:rsid w:val="00962DF9"/>
    <w:rsid w:val="00962F38"/>
    <w:rsid w:val="0096312C"/>
    <w:rsid w:val="00964050"/>
    <w:rsid w:val="00966EFF"/>
    <w:rsid w:val="00967454"/>
    <w:rsid w:val="0097354E"/>
    <w:rsid w:val="00974958"/>
    <w:rsid w:val="0097686A"/>
    <w:rsid w:val="009809C8"/>
    <w:rsid w:val="00980FCF"/>
    <w:rsid w:val="00981BC5"/>
    <w:rsid w:val="009854EE"/>
    <w:rsid w:val="00985DDA"/>
    <w:rsid w:val="0098625C"/>
    <w:rsid w:val="00986ED2"/>
    <w:rsid w:val="00987BE3"/>
    <w:rsid w:val="009922FC"/>
    <w:rsid w:val="00992FBA"/>
    <w:rsid w:val="009938BE"/>
    <w:rsid w:val="00993F11"/>
    <w:rsid w:val="00995A5A"/>
    <w:rsid w:val="009A1C53"/>
    <w:rsid w:val="009A2315"/>
    <w:rsid w:val="009A3638"/>
    <w:rsid w:val="009A385B"/>
    <w:rsid w:val="009A7096"/>
    <w:rsid w:val="009B1054"/>
    <w:rsid w:val="009B1172"/>
    <w:rsid w:val="009B21CF"/>
    <w:rsid w:val="009B2FC2"/>
    <w:rsid w:val="009B7F8F"/>
    <w:rsid w:val="009C143A"/>
    <w:rsid w:val="009C423C"/>
    <w:rsid w:val="009C54EB"/>
    <w:rsid w:val="009C58F7"/>
    <w:rsid w:val="009C7A8B"/>
    <w:rsid w:val="009C7CD2"/>
    <w:rsid w:val="009D426C"/>
    <w:rsid w:val="009E015A"/>
    <w:rsid w:val="009E3DA9"/>
    <w:rsid w:val="009E6044"/>
    <w:rsid w:val="009E77DA"/>
    <w:rsid w:val="009F08E9"/>
    <w:rsid w:val="009F2637"/>
    <w:rsid w:val="009F2CB9"/>
    <w:rsid w:val="009F6A20"/>
    <w:rsid w:val="00A020FF"/>
    <w:rsid w:val="00A1144D"/>
    <w:rsid w:val="00A11D1C"/>
    <w:rsid w:val="00A148A9"/>
    <w:rsid w:val="00A15DFF"/>
    <w:rsid w:val="00A2041D"/>
    <w:rsid w:val="00A20496"/>
    <w:rsid w:val="00A218C8"/>
    <w:rsid w:val="00A21A2C"/>
    <w:rsid w:val="00A21E42"/>
    <w:rsid w:val="00A22E58"/>
    <w:rsid w:val="00A233C5"/>
    <w:rsid w:val="00A23EE0"/>
    <w:rsid w:val="00A26FDD"/>
    <w:rsid w:val="00A33F36"/>
    <w:rsid w:val="00A358DD"/>
    <w:rsid w:val="00A37230"/>
    <w:rsid w:val="00A4090C"/>
    <w:rsid w:val="00A41956"/>
    <w:rsid w:val="00A42B4F"/>
    <w:rsid w:val="00A45D36"/>
    <w:rsid w:val="00A505CC"/>
    <w:rsid w:val="00A52D97"/>
    <w:rsid w:val="00A532A9"/>
    <w:rsid w:val="00A60C4D"/>
    <w:rsid w:val="00A6433D"/>
    <w:rsid w:val="00A65824"/>
    <w:rsid w:val="00A70181"/>
    <w:rsid w:val="00A71747"/>
    <w:rsid w:val="00A72EAA"/>
    <w:rsid w:val="00A7396B"/>
    <w:rsid w:val="00A73F18"/>
    <w:rsid w:val="00A76DFF"/>
    <w:rsid w:val="00A8022F"/>
    <w:rsid w:val="00A82735"/>
    <w:rsid w:val="00A82CA8"/>
    <w:rsid w:val="00A82F1F"/>
    <w:rsid w:val="00A82F89"/>
    <w:rsid w:val="00A835ED"/>
    <w:rsid w:val="00A83DEB"/>
    <w:rsid w:val="00A85167"/>
    <w:rsid w:val="00A851E5"/>
    <w:rsid w:val="00A85C06"/>
    <w:rsid w:val="00A8608B"/>
    <w:rsid w:val="00A922F4"/>
    <w:rsid w:val="00A92CFF"/>
    <w:rsid w:val="00A933B5"/>
    <w:rsid w:val="00A9409B"/>
    <w:rsid w:val="00A96DB4"/>
    <w:rsid w:val="00A97930"/>
    <w:rsid w:val="00A97EA3"/>
    <w:rsid w:val="00AA04F6"/>
    <w:rsid w:val="00AA0672"/>
    <w:rsid w:val="00AA2EE1"/>
    <w:rsid w:val="00AA37C0"/>
    <w:rsid w:val="00AA3C21"/>
    <w:rsid w:val="00AA3F24"/>
    <w:rsid w:val="00AA4D66"/>
    <w:rsid w:val="00AA4E7B"/>
    <w:rsid w:val="00AA6D39"/>
    <w:rsid w:val="00AB3D0C"/>
    <w:rsid w:val="00AB4DCA"/>
    <w:rsid w:val="00AB6578"/>
    <w:rsid w:val="00AB7256"/>
    <w:rsid w:val="00AC0DEA"/>
    <w:rsid w:val="00AC0F95"/>
    <w:rsid w:val="00AC1558"/>
    <w:rsid w:val="00AC19DE"/>
    <w:rsid w:val="00AC2AAC"/>
    <w:rsid w:val="00AC3C98"/>
    <w:rsid w:val="00AC3E9A"/>
    <w:rsid w:val="00AC5467"/>
    <w:rsid w:val="00AD0B9C"/>
    <w:rsid w:val="00AD0EC3"/>
    <w:rsid w:val="00AD2D20"/>
    <w:rsid w:val="00AD618E"/>
    <w:rsid w:val="00AD6534"/>
    <w:rsid w:val="00AD7868"/>
    <w:rsid w:val="00AD7A2A"/>
    <w:rsid w:val="00AE42AC"/>
    <w:rsid w:val="00AE4362"/>
    <w:rsid w:val="00AE4B64"/>
    <w:rsid w:val="00AE6D04"/>
    <w:rsid w:val="00AE6F2C"/>
    <w:rsid w:val="00AE7A5E"/>
    <w:rsid w:val="00AF0DE1"/>
    <w:rsid w:val="00AF0EFF"/>
    <w:rsid w:val="00AF2DA1"/>
    <w:rsid w:val="00AF3F9D"/>
    <w:rsid w:val="00AF407A"/>
    <w:rsid w:val="00B02FC9"/>
    <w:rsid w:val="00B05D2E"/>
    <w:rsid w:val="00B05DFA"/>
    <w:rsid w:val="00B120D9"/>
    <w:rsid w:val="00B12205"/>
    <w:rsid w:val="00B1456E"/>
    <w:rsid w:val="00B158E1"/>
    <w:rsid w:val="00B17565"/>
    <w:rsid w:val="00B255C8"/>
    <w:rsid w:val="00B25CAC"/>
    <w:rsid w:val="00B268FE"/>
    <w:rsid w:val="00B321E5"/>
    <w:rsid w:val="00B3348C"/>
    <w:rsid w:val="00B33946"/>
    <w:rsid w:val="00B3505E"/>
    <w:rsid w:val="00B3742E"/>
    <w:rsid w:val="00B4060F"/>
    <w:rsid w:val="00B44174"/>
    <w:rsid w:val="00B456DD"/>
    <w:rsid w:val="00B46A22"/>
    <w:rsid w:val="00B526ED"/>
    <w:rsid w:val="00B52732"/>
    <w:rsid w:val="00B52D4F"/>
    <w:rsid w:val="00B53C9C"/>
    <w:rsid w:val="00B541C8"/>
    <w:rsid w:val="00B56875"/>
    <w:rsid w:val="00B60C4A"/>
    <w:rsid w:val="00B612D3"/>
    <w:rsid w:val="00B66C1A"/>
    <w:rsid w:val="00B70687"/>
    <w:rsid w:val="00B70CEA"/>
    <w:rsid w:val="00B73F71"/>
    <w:rsid w:val="00B74AF8"/>
    <w:rsid w:val="00B75E02"/>
    <w:rsid w:val="00B76170"/>
    <w:rsid w:val="00B76E61"/>
    <w:rsid w:val="00B77241"/>
    <w:rsid w:val="00B84082"/>
    <w:rsid w:val="00B91D29"/>
    <w:rsid w:val="00B92F9B"/>
    <w:rsid w:val="00B935EB"/>
    <w:rsid w:val="00B95964"/>
    <w:rsid w:val="00B95BFA"/>
    <w:rsid w:val="00B97420"/>
    <w:rsid w:val="00B9758C"/>
    <w:rsid w:val="00B97D5F"/>
    <w:rsid w:val="00BA1145"/>
    <w:rsid w:val="00BA30E6"/>
    <w:rsid w:val="00BA5747"/>
    <w:rsid w:val="00BA6234"/>
    <w:rsid w:val="00BA6A91"/>
    <w:rsid w:val="00BA7A87"/>
    <w:rsid w:val="00BB3875"/>
    <w:rsid w:val="00BB4492"/>
    <w:rsid w:val="00BB56C7"/>
    <w:rsid w:val="00BB6CE5"/>
    <w:rsid w:val="00BB7E85"/>
    <w:rsid w:val="00BC1FF9"/>
    <w:rsid w:val="00BC34DD"/>
    <w:rsid w:val="00BC56A9"/>
    <w:rsid w:val="00BD52E5"/>
    <w:rsid w:val="00BD549C"/>
    <w:rsid w:val="00BD6EFB"/>
    <w:rsid w:val="00BD7295"/>
    <w:rsid w:val="00BD7A1C"/>
    <w:rsid w:val="00BE0A62"/>
    <w:rsid w:val="00BE1740"/>
    <w:rsid w:val="00BE3865"/>
    <w:rsid w:val="00BE4B04"/>
    <w:rsid w:val="00BE7123"/>
    <w:rsid w:val="00BF0D11"/>
    <w:rsid w:val="00BF10AD"/>
    <w:rsid w:val="00BF1BB0"/>
    <w:rsid w:val="00BF3A2E"/>
    <w:rsid w:val="00BF409C"/>
    <w:rsid w:val="00BF5416"/>
    <w:rsid w:val="00BF767F"/>
    <w:rsid w:val="00C0157B"/>
    <w:rsid w:val="00C0231B"/>
    <w:rsid w:val="00C05C1D"/>
    <w:rsid w:val="00C10CA1"/>
    <w:rsid w:val="00C1212F"/>
    <w:rsid w:val="00C12141"/>
    <w:rsid w:val="00C12236"/>
    <w:rsid w:val="00C1692B"/>
    <w:rsid w:val="00C17751"/>
    <w:rsid w:val="00C20796"/>
    <w:rsid w:val="00C21163"/>
    <w:rsid w:val="00C2123E"/>
    <w:rsid w:val="00C22D16"/>
    <w:rsid w:val="00C237C1"/>
    <w:rsid w:val="00C26EFA"/>
    <w:rsid w:val="00C3027B"/>
    <w:rsid w:val="00C3113A"/>
    <w:rsid w:val="00C312BC"/>
    <w:rsid w:val="00C40119"/>
    <w:rsid w:val="00C40171"/>
    <w:rsid w:val="00C401FE"/>
    <w:rsid w:val="00C40460"/>
    <w:rsid w:val="00C43B29"/>
    <w:rsid w:val="00C43B5A"/>
    <w:rsid w:val="00C43E8E"/>
    <w:rsid w:val="00C5218E"/>
    <w:rsid w:val="00C5600C"/>
    <w:rsid w:val="00C56A7B"/>
    <w:rsid w:val="00C65517"/>
    <w:rsid w:val="00C65552"/>
    <w:rsid w:val="00C66D76"/>
    <w:rsid w:val="00C72755"/>
    <w:rsid w:val="00C73789"/>
    <w:rsid w:val="00C74599"/>
    <w:rsid w:val="00C764EE"/>
    <w:rsid w:val="00C76578"/>
    <w:rsid w:val="00C81A9E"/>
    <w:rsid w:val="00C8337B"/>
    <w:rsid w:val="00C83BC2"/>
    <w:rsid w:val="00C85551"/>
    <w:rsid w:val="00C85B7A"/>
    <w:rsid w:val="00C87000"/>
    <w:rsid w:val="00C90768"/>
    <w:rsid w:val="00C94BEE"/>
    <w:rsid w:val="00C96E84"/>
    <w:rsid w:val="00C97957"/>
    <w:rsid w:val="00CA0021"/>
    <w:rsid w:val="00CA1A79"/>
    <w:rsid w:val="00CA4CC7"/>
    <w:rsid w:val="00CA6E7B"/>
    <w:rsid w:val="00CB0BFF"/>
    <w:rsid w:val="00CB12BF"/>
    <w:rsid w:val="00CB16ED"/>
    <w:rsid w:val="00CB211D"/>
    <w:rsid w:val="00CB2955"/>
    <w:rsid w:val="00CB4BF9"/>
    <w:rsid w:val="00CB5493"/>
    <w:rsid w:val="00CC2909"/>
    <w:rsid w:val="00CC3323"/>
    <w:rsid w:val="00CC38FD"/>
    <w:rsid w:val="00CC40D8"/>
    <w:rsid w:val="00CC457A"/>
    <w:rsid w:val="00CC5496"/>
    <w:rsid w:val="00CD0609"/>
    <w:rsid w:val="00CD288B"/>
    <w:rsid w:val="00CD2969"/>
    <w:rsid w:val="00CD3285"/>
    <w:rsid w:val="00CD3A9B"/>
    <w:rsid w:val="00CD3BCF"/>
    <w:rsid w:val="00CD50C4"/>
    <w:rsid w:val="00CD5D60"/>
    <w:rsid w:val="00CD6BBF"/>
    <w:rsid w:val="00CD6C2A"/>
    <w:rsid w:val="00CE17CE"/>
    <w:rsid w:val="00CE3F6D"/>
    <w:rsid w:val="00CE7413"/>
    <w:rsid w:val="00CE7BF6"/>
    <w:rsid w:val="00CF0822"/>
    <w:rsid w:val="00CF0EC5"/>
    <w:rsid w:val="00CF12D4"/>
    <w:rsid w:val="00CF3829"/>
    <w:rsid w:val="00CF5A86"/>
    <w:rsid w:val="00D00305"/>
    <w:rsid w:val="00D03971"/>
    <w:rsid w:val="00D04B7E"/>
    <w:rsid w:val="00D06F53"/>
    <w:rsid w:val="00D06F57"/>
    <w:rsid w:val="00D112FF"/>
    <w:rsid w:val="00D117FE"/>
    <w:rsid w:val="00D16164"/>
    <w:rsid w:val="00D163FD"/>
    <w:rsid w:val="00D17A3C"/>
    <w:rsid w:val="00D220D4"/>
    <w:rsid w:val="00D233A2"/>
    <w:rsid w:val="00D255EB"/>
    <w:rsid w:val="00D265C2"/>
    <w:rsid w:val="00D26F6C"/>
    <w:rsid w:val="00D2721C"/>
    <w:rsid w:val="00D2741C"/>
    <w:rsid w:val="00D279B0"/>
    <w:rsid w:val="00D30434"/>
    <w:rsid w:val="00D30721"/>
    <w:rsid w:val="00D30934"/>
    <w:rsid w:val="00D406B2"/>
    <w:rsid w:val="00D40B0F"/>
    <w:rsid w:val="00D4298F"/>
    <w:rsid w:val="00D43783"/>
    <w:rsid w:val="00D44853"/>
    <w:rsid w:val="00D44BBF"/>
    <w:rsid w:val="00D471FC"/>
    <w:rsid w:val="00D47225"/>
    <w:rsid w:val="00D516DD"/>
    <w:rsid w:val="00D5705E"/>
    <w:rsid w:val="00D60F09"/>
    <w:rsid w:val="00D62108"/>
    <w:rsid w:val="00D634C9"/>
    <w:rsid w:val="00D64A04"/>
    <w:rsid w:val="00D65CA3"/>
    <w:rsid w:val="00D7108D"/>
    <w:rsid w:val="00D73232"/>
    <w:rsid w:val="00D7362D"/>
    <w:rsid w:val="00D7551C"/>
    <w:rsid w:val="00D77A70"/>
    <w:rsid w:val="00D77CCA"/>
    <w:rsid w:val="00D800B0"/>
    <w:rsid w:val="00D827F1"/>
    <w:rsid w:val="00D82A58"/>
    <w:rsid w:val="00D8448B"/>
    <w:rsid w:val="00D8733C"/>
    <w:rsid w:val="00D94A17"/>
    <w:rsid w:val="00D95736"/>
    <w:rsid w:val="00D96A96"/>
    <w:rsid w:val="00D97955"/>
    <w:rsid w:val="00DA11E1"/>
    <w:rsid w:val="00DA4016"/>
    <w:rsid w:val="00DA4C85"/>
    <w:rsid w:val="00DA5B92"/>
    <w:rsid w:val="00DB285B"/>
    <w:rsid w:val="00DB62B3"/>
    <w:rsid w:val="00DB6D8F"/>
    <w:rsid w:val="00DC2388"/>
    <w:rsid w:val="00DC4561"/>
    <w:rsid w:val="00DC5150"/>
    <w:rsid w:val="00DC57C3"/>
    <w:rsid w:val="00DC7403"/>
    <w:rsid w:val="00DC7B69"/>
    <w:rsid w:val="00DD065E"/>
    <w:rsid w:val="00DD06C0"/>
    <w:rsid w:val="00DD0CED"/>
    <w:rsid w:val="00DD50AA"/>
    <w:rsid w:val="00DD5234"/>
    <w:rsid w:val="00DD5EBD"/>
    <w:rsid w:val="00DD5FD3"/>
    <w:rsid w:val="00DD7018"/>
    <w:rsid w:val="00DE2822"/>
    <w:rsid w:val="00DE2AAA"/>
    <w:rsid w:val="00DE53DB"/>
    <w:rsid w:val="00DE6F9D"/>
    <w:rsid w:val="00DF0431"/>
    <w:rsid w:val="00DF130C"/>
    <w:rsid w:val="00DF1CA9"/>
    <w:rsid w:val="00DF1DE5"/>
    <w:rsid w:val="00DF33FA"/>
    <w:rsid w:val="00DF4482"/>
    <w:rsid w:val="00DF6B63"/>
    <w:rsid w:val="00DF7738"/>
    <w:rsid w:val="00E01FED"/>
    <w:rsid w:val="00E04730"/>
    <w:rsid w:val="00E058A8"/>
    <w:rsid w:val="00E065C1"/>
    <w:rsid w:val="00E06A0B"/>
    <w:rsid w:val="00E07289"/>
    <w:rsid w:val="00E10084"/>
    <w:rsid w:val="00E102BC"/>
    <w:rsid w:val="00E10B0F"/>
    <w:rsid w:val="00E116EC"/>
    <w:rsid w:val="00E118CF"/>
    <w:rsid w:val="00E11C74"/>
    <w:rsid w:val="00E15B4B"/>
    <w:rsid w:val="00E161FA"/>
    <w:rsid w:val="00E2074C"/>
    <w:rsid w:val="00E20F42"/>
    <w:rsid w:val="00E212E0"/>
    <w:rsid w:val="00E226D4"/>
    <w:rsid w:val="00E22B14"/>
    <w:rsid w:val="00E24A4A"/>
    <w:rsid w:val="00E2530B"/>
    <w:rsid w:val="00E2574A"/>
    <w:rsid w:val="00E400A3"/>
    <w:rsid w:val="00E407D9"/>
    <w:rsid w:val="00E41ED4"/>
    <w:rsid w:val="00E45317"/>
    <w:rsid w:val="00E45D43"/>
    <w:rsid w:val="00E46855"/>
    <w:rsid w:val="00E46E35"/>
    <w:rsid w:val="00E47CB8"/>
    <w:rsid w:val="00E5064F"/>
    <w:rsid w:val="00E514A4"/>
    <w:rsid w:val="00E51B6F"/>
    <w:rsid w:val="00E51CCF"/>
    <w:rsid w:val="00E526BF"/>
    <w:rsid w:val="00E55463"/>
    <w:rsid w:val="00E5719B"/>
    <w:rsid w:val="00E64018"/>
    <w:rsid w:val="00E642F9"/>
    <w:rsid w:val="00E67961"/>
    <w:rsid w:val="00E67B0F"/>
    <w:rsid w:val="00E67BEB"/>
    <w:rsid w:val="00E72A12"/>
    <w:rsid w:val="00E76572"/>
    <w:rsid w:val="00E827EE"/>
    <w:rsid w:val="00E851F6"/>
    <w:rsid w:val="00E86720"/>
    <w:rsid w:val="00E86B76"/>
    <w:rsid w:val="00E924A4"/>
    <w:rsid w:val="00E95AF6"/>
    <w:rsid w:val="00E96387"/>
    <w:rsid w:val="00E9666B"/>
    <w:rsid w:val="00EA333F"/>
    <w:rsid w:val="00EA5A5E"/>
    <w:rsid w:val="00EA6173"/>
    <w:rsid w:val="00EA63DA"/>
    <w:rsid w:val="00EA75BB"/>
    <w:rsid w:val="00EB064F"/>
    <w:rsid w:val="00EB0DD4"/>
    <w:rsid w:val="00EB5035"/>
    <w:rsid w:val="00EB7482"/>
    <w:rsid w:val="00EC40FA"/>
    <w:rsid w:val="00EC4B59"/>
    <w:rsid w:val="00EC7574"/>
    <w:rsid w:val="00EC769F"/>
    <w:rsid w:val="00EC7907"/>
    <w:rsid w:val="00EC7DAB"/>
    <w:rsid w:val="00ED08CB"/>
    <w:rsid w:val="00ED0D47"/>
    <w:rsid w:val="00ED1E87"/>
    <w:rsid w:val="00ED21F8"/>
    <w:rsid w:val="00ED2A3A"/>
    <w:rsid w:val="00ED687C"/>
    <w:rsid w:val="00EE0164"/>
    <w:rsid w:val="00EE1FC7"/>
    <w:rsid w:val="00EE3158"/>
    <w:rsid w:val="00EE33FE"/>
    <w:rsid w:val="00EE3DCF"/>
    <w:rsid w:val="00EE580C"/>
    <w:rsid w:val="00EF0AD2"/>
    <w:rsid w:val="00EF0C73"/>
    <w:rsid w:val="00EF4AC0"/>
    <w:rsid w:val="00EF5E6F"/>
    <w:rsid w:val="00EF7AD0"/>
    <w:rsid w:val="00F024B7"/>
    <w:rsid w:val="00F03EF8"/>
    <w:rsid w:val="00F047F3"/>
    <w:rsid w:val="00F055E9"/>
    <w:rsid w:val="00F05C58"/>
    <w:rsid w:val="00F07E7D"/>
    <w:rsid w:val="00F11CDB"/>
    <w:rsid w:val="00F127B9"/>
    <w:rsid w:val="00F13C1E"/>
    <w:rsid w:val="00F1543B"/>
    <w:rsid w:val="00F17FE5"/>
    <w:rsid w:val="00F21840"/>
    <w:rsid w:val="00F23B1F"/>
    <w:rsid w:val="00F24050"/>
    <w:rsid w:val="00F24482"/>
    <w:rsid w:val="00F25FCC"/>
    <w:rsid w:val="00F2665F"/>
    <w:rsid w:val="00F26AD6"/>
    <w:rsid w:val="00F27A57"/>
    <w:rsid w:val="00F355E3"/>
    <w:rsid w:val="00F3653A"/>
    <w:rsid w:val="00F43779"/>
    <w:rsid w:val="00F45B58"/>
    <w:rsid w:val="00F46D42"/>
    <w:rsid w:val="00F47616"/>
    <w:rsid w:val="00F529F2"/>
    <w:rsid w:val="00F54518"/>
    <w:rsid w:val="00F55CD3"/>
    <w:rsid w:val="00F61A97"/>
    <w:rsid w:val="00F63681"/>
    <w:rsid w:val="00F83943"/>
    <w:rsid w:val="00F907C8"/>
    <w:rsid w:val="00F924B0"/>
    <w:rsid w:val="00F9381E"/>
    <w:rsid w:val="00F95A34"/>
    <w:rsid w:val="00FA0AE3"/>
    <w:rsid w:val="00FA1D01"/>
    <w:rsid w:val="00FA1F4A"/>
    <w:rsid w:val="00FA2097"/>
    <w:rsid w:val="00FA2D2A"/>
    <w:rsid w:val="00FA4A25"/>
    <w:rsid w:val="00FA5732"/>
    <w:rsid w:val="00FA5D2C"/>
    <w:rsid w:val="00FB2000"/>
    <w:rsid w:val="00FB5304"/>
    <w:rsid w:val="00FB697E"/>
    <w:rsid w:val="00FC000B"/>
    <w:rsid w:val="00FC073E"/>
    <w:rsid w:val="00FC1D51"/>
    <w:rsid w:val="00FC436E"/>
    <w:rsid w:val="00FC6201"/>
    <w:rsid w:val="00FC71FA"/>
    <w:rsid w:val="00FD08B3"/>
    <w:rsid w:val="00FD38A5"/>
    <w:rsid w:val="00FD4468"/>
    <w:rsid w:val="00FD66B9"/>
    <w:rsid w:val="00FE01CB"/>
    <w:rsid w:val="00FE065F"/>
    <w:rsid w:val="00FE14A5"/>
    <w:rsid w:val="00FE1909"/>
    <w:rsid w:val="00FE4CA8"/>
    <w:rsid w:val="00FE6915"/>
    <w:rsid w:val="00FF11C0"/>
    <w:rsid w:val="00FF18D0"/>
    <w:rsid w:val="00FF4A67"/>
    <w:rsid w:val="00FF67F1"/>
    <w:rsid w:val="00FF70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A3930"/>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basedOn w:val="Fontepargpadro"/>
    <w:semiHidden/>
    <w:rsid w:val="005A3930"/>
    <w:rPr>
      <w:vertAlign w:val="superscript"/>
    </w:rPr>
  </w:style>
  <w:style w:type="paragraph" w:styleId="Textodenotaderodap">
    <w:name w:val="footnote text"/>
    <w:basedOn w:val="Normal"/>
    <w:link w:val="TextodenotaderodapChar"/>
    <w:semiHidden/>
    <w:rsid w:val="005A3930"/>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5A3930"/>
    <w:rPr>
      <w:lang w:val="pt-PT" w:eastAsia="zh-CN"/>
    </w:rPr>
  </w:style>
  <w:style w:type="character" w:styleId="Nmerodepgina">
    <w:name w:val="page number"/>
    <w:basedOn w:val="Fontepargpadro"/>
    <w:rsid w:val="005A3930"/>
  </w:style>
  <w:style w:type="paragraph" w:styleId="Rodap">
    <w:name w:val="footer"/>
    <w:basedOn w:val="Normal"/>
    <w:link w:val="RodapChar"/>
    <w:rsid w:val="005A3930"/>
    <w:pPr>
      <w:tabs>
        <w:tab w:val="center" w:pos="4320"/>
        <w:tab w:val="right" w:pos="8640"/>
      </w:tabs>
      <w:ind w:firstLine="720"/>
    </w:pPr>
    <w:rPr>
      <w:rFonts w:ascii="Times New Roman" w:hAnsi="Times New Roman"/>
      <w:noProof w:val="0"/>
      <w:lang w:eastAsia="zh-CN"/>
    </w:rPr>
  </w:style>
  <w:style w:type="character" w:customStyle="1" w:styleId="RodapChar">
    <w:name w:val="Rodapé Char"/>
    <w:basedOn w:val="Fontepargpadro"/>
    <w:link w:val="Rodap"/>
    <w:rsid w:val="005A3930"/>
    <w:rPr>
      <w:sz w:val="24"/>
      <w:szCs w:val="24"/>
      <w:lang w:val="pt-PT" w:eastAsia="zh-CN"/>
    </w:rPr>
  </w:style>
  <w:style w:type="paragraph" w:styleId="Ttulo">
    <w:name w:val="Title"/>
    <w:basedOn w:val="Normal"/>
    <w:link w:val="TtuloChar"/>
    <w:qFormat/>
    <w:rsid w:val="005A3930"/>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5A3930"/>
    <w:rPr>
      <w:b/>
      <w:bCs/>
      <w:kern w:val="28"/>
      <w:sz w:val="32"/>
      <w:szCs w:val="32"/>
      <w:lang w:val="pt-PT" w:eastAsia="zh-CN"/>
    </w:rPr>
  </w:style>
  <w:style w:type="paragraph" w:styleId="Cabealho">
    <w:name w:val="header"/>
    <w:basedOn w:val="Normal"/>
    <w:link w:val="CabealhoChar"/>
    <w:uiPriority w:val="99"/>
    <w:semiHidden/>
    <w:unhideWhenUsed/>
    <w:rsid w:val="006905A0"/>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6905A0"/>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BA8DD-D247-4D2D-8751-9AFC8749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4927</TotalTime>
  <Pages>45</Pages>
  <Words>15625</Words>
  <Characters>89066</Characters>
  <Application>Microsoft Office Word</Application>
  <DocSecurity>0</DocSecurity>
  <Lines>742</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879</cp:revision>
  <dcterms:created xsi:type="dcterms:W3CDTF">2010-10-07T00:34:00Z</dcterms:created>
  <dcterms:modified xsi:type="dcterms:W3CDTF">2015-05-21T15:54:00Z</dcterms:modified>
</cp:coreProperties>
</file>