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D4E" w:rsidRPr="006552C5" w:rsidRDefault="00A61D4E" w:rsidP="00713C4D">
      <w:pPr>
        <w:pStyle w:val="Ttulo"/>
        <w:spacing w:before="3000" w:after="960"/>
        <w:rPr>
          <w:rFonts w:ascii="Arial Narrow" w:hAnsi="Arial Narrow"/>
        </w:rPr>
      </w:pPr>
      <w:r w:rsidRPr="006552C5">
        <w:rPr>
          <w:rFonts w:ascii="Arial Narrow" w:hAnsi="Arial Narrow"/>
        </w:rPr>
        <w:t>Parte 5</w:t>
      </w:r>
      <w:r w:rsidRPr="006552C5">
        <w:rPr>
          <w:rFonts w:ascii="Arial Narrow" w:hAnsi="Arial Narrow"/>
        </w:rPr>
        <w:br/>
        <w:t>ESTÉTICA</w:t>
      </w:r>
    </w:p>
    <w:p w:rsidR="00A61D4E" w:rsidRPr="006552C5" w:rsidRDefault="00A61D4E" w:rsidP="00A61D4E">
      <w:pPr>
        <w:pStyle w:val="Ttulo"/>
        <w:spacing w:before="0" w:after="960"/>
        <w:rPr>
          <w:rFonts w:ascii="Arial Narrow" w:hAnsi="Arial Narrow"/>
        </w:rPr>
      </w:pPr>
      <w:r w:rsidRPr="006552C5">
        <w:rPr>
          <w:rFonts w:ascii="Arial Narrow" w:hAnsi="Arial Narrow"/>
        </w:rPr>
        <w:br w:type="page"/>
      </w:r>
      <w:r w:rsidRPr="006552C5">
        <w:rPr>
          <w:rFonts w:ascii="Arial Narrow" w:hAnsi="Arial Narrow"/>
        </w:rPr>
        <w:lastRenderedPageBreak/>
        <w:t>Capítulo 1</w:t>
      </w:r>
      <w:r w:rsidRPr="006552C5">
        <w:rPr>
          <w:rFonts w:ascii="Arial Narrow" w:hAnsi="Arial Narrow"/>
        </w:rPr>
        <w:br/>
        <w:t>O FASCISMO COMO ESTÉTICA</w:t>
      </w:r>
    </w:p>
    <w:p w:rsidR="00A61D4E" w:rsidRPr="006552C5" w:rsidRDefault="00A61D4E" w:rsidP="00713C4D">
      <w:pPr>
        <w:keepNext/>
        <w:spacing w:after="360"/>
        <w:ind w:firstLine="0"/>
        <w:jc w:val="center"/>
        <w:rPr>
          <w:b/>
          <w:sz w:val="28"/>
        </w:rPr>
      </w:pPr>
      <w:r w:rsidRPr="006552C5">
        <w:rPr>
          <w:b/>
          <w:sz w:val="28"/>
        </w:rPr>
        <w:t>1. O fascismo foi uma estética por necessidade</w:t>
      </w:r>
    </w:p>
    <w:p w:rsidR="00A61D4E" w:rsidRPr="006552C5" w:rsidRDefault="00A61D4E" w:rsidP="00A61D4E">
      <w:r w:rsidRPr="006552C5">
        <w:t xml:space="preserve">Todo o movimento político que se situe acima das classes e pretenda conciliá-las tem de recorrer a símbolos. No seu célebre quadro sobre a revolução parisiense de 1830, </w:t>
      </w:r>
      <w:r w:rsidRPr="006552C5">
        <w:rPr>
          <w:i/>
        </w:rPr>
        <w:t>La Liberté guidant le peuple,</w:t>
      </w:r>
      <w:r w:rsidRPr="006552C5">
        <w:t xml:space="preserve"> logo atrás de um primeiro plano de cadáveres, emancipados deste vale de lágrimas e das suas divisões sociais, e que por isso aparecem rotos, seminus, quase desprovidos de representações vestiment</w:t>
      </w:r>
      <w:r>
        <w:t>á</w:t>
      </w:r>
      <w:r w:rsidRPr="006552C5">
        <w:t>r</w:t>
      </w:r>
      <w:r>
        <w:t>ia</w:t>
      </w:r>
      <w:r w:rsidRPr="006552C5">
        <w:t xml:space="preserve">s já inúteis, Delacroix figurou um burguês e um proletário, irmanados pela força da multidão que os impele, e da qual nos apercebemos como isso mesmo, uma massa humana gesticulante, confundida no mesmo tom sombrio, envolta nas nuvens dos incêndios e da pólvora. Contra este fundo homogéneo de um movimento colectivo, mais acentuado </w:t>
      </w:r>
      <w:r>
        <w:t xml:space="preserve">se torna </w:t>
      </w:r>
      <w:r w:rsidRPr="006552C5">
        <w:t xml:space="preserve">o contraste entre a blusa branca do operário, aberta no peito, as suas calças de trabalho, a boina, e a casaca e o colete negros do burguês, a gravata que lhe cinge a camisa no pescoço, o chapéu alto, que não sei como não cai no meio de tanta agitação. O que une aqueles dois homens, que tudo separa na vida? Nada de real, um símbolo apenas, a liberdade, que cada um entende à sua maneira, e que amanhã, se não hoje mesmo, os oporá em vez de os juntar. Para fundir as classes num mito comum não bastaram ao pintor os recursos exclusivamente formais, o turbilhão de movimentos e luz que envolve </w:t>
      </w:r>
      <w:r>
        <w:t>o</w:t>
      </w:r>
      <w:r w:rsidRPr="006552C5">
        <w:t xml:space="preserve">s personagens numa espiral e confere ao quadro uma indubitável unidade. A consciência das clivagens sociais era já demasiado profunda para que pudesse encontrar resposta no campo das formas apenas. Foi necessária a introdução de um elemento narrativo, explicitamente ideológico, dando corpo à abstracção. É uma operação que decorre na esfera da magia, inventar uma personagem, ao mesmo tempo ideal e com traços humanos, e encarregá-la, mediante a sua mera invocação, de resolver uma contradição insolúvel. Ei-la então, essa Liberdade, com o corpo projectado para diante e banhada já por uma nova claridade, um amanhã que a ilumina, mas que mal atinge ainda a criança armada de duas pistolas, a nova geração que caminha a seu lado. A Liberdade incita o povo ao ataque e ergue-se acima dos mortos, que para ela não constituem obstáculo, enquanto o burguês e o proletário se protegem com a pilha de cadáveres e, como que recuando um pouco naquele minuto decisivo, parecem mais impulsionados pela multidão informe do que capazes de a conduzir. Na cabeça o barrete frígio, sinal de emancipação, na mão a bandeira, as </w:t>
      </w:r>
      <w:r w:rsidRPr="006552C5">
        <w:lastRenderedPageBreak/>
        <w:t>cores representando a nova dinastia, o peito nu, tão nu como o corpo do combatente morto que a prolonga esteticamente no ângulo estruturante do quadro, um já fora das classes sociais, a outra sempre acima delas, esta fantasm</w:t>
      </w:r>
      <w:r>
        <w:t xml:space="preserve">al </w:t>
      </w:r>
      <w:r w:rsidRPr="006552C5">
        <w:t xml:space="preserve">Liberdade demonstra, pelo seu próprio aparecimento, que sem o artista, e a sua arte, nada poderia ocultar os antagonismos sociais e ultrapassá-los. Os símbolos da conciliação de classes são obrigatoriamente estéticos. </w:t>
      </w:r>
    </w:p>
    <w:p w:rsidR="00A61D4E" w:rsidRPr="006552C5" w:rsidRDefault="00A61D4E" w:rsidP="00A61D4E">
      <w:r w:rsidRPr="006552C5">
        <w:t xml:space="preserve">Na França de 1830 tratava-se de instaurar uma democracia parlamentar, a expressão colectiva dos interesses múltiplos e diversificados da burguesia. Não era um poder individualizado mas anónimo, que residia nas funções e não nas pessoas. Por isso aquele símbolo não podia ter outro corpo senão o que convinha a uma abstracção. Mas os fascistas, tal como antes o haviam já feito os seus antecessores jacobinos, deram uma solução diferente ao problema, preenchendo o símbolo com uma pessoa real. Em 1924, em Itália, por ocasião do assassinato de Matteotti, quando os partidos da oposição </w:t>
      </w:r>
      <w:r w:rsidR="008B5128">
        <w:t>se esforçavam</w:t>
      </w:r>
      <w:r w:rsidRPr="006552C5">
        <w:t xml:space="preserve"> tardiamente </w:t>
      </w:r>
      <w:r w:rsidR="008B5128">
        <w:t xml:space="preserve">por </w:t>
      </w:r>
      <w:r w:rsidRPr="006552C5">
        <w:t xml:space="preserve">aproveitar a oportunidade </w:t>
      </w:r>
      <w:r w:rsidR="00AA2170">
        <w:t>para</w:t>
      </w:r>
      <w:r w:rsidR="008B5128">
        <w:t xml:space="preserve"> </w:t>
      </w:r>
      <w:r w:rsidRPr="006552C5">
        <w:t>derrubar o regime e muitos julgavam que o fim do fascismo estava próximo, Farinacci ergueu-se em plena Câmara dos Deputados e bradou: «Em Mussolini não se toca. Mussolini é um mito». E de pouco valeu ao Duce retorquir que estava bem vivo e com os pés na terra</w:t>
      </w:r>
      <w:r w:rsidRPr="006552C5">
        <w:rPr>
          <w:rStyle w:val="Refdenotaderodap"/>
        </w:rPr>
        <w:footnoteReference w:id="1"/>
      </w:r>
      <w:r w:rsidRPr="006552C5">
        <w:t>, porque nada dis</w:t>
      </w:r>
      <w:r>
        <w:t>t</w:t>
      </w:r>
      <w:r w:rsidRPr="006552C5">
        <w:t>o interessava e sem a projecção mítica do seu chefe o fascismo não teria tomado corpo nem continuaria a existir. Quinze anos mais tarde sucedia que Mussolini se referisse a si mesmo na terceira pessoa. «Fala dele próprio como se fosse outro</w:t>
      </w:r>
      <w:r w:rsidR="00BE53F9">
        <w:t xml:space="preserve">», observou </w:t>
      </w:r>
      <w:r w:rsidR="00414046" w:rsidRPr="006552C5">
        <w:t xml:space="preserve">Giuseppe </w:t>
      </w:r>
      <w:r w:rsidR="00BE53F9">
        <w:t>Bottai</w:t>
      </w:r>
      <w:r w:rsidRPr="006552C5">
        <w:t xml:space="preserve">. </w:t>
      </w:r>
      <w:r w:rsidR="00BE53F9">
        <w:t>«</w:t>
      </w:r>
      <w:r w:rsidRPr="006552C5">
        <w:t>Já não é o homem que é, mas o seu fantasma»</w:t>
      </w:r>
      <w:r w:rsidRPr="006552C5">
        <w:rPr>
          <w:rStyle w:val="Refdenotaderodap"/>
        </w:rPr>
        <w:footnoteReference w:id="2"/>
      </w:r>
      <w:r w:rsidRPr="006552C5">
        <w:t>. O herói em política, o chefe, é um actor apenas, corporalizando um símbolo. E assim a estética, que no parlamentarismo não ultrapassa o plano dos acessórios, no poder pessoal confunde-se com a própria actuação política. Robespierre, Bonaparte depois dele e o terceiro Napoleão foram essencialmente actores, movimentando figurantes. Todavia, o fascismo elevou ao máximo expoente o supraclassismo e a aparente fusão de todo o povo, por isso a necessidade de símbolos atingiu a</w:t>
      </w:r>
      <w:r w:rsidR="000C635F">
        <w:t>li</w:t>
      </w:r>
      <w:r w:rsidRPr="006552C5">
        <w:t xml:space="preserve"> um grau sem precedentes e a política reduzi</w:t>
      </w:r>
      <w:r>
        <w:t>u</w:t>
      </w:r>
      <w:r w:rsidRPr="006552C5">
        <w:t xml:space="preserve">-se, pela primeira vez, a um desempenho exclusivamente estético. </w:t>
      </w:r>
      <w:r w:rsidR="00FA796E" w:rsidRPr="009B3836">
        <w:t xml:space="preserve">As milícias em que patrões e trabalhadores envergavam uniformes iguais, os desfiles em que todos eles marchavam no mesmo passo cadenciado, as colossais paradas em que gente das mais diversas profissões se misturava em longuíssimas filas traçadas com rigor, </w:t>
      </w:r>
      <w:r w:rsidR="00882990">
        <w:t xml:space="preserve">a mobilização em </w:t>
      </w:r>
      <w:r w:rsidR="00FA796E" w:rsidRPr="009B3836">
        <w:t xml:space="preserve">actividades conjuntas </w:t>
      </w:r>
      <w:r w:rsidR="00882990">
        <w:t>d</w:t>
      </w:r>
      <w:r w:rsidR="00FA796E" w:rsidRPr="009B3836">
        <w:t xml:space="preserve">os jovens de qualquer origem </w:t>
      </w:r>
      <w:r w:rsidR="00650A36">
        <w:t>vestindo</w:t>
      </w:r>
      <w:r w:rsidR="00882990">
        <w:t xml:space="preserve"> </w:t>
      </w:r>
      <w:r w:rsidR="00FA796E" w:rsidRPr="009B3836">
        <w:t xml:space="preserve">fardamentos idênticos, </w:t>
      </w:r>
      <w:r w:rsidR="00882990" w:rsidRPr="009B3836">
        <w:t xml:space="preserve">esta espécie de socialismo de alfaiate </w:t>
      </w:r>
      <w:r w:rsidR="00FA796E" w:rsidRPr="009B3836">
        <w:t xml:space="preserve">servia para escamotear precisamente aquilo que se proclamava e para confundir numa aparência homogénea as </w:t>
      </w:r>
      <w:r w:rsidR="00FA796E" w:rsidRPr="009B3836">
        <w:lastRenderedPageBreak/>
        <w:t>oposições de classe e as diferenças de estatuto</w:t>
      </w:r>
      <w:r w:rsidR="00264223">
        <w:t xml:space="preserve">. «O facto de os nossos membros mais activos usarem a camisa negra», </w:t>
      </w:r>
      <w:r w:rsidR="00A117AD">
        <w:t xml:space="preserve">pretendeu </w:t>
      </w:r>
      <w:r w:rsidR="00414046">
        <w:t xml:space="preserve">Sir </w:t>
      </w:r>
      <w:r w:rsidR="00A117AD">
        <w:t xml:space="preserve">Oswald Mosley, </w:t>
      </w:r>
      <w:r w:rsidR="00264223">
        <w:t>«rompe entre nós todas as barreiras de classe, porque todos estão vestidos da mesma maneira»</w:t>
      </w:r>
      <w:r w:rsidR="00264223">
        <w:rPr>
          <w:rStyle w:val="Refdenotaderodap"/>
        </w:rPr>
        <w:footnoteReference w:id="3"/>
      </w:r>
      <w:r w:rsidR="00FA796E" w:rsidRPr="009B3836">
        <w:t xml:space="preserve">. </w:t>
      </w:r>
      <w:r w:rsidR="00FA796E">
        <w:t xml:space="preserve">De um lado a nação ou a raça afirmadas como colectividade porque </w:t>
      </w:r>
      <w:r w:rsidR="00650A36">
        <w:t>trajavam</w:t>
      </w:r>
      <w:r w:rsidR="00FA796E">
        <w:t xml:space="preserve"> a mesma roupa, e perante ela, exaltado no lugar único que lhe cabia, o chefe. Esta encenação constituiu a realidade última do fascismo. </w:t>
      </w:r>
      <w:r w:rsidRPr="006552C5">
        <w:t xml:space="preserve">«O mussolinismo tornara-se um ritual, uma liturgia», recordou tarde demais Bottai, e lamentou que o homem Mussolini não tivesse sido capaz de resistir ao mito e que, pouco a pouco, a máscara </w:t>
      </w:r>
      <w:r w:rsidR="00A31FD5">
        <w:t xml:space="preserve">lhe </w:t>
      </w:r>
      <w:r w:rsidRPr="006552C5">
        <w:t>fosse moldando o rosto</w:t>
      </w:r>
      <w:r w:rsidRPr="006552C5">
        <w:rPr>
          <w:rStyle w:val="Refdenotaderodap"/>
        </w:rPr>
        <w:footnoteReference w:id="4"/>
      </w:r>
      <w:r w:rsidRPr="006552C5">
        <w:t xml:space="preserve">. </w:t>
      </w:r>
      <w:r w:rsidR="006531D0">
        <w:t>Já em 27 de Agosto de 1936, regressado da Abissínia e encontrando-se com o Duce, Bottai escrevera no seu diário: «Não o homem, mas a estátua estava perante mim»</w:t>
      </w:r>
      <w:r w:rsidR="006531D0">
        <w:rPr>
          <w:rStyle w:val="Refdenotaderodap"/>
        </w:rPr>
        <w:footnoteReference w:id="5"/>
      </w:r>
      <w:r w:rsidR="006531D0">
        <w:t xml:space="preserve">. </w:t>
      </w:r>
      <w:r w:rsidR="006531D0" w:rsidRPr="006552C5">
        <w:t xml:space="preserve">Outra </w:t>
      </w:r>
      <w:r w:rsidRPr="006552C5">
        <w:t>coisa não teria podido suceder</w:t>
      </w:r>
      <w:r w:rsidR="006531D0">
        <w:t>,</w:t>
      </w:r>
      <w:r w:rsidRPr="006552C5">
        <w:t xml:space="preserve"> </w:t>
      </w:r>
      <w:r w:rsidR="006531D0">
        <w:t xml:space="preserve">e </w:t>
      </w:r>
      <w:r w:rsidR="006531D0" w:rsidRPr="006552C5">
        <w:t xml:space="preserve">leio </w:t>
      </w:r>
      <w:r w:rsidRPr="006552C5">
        <w:t xml:space="preserve">no </w:t>
      </w:r>
      <w:r w:rsidR="006531D0">
        <w:t xml:space="preserve">mesmo </w:t>
      </w:r>
      <w:r w:rsidRPr="006552C5">
        <w:t>diário</w:t>
      </w:r>
      <w:r w:rsidR="006531D0">
        <w:t xml:space="preserve"> um</w:t>
      </w:r>
      <w:r w:rsidR="006531D0" w:rsidRPr="006552C5">
        <w:t>a esclarecedora confissão</w:t>
      </w:r>
      <w:r w:rsidRPr="006552C5">
        <w:t xml:space="preserve">, </w:t>
      </w:r>
      <w:r w:rsidR="006531D0">
        <w:t xml:space="preserve">na página </w:t>
      </w:r>
      <w:r w:rsidRPr="006552C5">
        <w:t>de 17 de Abril de 1940</w:t>
      </w:r>
      <w:r w:rsidR="00650A36">
        <w:t>:</w:t>
      </w:r>
      <w:r w:rsidRPr="006552C5">
        <w:t xml:space="preserve"> «Não posso convencer-me a reduzir Mussolini [...] às dimensões de um facto pessoal. [...] A nossa geração está toda ela em Mussolini; ela é Mussolini»</w:t>
      </w:r>
      <w:r w:rsidRPr="006552C5">
        <w:rPr>
          <w:rStyle w:val="Refdenotaderodap"/>
        </w:rPr>
        <w:footnoteReference w:id="6"/>
      </w:r>
      <w:r w:rsidRPr="006552C5">
        <w:t xml:space="preserve">. </w:t>
      </w:r>
      <w:r w:rsidR="006531D0" w:rsidRPr="006552C5">
        <w:t xml:space="preserve">Também </w:t>
      </w:r>
      <w:r w:rsidRPr="006552C5">
        <w:t>no diário, comentando um discurso que ouvira no dia 29 de Junho de 1938, Bottai anotou que «o ministro alemão Frank referiu-se ao Führer não como uma instituição provisória, dizendo respeito à pessoa de Hitler, mas como uma instituição permanente [...]»</w:t>
      </w:r>
      <w:r w:rsidRPr="006552C5">
        <w:rPr>
          <w:rStyle w:val="Refdenotaderodap"/>
        </w:rPr>
        <w:footnoteReference w:id="7"/>
      </w:r>
      <w:r w:rsidRPr="006552C5">
        <w:t xml:space="preserve">. Que destino paradoxal, o daquelas ditaduras pessoais em que a pessoa do ditador desaparecia e dele restava só a estátua! Foi isto, em política, a arte. </w:t>
      </w:r>
    </w:p>
    <w:p w:rsidR="00A61D4E" w:rsidRPr="006552C5" w:rsidRDefault="00A61D4E" w:rsidP="00A61D4E">
      <w:r w:rsidRPr="006552C5">
        <w:t xml:space="preserve">No entrecruzamento de pólos tão dissimilares como os que marcavam o eixo da ordem e o eixo da revolta, e pretendendo-se vincadamente ideológico, como conseguiria o fascismo apresentar um discurso coerente? Abandonar </w:t>
      </w:r>
      <w:r w:rsidR="00910DB8">
        <w:t xml:space="preserve">a razão </w:t>
      </w:r>
      <w:r w:rsidRPr="006552C5">
        <w:t xml:space="preserve">e cingir-se à estética foi para o fascismo uma incontornável necessidade. Se na estética a forma é o verdadeiro conteúdo, então o fascismo anulava a contraditoriedade dos conteúdos do discurso quando a convertia em jogo de formas. </w:t>
      </w:r>
      <w:r w:rsidR="00F91525">
        <w:t xml:space="preserve">«Para muitos observadores», anotou um historiador da cultura, «o fascismo era o equivalente a </w:t>
      </w:r>
      <w:r w:rsidR="00F91525" w:rsidRPr="00F91525">
        <w:rPr>
          <w:i/>
        </w:rPr>
        <w:t>l’art pour l’art</w:t>
      </w:r>
      <w:r w:rsidR="00F91525">
        <w:t xml:space="preserve"> na política»</w:t>
      </w:r>
      <w:r w:rsidR="00F91525">
        <w:rPr>
          <w:rStyle w:val="Refdenotaderodap"/>
        </w:rPr>
        <w:footnoteReference w:id="8"/>
      </w:r>
      <w:r w:rsidR="00F91525">
        <w:t xml:space="preserve">. </w:t>
      </w:r>
      <w:r w:rsidRPr="006552C5">
        <w:t>O que segundo o critério d</w:t>
      </w:r>
      <w:r w:rsidR="00910DB8">
        <w:t xml:space="preserve">a razão </w:t>
      </w:r>
      <w:r w:rsidRPr="006552C5">
        <w:t xml:space="preserve">eram erros, e como tal recusáveis, encontrava-se transposto para um campo onde os únicos padrões decorriam do </w:t>
      </w:r>
      <w:r w:rsidR="00C55ABE">
        <w:t>estilo</w:t>
      </w:r>
      <w:r w:rsidRPr="006552C5">
        <w:t xml:space="preserve"> e onde, portanto, tudo era logicamente aceitável. </w:t>
      </w:r>
      <w:r w:rsidR="00482B21">
        <w:t xml:space="preserve">E o que o critério da prática revelava enquanto falsidades era encenado publicamente como o seu oposto, e a realidade desta encenação convertia a mentira em verdade. </w:t>
      </w:r>
      <w:r w:rsidRPr="006552C5">
        <w:t xml:space="preserve">O fascismo não foi uma estética por opção, mas por </w:t>
      </w:r>
      <w:r w:rsidRPr="006552C5">
        <w:lastRenderedPageBreak/>
        <w:t>necessidade</w:t>
      </w:r>
      <w:r w:rsidR="00482B21">
        <w:t xml:space="preserve">. </w:t>
      </w:r>
      <w:r w:rsidRPr="006552C5">
        <w:t>«O nazismo é um artifício total. Ora, a ficção flagrante aparenta-se a uma obra de arte», observ</w:t>
      </w:r>
      <w:r>
        <w:t>ou</w:t>
      </w:r>
      <w:r w:rsidRPr="006552C5">
        <w:t xml:space="preserve"> um historiador demasiado arguto para ser conhecido como merece</w:t>
      </w:r>
      <w:r w:rsidRPr="006552C5">
        <w:rPr>
          <w:rStyle w:val="Refdenotaderodap"/>
        </w:rPr>
        <w:footnoteReference w:id="9"/>
      </w:r>
      <w:r w:rsidRPr="006552C5">
        <w:t xml:space="preserve">. E escrevendo na prisão, enquanto aguardava que cumprissem a sua condenação à morte, </w:t>
      </w:r>
      <w:r w:rsidR="00C225BF">
        <w:t xml:space="preserve">o colaboracionista </w:t>
      </w:r>
      <w:r w:rsidRPr="006552C5">
        <w:t>Robert Brasillach defini</w:t>
      </w:r>
      <w:r>
        <w:t>u</w:t>
      </w:r>
      <w:r w:rsidRPr="006552C5">
        <w:t xml:space="preserve"> o fascismo como um mito, e além disso um mito estético</w:t>
      </w:r>
      <w:r w:rsidRPr="006552C5">
        <w:rPr>
          <w:rStyle w:val="Refdenotaderodap"/>
        </w:rPr>
        <w:footnoteReference w:id="10"/>
      </w:r>
      <w:r w:rsidRPr="006552C5">
        <w:t xml:space="preserve">. </w:t>
      </w:r>
      <w:r w:rsidR="0047269F">
        <w:t>Também na prisão</w:t>
      </w:r>
      <w:r w:rsidR="00C225BF">
        <w:t xml:space="preserve"> outro colaboracionista</w:t>
      </w:r>
      <w:r w:rsidR="0047269F">
        <w:t xml:space="preserve">, Pierre-Antoine Cousteau, condenado à morte </w:t>
      </w:r>
      <w:r w:rsidR="003C4DDD">
        <w:t>mas</w:t>
      </w:r>
      <w:r w:rsidR="0047269F">
        <w:t xml:space="preserve"> benefic</w:t>
      </w:r>
      <w:r w:rsidR="005637C4">
        <w:t>i</w:t>
      </w:r>
      <w:r w:rsidR="0047269F">
        <w:t>a</w:t>
      </w:r>
      <w:r w:rsidR="003C4DDD">
        <w:t>ndo</w:t>
      </w:r>
      <w:r w:rsidR="0047269F">
        <w:t xml:space="preserve"> de uma comutação da pena, considerou que «a estética está no campo fascista»</w:t>
      </w:r>
      <w:r w:rsidR="0047269F">
        <w:rPr>
          <w:rStyle w:val="Refdenotaderodap"/>
        </w:rPr>
        <w:footnoteReference w:id="11"/>
      </w:r>
      <w:r w:rsidR="0047269F">
        <w:t xml:space="preserve">. </w:t>
      </w:r>
      <w:r w:rsidRPr="006552C5">
        <w:t>Ainda aqui os fascistas ocuparam uma posição polarmente oposta aos marxistas. O comunismo soviético, tal como o socialismo vanguardista, esforçava</w:t>
      </w:r>
      <w:r w:rsidR="00482B21">
        <w:t>m</w:t>
      </w:r>
      <w:r w:rsidRPr="006552C5">
        <w:t>-se por politizar a arte, enquanto para o fascismo se tratava de estetizar a política. «A síntese fascista significa que a estética se converteu numa parte integrante da política e da economia», observ</w:t>
      </w:r>
      <w:r>
        <w:t>ou</w:t>
      </w:r>
      <w:r w:rsidRPr="006552C5">
        <w:t xml:space="preserve"> um historiador</w:t>
      </w:r>
      <w:r w:rsidR="00C20AAE" w:rsidRPr="006552C5">
        <w:rPr>
          <w:rStyle w:val="Refdenotaderodap"/>
        </w:rPr>
        <w:footnoteReference w:id="12"/>
      </w:r>
      <w:r w:rsidRPr="006552C5">
        <w:t xml:space="preserve">. Já Walter Benjamin </w:t>
      </w:r>
      <w:r w:rsidR="00674E08">
        <w:t xml:space="preserve">havia desvendado o cerne do problema. «O fascismo gostaria </w:t>
      </w:r>
      <w:r w:rsidR="00D70AD3">
        <w:t>d</w:t>
      </w:r>
      <w:r w:rsidR="00674E08">
        <w:t xml:space="preserve">e organizar as massas sem </w:t>
      </w:r>
      <w:r w:rsidR="00D70AD3">
        <w:t>alterar</w:t>
      </w:r>
      <w:r w:rsidR="00674E08">
        <w:t xml:space="preserve"> o sistema de propriedade, apesar de as massas tenderem a rejeitá-lo», escreveu </w:t>
      </w:r>
      <w:r w:rsidR="00D70AD3" w:rsidRPr="006552C5">
        <w:t xml:space="preserve">Benjamin </w:t>
      </w:r>
      <w:r w:rsidR="00674E08">
        <w:t>num ensaio pioneiro, e observou em seguida que o fascismo, ao mesmo tempo que mantém o sistema de propriedade, permite às massas exprimirem o seu desejo de tranformação. «O resultado é que ele tende naturalmente a uma estetização da vida política»</w:t>
      </w:r>
      <w:r w:rsidRPr="006552C5">
        <w:rPr>
          <w:rStyle w:val="Refdenotaderodap"/>
        </w:rPr>
        <w:footnoteReference w:id="13"/>
      </w:r>
      <w:r w:rsidRPr="006552C5">
        <w:t xml:space="preserve">. </w:t>
      </w:r>
      <w:r w:rsidR="00F570EA">
        <w:t>Por isso Karl Jaspers defendeu, depois da guerra, que devíamos evitar a cilada de considerar demoníaco o nacional-socialismo, porque assim estaríamos ainda a poetizá-lo</w:t>
      </w:r>
      <w:r w:rsidR="00AE4535">
        <w:t xml:space="preserve">, enquanto o devíamos condenar não como uma entidade estética mas como uma </w:t>
      </w:r>
      <w:r w:rsidR="00D052C3">
        <w:t>vulgar obra de fancaria</w:t>
      </w:r>
      <w:r w:rsidR="00D052C3">
        <w:rPr>
          <w:rStyle w:val="Refdenotaderodap"/>
        </w:rPr>
        <w:footnoteReference w:id="14"/>
      </w:r>
      <w:r w:rsidR="00D052C3">
        <w:t xml:space="preserve">. </w:t>
      </w:r>
    </w:p>
    <w:p w:rsidR="00A61D4E" w:rsidRPr="006552C5" w:rsidRDefault="00A61D4E" w:rsidP="00A61D4E">
      <w:r w:rsidRPr="006552C5">
        <w:t xml:space="preserve">A política considerada como arte constituiu a modalidade específica do irracionalismo fascista. Enquanto movimento comum a todos os estratos e classes sociais, o fascismo não podia senão ser um irracionalismo, apagando </w:t>
      </w:r>
      <w:r w:rsidR="008C3D91">
        <w:t xml:space="preserve">no plano </w:t>
      </w:r>
      <w:r w:rsidRPr="006552C5">
        <w:t>mític</w:t>
      </w:r>
      <w:r w:rsidR="008C3D91">
        <w:t>o</w:t>
      </w:r>
      <w:r w:rsidRPr="006552C5">
        <w:t xml:space="preserve"> os conflitos e antagonismos que dividiam inconciliavelmente a sua múltipla base social. Este irracionalismo manifestou-se no predomínio atribuído à forma, e assim se tornou arte. Os oradores do fascismo ou os seus </w:t>
      </w:r>
      <w:r w:rsidR="003835F0">
        <w:t>doutrinadores</w:t>
      </w:r>
      <w:r w:rsidRPr="006552C5">
        <w:t xml:space="preserve"> </w:t>
      </w:r>
      <w:r w:rsidR="00910DB8">
        <w:t>—</w:t>
      </w:r>
      <w:r w:rsidRPr="006552C5">
        <w:t xml:space="preserve"> mas </w:t>
      </w:r>
      <w:r w:rsidR="003835F0">
        <w:t>os textos</w:t>
      </w:r>
      <w:r w:rsidRPr="006552C5">
        <w:t xml:space="preserve"> polític</w:t>
      </w:r>
      <w:r w:rsidR="003835F0">
        <w:t>os</w:t>
      </w:r>
      <w:r w:rsidRPr="006552C5">
        <w:t xml:space="preserve"> fascista</w:t>
      </w:r>
      <w:r w:rsidR="003835F0">
        <w:t>s</w:t>
      </w:r>
      <w:r w:rsidRPr="006552C5">
        <w:t xml:space="preserve"> revela</w:t>
      </w:r>
      <w:r w:rsidR="003835F0">
        <w:t>m</w:t>
      </w:r>
      <w:r w:rsidRPr="006552C5">
        <w:t xml:space="preserve"> em geral um tal estado de exaltação que mais parece</w:t>
      </w:r>
      <w:r w:rsidR="003835F0">
        <w:t>m</w:t>
      </w:r>
      <w:r w:rsidRPr="006552C5">
        <w:t xml:space="preserve"> ditad</w:t>
      </w:r>
      <w:r w:rsidR="003835F0">
        <w:t>os</w:t>
      </w:r>
      <w:r w:rsidRPr="006552C5">
        <w:t xml:space="preserve"> </w:t>
      </w:r>
      <w:r w:rsidR="00910DB8">
        <w:t>—</w:t>
      </w:r>
      <w:r w:rsidRPr="006552C5">
        <w:t xml:space="preserve"> recorriam às palavras enquanto imagens poéticas, para logo de seguida as usarem na cadeia do raciocínio como se fossem conceitos, e convém neste passo lembrar o amigo de Camilo, que na liteira lhe dizia: «O absurdo não fica melhor justificado com a </w:t>
      </w:r>
      <w:r w:rsidRPr="006552C5">
        <w:lastRenderedPageBreak/>
        <w:t>linguagem absurda»</w:t>
      </w:r>
      <w:r w:rsidRPr="006552C5">
        <w:rPr>
          <w:rStyle w:val="Refdenotaderodap"/>
        </w:rPr>
        <w:footnoteReference w:id="15"/>
      </w:r>
      <w:r w:rsidRPr="006552C5">
        <w:t>. A especial demagogia do fascismo residiu no emprego ilegítimo das imagens enquanto conceitos e, portanto, na promoção das analogias a processos causais</w:t>
      </w:r>
      <w:r w:rsidRPr="006552C5">
        <w:rPr>
          <w:rStyle w:val="Refdenotaderodap"/>
        </w:rPr>
        <w:footnoteReference w:id="16"/>
      </w:r>
      <w:r w:rsidRPr="006552C5">
        <w:t xml:space="preserve">. </w:t>
      </w:r>
    </w:p>
    <w:p w:rsidR="00113487" w:rsidRDefault="00A61D4E" w:rsidP="00A61D4E">
      <w:r w:rsidRPr="006552C5">
        <w:t xml:space="preserve">Apologistas da intuição, oportunistas da acção, plebeus sentindo-se elite e suscitando, junto com aristocratas falidos, uma revolução aristocrática, os chefes fascistas foram </w:t>
      </w:r>
      <w:r w:rsidRPr="006552C5">
        <w:rPr>
          <w:i/>
        </w:rPr>
        <w:t>dandys</w:t>
      </w:r>
      <w:r w:rsidRPr="006552C5">
        <w:t xml:space="preserve"> de um tipo novo, herdeiros por isso das tradições da boémia do século XIX e dos seus interesses artísticos. A ideologia fascista não pode ser </w:t>
      </w:r>
      <w:r w:rsidR="00BC4A9E">
        <w:t>entendida</w:t>
      </w:r>
      <w:r w:rsidRPr="006552C5">
        <w:t xml:space="preserve"> se não nos dermos conta de que, aos olhos dos seus promotores, ela foi menos uma política do que uma estética. O fascismo surgiu primeiro nos manifestos artísticos, e antes ainda de o verdadeiro criador do fascismo no Ocidente, Enrico Corradini, ter </w:t>
      </w:r>
      <w:r w:rsidR="004106EF">
        <w:t>anunciado</w:t>
      </w:r>
      <w:r w:rsidRPr="006552C5">
        <w:t xml:space="preserve"> a convergência entre o nacionalismo radical e o sindicalismo revolucionário, já Marinetti, em 20 de Fevereiro de 1909, proclamara a fundação do futurismo, anunciando não só alguns dos temas principais que inspirariam o Duce, mas </w:t>
      </w:r>
      <w:r w:rsidR="00BC4A9E">
        <w:t>ainda</w:t>
      </w:r>
      <w:r w:rsidRPr="006552C5">
        <w:t xml:space="preserve"> o estilo que ele havia de adoptar. </w:t>
      </w:r>
      <w:r w:rsidR="00E10485">
        <w:t xml:space="preserve">Entretanto, </w:t>
      </w:r>
      <w:r w:rsidR="00BD0980">
        <w:t>n</w:t>
      </w:r>
      <w:r w:rsidR="00E10485">
        <w:t xml:space="preserve">a elite boémia da intelectualidade vienense Hofmannsthal </w:t>
      </w:r>
      <w:r w:rsidR="003E7B26">
        <w:t>inspirava</w:t>
      </w:r>
      <w:r w:rsidR="003F242D">
        <w:t xml:space="preserve"> as suas peças de teatro e os seus </w:t>
      </w:r>
      <w:r w:rsidR="003F242D" w:rsidRPr="003E7B26">
        <w:rPr>
          <w:i/>
        </w:rPr>
        <w:t>libretti</w:t>
      </w:r>
      <w:r w:rsidR="003F242D">
        <w:t xml:space="preserve"> de ópera </w:t>
      </w:r>
      <w:r w:rsidR="00BC4A9E">
        <w:t xml:space="preserve">com </w:t>
      </w:r>
      <w:r w:rsidR="003E7B26">
        <w:t xml:space="preserve">a noção </w:t>
      </w:r>
      <w:r w:rsidR="003F242D">
        <w:t>do exercício da política enquanto arte</w:t>
      </w:r>
      <w:r w:rsidR="00CD4AE9">
        <w:t>, incluindo a</w:t>
      </w:r>
      <w:r w:rsidR="007C2B59">
        <w:t>s</w:t>
      </w:r>
      <w:r w:rsidR="00CD4AE9">
        <w:t xml:space="preserve"> «cerimónia</w:t>
      </w:r>
      <w:r w:rsidR="007C2B59">
        <w:t>s</w:t>
      </w:r>
      <w:r w:rsidR="00CD4AE9">
        <w:t xml:space="preserve"> da totalidade», </w:t>
      </w:r>
      <w:r w:rsidR="001C274E">
        <w:t>forma</w:t>
      </w:r>
      <w:r w:rsidR="007C2B59">
        <w:t>s</w:t>
      </w:r>
      <w:r w:rsidR="001C274E">
        <w:t xml:space="preserve"> </w:t>
      </w:r>
      <w:r w:rsidR="003E7B26">
        <w:t xml:space="preserve">de </w:t>
      </w:r>
      <w:r w:rsidR="001C274E">
        <w:t>ritual polític</w:t>
      </w:r>
      <w:r w:rsidR="003E7B26">
        <w:t>o</w:t>
      </w:r>
      <w:r w:rsidR="001C274E">
        <w:t xml:space="preserve"> </w:t>
      </w:r>
      <w:r w:rsidR="00BC4A9E">
        <w:t xml:space="preserve">por onde penetrava a </w:t>
      </w:r>
      <w:r w:rsidR="001C274E">
        <w:t xml:space="preserve">irracionalidade e </w:t>
      </w:r>
      <w:r w:rsidR="00BC4A9E">
        <w:t xml:space="preserve">onde </w:t>
      </w:r>
      <w:r w:rsidR="003E7B26">
        <w:t xml:space="preserve">todos </w:t>
      </w:r>
      <w:r w:rsidR="001C274E">
        <w:t>se senti</w:t>
      </w:r>
      <w:r w:rsidR="00BC4A9E">
        <w:t>a</w:t>
      </w:r>
      <w:r w:rsidR="003E7B26">
        <w:t>m</w:t>
      </w:r>
      <w:r w:rsidR="001C274E">
        <w:t xml:space="preserve"> </w:t>
      </w:r>
      <w:r w:rsidR="00CB7B2E">
        <w:t>envolvidos</w:t>
      </w:r>
      <w:r w:rsidR="001C274E">
        <w:t xml:space="preserve">. </w:t>
      </w:r>
      <w:r w:rsidR="00D147C4">
        <w:t xml:space="preserve">A arte tornara-se para ele «o espaço espiritual da nação» </w:t>
      </w:r>
      <w:r w:rsidR="002D7892">
        <w:t xml:space="preserve">e </w:t>
      </w:r>
      <w:r w:rsidR="00CB7B2E">
        <w:t>tinha a esperança de</w:t>
      </w:r>
      <w:r w:rsidR="002D7892">
        <w:t xml:space="preserve"> que as suas obras ajudassem Viena a gerar </w:t>
      </w:r>
      <w:r w:rsidR="003B1F99">
        <w:t>um chefe</w:t>
      </w:r>
      <w:r w:rsidR="00861690">
        <w:t xml:space="preserve"> político</w:t>
      </w:r>
      <w:r w:rsidR="003B1F99">
        <w:t>, um «génio», «marcado com o estigma do usurpador», «verdadeiro alemão e homem absoluto», «profeta», «poeta», «mestre», «sedutor», «sonhador erótico»</w:t>
      </w:r>
      <w:r w:rsidR="00CB7B2E">
        <w:rPr>
          <w:rStyle w:val="Refdenotaderodap"/>
        </w:rPr>
        <w:footnoteReference w:id="17"/>
      </w:r>
      <w:r w:rsidR="003B1F99">
        <w:t xml:space="preserve">. </w:t>
      </w:r>
      <w:r w:rsidR="00906D4E">
        <w:t>Hofmannsthal previu certeiramente</w:t>
      </w:r>
      <w:r w:rsidR="004106EF">
        <w:t>:</w:t>
      </w:r>
      <w:r w:rsidR="00906D4E">
        <w:t xml:space="preserve"> </w:t>
      </w:r>
      <w:r w:rsidR="004106EF">
        <w:t xml:space="preserve">em Viena, com efeito... Apenas </w:t>
      </w:r>
      <w:r w:rsidR="00027C01">
        <w:t xml:space="preserve">errou </w:t>
      </w:r>
      <w:r w:rsidR="00C10A9E">
        <w:t xml:space="preserve">consigo próprio por </w:t>
      </w:r>
      <w:r w:rsidR="00906D4E">
        <w:t xml:space="preserve">ter nascido </w:t>
      </w:r>
      <w:r w:rsidR="003967D0">
        <w:t>numa família judaica</w:t>
      </w:r>
      <w:r w:rsidR="00906D4E">
        <w:t xml:space="preserve">. </w:t>
      </w:r>
    </w:p>
    <w:p w:rsidR="00A61D4E" w:rsidRPr="006552C5" w:rsidRDefault="00A61D4E" w:rsidP="00A61D4E">
      <w:r w:rsidRPr="006552C5">
        <w:t>Só depois de ter aparecido na arte a nova mentalidade foi aplicada à esfera política, por políticos que descobriram a sua actividade como arte ou por artistas com vocação de políticos. Pois não fora originariamente Corradini um escritor e um intelectual preocupado com as teorias da estética</w:t>
      </w:r>
      <w:r w:rsidRPr="006552C5">
        <w:rPr>
          <w:rStyle w:val="Refdenotaderodap"/>
        </w:rPr>
        <w:footnoteReference w:id="18"/>
      </w:r>
      <w:r w:rsidRPr="006552C5">
        <w:t>? E não declarara o mestre de todos os fascistas, Benito Mussolini, que as massas constituíam o material com que o político, como o artista, forjava a sua obra-prima</w:t>
      </w:r>
      <w:r w:rsidRPr="006552C5">
        <w:rPr>
          <w:rStyle w:val="Refdenotaderodap"/>
        </w:rPr>
        <w:footnoteReference w:id="19"/>
      </w:r>
      <w:r w:rsidRPr="006552C5">
        <w:t xml:space="preserve">? </w:t>
      </w:r>
      <w:r w:rsidR="00DA56C2">
        <w:t xml:space="preserve">Por isso </w:t>
      </w:r>
      <w:r w:rsidR="00DA56C2">
        <w:lastRenderedPageBreak/>
        <w:t>um jovem adepto podia evocar, no final de 1921, «a juventude e a poesia do nosso movimento»</w:t>
      </w:r>
      <w:r w:rsidR="00DA56C2">
        <w:rPr>
          <w:rStyle w:val="Refdenotaderodap"/>
        </w:rPr>
        <w:footnoteReference w:id="20"/>
      </w:r>
      <w:r w:rsidR="00DA56C2" w:rsidRPr="006552C5">
        <w:t xml:space="preserve">. </w:t>
      </w:r>
      <w:r w:rsidR="00874162" w:rsidRPr="006552C5">
        <w:t xml:space="preserve">A </w:t>
      </w:r>
      <w:r w:rsidRPr="006552C5">
        <w:t>encerrar um longo ensaio sobre estética e política o introdutor do fascismo em Espanha, Ernesto Giménez Caballero, proclamou que o fundador de um Estado, enquanto génio supremo de um povo, não era político, mas artista. «Todo o grande chefe de Estado é-o porque é Artista», escrev</w:t>
      </w:r>
      <w:r>
        <w:t>eu</w:t>
      </w:r>
      <w:r w:rsidRPr="006552C5">
        <w:t xml:space="preserve"> Giménez Caballero. «Maneja massas, números, corações, projectos, destinos [...] Só os grandes artistas de povos criam os grandes povos, os grandes Estados desses povos. Estadista equivale a Artista»</w:t>
      </w:r>
      <w:r w:rsidRPr="006552C5">
        <w:rPr>
          <w:rStyle w:val="Refdenotaderodap"/>
        </w:rPr>
        <w:footnoteReference w:id="21"/>
      </w:r>
      <w:r w:rsidRPr="006552C5">
        <w:t xml:space="preserve">. </w:t>
      </w:r>
      <w:r w:rsidR="00874162" w:rsidRPr="006552C5">
        <w:t>Sem dúvida foi esta a faceta estética que José Antonio Primo de Rivera atribuiu à Falange</w:t>
      </w:r>
      <w:r w:rsidR="00874162" w:rsidRPr="006552C5">
        <w:rPr>
          <w:rStyle w:val="Refdenotaderodap"/>
        </w:rPr>
        <w:footnoteReference w:id="22"/>
      </w:r>
      <w:r w:rsidR="00874162" w:rsidRPr="006552C5">
        <w:t xml:space="preserve">, classificando </w:t>
      </w:r>
      <w:r w:rsidR="00874162">
        <w:t>como</w:t>
      </w:r>
      <w:r w:rsidR="00874162" w:rsidRPr="006552C5">
        <w:t xml:space="preserve"> «poético e combatente» o seu nacionalismo</w:t>
      </w:r>
      <w:r w:rsidR="00874162" w:rsidRPr="006552C5">
        <w:rPr>
          <w:rStyle w:val="Refdenotaderodap"/>
        </w:rPr>
        <w:footnoteReference w:id="23"/>
      </w:r>
      <w:r w:rsidR="00874162" w:rsidRPr="006552C5">
        <w:t xml:space="preserve">. </w:t>
      </w:r>
      <w:r w:rsidRPr="006552C5">
        <w:t xml:space="preserve">Mesmo Jacques Doriot, </w:t>
      </w:r>
      <w:r w:rsidRPr="006552C5">
        <w:rPr>
          <w:i/>
        </w:rPr>
        <w:t>«le grand Jacques»,</w:t>
      </w:r>
      <w:r w:rsidRPr="006552C5">
        <w:t xml:space="preserve"> apesar do seu natural plebeísmo, reforçado ainda por demagogia, em mangas de camisa e suspensórios, p</w:t>
      </w:r>
      <w:r>
        <w:t>ô</w:t>
      </w:r>
      <w:r w:rsidRPr="006552C5">
        <w:t>d</w:t>
      </w:r>
      <w:r>
        <w:t>e</w:t>
      </w:r>
      <w:r w:rsidRPr="006552C5">
        <w:t xml:space="preserve"> afirmar, em Outubro de 1938, «a minha poesia é a acção»</w:t>
      </w:r>
      <w:r w:rsidRPr="006552C5">
        <w:rPr>
          <w:rStyle w:val="Refdenotaderodap"/>
        </w:rPr>
        <w:footnoteReference w:id="24"/>
      </w:r>
      <w:r w:rsidRPr="006552C5">
        <w:t>. Pelos vistos não era uma poética suficiente, talvez porque a acção ficasse aquém do desejado, e três meses depois alguém que fora um dos seus principais colaboradores acus</w:t>
      </w:r>
      <w:r>
        <w:t>ou</w:t>
      </w:r>
      <w:r w:rsidRPr="006552C5">
        <w:t>-o numa carta de ruptura: «A mística, a poesia, a acção heróica, o carácter religioso de um movimento, tudo isto te é odioso»</w:t>
      </w:r>
      <w:r w:rsidRPr="006552C5">
        <w:rPr>
          <w:rStyle w:val="Refdenotaderodap"/>
        </w:rPr>
        <w:footnoteReference w:id="25"/>
      </w:r>
      <w:r w:rsidRPr="006552C5">
        <w:t xml:space="preserve">. As disputas políticas seriam, então, disputas estéticas, e cada um se reivindicava de ser mais poeta do que o outro. </w:t>
      </w:r>
      <w:r w:rsidR="0032748E">
        <w:t xml:space="preserve">Afinal, Brasillach chamou «poeta» a todos eles, </w:t>
      </w:r>
      <w:r w:rsidR="003A45B7">
        <w:t xml:space="preserve">a Mussolini como a Hitler, a Codreanu como a Degrelle. </w:t>
      </w:r>
      <w:r w:rsidR="00CE2D9C">
        <w:t xml:space="preserve">«Não existe grande política», concluiu ele, «que não tenha a sua parte de imagens, não </w:t>
      </w:r>
      <w:r w:rsidR="007D3629">
        <w:t>há</w:t>
      </w:r>
      <w:r w:rsidR="00CE2D9C">
        <w:t xml:space="preserve"> grande política que não seja visível»</w:t>
      </w:r>
      <w:r w:rsidR="006E497E">
        <w:rPr>
          <w:rStyle w:val="Refdenotaderodap"/>
        </w:rPr>
        <w:footnoteReference w:id="26"/>
      </w:r>
      <w:r w:rsidR="00CE2D9C">
        <w:t xml:space="preserve">. </w:t>
      </w:r>
    </w:p>
    <w:p w:rsidR="00A61D4E" w:rsidRPr="006552C5" w:rsidRDefault="00A61D4E" w:rsidP="00A61D4E">
      <w:r w:rsidRPr="006552C5">
        <w:t>A oposição do fascismo à sociedade burguesa não foi de ordem económica, mas estética. O burguês a que</w:t>
      </w:r>
      <w:r w:rsidR="00874188">
        <w:t>m</w:t>
      </w:r>
      <w:r w:rsidRPr="006552C5">
        <w:t xml:space="preserve"> o fascista se opunha não era o proprietário dos meios de produção, na definição marxista, ou, na acepção comum, o homem rico. Quem o fascista perseguia com os seus sarcasmos, quando não com o seu ódio, era o cidadão de pantufas. Seria ele o burguês, e a tibieza do seu comportamento não era censurada pelos eventuais efeitos sobre a produtividade fabril nem pelos resultados de hipocrisia moral, mas no estrito plano estético, como geradora, intelectualmente, de uma falta de gosto e, fisicamente, de corpos flácidos. O fascismo apresentava, contra esta imagem do burguês, a figura do herói. Não se tratava, entenda-se bem, do heroísmo prático do conspirador, mas d</w:t>
      </w:r>
      <w:r w:rsidR="008B03B9">
        <w:t>a</w:t>
      </w:r>
      <w:r w:rsidRPr="006552C5">
        <w:t xml:space="preserve"> teatralidade d</w:t>
      </w:r>
      <w:r w:rsidR="008B03B9">
        <w:t>os</w:t>
      </w:r>
      <w:r w:rsidRPr="006552C5">
        <w:t xml:space="preserve"> gestos, que supunha uma audiência, o eu perante a plateia. Para os fascistas o comportamento heróico consistiu sempre </w:t>
      </w:r>
      <w:r w:rsidRPr="006552C5">
        <w:lastRenderedPageBreak/>
        <w:t xml:space="preserve">na representação de um papel, e é esta atitude que permite distinguir aqueles que nos últimos dias permaneceram fiéis ao seu ideal. </w:t>
      </w:r>
    </w:p>
    <w:p w:rsidR="00CE1851" w:rsidRDefault="00A61D4E" w:rsidP="00A61D4E">
      <w:r w:rsidRPr="006552C5">
        <w:t xml:space="preserve">Depois de ter definido o fascismo como </w:t>
      </w:r>
      <w:r w:rsidR="00914663">
        <w:t>resultante d</w:t>
      </w:r>
      <w:r w:rsidRPr="006552C5">
        <w:t>a capacidade de o grande capital mobilizar um movimento de massas muito variado socialmente, Palmiro Togliatti, num curso dado em Moscovo em 1935, abordou as repercussões ideológicas desta diversidade</w:t>
      </w:r>
      <w:r w:rsidR="00874188">
        <w:t>:</w:t>
      </w:r>
      <w:r w:rsidRPr="006552C5">
        <w:t xml:space="preserve"> «A ideologia fascista contém uma série de elementos heterogéneos. [...] esta característica permite-nos compreender para que serve essa ideologia. Ela serve para fundir diversas correntes na luta pela ditadura sobre as massas trabalhadoras e para criar com este objectivo um vasto movimento de massas. </w:t>
      </w:r>
      <w:r w:rsidRPr="006552C5">
        <w:rPr>
          <w:i/>
        </w:rPr>
        <w:t>A ideologia fascista é um instrumento criado para juntar esses elementos</w:t>
      </w:r>
      <w:r w:rsidRPr="006552C5">
        <w:t>»</w:t>
      </w:r>
      <w:r w:rsidRPr="006552C5">
        <w:rPr>
          <w:rStyle w:val="Refdenotaderodap"/>
        </w:rPr>
        <w:footnoteReference w:id="27"/>
      </w:r>
      <w:r w:rsidRPr="006552C5">
        <w:t xml:space="preserve">. É notável que no contexto político em que estava inserido, o dirigente comunista italiano tivesse detectado o especial relevo assumido no fascismo pela instância ideológica, sem a qual este movimento não adquiriria </w:t>
      </w:r>
      <w:r w:rsidR="00DC1B4E">
        <w:t>solidez</w:t>
      </w:r>
      <w:r w:rsidRPr="006552C5">
        <w:t xml:space="preserve">. A sua consistência resultou, acima de tudo, da suprema incoerência entre acção e palavra. Nos fascismos, todavia, a ideologia não </w:t>
      </w:r>
      <w:r>
        <w:t>se limitou a estar em contradição com a prática</w:t>
      </w:r>
      <w:r w:rsidR="00DC1B4E">
        <w:t xml:space="preserve"> social</w:t>
      </w:r>
      <w:r>
        <w:t xml:space="preserve">. Ela </w:t>
      </w:r>
      <w:r w:rsidRPr="006552C5">
        <w:t>tornou-se o exacto oposto d</w:t>
      </w:r>
      <w:r w:rsidR="00DC1B4E">
        <w:t>ess</w:t>
      </w:r>
      <w:r w:rsidRPr="006552C5">
        <w:t>a prática, sendo a correspondência entre as duas instâncias inteiramente de sinal negativo. Enquanto expressão da prática, a ideologia reprodu-la sempre de forma transformada</w:t>
      </w:r>
      <w:r w:rsidR="00F30B2C">
        <w:t>;</w:t>
      </w:r>
      <w:r w:rsidRPr="006552C5">
        <w:t xml:space="preserve"> </w:t>
      </w:r>
      <w:r w:rsidR="00F30B2C">
        <w:t xml:space="preserve">sem isso, aliás, não haveria criatividade. </w:t>
      </w:r>
      <w:r w:rsidR="00F30B2C" w:rsidRPr="006552C5">
        <w:t xml:space="preserve">Mas </w:t>
      </w:r>
      <w:r w:rsidRPr="006552C5">
        <w:t>com o fascismo esta diferença converteu-se em estrita oposição</w:t>
      </w:r>
      <w:r w:rsidR="00F30B2C">
        <w:t xml:space="preserve">, e foi </w:t>
      </w:r>
      <w:r w:rsidR="00CE1851">
        <w:t xml:space="preserve">este o lugar da estética fascista, que lhe conferiu o estilo próprio. </w:t>
      </w:r>
    </w:p>
    <w:p w:rsidR="00A61D4E" w:rsidRPr="006552C5" w:rsidRDefault="00CE1851" w:rsidP="00A61D4E">
      <w:r w:rsidRPr="006552C5">
        <w:t xml:space="preserve">A </w:t>
      </w:r>
      <w:r w:rsidR="00A61D4E" w:rsidRPr="006552C5">
        <w:t xml:space="preserve">palavra </w:t>
      </w:r>
      <w:r w:rsidR="00A61D4E" w:rsidRPr="00EF21B3">
        <w:rPr>
          <w:i/>
        </w:rPr>
        <w:t>propaganda</w:t>
      </w:r>
      <w:r w:rsidR="00A61D4E" w:rsidRPr="006552C5">
        <w:t xml:space="preserve"> adquiriu um sentido </w:t>
      </w:r>
      <w:r w:rsidR="0022653E" w:rsidRPr="006552C5">
        <w:t>novo</w:t>
      </w:r>
      <w:r w:rsidR="0022653E">
        <w:t>,</w:t>
      </w:r>
      <w:r w:rsidR="0022653E" w:rsidRPr="006552C5">
        <w:t xml:space="preserve"> </w:t>
      </w:r>
      <w:r w:rsidR="00A61D4E" w:rsidRPr="006552C5">
        <w:t>porque nunca até então a ideologia havia assumido tão sistematicamente a função de contrário da prática. Por vezes, nos momentos em que atingiram o cume da demagogia, os maiores chefes do fascismo</w:t>
      </w:r>
      <w:r w:rsidR="0022653E">
        <w:t xml:space="preserve"> </w:t>
      </w:r>
      <w:r w:rsidR="00A61D4E" w:rsidRPr="006552C5">
        <w:t xml:space="preserve">pronunciaram-se com um tal cinismo e desfaçatez que, a um observador apressado, podem dar uma falsa ideia de sinceridade. Em vez de clarificar as situações, porém, aquele </w:t>
      </w:r>
      <w:r w:rsidR="0022653E">
        <w:t>despudor</w:t>
      </w:r>
      <w:r w:rsidR="00A61D4E" w:rsidRPr="006552C5">
        <w:t xml:space="preserve"> só reforçava as aparências e tornava mais espessa a camada de enganos. Dizer não qualquer coisa diferente do que se fazia, mas sempre o exacto contrário era a condição para que pudessem manter-se conjugados os agentes de uma prática </w:t>
      </w:r>
      <w:r w:rsidR="00C55ABE">
        <w:t xml:space="preserve">social </w:t>
      </w:r>
      <w:r w:rsidR="00A61D4E" w:rsidRPr="006552C5">
        <w:t xml:space="preserve">profundamente rasgada por contradições. Para as conciliar numa ideologia de sinal oposto era necessário que ao discurso claro e racional se substituísse o lirismo palavroso e o tumulto verbal. Era preciso, sobretudo, apresentar como figuras de estilo aquelas contradições que no campo da razão não podiam aparecer senão enquanto erros de lógica ou completos absurdos. </w:t>
      </w:r>
      <w:r w:rsidR="0022653E">
        <w:t xml:space="preserve">Era indispensável que a forma se tornasse o único conteúdo do discurso, estetizando a política. </w:t>
      </w:r>
      <w:r w:rsidR="00A61D4E" w:rsidRPr="006552C5">
        <w:t>Dionisio Ridruejo, que durante a guerra civil espanhola se havia encarregado da propaganda na Falange franquista, devia conhecer bem as operações do verbo e denunciou-as, mais tarde, já afastado do Movimento</w:t>
      </w:r>
      <w:r w:rsidR="00874188">
        <w:t>:</w:t>
      </w:r>
      <w:r w:rsidR="00A61D4E" w:rsidRPr="006552C5">
        <w:t xml:space="preserve"> «O cultivo retórico </w:t>
      </w:r>
      <w:r w:rsidR="00A61D4E" w:rsidRPr="006552C5">
        <w:lastRenderedPageBreak/>
        <w:t>desta embriaguês do estilo permitiria chamar revolução a uma operação de polícia e, o que é mais grave, vivê-la espiritualmente como se o fosse»</w:t>
      </w:r>
      <w:r w:rsidR="00A61D4E" w:rsidRPr="006552C5">
        <w:rPr>
          <w:rStyle w:val="Refdenotaderodap"/>
        </w:rPr>
        <w:footnoteReference w:id="28"/>
      </w:r>
      <w:r w:rsidR="00A61D4E" w:rsidRPr="006552C5">
        <w:t xml:space="preserve">. </w:t>
      </w:r>
    </w:p>
    <w:p w:rsidR="00A61D4E" w:rsidRPr="006552C5" w:rsidRDefault="00F8469E" w:rsidP="00A61D4E">
      <w:r>
        <w:t xml:space="preserve">Mas quando se </w:t>
      </w:r>
      <w:r w:rsidRPr="006552C5">
        <w:t>proclama</w:t>
      </w:r>
      <w:r>
        <w:t>v</w:t>
      </w:r>
      <w:r w:rsidRPr="006552C5">
        <w:t xml:space="preserve">a a todos os ventos </w:t>
      </w:r>
      <w:r>
        <w:t>um</w:t>
      </w:r>
      <w:r w:rsidR="00A61D4E" w:rsidRPr="006552C5">
        <w:t>a ideologia exactamente oposta à prática</w:t>
      </w:r>
      <w:r w:rsidR="006770EE">
        <w:t xml:space="preserve"> social</w:t>
      </w:r>
      <w:r w:rsidR="00A61D4E" w:rsidRPr="006552C5">
        <w:t xml:space="preserve">, a prática só podia prosseguir sob uma forma aparentemente desideologizada. A prática quotidiana permitida pela repressão política apresentava-se no âmbito do lugar-comum, que é um terreno neutro sob o ponto de vista ideológico. </w:t>
      </w:r>
      <w:r w:rsidR="00125B1B">
        <w:t xml:space="preserve">Era </w:t>
      </w:r>
      <w:r w:rsidR="00EB5505">
        <w:t>este «o silêncio» de que falava Karl Jaspers, «o último recurso de quem se encontra reduzido à impotência»</w:t>
      </w:r>
      <w:r w:rsidR="00345697">
        <w:t>,</w:t>
      </w:r>
      <w:r w:rsidR="00EB5505">
        <w:t xml:space="preserve"> </w:t>
      </w:r>
      <w:r w:rsidR="00345697">
        <w:t>numa estratégia em que</w:t>
      </w:r>
      <w:r w:rsidR="00EB5505">
        <w:t xml:space="preserve"> «se dissimula o silêncio para reflectir na maneira como se poderia restabelecer a situação»</w:t>
      </w:r>
      <w:r w:rsidR="002D2710">
        <w:rPr>
          <w:rStyle w:val="Refdenotaderodap"/>
        </w:rPr>
        <w:footnoteReference w:id="29"/>
      </w:r>
      <w:r w:rsidR="00EB5505">
        <w:t xml:space="preserve">. A privacidade do quotidiano, disfarçada </w:t>
      </w:r>
      <w:r w:rsidR="002D2710">
        <w:t>sob os tons cinzentos d</w:t>
      </w:r>
      <w:r w:rsidR="00345697">
        <w:t>a banalidade</w:t>
      </w:r>
      <w:r w:rsidR="002D2710">
        <w:t xml:space="preserve">, era a última defesa </w:t>
      </w:r>
      <w:r w:rsidR="00345697">
        <w:t xml:space="preserve">das massas </w:t>
      </w:r>
      <w:r w:rsidR="002D2710">
        <w:t xml:space="preserve">contra a </w:t>
      </w:r>
      <w:r w:rsidR="00345697">
        <w:t xml:space="preserve">sua </w:t>
      </w:r>
      <w:r w:rsidR="002D2710">
        <w:t xml:space="preserve">conversão em figurantes da grande encenação. Acima desse quotidiano </w:t>
      </w:r>
      <w:r w:rsidR="00A61D4E" w:rsidRPr="006552C5">
        <w:t xml:space="preserve">a ideologia oficial precisava, para se legitimar, de criar uma prática própria, uma espécie de realidade supletiva. </w:t>
      </w:r>
      <w:r w:rsidR="00345697" w:rsidRPr="006552C5">
        <w:t xml:space="preserve">Ora, </w:t>
      </w:r>
      <w:r w:rsidR="00A36818" w:rsidRPr="006552C5">
        <w:t>apresenta</w:t>
      </w:r>
      <w:r w:rsidR="00A36818">
        <w:t>r</w:t>
      </w:r>
      <w:r w:rsidR="00A36818" w:rsidRPr="006552C5">
        <w:t xml:space="preserve"> </w:t>
      </w:r>
      <w:r w:rsidR="00345697" w:rsidRPr="006552C5">
        <w:t xml:space="preserve">a ideologia como instância </w:t>
      </w:r>
      <w:r w:rsidR="00801A39">
        <w:t xml:space="preserve">directamente </w:t>
      </w:r>
      <w:r w:rsidR="00345697" w:rsidRPr="006552C5">
        <w:t>prática é a definição dos rituais</w:t>
      </w:r>
      <w:r w:rsidR="00DE4C1B">
        <w:t>,</w:t>
      </w:r>
      <w:r w:rsidR="00345697" w:rsidRPr="006552C5">
        <w:t xml:space="preserve"> </w:t>
      </w:r>
      <w:r w:rsidR="00DE4C1B">
        <w:t xml:space="preserve">que são </w:t>
      </w:r>
      <w:r w:rsidR="00A61D4E" w:rsidRPr="006552C5">
        <w:t xml:space="preserve">uma prática aparente </w:t>
      </w:r>
      <w:r w:rsidR="001A53C2">
        <w:t>—</w:t>
      </w:r>
      <w:r w:rsidR="00A61D4E" w:rsidRPr="006552C5">
        <w:t xml:space="preserve"> aparente enquanto prática e real apenas enquanto ideologia. A política serviu de realidade virtual. Daí a necessidade absoluta para o fascismo de se desenvolver </w:t>
      </w:r>
      <w:r w:rsidR="00640A74">
        <w:t>esteticamente</w:t>
      </w:r>
      <w:r w:rsidR="00A61D4E" w:rsidRPr="006552C5">
        <w:t xml:space="preserve"> </w:t>
      </w:r>
      <w:r w:rsidR="00A36818">
        <w:t>n</w:t>
      </w:r>
      <w:r w:rsidR="00A61D4E" w:rsidRPr="006552C5">
        <w:t xml:space="preserve">a forma de cerimónias, de festivais, de paradas e desfiles. </w:t>
      </w:r>
      <w:r w:rsidR="00F83796">
        <w:t xml:space="preserve">Quaisquer que fossem as preferências arquitectónicas ou </w:t>
      </w:r>
      <w:r w:rsidR="006D27F0">
        <w:t>pictóricas</w:t>
      </w:r>
      <w:r w:rsidR="00F83796">
        <w:t xml:space="preserve"> ou musicais todas elas convergiam e se sintetizavam na construção de grandes espaços, </w:t>
      </w:r>
      <w:r w:rsidR="00775FE0">
        <w:t>vastas</w:t>
      </w:r>
      <w:r w:rsidR="00F83796">
        <w:t xml:space="preserve"> esplanadas onde os rituais políticos eram encen</w:t>
      </w:r>
      <w:r w:rsidR="00775FE0">
        <w:t>a</w:t>
      </w:r>
      <w:r w:rsidR="00F83796">
        <w:t xml:space="preserve">dos e o povo, </w:t>
      </w:r>
      <w:r w:rsidR="00775FE0">
        <w:t xml:space="preserve">fornecendo os </w:t>
      </w:r>
      <w:r w:rsidR="00F83796">
        <w:t xml:space="preserve">figurantes, </w:t>
      </w:r>
      <w:r w:rsidR="00775FE0">
        <w:t xml:space="preserve">aparecia ao génio do chefe como o Homem Novo por ele gerado. </w:t>
      </w:r>
      <w:r w:rsidR="00A61D4E" w:rsidRPr="006552C5">
        <w:t xml:space="preserve">Foi na encenação entendida enquanto arte global que o fascismo encontrou o seu verdadeiro tipo de estética. Wagner criou, mais do que uma música, toda uma nova dramaturgia para converter o mito em ritual, os símbolos em temas de um novo festival que inspirasse a nação ou a raça. </w:t>
      </w:r>
    </w:p>
    <w:p w:rsidR="00A61D4E" w:rsidRPr="006552C5" w:rsidRDefault="00A61D4E" w:rsidP="00A61D4E">
      <w:r w:rsidRPr="006552C5">
        <w:t xml:space="preserve">Mas debaixo desse mapa outra geografia se escondia. E a necessidade de encenar era tanto maior quanto era necessário iludir o facto fundamental, o de que era diferente a vida dos </w:t>
      </w:r>
      <w:r w:rsidR="00B075CB">
        <w:t>figurantes</w:t>
      </w:r>
      <w:r w:rsidRPr="006552C5">
        <w:t xml:space="preserve">. Uma ideologia voltada toda ela para a sua apresentação enquanto prática aparente, um discurso cujos enunciados surgiam como imediatamente criadores de uma </w:t>
      </w:r>
      <w:r w:rsidR="00B075CB">
        <w:t>prática</w:t>
      </w:r>
      <w:r w:rsidRPr="006552C5">
        <w:t xml:space="preserve"> própria, não podia ser senão mágica. A palavra do chefe era encantatória porque, perante uma multidão em transe, dava corpo a visões. E assim temos no fascismo uma dualidade de esferas. A prática efectiva de reprodução do quotidiano permitido era apresentada como desprovida de ideologia própria, </w:t>
      </w:r>
      <w:r w:rsidR="00B075CB">
        <w:t>era uma área sem nome</w:t>
      </w:r>
      <w:r w:rsidRPr="006552C5">
        <w:t>. E a ideologia oficial, situada nos antípodas d</w:t>
      </w:r>
      <w:r w:rsidR="00B075CB">
        <w:t>ess</w:t>
      </w:r>
      <w:r w:rsidRPr="006552C5">
        <w:t xml:space="preserve">a prática corrente, criava a sua própria instância interna de rituais, mediante o recurso às operações da </w:t>
      </w:r>
      <w:r w:rsidRPr="006552C5">
        <w:lastRenderedPageBreak/>
        <w:t>magia. O objectivo último do fascismo consistia em figurar aqueles rituais como se constituíssem o nível superior da prática. Neste círculo vicioso o totalitarismo do vazio certificava-se a si próprio. A falsa</w:t>
      </w:r>
      <w:r w:rsidR="00B075CB">
        <w:t xml:space="preserve"> </w:t>
      </w:r>
      <w:r w:rsidRPr="006552C5">
        <w:t xml:space="preserve">prática heróica, que não tinha outra substância senão a ritualização da ideologia, servia para ocultar, ou fazer esquecer, a desoladora banalidade da prática real. </w:t>
      </w:r>
    </w:p>
    <w:p w:rsidR="00A61D4E" w:rsidRPr="006552C5" w:rsidRDefault="00A61D4E" w:rsidP="008F7ED8">
      <w:pPr>
        <w:pStyle w:val="Recuodecorpodetexto"/>
        <w:ind w:firstLine="0"/>
        <w:jc w:val="center"/>
        <w:rPr>
          <w:rFonts w:ascii="Arial Narrow" w:hAnsi="Arial Narrow"/>
        </w:rPr>
      </w:pPr>
      <w:r w:rsidRPr="006552C5">
        <w:rPr>
          <w:rFonts w:ascii="Arial Narrow" w:hAnsi="Arial Narrow"/>
        </w:rPr>
        <w:t>2. O futurismo entendeu a violência política como um dinamismo estético</w:t>
      </w:r>
    </w:p>
    <w:p w:rsidR="00A61D4E" w:rsidRPr="006552C5" w:rsidRDefault="00A61D4E" w:rsidP="00A61D4E">
      <w:r w:rsidRPr="006552C5">
        <w:t xml:space="preserve">A problemática do futurismo é complexa, no cruzamento das preocupações estéticas e das antecipações políticas, e compete-nos deslindar o que os personagens daquela história viveram confusamente. Sem </w:t>
      </w:r>
      <w:r w:rsidR="001663AE">
        <w:t>expormos</w:t>
      </w:r>
      <w:r w:rsidRPr="006552C5">
        <w:t xml:space="preserve"> esta teia de contradições, que resulta </w:t>
      </w:r>
      <w:r>
        <w:t xml:space="preserve">também </w:t>
      </w:r>
      <w:r w:rsidRPr="006552C5">
        <w:t xml:space="preserve">da contraditoriedade da própria arte, não poderemos </w:t>
      </w:r>
      <w:r w:rsidR="001663AE">
        <w:t xml:space="preserve">compreender </w:t>
      </w:r>
      <w:r w:rsidRPr="006552C5">
        <w:t xml:space="preserve">o futurismo. </w:t>
      </w:r>
    </w:p>
    <w:p w:rsidR="00A61D4E" w:rsidRPr="006552C5" w:rsidRDefault="00A61D4E" w:rsidP="00A61D4E">
      <w:r w:rsidRPr="006552C5">
        <w:t xml:space="preserve">O manifesto fundador, publicado por Marinetti em Fevereiro de 1909, limitou-se a anunciar um estilo de vida, confundido com o frenesi da acção. Que se desengane quem </w:t>
      </w:r>
      <w:r w:rsidR="00774211">
        <w:t xml:space="preserve">imagine </w:t>
      </w:r>
      <w:r w:rsidRPr="006552C5">
        <w:t>encontrar neste manifesto as regras de uma construção artística. Se o futurismo não era, para Marinetti, tanto uma nova forma de organizar os materiais plásticos e sonoros ou de dispor a sintaxe como sobretudo uma maneira diferente de viver, isto não o destacava do esteticismo romântico, que pretendera investir o génio na vida e só o talento nas obras, para retomar a expressão nostálgica do lucidíssimo Oscar Wilde. «[...] eu declaro agora que o lirismo é a capacidade requintada de nos extasiarmos com a vida», proclamaria mais tarde Marinetti, em Maio de 1913, «de preenchermos a vida com o inebriamento de nós próprios»</w:t>
      </w:r>
      <w:r w:rsidRPr="006552C5">
        <w:rPr>
          <w:rStyle w:val="Refdenotaderodap"/>
        </w:rPr>
        <w:footnoteReference w:id="30"/>
      </w:r>
      <w:r w:rsidRPr="006552C5">
        <w:t>. Não foi ao apresentarem a vida como uma arte que os futuristas se salientaram e estarreceram os contemporâneos, mas na nova forma que quiseram imprimir à arte de viver. Quando se lêem os onze pontos programáticos do primeiro manifesto, vemos que desde início era feita a apologia da morte. «Queremos cantar o amor do perigo [...]». A modernidade era a acção, confundi</w:t>
      </w:r>
      <w:r>
        <w:t>d</w:t>
      </w:r>
      <w:r w:rsidRPr="006552C5">
        <w:t>a com a agressão. «[...] queremos celebrar o movimento agressivo, a insónia febril, o passo ginástico, o salto mortal, a bofetada e o murro». Por isso a acção moderna tinha de ser rápida. A velocidade era o ataque. «[...] a beleza da velocidade. [...] Nada é mais belo do que a luta. [...] A poesia tem de ser um assalto violento [...]»</w:t>
      </w:r>
      <w:r w:rsidRPr="006552C5">
        <w:rPr>
          <w:rStyle w:val="Refdenotaderodap"/>
        </w:rPr>
        <w:footnoteReference w:id="31"/>
      </w:r>
      <w:r w:rsidRPr="006552C5">
        <w:t xml:space="preserve">. Apologia da morte, o futurismo foi apresentado por Marinetti como uma estética da agressão. </w:t>
      </w:r>
    </w:p>
    <w:p w:rsidR="00A61D4E" w:rsidRPr="006552C5" w:rsidRDefault="00A61D4E" w:rsidP="00A61D4E">
      <w:r w:rsidRPr="006552C5">
        <w:t xml:space="preserve">Da estética da agressão até à agressão estética a diferença </w:t>
      </w:r>
      <w:r w:rsidR="007836E0">
        <w:t xml:space="preserve">foi </w:t>
      </w:r>
      <w:r w:rsidRPr="006552C5">
        <w:t xml:space="preserve">curta </w:t>
      </w:r>
      <w:r w:rsidR="007836E0">
        <w:t>—</w:t>
      </w:r>
      <w:r w:rsidRPr="006552C5">
        <w:t xml:space="preserve"> não só a profanação dos clássicos e os sarcasmos bombásticos, mas mesmo as vias de facto enquanto </w:t>
      </w:r>
      <w:r w:rsidRPr="006552C5">
        <w:lastRenderedPageBreak/>
        <w:t>modalidade da polémica artística, «porque foi a murro e com sonoras bofetadas», preveniu uma vez o conferencista Marinetti, «que lutámos nos teatros das mais importantes cidades italianas»</w:t>
      </w:r>
      <w:r w:rsidRPr="006552C5">
        <w:rPr>
          <w:rStyle w:val="Refdenotaderodap"/>
        </w:rPr>
        <w:footnoteReference w:id="32"/>
      </w:r>
      <w:r w:rsidRPr="006552C5">
        <w:t>. Os sábios da estratégia afirmam que a regra da violência é a ascensão aos extremos, por que razão se limitar a partir caras? «Depressa chegará o momento em que não nos poderemos mais contentar em defender as nossas ideias à bofetada e ao murro, e teremos de inaugurar o atentado em nome do pensamento, o atentado artístico, o atentado literário [...] Mas talvez a cobardia dos nossos inimigos nos poupe o luxo de os matar»</w:t>
      </w:r>
      <w:r w:rsidRPr="006552C5">
        <w:rPr>
          <w:rStyle w:val="Refdenotaderodap"/>
        </w:rPr>
        <w:footnoteReference w:id="33"/>
      </w:r>
      <w:r w:rsidRPr="006552C5">
        <w:t>. Não eram figuras de estilo de um chefe de escola que gostava de causar sensação, e os demais membros do movimento partilhavam a mesma atitude. «Chegou a vez da juventude, da violência, da ousadia!»</w:t>
      </w:r>
      <w:r w:rsidR="007836E0">
        <w:t>,</w:t>
      </w:r>
      <w:r w:rsidRPr="006552C5">
        <w:t xml:space="preserve"> escrev</w:t>
      </w:r>
      <w:r>
        <w:t>er</w:t>
      </w:r>
      <w:r w:rsidRPr="006552C5">
        <w:t>am os principais pintores e escultores futuristas no começo de 1910</w:t>
      </w:r>
      <w:r w:rsidRPr="006552C5">
        <w:rPr>
          <w:rStyle w:val="Refdenotaderodap"/>
        </w:rPr>
        <w:footnoteReference w:id="34"/>
      </w:r>
      <w:r w:rsidRPr="006552C5">
        <w:t>. E o compositor Balilla Pratella evoc</w:t>
      </w:r>
      <w:r>
        <w:t>ou</w:t>
      </w:r>
      <w:r w:rsidRPr="006552C5">
        <w:t xml:space="preserve"> «os poetas e pintores futuristas, belos na violência, ousados na revolta»</w:t>
      </w:r>
      <w:r w:rsidRPr="006552C5">
        <w:rPr>
          <w:rStyle w:val="Refdenotaderodap"/>
        </w:rPr>
        <w:footnoteReference w:id="35"/>
      </w:r>
      <w:r w:rsidRPr="006552C5">
        <w:t xml:space="preserve">. Que viver como poeta fosse viver como guerreiro, eis o contributo do futurismo enquanto derradeiro movimento romântico. </w:t>
      </w:r>
    </w:p>
    <w:p w:rsidR="00A61D4E" w:rsidRPr="006552C5" w:rsidRDefault="00A61D4E" w:rsidP="00A61D4E">
      <w:r w:rsidRPr="006552C5">
        <w:t xml:space="preserve">A mesma atitude presidiu ao </w:t>
      </w:r>
      <w:r w:rsidRPr="006552C5">
        <w:rPr>
          <w:i/>
        </w:rPr>
        <w:t>Manifesto da Luxúria,</w:t>
      </w:r>
      <w:r w:rsidRPr="006552C5">
        <w:t xml:space="preserve"> assinado em Janeiro de 1913 </w:t>
      </w:r>
      <w:r>
        <w:t xml:space="preserve">pela coreógrafa </w:t>
      </w:r>
      <w:r w:rsidR="00574917">
        <w:t xml:space="preserve">e escritora </w:t>
      </w:r>
      <w:r w:rsidRPr="006552C5">
        <w:t>Valentine de Saint-Point, que desde a primeira linha proclam</w:t>
      </w:r>
      <w:r>
        <w:t>ou</w:t>
      </w:r>
      <w:r w:rsidRPr="006552C5">
        <w:t>: «A luxúria, se for considerada sem preconceitos morais e como uma parte essencial do dinamismo da vida, é uma força». E termin</w:t>
      </w:r>
      <w:r>
        <w:t>ou</w:t>
      </w:r>
      <w:r w:rsidRPr="006552C5">
        <w:t xml:space="preserve"> insistindo: </w:t>
      </w:r>
      <w:r w:rsidRPr="006552C5">
        <w:rPr>
          <w:i/>
        </w:rPr>
        <w:t>«A luxúria é uma força»</w:t>
      </w:r>
      <w:r w:rsidRPr="006552C5">
        <w:t xml:space="preserve">. Se substituirmos a libido pela política encontramos nestas proclamações o futuro programa de acção do fascismo. Ao longo daquele manifesto o tema da sensualidade entrelaçou-se indissoluvelmente com os temas da violência guerreira e da força racial. A sensualidade não era vista sequer como a luta dos sexos, no sentido em que Monteverdi a apresentara nos seus </w:t>
      </w:r>
      <w:r w:rsidRPr="006552C5">
        <w:rPr>
          <w:i/>
        </w:rPr>
        <w:t>Madrigali guerrieri et amorosi,</w:t>
      </w:r>
      <w:r w:rsidRPr="006552C5">
        <w:t xml:space="preserve"> mas como a brutal alegria do triunfo do macho. «A satisfação da sua luxúria é um direito dos conquistadores. Após uma batalha em que homens morreram, </w:t>
      </w:r>
      <w:r w:rsidRPr="006552C5">
        <w:rPr>
          <w:i/>
        </w:rPr>
        <w:t>é normal que os vencedores, testados pela guerra, se lancem a cometer violações na terra conquistada, para que a vida possa ser criada de novo</w:t>
      </w:r>
      <w:r w:rsidRPr="006552C5">
        <w:t xml:space="preserve">. [... ... ...] a luxúria é uma força porque mata o fraco e exalta o forte, contribuindo para a selecção natural». E era esta esfera conjunta da violência e da raça a ser celebrada enquanto acto criativo. «A luxúria é o acto de criar, é Criação». Anunciava-se o desejo do corpo no mesmo tom opressor e triunfante em que outros, ou os mesmos, afirmariam o desejo do poder. «[...] para os dominadores de todos os campos, a luxúria é a esplêndida exaltação da sua força». Na estrutura do texto, decerto igualmente nas imagens cerebrais de </w:t>
      </w:r>
      <w:r w:rsidRPr="006552C5">
        <w:lastRenderedPageBreak/>
        <w:t xml:space="preserve">quem o escreveu e dos muitos que o leram nos anos seguintes, o debate amoroso não se distinguia do futuro confronto físico dos </w:t>
      </w:r>
      <w:r w:rsidRPr="006552C5">
        <w:rPr>
          <w:i/>
        </w:rPr>
        <w:t>squadristi</w:t>
      </w:r>
      <w:r w:rsidRPr="006552C5">
        <w:t xml:space="preserve"> com as suas vítimas. </w:t>
      </w:r>
      <w:r w:rsidRPr="006552C5">
        <w:rPr>
          <w:i/>
        </w:rPr>
        <w:t>«A arte e a guerra são as grandes manifestações da sensualidade. A luxúria é a sua flor»</w:t>
      </w:r>
      <w:r w:rsidRPr="006552C5">
        <w:t>. Pois o murro e a bofetada celebrados por Marinetti como suprema poesia não eram igualmente um toque de epidermes, um pressionar de carnes? «A luxúria é [...] a dolorosa alegria da carne ferida [...]»</w:t>
      </w:r>
      <w:r w:rsidRPr="006552C5">
        <w:rPr>
          <w:rStyle w:val="Refdenotaderodap"/>
        </w:rPr>
        <w:footnoteReference w:id="36"/>
      </w:r>
      <w:r w:rsidRPr="006552C5">
        <w:t>. O lugar do fascismo como politização do sadismo estava já claramente marcado no manifes</w:t>
      </w:r>
      <w:r w:rsidR="008F664E">
        <w:t>to de Valentine de Saint-Point, e Hitler — apesar de tudo o que o separava dos futuristas — foi da mesma opinião muitos anos mais tar</w:t>
      </w:r>
      <w:r w:rsidR="00DC6B4A">
        <w:t>d</w:t>
      </w:r>
      <w:r w:rsidR="008F664E">
        <w:t xml:space="preserve">e, quando explicou aos comensais que «se contamos que o soldado </w:t>
      </w:r>
      <w:r w:rsidR="00651BD3">
        <w:t>germânico</w:t>
      </w:r>
      <w:r w:rsidR="008F664E">
        <w:t xml:space="preserve"> esteja pronto a sacrificar a vida sem hesitações, então ele tem o direito de amar livremente e sem restrições. Na vida, a batalha e o amor vão a par, e o pequeno burguês inibi</w:t>
      </w:r>
      <w:r w:rsidR="008501A3">
        <w:t>do</w:t>
      </w:r>
      <w:r w:rsidR="008F664E">
        <w:t xml:space="preserve"> que se satisfaça com as migalhas que restarem»</w:t>
      </w:r>
      <w:r w:rsidR="004C41ED">
        <w:rPr>
          <w:rStyle w:val="Refdenotaderodap"/>
        </w:rPr>
        <w:footnoteReference w:id="37"/>
      </w:r>
      <w:r w:rsidR="008F664E">
        <w:t xml:space="preserve">. </w:t>
      </w:r>
    </w:p>
    <w:p w:rsidR="00A61D4E" w:rsidRPr="006552C5" w:rsidRDefault="00A61D4E" w:rsidP="00A61D4E">
      <w:r w:rsidRPr="006552C5">
        <w:t>Esta postura de misoginia viril foi uma das obsessões que mais frequentemente afloraram nos textos doutrinários de Marinetti. «[...] o desprezo pela mulher, condição essencial da existência do herói moderno»</w:t>
      </w:r>
      <w:r w:rsidRPr="006552C5">
        <w:rPr>
          <w:rStyle w:val="Refdenotaderodap"/>
        </w:rPr>
        <w:footnoteReference w:id="38"/>
      </w:r>
      <w:r w:rsidRPr="006552C5">
        <w:t xml:space="preserve">. Os laços sentimentais impediriam os homens de se transcenderem e enfrentarem o perigo com a risonha indiferença da coragem natural. «Nós desprezamos o Amor horrível e enfadonho, que estorva o passo do homem e o impede de sair da sua humanidade, de se redobrar, de se ultrapassar a si mesmo para se converter no que chamamos: o </w:t>
      </w:r>
      <w:r w:rsidRPr="006552C5">
        <w:rPr>
          <w:i/>
        </w:rPr>
        <w:t>homem multiplicado</w:t>
      </w:r>
      <w:r w:rsidRPr="006552C5">
        <w:t>»</w:t>
      </w:r>
      <w:r w:rsidRPr="006552C5">
        <w:rPr>
          <w:rStyle w:val="Refdenotaderodap"/>
        </w:rPr>
        <w:footnoteReference w:id="39"/>
      </w:r>
      <w:r w:rsidRPr="006552C5">
        <w:t xml:space="preserve"> </w:t>
      </w:r>
      <w:r w:rsidR="00D92ED1">
        <w:t>—</w:t>
      </w:r>
      <w:r w:rsidRPr="006552C5">
        <w:t xml:space="preserve"> e assim por diante, ao longo de mais uma dezena de páginas. Para os pintores e escultores do futurismo, no entanto, como para os seus fotógrafos, cineastas, músicos ou potenciais arquitectos, não se tratava de tecer apenas considerações a respeito de uma forma de viver e copular, ou de morrer e matar, mas também de enunciar os resultados da nova sensibilidade visual e auditiva, e de lhes dar corpo e forma nas suas obras. Por isso o futurismo deve ser analisado como uma corrente cabalmente estética. </w:t>
      </w:r>
    </w:p>
    <w:p w:rsidR="00A61D4E" w:rsidRPr="006552C5" w:rsidRDefault="00A61D4E" w:rsidP="00A61D4E">
      <w:r w:rsidRPr="006552C5">
        <w:t xml:space="preserve">A primeira e mais fundamental das operações a que estes artistas procederam foi a conversão da violência, que é um modo de comportamento pessoal e político, em dinamismo, que é uma regra de formas. Talvez seja impossível encontrar estes temas entrelaçados mais estreitamente do que numa passagem de um texto de Boccioni, em que referiu «o calor dinâmico, a acção violenta e a variação marginal que são precisamente as qualidades que </w:t>
      </w:r>
      <w:r w:rsidRPr="006552C5">
        <w:lastRenderedPageBreak/>
        <w:t>permitem à forma viver fora do intelecto, de maneira a poder ser projectada para o infinito»</w:t>
      </w:r>
      <w:r w:rsidRPr="006552C5">
        <w:rPr>
          <w:rStyle w:val="Refdenotaderodap"/>
        </w:rPr>
        <w:footnoteReference w:id="40"/>
      </w:r>
      <w:r w:rsidRPr="006552C5">
        <w:t>. A descoberta de que o dinamismo pode corresponder no plano estético àquilo que a violência representa na vida social permitiu aos futuristas afirmarem e desenvolverem as bases da arte moderna. Começando como uma apologia neo-romântica da vida perigosa e da audácia na acção, o futurismo depressa se ampliou, de maneira a renovar toda a reflexão estética a partir do princípio do dinamismo interior de cada elemento, e a remodelar neste sentido a criação artística. «</w:t>
      </w:r>
      <w:r w:rsidRPr="006552C5">
        <w:rPr>
          <w:i/>
        </w:rPr>
        <w:t xml:space="preserve">Nós queremos alcançar a essência interior das coisas, o movimento puro </w:t>
      </w:r>
      <w:r w:rsidRPr="006552C5">
        <w:t>[...]»</w:t>
      </w:r>
      <w:r w:rsidRPr="006552C5">
        <w:rPr>
          <w:rStyle w:val="Refdenotaderodap"/>
        </w:rPr>
        <w:footnoteReference w:id="41"/>
      </w:r>
      <w:r w:rsidRPr="006552C5">
        <w:t>. E Boccioni proclam</w:t>
      </w:r>
      <w:r>
        <w:t>ou</w:t>
      </w:r>
      <w:r w:rsidRPr="006552C5">
        <w:t>: «Nós, os futuristas, descobrimos a forma no movimento e o movimento da forma»</w:t>
      </w:r>
      <w:r w:rsidRPr="006552C5">
        <w:rPr>
          <w:rStyle w:val="Refdenotaderodap"/>
        </w:rPr>
        <w:footnoteReference w:id="42"/>
      </w:r>
      <w:r w:rsidRPr="006552C5">
        <w:t xml:space="preserve">. </w:t>
      </w:r>
    </w:p>
    <w:p w:rsidR="00A61D4E" w:rsidRPr="006552C5" w:rsidRDefault="00A61D4E" w:rsidP="00A61D4E">
      <w:r w:rsidRPr="006552C5">
        <w:t>Todavia, os futuristas não teriam conseguido o seu impacto inovador se se tivessem limitado a desenvolver os princípios do movimento no contraste entre elementos distintos, porque esta fora já a lição de muitos clássicos. Onde a modernidade se implantou foi no reconhecimento da «ubiquidade do homem multiplicado»</w:t>
      </w:r>
      <w:r w:rsidRPr="006552C5">
        <w:rPr>
          <w:rStyle w:val="Refdenotaderodap"/>
        </w:rPr>
        <w:footnoteReference w:id="43"/>
      </w:r>
      <w:r w:rsidRPr="006552C5">
        <w:t xml:space="preserve">. O habitante das cidades contemporâneas, habituado à velocidade, às luzes artificiais e aos sons mecânicos, que dispõe de meios de comunicação tão rápidos e múltiplos que ao mesmo tempo pode presenciar vários acontecimentos ou fazer-se ouvir em diversos lugares, que está habituado a participar simultaneamente em ritmos distintos e tem, portanto, a noção de uma multiplicidade de tempos, e que não conhece outra paisagem senão a das intersecções e da sobreposição de contrastes, uma pessoa assim não pode deixar de sentir qualquer objecto, antes mesmo de ser uma forma em movimento, como uma forma do movimento. «O gesto que queremos reproduzir na tela não será mais um </w:t>
      </w:r>
      <w:r w:rsidRPr="006552C5">
        <w:rPr>
          <w:i/>
        </w:rPr>
        <w:t xml:space="preserve">instante </w:t>
      </w:r>
      <w:r w:rsidRPr="00BB5D3E">
        <w:t>fixo</w:t>
      </w:r>
      <w:r w:rsidRPr="006552C5">
        <w:t xml:space="preserve"> do dinamismo universal. Será simplesmente a própria </w:t>
      </w:r>
      <w:r w:rsidRPr="006552C5">
        <w:rPr>
          <w:i/>
        </w:rPr>
        <w:t>sensação dinâmica</w:t>
      </w:r>
      <w:r w:rsidRPr="006552C5">
        <w:t>», escrev</w:t>
      </w:r>
      <w:r>
        <w:t>er</w:t>
      </w:r>
      <w:r w:rsidRPr="006552C5">
        <w:t>am os principais pintores e escultores do futurismo</w:t>
      </w:r>
      <w:r w:rsidRPr="006552C5">
        <w:rPr>
          <w:rStyle w:val="Refdenotaderodap"/>
        </w:rPr>
        <w:footnoteReference w:id="44"/>
      </w:r>
      <w:r w:rsidRPr="006552C5">
        <w:t xml:space="preserve">. Boccioni, o mais </w:t>
      </w:r>
      <w:r w:rsidRPr="006552C5">
        <w:rPr>
          <w:i/>
        </w:rPr>
        <w:t>réussi</w:t>
      </w:r>
      <w:r w:rsidRPr="006552C5">
        <w:t xml:space="preserve"> dos escultores do grupo, inici</w:t>
      </w:r>
      <w:r>
        <w:t>ou</w:t>
      </w:r>
      <w:r w:rsidRPr="006552C5">
        <w:t xml:space="preserve"> assim um texto publicado quatro anos depois: «O movimento absoluto é uma lei dinâmica inerente ao objecto. A construção plástica do objecto deve ocupar-se com o movimento que o objecto tem no interior dele próprio, quer esteja parado ou em deslocação». E observ</w:t>
      </w:r>
      <w:r>
        <w:t>ou</w:t>
      </w:r>
      <w:r w:rsidRPr="006552C5">
        <w:t xml:space="preserve"> adiante que «na nossa percepção moderna da vida não existe </w:t>
      </w:r>
      <w:r w:rsidR="007721F5">
        <w:t>nenhum</w:t>
      </w:r>
      <w:r w:rsidRPr="006552C5">
        <w:t xml:space="preserve"> objecto sem movimento»</w:t>
      </w:r>
      <w:r w:rsidRPr="006552C5">
        <w:rPr>
          <w:rStyle w:val="Refdenotaderodap"/>
        </w:rPr>
        <w:footnoteReference w:id="45"/>
      </w:r>
      <w:r w:rsidRPr="006552C5">
        <w:t xml:space="preserve">. Era esta, aliás, a crítica que os futuristas faziam aos cubistas, acusando-os de ignorarem o dinamismo interno dos objectos e reduzirem as formas a uma decomposição estática de planos, realizada de acordo com normas </w:t>
      </w:r>
      <w:r w:rsidRPr="006552C5">
        <w:rPr>
          <w:i/>
        </w:rPr>
        <w:t>a priori,</w:t>
      </w:r>
      <w:r w:rsidRPr="006552C5">
        <w:t xml:space="preserve"> em vez de da</w:t>
      </w:r>
      <w:r>
        <w:t>rem</w:t>
      </w:r>
      <w:r w:rsidRPr="006552C5">
        <w:t xml:space="preserve"> </w:t>
      </w:r>
      <w:r w:rsidRPr="006552C5">
        <w:lastRenderedPageBreak/>
        <w:t>livre curso à dinâmica da intuição</w:t>
      </w:r>
      <w:r w:rsidRPr="006552C5">
        <w:rPr>
          <w:rStyle w:val="Refdenotaderodap"/>
        </w:rPr>
        <w:footnoteReference w:id="46"/>
      </w:r>
      <w:r w:rsidRPr="006552C5">
        <w:t>. Pelo mesmo motivo os futuristas opunham-se à ortogonalidade, já que o ângulo recto é insusceptível de representar o movimento, e além de ângulos agudos e obtusos propunham o emprego de toda a gama de curvas</w:t>
      </w:r>
      <w:r w:rsidRPr="006552C5">
        <w:rPr>
          <w:rStyle w:val="Refdenotaderodap"/>
        </w:rPr>
        <w:footnoteReference w:id="47"/>
      </w:r>
      <w:r w:rsidRPr="006552C5">
        <w:t xml:space="preserve">. </w:t>
      </w:r>
    </w:p>
    <w:p w:rsidR="00A61D4E" w:rsidRPr="006552C5" w:rsidRDefault="00A61D4E" w:rsidP="00A61D4E">
      <w:r w:rsidRPr="006552C5">
        <w:t xml:space="preserve">O dinamismo, para os futuristas, era anterior à velocidade, que não passava de uma das suas modalidades. Independentemente de algo poder ou não estar em movimento, era o dinamismo a explicar-lhe a estrutura interna. Por isso estes pintores, escultores e fotógrafos pretendiam </w:t>
      </w:r>
      <w:r w:rsidR="00FC3EF3">
        <w:t>—</w:t>
      </w:r>
      <w:r w:rsidRPr="006552C5">
        <w:t xml:space="preserve"> e talvez seja esta a melhor descrição do efeito visual produzido por grande parte das suas obras </w:t>
      </w:r>
      <w:r w:rsidR="00FC3EF3">
        <w:t>—</w:t>
      </w:r>
      <w:r w:rsidRPr="006552C5">
        <w:t xml:space="preserve"> «registar a continuidade de uma acção no espaço»</w:t>
      </w:r>
      <w:r w:rsidRPr="006552C5">
        <w:rPr>
          <w:rStyle w:val="Refdenotaderodap"/>
        </w:rPr>
        <w:footnoteReference w:id="48"/>
      </w:r>
      <w:r w:rsidRPr="006552C5">
        <w:t>. Boccioni escrev</w:t>
      </w:r>
      <w:r>
        <w:t>eu</w:t>
      </w:r>
      <w:r w:rsidRPr="006552C5">
        <w:t xml:space="preserve"> em Dezembro de 1913: «Na escultura [...] não procuramos necessariamente [...] a construção de um objecto, mas a construção da acção de um objecto»</w:t>
      </w:r>
      <w:r w:rsidRPr="006552C5">
        <w:rPr>
          <w:rStyle w:val="Refdenotaderodap"/>
        </w:rPr>
        <w:footnoteReference w:id="49"/>
      </w:r>
      <w:r w:rsidRPr="006552C5">
        <w:t xml:space="preserve">. Ele </w:t>
      </w:r>
      <w:r w:rsidR="00500DEE">
        <w:t xml:space="preserve">já </w:t>
      </w:r>
      <w:r w:rsidRPr="006552C5">
        <w:t>proclam</w:t>
      </w:r>
      <w:r w:rsidR="00500DEE">
        <w:t>ara</w:t>
      </w:r>
      <w:r w:rsidRPr="006552C5">
        <w:t xml:space="preserve"> a intenção de «fazer os objectos viverem, mostrando as suas extensões no espaço como sensíveis, sistemáticas e plásticas»</w:t>
      </w:r>
      <w:r w:rsidRPr="006552C5">
        <w:rPr>
          <w:rStyle w:val="Refdenotaderodap"/>
        </w:rPr>
        <w:footnoteReference w:id="50"/>
      </w:r>
      <w:r w:rsidRPr="006552C5">
        <w:t>. E</w:t>
      </w:r>
      <w:r w:rsidR="00500DEE">
        <w:t xml:space="preserve"> </w:t>
      </w:r>
      <w:r w:rsidRPr="006552C5">
        <w:t>depois explic</w:t>
      </w:r>
      <w:r>
        <w:t>ou</w:t>
      </w:r>
      <w:r w:rsidRPr="006552C5">
        <w:t xml:space="preserve"> melhor</w:t>
      </w:r>
      <w:r>
        <w:t>.</w:t>
      </w:r>
      <w:r w:rsidRPr="006552C5">
        <w:t xml:space="preserve"> «As áreas entre um objecto e outro não são espaços meramente vazios, mas materiais contínuos com intensidades diferentes, o que nós revelamos mediante linhas visíveis [...] É por isso que nos nossos quadros não existem objectos e espaços vazios, mas somente uma maior ou menor intensidade e solidez do espaço»</w:t>
      </w:r>
      <w:r w:rsidRPr="006552C5">
        <w:rPr>
          <w:rStyle w:val="Refdenotaderodap"/>
        </w:rPr>
        <w:footnoteReference w:id="51"/>
      </w:r>
      <w:r w:rsidRPr="006552C5">
        <w:t>. Neste sentido Carrà defini</w:t>
      </w:r>
      <w:r>
        <w:t>u</w:t>
      </w:r>
      <w:r w:rsidRPr="006552C5">
        <w:t xml:space="preserve"> o «movimento total» como «a expansão esférica do espaço»</w:t>
      </w:r>
      <w:r w:rsidRPr="006552C5">
        <w:rPr>
          <w:rStyle w:val="Refdenotaderodap"/>
        </w:rPr>
        <w:footnoteReference w:id="52"/>
      </w:r>
      <w:r w:rsidRPr="006552C5">
        <w:t xml:space="preserve"> e Severini referiu-se à </w:t>
      </w:r>
      <w:r w:rsidRPr="006552C5">
        <w:rPr>
          <w:i/>
        </w:rPr>
        <w:t>«expansão esférica da luz no espaço»</w:t>
      </w:r>
      <w:r w:rsidRPr="006552C5">
        <w:rPr>
          <w:rStyle w:val="Refdenotaderodap"/>
        </w:rPr>
        <w:footnoteReference w:id="53"/>
      </w:r>
      <w:r w:rsidRPr="006552C5">
        <w:t xml:space="preserve">. </w:t>
      </w:r>
    </w:p>
    <w:p w:rsidR="00A61D4E" w:rsidRPr="006552C5" w:rsidRDefault="00A61D4E" w:rsidP="00A61D4E">
      <w:r w:rsidRPr="006552C5">
        <w:t xml:space="preserve">Se revelar algo no seu dinamismo era mostrá-lo na sua realidade mais íntima e decisiva, então o dinamismo conjugado de todos os elementos impedia que cada um deles aparecesse isolado. «[...] o próprio bloco escultórico deve conter os elementos arquitectónicos do </w:t>
      </w:r>
      <w:r w:rsidRPr="006552C5">
        <w:rPr>
          <w:i/>
        </w:rPr>
        <w:t>ambiente escultórico circundante</w:t>
      </w:r>
      <w:r w:rsidRPr="006552C5">
        <w:t xml:space="preserve"> onde o objecto existe», </w:t>
      </w:r>
      <w:r w:rsidR="00412729">
        <w:t>explicou</w:t>
      </w:r>
      <w:r w:rsidRPr="006552C5">
        <w:t xml:space="preserve"> Boccioni. «Deste modo estaremos a produzir uma escultura do </w:t>
      </w:r>
      <w:r w:rsidRPr="006552C5">
        <w:rPr>
          <w:i/>
        </w:rPr>
        <w:t>ambiente circundante</w:t>
      </w:r>
      <w:r w:rsidRPr="006552C5">
        <w:t xml:space="preserve">. [...] Vamos [...] proclamar a </w:t>
      </w:r>
      <w:r w:rsidRPr="006552C5">
        <w:rPr>
          <w:i/>
        </w:rPr>
        <w:t>abolição completa e absoluta das linhas finitas e da estátua sujeita a limites. Vamos rebentar a meio as nossas figuras e colocar dentro delas o ambiente circundante</w:t>
      </w:r>
      <w:r w:rsidRPr="006552C5">
        <w:t>». Numa das conclusões do mesmo manifesto Boccioni acrescent</w:t>
      </w:r>
      <w:r>
        <w:t>ou</w:t>
      </w:r>
      <w:r w:rsidRPr="006552C5">
        <w:t xml:space="preserve">: «Aquilo que estamos a criar é apenas uma ponte entre um infinito plástico exterior e um infinito plástico interior, por isso os objectos nunca podem ser finitos, interseccionando-se uns aos outros através de uma combinação infinita de poderes, que </w:t>
      </w:r>
      <w:r w:rsidRPr="006552C5">
        <w:lastRenderedPageBreak/>
        <w:t>atraem e repelem»</w:t>
      </w:r>
      <w:r w:rsidRPr="006552C5">
        <w:rPr>
          <w:rStyle w:val="Refdenotaderodap"/>
        </w:rPr>
        <w:footnoteReference w:id="54"/>
      </w:r>
      <w:r w:rsidRPr="006552C5">
        <w:t>. E insisti</w:t>
      </w:r>
      <w:r>
        <w:t>u</w:t>
      </w:r>
      <w:r w:rsidRPr="006552C5">
        <w:t xml:space="preserve">, numa conferência proferida no final de 1913: «Temos [...] de elevar o conceito de objecto ao de um todo plástico: </w:t>
      </w:r>
      <w:r w:rsidRPr="006552C5">
        <w:rPr>
          <w:i/>
        </w:rPr>
        <w:t>objecto + ambiente circundante</w:t>
      </w:r>
      <w:r w:rsidRPr="006552C5">
        <w:t>. [...] A escultura futurista colocará a figura no centro de uma orientação plástica do espaço». A velocidade, na relação de um elemento móvel com os demais, era só um dos aspectos da interpenetração dinâmica de todos os elementos. «O dinamismo é uma lei geral da simultaneidade e da interpenetração»</w:t>
      </w:r>
      <w:r w:rsidRPr="006552C5">
        <w:rPr>
          <w:rStyle w:val="Refdenotaderodap"/>
        </w:rPr>
        <w:footnoteReference w:id="55"/>
      </w:r>
      <w:r w:rsidRPr="006552C5">
        <w:t>. Seguindo a mesma inspiração, Marinetti afirm</w:t>
      </w:r>
      <w:r>
        <w:t>ou</w:t>
      </w:r>
      <w:r w:rsidRPr="006552C5">
        <w:t xml:space="preserve"> num manifesto de Março de 1914: «Nós destruímos sistematicamente o “eu” literário, para o dispersar pela vibração universal [...] E assim a poesia das forças cósmicas suplanta a poesia do humano»</w:t>
      </w:r>
      <w:r w:rsidRPr="006552C5">
        <w:rPr>
          <w:rStyle w:val="Refdenotaderodap"/>
        </w:rPr>
        <w:footnoteReference w:id="56"/>
      </w:r>
      <w:r w:rsidRPr="006552C5">
        <w:t>. Menos prolix</w:t>
      </w:r>
      <w:r w:rsidR="00B1099D">
        <w:t>o</w:t>
      </w:r>
      <w:r w:rsidRPr="006552C5">
        <w:t>, Severini definiu: «Os objectos individuais deixaram de existir»</w:t>
      </w:r>
      <w:r w:rsidRPr="006552C5">
        <w:rPr>
          <w:rStyle w:val="Refdenotaderodap"/>
        </w:rPr>
        <w:footnoteReference w:id="57"/>
      </w:r>
      <w:r w:rsidRPr="006552C5">
        <w:t xml:space="preserve">. </w:t>
      </w:r>
    </w:p>
    <w:p w:rsidR="00A61D4E" w:rsidRPr="006552C5" w:rsidRDefault="00A61D4E" w:rsidP="00A61D4E">
      <w:r w:rsidRPr="006552C5">
        <w:t xml:space="preserve">A grande parte da reflexão estética dos futuristas incidiu na reconstituição do movimento interno a que eles resumiam todas as formas, e na discussão teórica e aplicação prática dos meios que permitiriam esta reconstituição. Criaram assim uma arte inteiramente nova. Neste sentido, o emprego de analogias </w:t>
      </w:r>
      <w:r w:rsidR="00E90CA4">
        <w:t>—</w:t>
      </w:r>
      <w:r w:rsidRPr="006552C5">
        <w:t xml:space="preserve"> visuais, sonoras, olfativas </w:t>
      </w:r>
      <w:r w:rsidR="00E90CA4">
        <w:t>—</w:t>
      </w:r>
      <w:r w:rsidRPr="006552C5">
        <w:t xml:space="preserve"> foi o principal recurso técnico e aquele que suscitou um debate mais rico. «Devemos considerar as obras de arte (na escultura e na pintura) como estruturas de uma nova realidade interior», escreveu Boccioni, «que os elementos da realidade exterior ajudam progressivamente a desenvolver num sistema de analogias plásticas [...]»</w:t>
      </w:r>
      <w:r w:rsidRPr="006552C5">
        <w:rPr>
          <w:rStyle w:val="Refdenotaderodap"/>
        </w:rPr>
        <w:footnoteReference w:id="58"/>
      </w:r>
      <w:r w:rsidRPr="006552C5">
        <w:t xml:space="preserve">. Mas que sentido atribuir a uma proclamação </w:t>
      </w:r>
      <w:r w:rsidR="0066603C">
        <w:t xml:space="preserve">de </w:t>
      </w:r>
      <w:r w:rsidR="0066603C" w:rsidRPr="0066603C">
        <w:t>Carrà</w:t>
      </w:r>
      <w:r w:rsidR="0066603C" w:rsidRPr="006552C5">
        <w:t xml:space="preserve"> </w:t>
      </w:r>
      <w:r w:rsidRPr="006552C5">
        <w:t>que referi</w:t>
      </w:r>
      <w:r>
        <w:t>u</w:t>
      </w:r>
      <w:r w:rsidRPr="006552C5">
        <w:t xml:space="preserve"> «pinturas de sons, barulhos e cheiros»? </w:t>
      </w:r>
      <w:r w:rsidRPr="006552C5">
        <w:rPr>
          <w:i/>
        </w:rPr>
        <w:t>«Sob o ponto de vista da forma»,</w:t>
      </w:r>
      <w:r w:rsidRPr="006552C5">
        <w:t xml:space="preserve"> explic</w:t>
      </w:r>
      <w:r>
        <w:t>ou</w:t>
      </w:r>
      <w:r w:rsidRPr="006552C5">
        <w:t xml:space="preserve"> o artista, «há sons, barulhos e cheiros que são côncavos, convexos, triangulares, elipsoidais, oblongos, cónicos, esféricos, em espiral, etc. </w:t>
      </w:r>
      <w:r w:rsidRPr="006552C5">
        <w:rPr>
          <w:i/>
        </w:rPr>
        <w:t>Sob o ponto de vista da cor:</w:t>
      </w:r>
      <w:r w:rsidRPr="006552C5">
        <w:t xml:space="preserve"> há sons, barulhos e cheiros que são amarelos, verdes, azuis-escuros, azuis-claros, roxos»</w:t>
      </w:r>
      <w:r w:rsidRPr="006552C5">
        <w:rPr>
          <w:rStyle w:val="Refdenotaderodap"/>
        </w:rPr>
        <w:footnoteReference w:id="59"/>
      </w:r>
      <w:r w:rsidRPr="006552C5">
        <w:t xml:space="preserve">. </w:t>
      </w:r>
    </w:p>
    <w:p w:rsidR="00A61D4E" w:rsidRPr="006552C5" w:rsidRDefault="00A61D4E" w:rsidP="00A61D4E">
      <w:r w:rsidRPr="006552C5">
        <w:t>Esta formulação da técnica das analogias distingue-se da problemática suscitada por Mallarmé e pelos seus discípulos, porque não se tratava para os futuristas de uma correspondência simbólica mas de uma equivalência directa, justificada mediante referências mais ou menos imprecisas, ou até francamente extravagantes, às concepções científicas da época. Num manifesto publicado em Agosto de 1913, Prampolini pretend</w:t>
      </w:r>
      <w:r>
        <w:t>eu</w:t>
      </w:r>
      <w:r w:rsidRPr="006552C5">
        <w:t xml:space="preserve"> que «as vibrações cromáticas emitidas por uma fonte sonora existem </w:t>
      </w:r>
      <w:r w:rsidRPr="006552C5">
        <w:rPr>
          <w:i/>
        </w:rPr>
        <w:t>também</w:t>
      </w:r>
      <w:r w:rsidRPr="006552C5">
        <w:t xml:space="preserve"> na atmosfera e são perceptíveis pelo </w:t>
      </w:r>
      <w:r w:rsidRPr="006552C5">
        <w:lastRenderedPageBreak/>
        <w:t xml:space="preserve">nosso sentido da vista. [...] Podemos distinguir duas notas </w:t>
      </w:r>
      <w:r w:rsidR="001E07FF">
        <w:t>—</w:t>
      </w:r>
      <w:r w:rsidRPr="006552C5">
        <w:t xml:space="preserve"> dó e fá, por exemplo </w:t>
      </w:r>
      <w:r w:rsidR="001E07FF">
        <w:t>—</w:t>
      </w:r>
      <w:r w:rsidRPr="006552C5">
        <w:t xml:space="preserve"> porque reflectem para a atmosfera tipos de vibração diferentes. Seria, assim, igualmente fácil e digno de crédito distinguir cromaticamente o valor de uma ou outra nota, já que os objectos em redor, graças à influência das suas cores, provocam uma refracção naquelas vibrações. [...] as vibrações deslocadas por uma única força não podem ser equiparadas a uma única cor, mas a uma multiplicidade de cores, pois, como sabemos, a atmosfera é composta por sete cores primárias, e as vibrações constituem uma desintegração da atmosfera. [...] não é exacto nem possível que uma nota, um som, um barulho, um gesto, uma palavra, um cheiro possam ter uma cor correspondente; pelo contrário, devem ter várias cores. [...] pretendo incluir no termo “Cromofonia” qualquer tipo de deslocação atmosférica, mesmo aquelas que provêm de origens não-sonoras»</w:t>
      </w:r>
      <w:r w:rsidRPr="006552C5">
        <w:rPr>
          <w:rStyle w:val="Refdenotaderodap"/>
        </w:rPr>
        <w:footnoteReference w:id="60"/>
      </w:r>
      <w:r w:rsidRPr="006552C5">
        <w:t xml:space="preserve">. Se o próprio processo prático de realização estética tinha as analogias como base, então, antes ainda de começarem a tomar forma já estas obras rompiam as fronteiras convencionalmente demarcadas entre os géneros. Também aqui se completou a síntese entre as várias modalidades da arte, ambicionada pelos românticos e que recebera de Wagner um novo alento. Mas os futuristas não se deixaram enlear pelo neo-romantismo, e se a sua atitude perante a vida pode ainda ser considerada como o epílogo do romantismo, por outro lado eles precipitaram-se na modernidade e provocaram uma ruptura efectiva com o passado. </w:t>
      </w:r>
    </w:p>
    <w:p w:rsidR="00A61D4E" w:rsidRPr="006552C5" w:rsidRDefault="00A61D4E" w:rsidP="00A61D4E">
      <w:r w:rsidRPr="006552C5">
        <w:t xml:space="preserve">As correspondências tornaram-se mais complexas num manifesto redigido por Severini na segunda metade de 1913, na medida em que estipulou a intersecção de tempos diferentes. «[...] a matéria, considerada nos seus efeitos, encerra o universo num círculo de analogias incrivelmente vasto [...] a realidade exterior e aquilo que conhecemos dela já não têm </w:t>
      </w:r>
      <w:r w:rsidR="009238C8">
        <w:t>nenhuma</w:t>
      </w:r>
      <w:r w:rsidRPr="006552C5">
        <w:t xml:space="preserve"> influência na nossa expressão plástica e, no que diz respeito à acção da memória sobre a nossa sensibilidade, permanece apenas a memória da emoção e não a da causa que a produziu. [...] Hoje, nesta época de dinamismo e simultaneidade, nenhum acontecimento e nenhum objecto pode ser separado das memórias e das preferências ou aversões plásticas que a sua </w:t>
      </w:r>
      <w:r w:rsidRPr="006552C5">
        <w:rPr>
          <w:i/>
        </w:rPr>
        <w:t>acção expansiva</w:t>
      </w:r>
      <w:r w:rsidRPr="006552C5">
        <w:t xml:space="preserve"> evoca </w:t>
      </w:r>
      <w:r w:rsidRPr="006552C5">
        <w:rPr>
          <w:i/>
        </w:rPr>
        <w:t>simultaneamente</w:t>
      </w:r>
      <w:r w:rsidRPr="006552C5">
        <w:t xml:space="preserve"> em nós [...]». A criação estética situar-se-ia no cruzamento de uma infinidade de analogias, entre o tempo presente e as recordações, entre o sujeito e os objectos. «Trata-se de uma forma complexa de realismo, que destrói </w:t>
      </w:r>
      <w:r w:rsidRPr="006552C5">
        <w:rPr>
          <w:i/>
        </w:rPr>
        <w:t>totalmente</w:t>
      </w:r>
      <w:r w:rsidRPr="006552C5">
        <w:t xml:space="preserve"> a integridade do conteúdo [...] E assim, mediante o emprego de analogias, podemos penetrar na parte mais expressiva da realidade e representar </w:t>
      </w:r>
      <w:r w:rsidRPr="006552C5">
        <w:rPr>
          <w:i/>
        </w:rPr>
        <w:t>simultaneamente</w:t>
      </w:r>
      <w:r w:rsidRPr="006552C5">
        <w:t xml:space="preserve"> o </w:t>
      </w:r>
      <w:r w:rsidRPr="006552C5">
        <w:rPr>
          <w:i/>
        </w:rPr>
        <w:t>assunto</w:t>
      </w:r>
      <w:r w:rsidRPr="006552C5">
        <w:t xml:space="preserve"> e a </w:t>
      </w:r>
      <w:r w:rsidRPr="006552C5">
        <w:rPr>
          <w:i/>
        </w:rPr>
        <w:t>vontade</w:t>
      </w:r>
      <w:r w:rsidRPr="006552C5">
        <w:t xml:space="preserve"> na sua máxima </w:t>
      </w:r>
      <w:r w:rsidRPr="006552C5">
        <w:rPr>
          <w:i/>
        </w:rPr>
        <w:t>intensidade</w:t>
      </w:r>
      <w:r w:rsidRPr="006552C5">
        <w:t xml:space="preserve"> e </w:t>
      </w:r>
      <w:r w:rsidRPr="006552C5">
        <w:rPr>
          <w:i/>
        </w:rPr>
        <w:t>expansividade</w:t>
      </w:r>
      <w:r w:rsidRPr="006552C5">
        <w:t>»</w:t>
      </w:r>
      <w:r w:rsidRPr="006552C5">
        <w:rPr>
          <w:rStyle w:val="Refdenotaderodap"/>
        </w:rPr>
        <w:footnoteReference w:id="61"/>
      </w:r>
      <w:r w:rsidRPr="006552C5">
        <w:t xml:space="preserve">. </w:t>
      </w:r>
      <w:r w:rsidR="0086129A" w:rsidRPr="006552C5">
        <w:t xml:space="preserve">Settimelli e </w:t>
      </w:r>
      <w:r w:rsidR="006260B1">
        <w:t xml:space="preserve">Bruno </w:t>
      </w:r>
      <w:r w:rsidR="006260B1" w:rsidRPr="006552C5">
        <w:t xml:space="preserve">Corradini </w:t>
      </w:r>
      <w:r w:rsidRPr="006552C5">
        <w:t>pretende</w:t>
      </w:r>
      <w:r w:rsidR="006260B1">
        <w:t>ram</w:t>
      </w:r>
      <w:r w:rsidRPr="006552C5">
        <w:t xml:space="preserve"> </w:t>
      </w:r>
      <w:r w:rsidR="006260B1" w:rsidRPr="006552C5">
        <w:t xml:space="preserve">mesmo </w:t>
      </w:r>
      <w:r w:rsidRPr="006552C5">
        <w:t xml:space="preserve">que a </w:t>
      </w:r>
      <w:r w:rsidRPr="006552C5">
        <w:lastRenderedPageBreak/>
        <w:t>quantidade de energia cerebral necessária para estabelecer as analogias devia determinar rigorosamente o preço da obra de arte, de tal maneira que quanto mais distantes e diferentes fossem os elementos conjugados e mais numerosas e complexas as relações tecidas entre eles tanto maior seria o valor do produto</w:t>
      </w:r>
      <w:r w:rsidRPr="006552C5">
        <w:rPr>
          <w:rStyle w:val="Refdenotaderodap"/>
        </w:rPr>
        <w:footnoteReference w:id="62"/>
      </w:r>
      <w:r w:rsidRPr="006552C5">
        <w:t>. Foi este</w:t>
      </w:r>
      <w:r w:rsidR="001A5D07" w:rsidRPr="006552C5">
        <w:t>, aliás,</w:t>
      </w:r>
      <w:r w:rsidRPr="006552C5">
        <w:t xml:space="preserve"> o critério usado por Carrà para definir a qualidade estética, que se elevaria à medida que aumentasse o grau de distorção provocado pelo emprego de analogias</w:t>
      </w:r>
      <w:r w:rsidRPr="006552C5">
        <w:rPr>
          <w:rStyle w:val="Refdenotaderodap"/>
        </w:rPr>
        <w:footnoteReference w:id="63"/>
      </w:r>
      <w:r w:rsidRPr="006552C5">
        <w:t xml:space="preserve">. </w:t>
      </w:r>
    </w:p>
    <w:p w:rsidR="00A61D4E" w:rsidRPr="006552C5" w:rsidRDefault="00A61D4E" w:rsidP="00A61D4E">
      <w:r w:rsidRPr="006552C5">
        <w:t>Estes fundamentos da actividade artística pressupunham a correspondência das sensações e o seu jogo recíproco. Nas palavras de Carrà, a «</w:t>
      </w:r>
      <w:r w:rsidRPr="006552C5">
        <w:rPr>
          <w:i/>
        </w:rPr>
        <w:t>pintura total</w:t>
      </w:r>
      <w:r w:rsidRPr="006552C5">
        <w:t xml:space="preserve"> [...] requer a cooperação activa de todos os sentidos»</w:t>
      </w:r>
      <w:r w:rsidRPr="006552C5">
        <w:rPr>
          <w:rStyle w:val="Refdenotaderodap"/>
        </w:rPr>
        <w:footnoteReference w:id="64"/>
      </w:r>
      <w:r w:rsidRPr="006552C5">
        <w:t>. Foi neste âmbito que os futuristas pretenderam conferir às sensações individuais um conteúdo inteiramente objectivo e genérico, o que jamais deixou de ser paradoxal. Para eles, a percepção estética da vida moderna operava-se mediante a intuição, que confundiam com a sensação</w:t>
      </w:r>
      <w:r w:rsidRPr="006552C5">
        <w:rPr>
          <w:rStyle w:val="Refdenotaderodap"/>
        </w:rPr>
        <w:footnoteReference w:id="65"/>
      </w:r>
      <w:r w:rsidRPr="006552C5">
        <w:t>. «Nós identificamo-nos com a própria coisa [...]»</w:t>
      </w:r>
      <w:r w:rsidRPr="006552C5">
        <w:rPr>
          <w:rStyle w:val="Refdenotaderodap"/>
        </w:rPr>
        <w:footnoteReference w:id="66"/>
      </w:r>
      <w:r w:rsidRPr="006552C5">
        <w:t>, ou ainda, «na nossa pintura cada perspectiva particular corresponde a uma vibração na mente»</w:t>
      </w:r>
      <w:r w:rsidRPr="006552C5">
        <w:rPr>
          <w:rStyle w:val="Refdenotaderodap"/>
        </w:rPr>
        <w:footnoteReference w:id="67"/>
      </w:r>
      <w:r w:rsidRPr="006552C5">
        <w:t xml:space="preserve">. E como nas cidades de hoje as sensações são múltiplas, sincopadas e sobrepostas ou entrecruzadas, a obra artística devia resultar da convergência desta variedade de sensações, no espaço e no tempo. «A simultaneidade dos estados de espírito na obra de arte </w:t>
      </w:r>
      <w:r w:rsidR="004F2C44">
        <w:t>—</w:t>
      </w:r>
      <w:r w:rsidRPr="006552C5">
        <w:t xml:space="preserve"> eis o objectivo exaltante da nossa arte. [...] Para levar o espectador a viver no centro do quadro [...] o quadro tem de ser a síntese </w:t>
      </w:r>
      <w:r w:rsidRPr="006552C5">
        <w:rPr>
          <w:i/>
        </w:rPr>
        <w:t xml:space="preserve">daquilo de que nos lembramos </w:t>
      </w:r>
      <w:r w:rsidRPr="006552C5">
        <w:t xml:space="preserve">e </w:t>
      </w:r>
      <w:r w:rsidRPr="006552C5">
        <w:rPr>
          <w:i/>
        </w:rPr>
        <w:t>daquilo que vemos</w:t>
      </w:r>
      <w:r w:rsidRPr="006552C5">
        <w:t>. [... ... ...] não é apenas a variedade que se encontra nas nossas obras, mas o caos e o choque de ritmos completamente opostos uns aos outros, e apesar dis</w:t>
      </w:r>
      <w:r>
        <w:t>t</w:t>
      </w:r>
      <w:r w:rsidRPr="006552C5">
        <w:t xml:space="preserve">o nós conjugamo-los numa nova harmonia. Conseguimos assim o que denominamos a </w:t>
      </w:r>
      <w:r w:rsidRPr="006552C5">
        <w:rPr>
          <w:i/>
        </w:rPr>
        <w:t>pintura de estados de espírito</w:t>
      </w:r>
      <w:r w:rsidRPr="006552C5">
        <w:t>». Os autores desta proclamação, que eram as figuras mais expressivas do futurismo nas artes plásticas, afirmaram ainda a necessidade de unir a «personalidade do objecto» com as «emoções do espectador»</w:t>
      </w:r>
      <w:r w:rsidRPr="006552C5">
        <w:rPr>
          <w:rStyle w:val="Refdenotaderodap"/>
        </w:rPr>
        <w:footnoteReference w:id="68"/>
      </w:r>
      <w:r w:rsidRPr="006552C5">
        <w:t xml:space="preserve">, o que me leva a admitir que a obra residisse na articulação da subjectividade do objecto com a subjectividade do sujeito. «Devemos considerar um quadro ou uma escultura», escreveu mais tarde Boccioni, «enquanto construções de uma jovem realidade interior, com o contributo de </w:t>
      </w:r>
      <w:r w:rsidRPr="006552C5">
        <w:lastRenderedPageBreak/>
        <w:t>elementos da realidade exterior para o estabelecimento de uma lei das analogias plásticas [...]»</w:t>
      </w:r>
      <w:r w:rsidRPr="006552C5">
        <w:rPr>
          <w:rStyle w:val="Refdenotaderodap"/>
        </w:rPr>
        <w:footnoteReference w:id="69"/>
      </w:r>
      <w:r w:rsidRPr="006552C5">
        <w:t xml:space="preserve">. </w:t>
      </w:r>
    </w:p>
    <w:p w:rsidR="00A61D4E" w:rsidRPr="006552C5" w:rsidRDefault="00A61D4E" w:rsidP="00A61D4E">
      <w:r w:rsidRPr="006552C5">
        <w:t>A apologia da sensação fez com que os futuristas se reclamassem de uma abordagem primitivista dos problemas artísticos, por oposição às abordagens intelectuais. «[...] nós somos [...] os primitivos de uma nova sensibilidade [...]»</w:t>
      </w:r>
      <w:r w:rsidRPr="006552C5">
        <w:rPr>
          <w:rStyle w:val="Refdenotaderodap"/>
        </w:rPr>
        <w:footnoteReference w:id="70"/>
      </w:r>
      <w:r w:rsidRPr="006552C5">
        <w:t>. O primitivo seria aquele que, graças à sua intuição, entendia os objectos a partir de dentro e os reconstituía no seu movimento interno, enquanto a aproximação racional dos objectos, considerada meramente exterior, os reduziria à sua superfície e os deixaria estáticos, esteticamente mortos. Para os futuristas, porém, empenhados nas facetas mais fugazes da vida urbana contemporânea, não se tratava de buscar inspiração na arte tradicional da África</w:t>
      </w:r>
      <w:r>
        <w:rPr>
          <w:rFonts w:ascii="Times New Roman" w:hAnsi="Times New Roman"/>
        </w:rPr>
        <w:t>,</w:t>
      </w:r>
      <w:r w:rsidRPr="006552C5">
        <w:t xml:space="preserve"> da Oceânia</w:t>
      </w:r>
      <w:r>
        <w:t xml:space="preserve"> ou da América pré-colombiana</w:t>
      </w:r>
      <w:r w:rsidRPr="006552C5">
        <w:t xml:space="preserve">, mas de redescobrir o primitivismo no âmago da modernidade. «[...] inspiramo-nos no elemento de </w:t>
      </w:r>
      <w:r w:rsidRPr="006552C5">
        <w:rPr>
          <w:i/>
        </w:rPr>
        <w:t>barbárie</w:t>
      </w:r>
      <w:r w:rsidRPr="006552C5">
        <w:t xml:space="preserve"> que existe na vida moderna»</w:t>
      </w:r>
      <w:r w:rsidRPr="006552C5">
        <w:rPr>
          <w:rStyle w:val="Refdenotaderodap"/>
        </w:rPr>
        <w:footnoteReference w:id="71"/>
      </w:r>
      <w:r w:rsidRPr="006552C5">
        <w:t>. E Marinetti saudou «o Homem multiplicado por ele próprio», por um lado «discípulo da Máquina», mas possuidor, por outro lado, «de um instinto selvagem»</w:t>
      </w:r>
      <w:r w:rsidRPr="006552C5">
        <w:rPr>
          <w:rStyle w:val="Refdenotaderodap"/>
        </w:rPr>
        <w:footnoteReference w:id="72"/>
      </w:r>
      <w:r w:rsidRPr="006552C5">
        <w:t xml:space="preserve">. Entendemos melhor agora, a partir de uma reflexão estritamente estética, a apologia da ginástica guerreira, do murro e do tabefe </w:t>
      </w:r>
      <w:r w:rsidR="004F2C44">
        <w:t>—</w:t>
      </w:r>
      <w:r w:rsidRPr="006552C5">
        <w:t xml:space="preserve"> formas, com razão ou sem ela, consideradas as mais primitivas do comportamento humano. As realizações artísticas do futurismo nunca se separaram das suas proclamações de violência pessoal e política, mas transmutaram-nas em planos estéticos, que podiam por isso fugir às implicações doutrinárias. É neste vaivém que deve conduzir-se a crítica. </w:t>
      </w:r>
    </w:p>
    <w:p w:rsidR="00A61D4E" w:rsidRPr="006552C5" w:rsidRDefault="00A61D4E" w:rsidP="00A61D4E">
      <w:r w:rsidRPr="006552C5">
        <w:t xml:space="preserve">O primitivismo na modernidade </w:t>
      </w:r>
      <w:r w:rsidR="004F2C44">
        <w:t>—</w:t>
      </w:r>
      <w:r w:rsidRPr="006552C5">
        <w:t xml:space="preserve"> esta fórmula permite compreender a distinção, e ao mesmo tempo o profundo relacionamento, existentes entre o dinamismo estético e a violência política. A máquina é, evidentemente, a forma concentrada de tudo o que surgiu de inovador nos séculos XIX e XX. «O homem multiplicado pela máquina», proclam</w:t>
      </w:r>
      <w:r>
        <w:t>ou</w:t>
      </w:r>
      <w:r w:rsidRPr="006552C5">
        <w:t xml:space="preserve"> Marinetti. «Novo sentido mecânico, uma fusão do instinto com a eficácia dos motores e das energias dominadas»</w:t>
      </w:r>
      <w:r w:rsidRPr="006552C5">
        <w:rPr>
          <w:rStyle w:val="Refdenotaderodap"/>
        </w:rPr>
        <w:footnoteReference w:id="73"/>
      </w:r>
      <w:r w:rsidRPr="006552C5">
        <w:t xml:space="preserve">. </w:t>
      </w:r>
      <w:r w:rsidR="00923A44">
        <w:t>E um historiador classificou com pertinência os f</w:t>
      </w:r>
      <w:r w:rsidR="001D5A6D">
        <w:t>u</w:t>
      </w:r>
      <w:r w:rsidR="00923A44">
        <w:t>turistas como «motociclistas metafísicos»</w:t>
      </w:r>
      <w:r w:rsidR="00923A44">
        <w:rPr>
          <w:rStyle w:val="Refdenotaderodap"/>
        </w:rPr>
        <w:footnoteReference w:id="74"/>
      </w:r>
      <w:r w:rsidR="00923A44">
        <w:t xml:space="preserve">. </w:t>
      </w:r>
      <w:r w:rsidRPr="006552C5">
        <w:t>A exaltação lírica que se apossava d</w:t>
      </w:r>
      <w:r w:rsidR="001D5A6D">
        <w:t xml:space="preserve">e </w:t>
      </w:r>
      <w:r w:rsidR="001D5A6D" w:rsidRPr="006552C5">
        <w:t xml:space="preserve">Marinetti </w:t>
      </w:r>
      <w:r w:rsidRPr="006552C5">
        <w:t xml:space="preserve">à vista das rodas dentadas, das cremalheiras e dos </w:t>
      </w:r>
      <w:r w:rsidRPr="006552C5">
        <w:rPr>
          <w:i/>
        </w:rPr>
        <w:t>pistons,</w:t>
      </w:r>
      <w:r w:rsidRPr="006552C5">
        <w:t xml:space="preserve"> ou das imaculadas superfícies polidas, palpitava numa estranha sensualidade. «[...] desenvolvemos e preconizamos uma grande ideia nova que circula na vida contemporânea, a </w:t>
      </w:r>
      <w:r w:rsidRPr="006552C5">
        <w:lastRenderedPageBreak/>
        <w:t>ideia da beleza mecânica, e exaltamos o amor pela Máquina, que vimos iluminar o rosto dos maquinistas [...] Será que nunca os observastes a lavar amorosamente o grande corpo poderoso da sua locomotiva? Têm para com ela a ternura minuciosa e experiente do amante que acaricia a mulher adorada. [... ... ...] Existem hoje homens que percorrem a vida quase sem amor, numa atmosfera cor de aço. Esforcemo-nos por que aumente o número destes homens exemplares. Estes seres enérgicos não têm uma terna amante a aguardar a sua visita nocturna, mas de manhã cedo estão já a fiscalizar, com minúcia amorosa, as condições perfeitas em que a sua fábrica recomeça a funcionar»</w:t>
      </w:r>
      <w:r w:rsidRPr="006552C5">
        <w:rPr>
          <w:rStyle w:val="Refdenotaderodap"/>
        </w:rPr>
        <w:footnoteReference w:id="75"/>
      </w:r>
      <w:r w:rsidRPr="006552C5">
        <w:t>. Numa época em que a força dos animais era substituída pelo cavalo-vapor, não devemos espantar-nos de que a misoginia viril tivesse dado lugar a um bestialismo mecânico. «Ao luar nostálgico, sentimental ou luxurioso, opomos enfim o heroísmo injusto e cruel, dominando a febre conquistadora dos motores»</w:t>
      </w:r>
      <w:r w:rsidRPr="006552C5">
        <w:rPr>
          <w:rStyle w:val="Refdenotaderodap"/>
        </w:rPr>
        <w:footnoteReference w:id="76"/>
      </w:r>
      <w:r w:rsidRPr="006552C5">
        <w:t xml:space="preserve">. </w:t>
      </w:r>
    </w:p>
    <w:p w:rsidR="00A61D4E" w:rsidRPr="006552C5" w:rsidRDefault="00A61D4E" w:rsidP="00A61D4E">
      <w:r w:rsidRPr="006552C5">
        <w:t>Devemos à civilização mecânica a simultaneidade de tempos diferentes, o choque dos contrastes, o que há de artificial nas luzes, nas cores, nos cheiros, nos sons de uma cidade de hoje e que constitui para nós a única e verdadeira natureza. «Não só no ambiente barulhento das grandes cidades, mas também no campo, que até há bem pouco tempo era normalmente silencioso», observou Luigi Russolo, «a máquina criou hoje uma tal variedade e rivalidade de ruídos que o som puro, na sua exiguidade e monotonia, é já incapaz de despertar quaisquer sensações»</w:t>
      </w:r>
      <w:r w:rsidRPr="006552C5">
        <w:rPr>
          <w:rStyle w:val="Refdenotaderodap"/>
        </w:rPr>
        <w:footnoteReference w:id="77"/>
      </w:r>
      <w:r w:rsidRPr="006552C5">
        <w:t>. E Marinetti cham</w:t>
      </w:r>
      <w:r>
        <w:t>ou</w:t>
      </w:r>
      <w:r w:rsidRPr="006552C5">
        <w:t xml:space="preserve"> a atenção para «a mudança de perspectiva e a síntese visual provocadas pela velocidade dos comboios e dos automóveis, que dominam a nossa apreciação das cidades e dos campos»</w:t>
      </w:r>
      <w:r w:rsidRPr="006552C5">
        <w:rPr>
          <w:rStyle w:val="Refdenotaderodap"/>
        </w:rPr>
        <w:footnoteReference w:id="78"/>
      </w:r>
      <w:r w:rsidRPr="006552C5">
        <w:t>. A nova abordagem da realidade foi resumida por Boccioni. «Nós somos os únicos artistas modernos a criar uma arte que está em completo acordo com a maneira moderna de ver a vida»</w:t>
      </w:r>
      <w:r w:rsidRPr="006552C5">
        <w:rPr>
          <w:rStyle w:val="Refdenotaderodap"/>
        </w:rPr>
        <w:footnoteReference w:id="79"/>
      </w:r>
      <w:r w:rsidRPr="006552C5">
        <w:t>. Estas eram, para a generalidade dos futuristas, as implicações estéticas da máquina. E embora Marinetti preconizasse «a identificação próxima e inevitável do homem com o motor»</w:t>
      </w:r>
      <w:r w:rsidRPr="006552C5">
        <w:rPr>
          <w:rStyle w:val="Refdenotaderodap"/>
        </w:rPr>
        <w:footnoteReference w:id="80"/>
      </w:r>
      <w:r w:rsidRPr="006552C5">
        <w:t xml:space="preserve">, ao mesmo tempo que </w:t>
      </w:r>
      <w:r w:rsidR="00183665" w:rsidRPr="00183665">
        <w:t>Bruno Corradini e Settimelli</w:t>
      </w:r>
      <w:r w:rsidR="00183665" w:rsidRPr="006552C5">
        <w:t xml:space="preserve"> </w:t>
      </w:r>
      <w:r w:rsidRPr="006552C5">
        <w:t xml:space="preserve">pretendiam também, ingénua ou provocatoriamente, que «não há </w:t>
      </w:r>
      <w:r w:rsidR="00922822">
        <w:t>nenhuma</w:t>
      </w:r>
      <w:r w:rsidRPr="006552C5">
        <w:t xml:space="preserve"> diferença essencial entre um cérebro humano e uma máquina»</w:t>
      </w:r>
      <w:r w:rsidRPr="006552C5">
        <w:rPr>
          <w:rStyle w:val="Refdenotaderodap"/>
        </w:rPr>
        <w:footnoteReference w:id="81"/>
      </w:r>
      <w:r w:rsidRPr="006552C5">
        <w:t xml:space="preserve"> e Sant’Elia, nas suas visões arquitectónicas, </w:t>
      </w:r>
      <w:r w:rsidRPr="006552C5">
        <w:lastRenderedPageBreak/>
        <w:t>antecipava que «a casa futurista deve assemelhar-se a uma máquina gigantesca»</w:t>
      </w:r>
      <w:r w:rsidRPr="006552C5">
        <w:rPr>
          <w:rStyle w:val="Refdenotaderodap"/>
        </w:rPr>
        <w:footnoteReference w:id="82"/>
      </w:r>
      <w:r w:rsidRPr="006552C5">
        <w:t>, outros não se resignavam a uma aceitação servil dos efeitos mecânicos e reservavam a possibilidade de intervir activamente no processo criador. Bragaglia, por exemplo, interessado na renovação da fotografia, defendeu que sem a noção de ritmo possuída pelo artista a câmara cinematográfica destruiria o movimento</w:t>
      </w:r>
      <w:r w:rsidRPr="006552C5">
        <w:rPr>
          <w:rStyle w:val="Refdenotaderodap"/>
        </w:rPr>
        <w:footnoteReference w:id="83"/>
      </w:r>
      <w:r w:rsidRPr="006552C5">
        <w:t>. Também Balla, depois de comentar que a fotografia retirara a razão de ser à pintura tradicional de carácter estático, considerou imperativo «renovarmo-nos a nós próprios mediante a criação de uma arte que nenhuma máquina possa imitar e que só o Génio Criador do artista possa conceber»</w:t>
      </w:r>
      <w:r w:rsidRPr="006552C5">
        <w:rPr>
          <w:rStyle w:val="Refdenotaderodap"/>
        </w:rPr>
        <w:footnoteReference w:id="84"/>
      </w:r>
      <w:r w:rsidRPr="006552C5">
        <w:t>. E Russolo propôs que os sons mecânicos das cidades industriais fossem afinados e harmonizados «de modo tal que cada fábrica seja transformada numa exaltante orquestra de ruídos»</w:t>
      </w:r>
      <w:r w:rsidRPr="006552C5">
        <w:rPr>
          <w:rStyle w:val="Refdenotaderodap"/>
        </w:rPr>
        <w:footnoteReference w:id="85"/>
      </w:r>
      <w:r w:rsidRPr="006552C5">
        <w:t xml:space="preserve">. </w:t>
      </w:r>
    </w:p>
    <w:p w:rsidR="00A61D4E" w:rsidRPr="006552C5" w:rsidRDefault="00A61D4E" w:rsidP="00A61D4E">
      <w:r w:rsidRPr="006552C5">
        <w:t xml:space="preserve">Por outro lado, a máquina deu à violência </w:t>
      </w:r>
      <w:r w:rsidR="007708AD">
        <w:t xml:space="preserve">uma </w:t>
      </w:r>
      <w:r w:rsidRPr="006552C5">
        <w:t>nova amplitude e conferiu ao uso da força uma pirotecnia de sensações estéticas sem precedentes. «Começa connosco o reinado do homem que cortou as raízes, do homem multiplicado, mestiçado de ferro, alimentado de electricidade e que já só compreende a voluptuosidade do perigo e o heroísmo quotidiano»</w:t>
      </w:r>
      <w:r w:rsidRPr="006552C5">
        <w:rPr>
          <w:rStyle w:val="Refdenotaderodap"/>
        </w:rPr>
        <w:footnoteReference w:id="86"/>
      </w:r>
      <w:r w:rsidRPr="006552C5">
        <w:t xml:space="preserve">. Os murros e bofetões sabiam a pouco, numa época de tanta abundância. Foi na guerra moderna, profusamente mecanizada, na sua «velocidade aterradora, irresistível, sintetizadora», que os futuristas reconheceram a realização plena do espírito de primitivismo que possuíam ou desejavam. «Guerra </w:t>
      </w:r>
      <w:r w:rsidR="003A22D8">
        <w:t>–</w:t>
      </w:r>
      <w:r w:rsidRPr="006552C5">
        <w:t xml:space="preserve"> Futurismo intensificado»</w:t>
      </w:r>
      <w:r w:rsidRPr="006552C5">
        <w:rPr>
          <w:rStyle w:val="Refdenotaderodap"/>
        </w:rPr>
        <w:footnoteReference w:id="87"/>
      </w:r>
      <w:r w:rsidRPr="006552C5">
        <w:t xml:space="preserve">. Por isso a máquina ocupou o lugar central no conjunto de temas e de implicações práticas do futurismo, ao mesmo tempo critério e código do dinamismo estético e meio de afirmação bélico de uma política de violência. </w:t>
      </w:r>
    </w:p>
    <w:p w:rsidR="00A61D4E" w:rsidRPr="006552C5" w:rsidRDefault="00A61D4E" w:rsidP="00A61D4E">
      <w:r w:rsidRPr="006552C5">
        <w:t xml:space="preserve">A passagem da violência ao dinamismo estético objectivou uma doutrina de acção numa nova organização dos materiais plásticos ou sonoros, e a partir desse momento as realizações adquiriram vida própria, servindo de espelho a outras inspirações e dando a réplica noutros diálogos. Uma vez concretizada, a arte não pode senão ser multímoda ou mesmo francamente equívoca e escapa sempre às intenções dos criadores, ensinando por vezes aos discípulos o contrário da lição dos mestres. Ao aplicarem praticamente as suas teses acerca da organização recíproca dos materiais, das formas e das cores, ou das palavras e dos sons, os futuristas ultrapassaram muito o âmbito da sua ideologia ou, o que talvez seja o mesmo, permitiram que outros o fizessem. </w:t>
      </w:r>
    </w:p>
    <w:p w:rsidR="00A61D4E" w:rsidRPr="006552C5" w:rsidRDefault="00A61D4E" w:rsidP="00A61D4E">
      <w:r w:rsidRPr="006552C5">
        <w:lastRenderedPageBreak/>
        <w:t xml:space="preserve">Mas não me interessa aqui transpor o terreno do futurismo. </w:t>
      </w:r>
      <w:r w:rsidR="009561F6" w:rsidRPr="006552C5">
        <w:t xml:space="preserve">Pretendo </w:t>
      </w:r>
      <w:r w:rsidRPr="006552C5">
        <w:t xml:space="preserve">traçar-lhe as fronteiras com precisão e, mais do que as potencialidades das obras, são as limitações dos artistas que </w:t>
      </w:r>
      <w:r w:rsidR="00DA6872">
        <w:t xml:space="preserve">me </w:t>
      </w:r>
      <w:r w:rsidRPr="006552C5">
        <w:t xml:space="preserve">importam. Por isso procedi à análise literária de manifestos e não ao comentário estético de obras. O facto de aqueles artistas terem também sido </w:t>
      </w:r>
      <w:r w:rsidRPr="008708FF">
        <w:t xml:space="preserve">doutrinadores </w:t>
      </w:r>
      <w:r w:rsidRPr="006552C5">
        <w:t xml:space="preserve">não implica que as suas criações representassem sem equívoco as suas teorias. Se assim fosse, </w:t>
      </w:r>
      <w:r w:rsidR="00DA6872">
        <w:t xml:space="preserve">eles </w:t>
      </w:r>
      <w:r w:rsidRPr="006552C5">
        <w:t xml:space="preserve">não teriam sentido a necessidade de escrever manifestos e redigir proclamações, atordoando o público a propósito de tudo e de nada com uma irreprimível verborreia. Aos artistas, geralmente, interessa apenas completarem-se a si mesmos nas suas construções objectivas ou tentarem resolver nelas os seus próprios dilemas íntimos. Quando muito, se escrevem, limitam-se na maior parte dos casos a discorrer sobre questões técnicas. Os futuristas fizeram algo muito diferente, porque além de artistas eram também ideólogos, e não podiam deixar de perceber, mesmo confusamente, que lançadas no domínio público as obras escapam ao criador, e não é mais o artista, mas o espectador, quem se reflecte nelas. As teorias, se bem formuladas, podem </w:t>
      </w:r>
      <w:r w:rsidR="00DA6872">
        <w:t>julgar</w:t>
      </w:r>
      <w:r w:rsidRPr="006552C5">
        <w:t xml:space="preserve">-se unívocas, enquanto as realizações estéticas, condenadas a servirem de espelho aos outros, só assumem realidade na multiplicidade e no equívoco. É esta a razão que me leva a avaliar uma doutrina estética não no campo da estética, em que se metamorfoseia e escapa, mas no da doutrina, em que manteve a rigidez dos contornos. </w:t>
      </w:r>
    </w:p>
    <w:p w:rsidR="00A61D4E" w:rsidRPr="006552C5" w:rsidRDefault="00A61D4E" w:rsidP="00A61D4E">
      <w:r w:rsidRPr="006552C5">
        <w:t>Para os futuristas as suas realizações estéticas e as suas posturas pessoais foram inseparáveis da opção política. «Se os nossos quadros são futuristas, é porque resultam de concepções éticas, estéticas, políticas e sociais absolutamente futuristas», escreveram em Fevereiro de 1912 os nomes mais representativos da pintura e da escultura deste movimento</w:t>
      </w:r>
      <w:r w:rsidRPr="006552C5">
        <w:rPr>
          <w:rStyle w:val="Refdenotaderodap"/>
        </w:rPr>
        <w:footnoteReference w:id="88"/>
      </w:r>
      <w:r w:rsidRPr="006552C5">
        <w:t xml:space="preserve">. Mal passara um mês após ter lançado o </w:t>
      </w:r>
      <w:r w:rsidRPr="006552C5">
        <w:rPr>
          <w:i/>
        </w:rPr>
        <w:t>Manifesto</w:t>
      </w:r>
      <w:r w:rsidRPr="006552C5">
        <w:t xml:space="preserve"> fundador, já Marinetti publicava o primeiro dos seus manifestos políticos, por ocasião das eleições gerais de Março de 1909, e em Outubro de 1913 ele, Boccioni, Carrà e Russolo assinaram o </w:t>
      </w:r>
      <w:r w:rsidRPr="006552C5">
        <w:rPr>
          <w:i/>
        </w:rPr>
        <w:t>Programa Político Futurista,</w:t>
      </w:r>
      <w:r w:rsidRPr="006552C5">
        <w:t xml:space="preserve"> «que consistia», como </w:t>
      </w:r>
      <w:r w:rsidR="00D93455">
        <w:t>resumiu</w:t>
      </w:r>
      <w:r w:rsidRPr="006552C5">
        <w:t xml:space="preserve"> um historiador fascista, «na defesa da economia nacional e na educação patriótica do proletariado»</w:t>
      </w:r>
      <w:r w:rsidRPr="006552C5">
        <w:rPr>
          <w:rStyle w:val="Refdenotaderodap"/>
        </w:rPr>
        <w:footnoteReference w:id="89"/>
      </w:r>
      <w:r w:rsidRPr="006552C5">
        <w:t xml:space="preserve">. </w:t>
      </w:r>
    </w:p>
    <w:p w:rsidR="00A61D4E" w:rsidRPr="006552C5" w:rsidRDefault="00A61D4E" w:rsidP="00A61D4E">
      <w:r w:rsidRPr="006552C5">
        <w:t>Num livro editado em 1911 Marinetti anunciou uma estratégia dirigida, no exterior, para a guerra contra a Áustria e, no interior, para o combate ao clericalismo e ao papado e para uma promoção activa da indústria e do comércio nacionais. Além disso, fic</w:t>
      </w:r>
      <w:r>
        <w:t>ou</w:t>
      </w:r>
      <w:r w:rsidRPr="006552C5">
        <w:t xml:space="preserve"> em suspenso a ameaça de republicanismo, no caso de a coroa não aceder rapidamente a estas pretensões mínimas. Igualmente interessantes eram as observações dirigidas aos partidos da oposição. «[...] de modo </w:t>
      </w:r>
      <w:r w:rsidR="00AD4143">
        <w:lastRenderedPageBreak/>
        <w:t>nenhum</w:t>
      </w:r>
      <w:r w:rsidRPr="006552C5">
        <w:t xml:space="preserve"> somos o porta-voz dos socialistas ou dos republicanos. O oportunismo e a cobardia apodreceram todos os partidos políticos italianos, e nós trazemos-lhes o desinfectante futurista, o ácido corrosivo revolucionário»</w:t>
      </w:r>
      <w:r w:rsidRPr="006552C5">
        <w:rPr>
          <w:rStyle w:val="Refdenotaderodap"/>
        </w:rPr>
        <w:footnoteReference w:id="90"/>
      </w:r>
      <w:r w:rsidRPr="006552C5">
        <w:t>. Acima da direita e da esquerda? Nesta topografia era já o fascismo que despontava. As ideias políticas de Marinetti situaram-se no cruzamento da direita mais radical e de uma certa esquerda revolucionária, caminhos que naqueles mesmos anos vinham a ser percorridos pelos nacionalistas de Enrico Corradini e pelos sindicalistas discípulos de Georges Sorel. Aliás, pouco depois de Corradini ter fundado a Associação Nacionalista, no termo de 1910, Marinetti aderiu à nova organização</w:t>
      </w:r>
      <w:r w:rsidRPr="006552C5">
        <w:rPr>
          <w:rStyle w:val="Refdenotaderodap"/>
        </w:rPr>
        <w:footnoteReference w:id="91"/>
      </w:r>
      <w:r w:rsidRPr="006552C5">
        <w:t xml:space="preserve">. </w:t>
      </w:r>
    </w:p>
    <w:p w:rsidR="00A61D4E" w:rsidRPr="006552C5" w:rsidRDefault="00A61D4E" w:rsidP="00A61D4E">
      <w:r w:rsidRPr="006552C5">
        <w:t xml:space="preserve">Marinetti censurou aos anarquistas o conservadorismo que demonstravam numa grande quantidade de aspectos da vida social, em termos onde ecoa o espírito de rebeldia global proposto por Sorel. Assim como as </w:t>
      </w:r>
      <w:r w:rsidRPr="006552C5">
        <w:rPr>
          <w:i/>
        </w:rPr>
        <w:t>Réflexions sur la Violence</w:t>
      </w:r>
      <w:r w:rsidRPr="006552C5">
        <w:t xml:space="preserve"> defendiam a necessidade de o proletariado assumir uma cultura própria, radicalmente oposta à da burguesia, também Marinetti parecia não se satisfazer com os objectivos limitados do anarquismo e propunha uma nova atitude. «Os anarquistas contentam-se [...] em atacar os ramos políticos, jurídicos e económicos da árvore social. Nós queremos muito mais, queremos arrancar e queimar as suas raízes mais profundas, aquelas que estão plantadas no próprio cérebro do homem, a mania da ordem, o desejo do menor esforço, a adoração fanática da família, a preocupação com o sono e com as refeições à hora certa, o quietismo cobarde, o amor das antiguidades e das velharias, [...] o horror à novidade, o desprezo pela juventude e pelas minorias rebeldes, [...] a necessidade instintiva de leis, de grilhões e de entraves, o horror à violência, ao desconhecido e ao novo, o medo de uma liberdade total»</w:t>
      </w:r>
      <w:r w:rsidRPr="006552C5">
        <w:rPr>
          <w:rStyle w:val="Refdenotaderodap"/>
        </w:rPr>
        <w:footnoteReference w:id="92"/>
      </w:r>
      <w:r w:rsidRPr="006552C5">
        <w:t xml:space="preserve">. O fundador do futurismo, todavia, confundiu a rebelião contra as convenções com um certo estilo boémio de vida, enquanto para Sorel a nova cultura nasceria na prática da luta de classes. </w:t>
      </w:r>
    </w:p>
    <w:p w:rsidR="00A61D4E" w:rsidRPr="006552C5" w:rsidRDefault="00A61D4E" w:rsidP="00A61D4E">
      <w:r w:rsidRPr="006552C5">
        <w:t>Ao mesmo tempo, nas páginas em que Marinetti se opôs ao pacifismo internacionalista do anarquismo não podemos deixar de recordar as teses de Enrico Corradini, para quem cada nacionalidade só tinha significado através da luta contra as outras. Também para Marinetti a única razão de ser das nações era o combate recíproco. «Nós [...] não admitimos outra higiene para o mundo senão a guerra»</w:t>
      </w:r>
      <w:r w:rsidRPr="006552C5">
        <w:rPr>
          <w:rStyle w:val="Refdenotaderodap"/>
        </w:rPr>
        <w:footnoteReference w:id="93"/>
      </w:r>
      <w:r w:rsidRPr="006552C5">
        <w:t xml:space="preserve">. As raízes que sustentaram a estratégia política de Corradini mergulharam igualmente fundo no âmago das concepções futuristas, e numa das conclusões da </w:t>
      </w:r>
      <w:r w:rsidRPr="006552C5">
        <w:rPr>
          <w:i/>
        </w:rPr>
        <w:t>Proclamação Futurista aos Espanhóis</w:t>
      </w:r>
      <w:r w:rsidRPr="006552C5">
        <w:t xml:space="preserve"> Marinetti apelou para a convergência do nacionalismo e do proletariado. «Os políticos e os literatos têm de fundir a ideia de exército poderoso e de </w:t>
      </w:r>
      <w:r w:rsidRPr="006552C5">
        <w:lastRenderedPageBreak/>
        <w:t>guerra possível com a ideia de proletariado livre, industrial e comercial»</w:t>
      </w:r>
      <w:r w:rsidRPr="006552C5">
        <w:rPr>
          <w:rStyle w:val="Refdenotaderodap"/>
        </w:rPr>
        <w:footnoteReference w:id="94"/>
      </w:r>
      <w:r w:rsidRPr="006552C5">
        <w:t xml:space="preserve">. Não se tratava de imitações nem de influências superficiais. Da nação, Marinetti parece ter-se interessado exclusivamente pela capacidade guerreira e, quanto ao proletariado, num país com um campesinato tão miserável, foi a sua componente urbana que o atraiu. Os dois termos da «nação proletária» de Corradini ficaram transmutados pelos futuristas na dupla esfera da violência, modelo de uma nação belicosa, e da máquina, cujas superfícies polidas exaltariam o amor dos proletários. Fazia-se, muito simplesmente, a apoteose bélica das sociedades industriais. No conceito sociológico e político da «nação proletária» o futurismo viu um dinamismo selvagem, e a máquina de guerra era a metáfora, enquanto não foi a síntese, de um proletariado lançado em expedições imperialistas sob a bandeira </w:t>
      </w:r>
      <w:r w:rsidR="00A35D12">
        <w:t>da nação</w:t>
      </w:r>
      <w:r w:rsidRPr="006552C5">
        <w:t xml:space="preserve">. A guerra estava contida, como uma necessidade rigorosamente lógica, na apologia futurista da modernidade. </w:t>
      </w:r>
    </w:p>
    <w:p w:rsidR="00A61D4E" w:rsidRPr="006552C5" w:rsidRDefault="00A61D4E" w:rsidP="00A61D4E">
      <w:r w:rsidRPr="006552C5">
        <w:t>Por isso a eclosão do conflito mundial em Julho-Agosto de 1914 permitiu que a intervenção política dos futuristas se projectasse para um plano verdadeiramente eficaz. Até então eles haviam aparecido sobretudo como criadores de obras artísticas, cuja acção política se resumia a provocações sem consequências e a irrisórias batalhas de teatro. Aquela guerra, porém, era o ambicionado espectáculo total, a sã ginástica da raça, prodígio do heroísmo mecânico, substituindo com vantagem os acidentes de automóvel e os desastres aéreos tão estimados por Marinetti</w:t>
      </w:r>
      <w:r w:rsidRPr="006552C5">
        <w:rPr>
          <w:rStyle w:val="Refdenotaderodap"/>
        </w:rPr>
        <w:footnoteReference w:id="95"/>
      </w:r>
      <w:r w:rsidRPr="006552C5">
        <w:t xml:space="preserve"> </w:t>
      </w:r>
      <w:r w:rsidR="00FC4691">
        <w:t>—</w:t>
      </w:r>
      <w:r w:rsidRPr="006552C5">
        <w:t xml:space="preserve"> a guerra, campo fértil de analogias sonoras, visuais e sem dúvida olfativas também, pois não deixaria de se perceber, mesmo ao longe, o cheiro dos mortos e da disenteria dos vivos</w:t>
      </w:r>
      <w:r w:rsidRPr="006552C5">
        <w:rPr>
          <w:rStyle w:val="Refdenotaderodap"/>
        </w:rPr>
        <w:footnoteReference w:id="96"/>
      </w:r>
      <w:r w:rsidRPr="006552C5">
        <w:t>. Como não aproveitar tamanha modernidade estética? Os futuristas situaram-se na primeira linha daqueles que reclamavam a participação da Itália no conflito mundial</w:t>
      </w:r>
      <w:r w:rsidRPr="006552C5">
        <w:rPr>
          <w:rStyle w:val="Refdenotaderodap"/>
        </w:rPr>
        <w:footnoteReference w:id="97"/>
      </w:r>
      <w:r w:rsidRPr="006552C5">
        <w:t xml:space="preserve">, e no auge da campanha belicista ligaram-se aos movimentos que, a partir de uma esfera exclusivamente política, </w:t>
      </w:r>
      <w:r w:rsidR="00195E15">
        <w:t>estavam</w:t>
      </w:r>
      <w:r w:rsidRPr="006552C5">
        <w:t xml:space="preserve"> a introduzir no nacionalismo uma nova temática radical. No final de 1918 e no começo do ano seguinte foram fundados numa dúzia de cidades italianas, entre </w:t>
      </w:r>
      <w:r w:rsidR="00FC4691">
        <w:t>el</w:t>
      </w:r>
      <w:r w:rsidRPr="006552C5">
        <w:t>as Milão, Turim, Génova, Florença, Roma e Nápoles, os Fasci Politici Futuristi</w:t>
      </w:r>
      <w:r w:rsidRPr="006552C5">
        <w:rPr>
          <w:rStyle w:val="Refdenotaderodap"/>
        </w:rPr>
        <w:footnoteReference w:id="98"/>
      </w:r>
      <w:r w:rsidRPr="006552C5">
        <w:t xml:space="preserve">. E os </w:t>
      </w:r>
      <w:r w:rsidRPr="006552C5">
        <w:lastRenderedPageBreak/>
        <w:t>Fasci di Combattimento encontraram em Marinetti e nos seus discípulos um dos mais relevantes contributos da sua tripla gestação, juntamente com os ex-combatentes e com os sindicalistas revolucionários</w:t>
      </w:r>
      <w:r w:rsidRPr="006552C5">
        <w:rPr>
          <w:rStyle w:val="Refdenotaderodap"/>
        </w:rPr>
        <w:footnoteReference w:id="99"/>
      </w:r>
      <w:r w:rsidRPr="006552C5">
        <w:t xml:space="preserve">. Aliás, as três correntes formadoras do fascismo não eram estanques. A primeira associação de </w:t>
      </w:r>
      <w:r w:rsidRPr="006552C5">
        <w:rPr>
          <w:i/>
        </w:rPr>
        <w:t>arditi</w:t>
      </w:r>
      <w:r w:rsidRPr="006552C5">
        <w:t xml:space="preserve"> foi criada em Roma, a 7 de Janeiro de 1919, por um futurista, Mario Carli, e alguns dias mais tarde Marinetti, com a ajuda de outro futurista que era também jovem capitão </w:t>
      </w:r>
      <w:r w:rsidRPr="006552C5">
        <w:rPr>
          <w:i/>
        </w:rPr>
        <w:t>ardito,</w:t>
      </w:r>
      <w:r w:rsidRPr="006552C5">
        <w:t xml:space="preserve"> Ferruccio Vecchi, fundou em Milão um agrupamento similar</w:t>
      </w:r>
      <w:r w:rsidRPr="006552C5">
        <w:rPr>
          <w:rStyle w:val="Refdenotaderodap"/>
        </w:rPr>
        <w:footnoteReference w:id="100"/>
      </w:r>
      <w:r w:rsidRPr="006552C5">
        <w:t xml:space="preserve">. Giuseppe Bottai, que haveria de ser um dos principais obreiros do regime fascista, serviu igualmente de traço de união entre os </w:t>
      </w:r>
      <w:r w:rsidRPr="006552C5">
        <w:rPr>
          <w:i/>
        </w:rPr>
        <w:t>arditi</w:t>
      </w:r>
      <w:r w:rsidRPr="006552C5">
        <w:t xml:space="preserve"> e os futuristas</w:t>
      </w:r>
      <w:r w:rsidRPr="006552C5">
        <w:rPr>
          <w:rStyle w:val="Refdenotaderodap"/>
        </w:rPr>
        <w:footnoteReference w:id="101"/>
      </w:r>
      <w:r w:rsidRPr="006552C5">
        <w:t>. Quando o movimento fascista propriamente dito foi fundado em Milão, na assembleia reunida a 23 de Março de 1919 num edifício da Piazza San Sepolcro, Marinetti contou-se, junto com Mussolini, entre os poucos oradores</w:t>
      </w:r>
      <w:r w:rsidRPr="006552C5">
        <w:rPr>
          <w:rStyle w:val="Refdenotaderodap"/>
        </w:rPr>
        <w:footnoteReference w:id="102"/>
      </w:r>
      <w:r w:rsidRPr="006552C5">
        <w:t xml:space="preserve">. Passadas três semanas, a primeira operação violenta realizada pelos fascistas depois da fundação do movimento foi conduzida, entre outros, por Marinetti e Ferruccio Vecchi. Munidos de pistolas e granadas, dispersaram uma manifestação socialista desarmada e assaltaram em seguida a sede do </w:t>
      </w:r>
      <w:r w:rsidRPr="006552C5">
        <w:rPr>
          <w:i/>
        </w:rPr>
        <w:t>Avanti!,</w:t>
      </w:r>
      <w:r w:rsidRPr="006552C5">
        <w:t xml:space="preserve"> que destruíram e incendiaram, matando nesta operação quatro pessoas</w:t>
      </w:r>
      <w:r w:rsidRPr="006552C5">
        <w:rPr>
          <w:rStyle w:val="Refdenotaderodap"/>
        </w:rPr>
        <w:footnoteReference w:id="103"/>
      </w:r>
      <w:r w:rsidRPr="006552C5">
        <w:t xml:space="preserve">. </w:t>
      </w:r>
      <w:r w:rsidR="0089429B">
        <w:t xml:space="preserve">Como proclamara o manifesto fundador, </w:t>
      </w:r>
      <w:r w:rsidR="0089429B" w:rsidRPr="006552C5">
        <w:t>«queremos celebrar o movimento agressivo</w:t>
      </w:r>
      <w:r w:rsidR="0089429B">
        <w:t>»</w:t>
      </w:r>
      <w:r w:rsidR="0089429B" w:rsidRPr="006552C5">
        <w:t xml:space="preserve">, </w:t>
      </w:r>
      <w:r w:rsidR="0089429B">
        <w:t>«</w:t>
      </w:r>
      <w:r w:rsidR="0089429B" w:rsidRPr="006552C5">
        <w:t>o passo ginástico</w:t>
      </w:r>
      <w:r w:rsidR="0089429B">
        <w:t>»</w:t>
      </w:r>
      <w:r w:rsidR="0089429B" w:rsidRPr="006552C5">
        <w:t xml:space="preserve">, </w:t>
      </w:r>
      <w:r w:rsidR="0089429B">
        <w:t>«</w:t>
      </w:r>
      <w:r w:rsidR="0089429B" w:rsidRPr="006552C5">
        <w:t>a bofetada e o murro»</w:t>
      </w:r>
      <w:r w:rsidR="0089429B" w:rsidRPr="006552C5">
        <w:rPr>
          <w:rStyle w:val="Refdenotaderodap"/>
        </w:rPr>
        <w:footnoteReference w:id="104"/>
      </w:r>
      <w:r w:rsidR="0089429B">
        <w:t xml:space="preserve">, agora os tiros também. </w:t>
      </w:r>
    </w:p>
    <w:p w:rsidR="00A61D4E" w:rsidRPr="006552C5" w:rsidRDefault="00A61D4E" w:rsidP="00A61D4E">
      <w:r w:rsidRPr="006552C5">
        <w:t xml:space="preserve">Desde o começo até ao fim os futuristas defenderam dentro do fascismo as posições mais radicais, porque mais populistas e mais violentas, e </w:t>
      </w:r>
      <w:r w:rsidR="00F044C9">
        <w:t xml:space="preserve">as </w:t>
      </w:r>
      <w:r w:rsidRPr="006552C5">
        <w:t>mais sectárias, tentando manter-se fiéis ao aristocratismo do pontapé e do tabefe que antes da guerra os distinguira das outras correntes de opinião</w:t>
      </w:r>
      <w:r w:rsidRPr="006552C5">
        <w:rPr>
          <w:rStyle w:val="Refdenotaderodap"/>
        </w:rPr>
        <w:footnoteReference w:id="105"/>
      </w:r>
      <w:r w:rsidRPr="006552C5">
        <w:t>. Foi por considerarem Mussolini demasiado moderado que Marinetti e Mario Carli abandonaram o movimento depois do 2º Congresso dos Fasci, reunido em Maio de 1920</w:t>
      </w:r>
      <w:r w:rsidRPr="006552C5">
        <w:rPr>
          <w:rStyle w:val="Refdenotaderodap"/>
        </w:rPr>
        <w:footnoteReference w:id="106"/>
      </w:r>
      <w:r w:rsidRPr="006552C5">
        <w:t xml:space="preserve">, e se a ligação entre o futurismo e o fascismo foi reatada mais tarde, aquela ruptura não resultou de um amuo passageiro e pressagiou uma tensão permanente. Em Novembro de 1924, em plena crise resultante do assassinato de Matteotti, o 1º Congresso futurista, por proposta de </w:t>
      </w:r>
      <w:r w:rsidRPr="006552C5">
        <w:lastRenderedPageBreak/>
        <w:t xml:space="preserve">Marinetti, aprovou uma declaração provocatória e grandiloquente, no estilo já bem conhecido, resumindo a acção governamental a uma continuação das refregas de plateia de teatro e de esquina de rua. «Os futuristas italianos, primeiros entre os primeiros a intervir nas praças e nos campos de batalha, [...] dizem ao seu velho camarada Benito Mussolini: </w:t>
      </w:r>
      <w:r w:rsidR="00FC4D3D">
        <w:t>—</w:t>
      </w:r>
      <w:r w:rsidRPr="006552C5">
        <w:t xml:space="preserve"> Com um gesto de força agora indispensável liberta-te do parlamento. Restitui ao fascismo e à Itália o maravilhoso espírito de 1919, desinteressado, ousado, anti-socialista, anticlerical, antimonárquico. [...] Não imites o inimitável Giolitti, imita o grande Mussolini de 1919. Esmaga a oposição. [...] Tu podes e deves fazê-lo, nós devemos querê-lo e queremo-lo»</w:t>
      </w:r>
      <w:r w:rsidRPr="006552C5">
        <w:rPr>
          <w:rStyle w:val="Refdenotaderodap"/>
        </w:rPr>
        <w:footnoteReference w:id="107"/>
      </w:r>
      <w:r w:rsidRPr="006552C5">
        <w:t xml:space="preserve">. </w:t>
      </w:r>
    </w:p>
    <w:p w:rsidR="00A61D4E" w:rsidRPr="006552C5" w:rsidRDefault="00A61D4E" w:rsidP="00A61D4E">
      <w:r w:rsidRPr="006552C5">
        <w:t xml:space="preserve">Mas ao revestir-se das descobertas do futurismo, o fascismo italiano </w:t>
      </w:r>
      <w:r w:rsidR="003B66D6">
        <w:t>reduziu</w:t>
      </w:r>
      <w:r w:rsidRPr="006552C5">
        <w:t xml:space="preserve"> </w:t>
      </w:r>
      <w:r w:rsidR="003B66D6">
        <w:t xml:space="preserve">a </w:t>
      </w:r>
      <w:r w:rsidRPr="006552C5">
        <w:t xml:space="preserve">meras metáforas da acção o que para os pintores e escultores futuristas, os fotógrafos e cineastas, os músicos e até os que sonharam uma nova arquitectura eram verdadeiros temas plásticos e sonoros, destinados a orientar realizações artísticas práticas. Enquanto se limitou a apelar aos </w:t>
      </w:r>
      <w:r w:rsidRPr="006552C5">
        <w:rPr>
          <w:i/>
        </w:rPr>
        <w:t>dandys</w:t>
      </w:r>
      <w:r w:rsidRPr="006552C5">
        <w:t xml:space="preserve"> para que renovassem os gestos e adquirissem uma elegância compatível com a civilização industrial, enquanto se ateve ao puro estilo e a uma moral sem objectivação plástica, o futurismo situou-se num terreno político unívoco, que levou ao fascismo e a mais lado </w:t>
      </w:r>
      <w:r w:rsidR="00370FAF">
        <w:t>nenhum</w:t>
      </w:r>
      <w:r w:rsidRPr="006552C5">
        <w:t xml:space="preserve">. </w:t>
      </w:r>
    </w:p>
    <w:p w:rsidR="00A61D4E" w:rsidRPr="006552C5" w:rsidRDefault="00A61D4E" w:rsidP="00165CCA">
      <w:pPr>
        <w:keepNext/>
        <w:spacing w:before="720" w:after="360"/>
        <w:ind w:firstLine="0"/>
        <w:jc w:val="center"/>
        <w:rPr>
          <w:b/>
          <w:sz w:val="28"/>
        </w:rPr>
      </w:pPr>
      <w:r w:rsidRPr="006552C5">
        <w:rPr>
          <w:b/>
          <w:sz w:val="28"/>
        </w:rPr>
        <w:t>3. Itália: «Não sou um estadista, sou um poeta»</w:t>
      </w:r>
    </w:p>
    <w:p w:rsidR="00A61D4E" w:rsidRPr="006552C5" w:rsidRDefault="00A61D4E" w:rsidP="00A61D4E">
      <w:r w:rsidRPr="006552C5">
        <w:t xml:space="preserve">Para Georges Sorel o mito era uma imagem </w:t>
      </w:r>
      <w:r w:rsidR="00C13C71">
        <w:t xml:space="preserve">mental </w:t>
      </w:r>
      <w:r w:rsidRPr="006552C5">
        <w:t xml:space="preserve">que orientava uma prática, convertendo-a em vontade e acção, e graças à vontade a realidade dos factos seria assimilada ao modelo do mito. Ou, se preferirmos seguir a outra direcção do percurso, era o mito que levava o modelo a passar do abstracto ao concreto, através da acção. Estas concepções não andavam longe das defendidas por Gustave Le Bon, autor que gozava na época de uma enorme celebridade e em cujos livros todos os chefes fascistas viriam mais tarde a procurar justificação e ensinamentos. Também Le Bon considerara que as multidões só eram capazes de apreender as ideias sob a forma de imagens simples, possíveis de ser assimiladas pelo inconsciente. «Quaisquer que sejam as ideias sugeridas às multidões, só se poderão tornar dominantes se se revestirem de uma forma muito simples e lhes aparecerem representadas sob o aspecto de imagens», escreveu ele, concluindo em seguida que «quando, por processos diversos, uma ideia acaba por se enraizar na alma das multidões, adquire um poder irresistível e dá origem a uma </w:t>
      </w:r>
      <w:r w:rsidRPr="006552C5">
        <w:lastRenderedPageBreak/>
        <w:t>cadeia de consequências». E Le Bon deixou muito claro que «a importância» destas ideias não depende da sua consistência, pois se «filosoficamente, podemos considerá-las erros lamentáveis», apesar disso «o seu papel foi e será imenso»</w:t>
      </w:r>
      <w:r w:rsidRPr="006552C5">
        <w:rPr>
          <w:rStyle w:val="Refdenotaderodap"/>
        </w:rPr>
        <w:footnoteReference w:id="108"/>
      </w:r>
      <w:r w:rsidRPr="006552C5">
        <w:t>. Nestes termos, se o mito puder ser reduzido logicamente a uma mentira, a acção</w:t>
      </w:r>
      <w:r w:rsidR="00860496">
        <w:t>,</w:t>
      </w:r>
      <w:r w:rsidRPr="006552C5">
        <w:t xml:space="preserve"> </w:t>
      </w:r>
      <w:r w:rsidR="00860496">
        <w:t xml:space="preserve">dando ao mito uma realidade, </w:t>
      </w:r>
      <w:r w:rsidRPr="006552C5">
        <w:t xml:space="preserve">definir-se-á como a transmutação da mentira em verdade. </w:t>
      </w:r>
    </w:p>
    <w:p w:rsidR="0017361A" w:rsidRPr="003F39B9" w:rsidRDefault="0017361A" w:rsidP="0017361A">
      <w:r w:rsidRPr="006552C5">
        <w:t>«Nós criámos o nosso mito», proclam</w:t>
      </w:r>
      <w:r>
        <w:t>ou</w:t>
      </w:r>
      <w:r w:rsidRPr="006552C5">
        <w:t xml:space="preserve"> Mussolini em Nápoles quatro dias antes da Marcha sobre Roma. «O mito é uma fé, uma paixão. Não é necessário que seja uma realidade. Ele é uma realidade pelo facto de ser um punho, de ser uma esperança, de ser fé, de ser coragem. O nosso mito é a nação, o nosso mito é a grandeza da nação! E a este mito, a esta grandeza, que queremos transformar numa realidade completa, subordinamos tudo o resto»</w:t>
      </w:r>
      <w:r w:rsidRPr="006552C5">
        <w:rPr>
          <w:rStyle w:val="Refdenotaderodap"/>
        </w:rPr>
        <w:footnoteReference w:id="109"/>
      </w:r>
      <w:r w:rsidRPr="006552C5">
        <w:t xml:space="preserve">. </w:t>
      </w:r>
      <w:r>
        <w:t>O quadro havia já sido preparado em Itália pela filosofia de Giovanni Gentile</w:t>
      </w:r>
      <w:r>
        <w:rPr>
          <w:rStyle w:val="Refdenotaderodap"/>
        </w:rPr>
        <w:footnoteReference w:id="110"/>
      </w:r>
      <w:r>
        <w:t xml:space="preserve">, para quem o único real e concreto era o acto de pensar, tudo o mais lhe sendo imanente e não existindo nada de extrínseco. </w:t>
      </w:r>
      <w:r w:rsidR="003B6ABE">
        <w:t xml:space="preserve">No início estaria </w:t>
      </w:r>
      <w:r>
        <w:t xml:space="preserve">o acto de pensar — o </w:t>
      </w:r>
      <w:r w:rsidRPr="00283FA3">
        <w:rPr>
          <w:i/>
        </w:rPr>
        <w:t>pensiero pensante</w:t>
      </w:r>
      <w:r>
        <w:t xml:space="preserve">, pensamento pensante — considerado criador dos conceitos estáticos — os conceitos do </w:t>
      </w:r>
      <w:r w:rsidRPr="00E215CE">
        <w:rPr>
          <w:i/>
        </w:rPr>
        <w:t>pensiero</w:t>
      </w:r>
      <w:r w:rsidRPr="00E215CE">
        <w:t xml:space="preserve"> </w:t>
      </w:r>
      <w:r w:rsidRPr="00E215CE">
        <w:rPr>
          <w:i/>
        </w:rPr>
        <w:t>pensato</w:t>
      </w:r>
      <w:r>
        <w:rPr>
          <w:i/>
        </w:rPr>
        <w:t>,</w:t>
      </w:r>
      <w:r>
        <w:t xml:space="preserve"> pensamento pensado — e até criador do eu pensante e do próprio pensamento. O acto de pensar, para Gentile, precedia o pensamento, e o real não era o pensamento objectivado e estático, mas o acto dinâmico de pensar. </w:t>
      </w:r>
      <w:r w:rsidRPr="00BF1688">
        <w:t xml:space="preserve">«A realidade não é descoberta», </w:t>
      </w:r>
      <w:r>
        <w:t>resumiu</w:t>
      </w:r>
      <w:r w:rsidRPr="00BF1688">
        <w:t xml:space="preserve"> um autor que </w:t>
      </w:r>
      <w:r>
        <w:t>estudou cuidadosamente</w:t>
      </w:r>
      <w:r w:rsidRPr="00BF1688">
        <w:t xml:space="preserve"> a filosofia de Gentil</w:t>
      </w:r>
      <w:r>
        <w:t>e</w:t>
      </w:r>
      <w:r w:rsidRPr="00BF1688">
        <w:t xml:space="preserve">, «ela </w:t>
      </w:r>
      <w:r>
        <w:t>é o próprio acto da descoberta»</w:t>
      </w:r>
      <w:r>
        <w:rPr>
          <w:rStyle w:val="Refdenotaderodap"/>
        </w:rPr>
        <w:footnoteReference w:id="111"/>
      </w:r>
      <w:r>
        <w:t xml:space="preserve">. </w:t>
      </w:r>
      <w:r w:rsidR="000C05F4">
        <w:t>Ou, nas palavras d</w:t>
      </w:r>
      <w:r w:rsidR="000873BF">
        <w:t>o</w:t>
      </w:r>
      <w:r w:rsidR="000C05F4">
        <w:t xml:space="preserve"> </w:t>
      </w:r>
      <w:r w:rsidR="000873BF">
        <w:t>filósofo</w:t>
      </w:r>
      <w:r w:rsidR="000C05F4">
        <w:t>, «a verdadeira vida não é a vida que existe, mas também a vida que deve existir»</w:t>
      </w:r>
      <w:r w:rsidR="000C05F4">
        <w:rPr>
          <w:rStyle w:val="Refdenotaderodap"/>
        </w:rPr>
        <w:footnoteReference w:id="112"/>
      </w:r>
      <w:r w:rsidR="000C05F4">
        <w:t xml:space="preserve">. </w:t>
      </w:r>
      <w:r w:rsidR="00846569">
        <w:t>Para esta forma extrema de fichteanismo</w:t>
      </w:r>
      <w:r w:rsidR="00846569">
        <w:rPr>
          <w:rStyle w:val="Refdenotaderodap"/>
        </w:rPr>
        <w:footnoteReference w:id="113"/>
      </w:r>
      <w:r w:rsidR="00846569">
        <w:t xml:space="preserve">, </w:t>
      </w:r>
      <w:r w:rsidRPr="00502ABE">
        <w:t xml:space="preserve">a ideia </w:t>
      </w:r>
      <w:r w:rsidR="00D20F8B">
        <w:t>era</w:t>
      </w:r>
      <w:r>
        <w:t xml:space="preserve"> criadora do universo. O real </w:t>
      </w:r>
      <w:r w:rsidR="00D20F8B">
        <w:t>era</w:t>
      </w:r>
      <w:r>
        <w:t xml:space="preserve"> o acto intelectual uno que cont</w:t>
      </w:r>
      <w:r w:rsidR="00D20F8B">
        <w:t>inha</w:t>
      </w:r>
      <w:r>
        <w:t xml:space="preserve"> a totalidade do pensável. Usando outros termos, o acto de pensar </w:t>
      </w:r>
      <w:r w:rsidR="00D20F8B">
        <w:t>era</w:t>
      </w:r>
      <w:r>
        <w:t xml:space="preserve"> a forma</w:t>
      </w:r>
      <w:r w:rsidR="00EA7A25">
        <w:t>,</w:t>
      </w:r>
      <w:r>
        <w:t xml:space="preserve"> e a matéria </w:t>
      </w:r>
      <w:r w:rsidR="00D20F8B">
        <w:t>era</w:t>
      </w:r>
      <w:r>
        <w:t xml:space="preserve"> um </w:t>
      </w:r>
      <w:r w:rsidRPr="00E215CE">
        <w:rPr>
          <w:i/>
        </w:rPr>
        <w:t>pensiero</w:t>
      </w:r>
      <w:r w:rsidRPr="00E215CE">
        <w:t xml:space="preserve"> </w:t>
      </w:r>
      <w:r w:rsidRPr="00E215CE">
        <w:rPr>
          <w:i/>
        </w:rPr>
        <w:t>pensato</w:t>
      </w:r>
      <w:r>
        <w:rPr>
          <w:i/>
        </w:rPr>
        <w:t>,</w:t>
      </w:r>
      <w:r>
        <w:t xml:space="preserve"> efeito da forma enquanto </w:t>
      </w:r>
      <w:r w:rsidRPr="00283FA3">
        <w:rPr>
          <w:i/>
        </w:rPr>
        <w:t>pensiero pensante</w:t>
      </w:r>
      <w:r>
        <w:t>. Assim, a multiplicidade do pensado só deixa</w:t>
      </w:r>
      <w:r w:rsidR="00D20F8B">
        <w:t>va</w:t>
      </w:r>
      <w:r>
        <w:t xml:space="preserve"> de ser abstracta e assum</w:t>
      </w:r>
      <w:r w:rsidR="00D20F8B">
        <w:t>ia</w:t>
      </w:r>
      <w:r>
        <w:t xml:space="preserve"> realidade quando considerada no acto de pensar uno que a ger</w:t>
      </w:r>
      <w:r w:rsidR="00D20F8B">
        <w:t>ara</w:t>
      </w:r>
      <w:r>
        <w:t xml:space="preserve">. O concreto </w:t>
      </w:r>
      <w:r w:rsidR="00D20F8B">
        <w:t>era</w:t>
      </w:r>
      <w:r>
        <w:t xml:space="preserve"> a totalidade unificada, e </w:t>
      </w:r>
      <w:r w:rsidR="00D20F8B">
        <w:t>era</w:t>
      </w:r>
      <w:r>
        <w:t xml:space="preserve"> o acto de pensar que proced</w:t>
      </w:r>
      <w:r w:rsidR="00D20F8B">
        <w:t>ia</w:t>
      </w:r>
      <w:r>
        <w:t xml:space="preserve"> a esta unificação. O próprio eu </w:t>
      </w:r>
      <w:r w:rsidR="00D20F8B">
        <w:t>era</w:t>
      </w:r>
      <w:r>
        <w:t xml:space="preserve"> de cada vez recriado e modificado pelo acto de pensar e não teria realidade sem esse acto. E porque tudo, para Gentile, emanava do acto de pensar, para ele a distinção entre teoria e prática não tinha validade</w:t>
      </w:r>
      <w:r w:rsidR="006C716F">
        <w:rPr>
          <w:rStyle w:val="Refdenotaderodap"/>
        </w:rPr>
        <w:footnoteReference w:id="114"/>
      </w:r>
      <w:r>
        <w:t xml:space="preserve">. A prática não era um resultado, mas uma manifestação visível. </w:t>
      </w:r>
      <w:r w:rsidR="00C11C00">
        <w:t xml:space="preserve">«As verdadeiras “opiniões” do </w:t>
      </w:r>
      <w:r w:rsidR="00C11C00">
        <w:lastRenderedPageBreak/>
        <w:t xml:space="preserve">Duce», </w:t>
      </w:r>
      <w:r w:rsidR="00462252">
        <w:t>explicou</w:t>
      </w:r>
      <w:r w:rsidR="00C11C00">
        <w:t xml:space="preserve"> Gentile, «são as que ele formula e executa ao mesmo tempo»</w:t>
      </w:r>
      <w:r w:rsidR="00462252">
        <w:rPr>
          <w:rStyle w:val="Refdenotaderodap"/>
        </w:rPr>
        <w:footnoteReference w:id="115"/>
      </w:r>
      <w:r w:rsidR="00C11C00">
        <w:t xml:space="preserve">. </w:t>
      </w:r>
      <w:r w:rsidRPr="003C5246">
        <w:t>«Daí», conclui</w:t>
      </w:r>
      <w:r>
        <w:t>u</w:t>
      </w:r>
      <w:r w:rsidRPr="003C5246">
        <w:t xml:space="preserve"> o </w:t>
      </w:r>
      <w:r w:rsidR="00462252">
        <w:t>cultor</w:t>
      </w:r>
      <w:r w:rsidR="003703A2">
        <w:t xml:space="preserve"> do filósofo</w:t>
      </w:r>
      <w:r w:rsidRPr="003C5246">
        <w:t xml:space="preserve"> que tenho estado a seguir, «a identificação frequentemente expressa entre filosofia e política, quando esta </w:t>
      </w:r>
      <w:r>
        <w:t>última é interpretada em sentido lato, enquanto esfera de toda a actividade prática»</w:t>
      </w:r>
      <w:r>
        <w:rPr>
          <w:rStyle w:val="Refdenotaderodap"/>
        </w:rPr>
        <w:footnoteReference w:id="116"/>
      </w:r>
      <w:r>
        <w:t xml:space="preserve">. </w:t>
      </w:r>
      <w:r w:rsidRPr="00D01F0A">
        <w:t>Chegamos assim ao cerne da questão, que faz da obr</w:t>
      </w:r>
      <w:r>
        <w:t>a</w:t>
      </w:r>
      <w:r w:rsidRPr="00D01F0A">
        <w:t xml:space="preserve"> de Gentile </w:t>
      </w:r>
      <w:r>
        <w:t xml:space="preserve">o monumento filosófico </w:t>
      </w:r>
      <w:r w:rsidRPr="00D01F0A">
        <w:t>do fascismo.</w:t>
      </w:r>
      <w:r>
        <w:t xml:space="preserve"> Para </w:t>
      </w:r>
      <w:r w:rsidR="00D20F8B">
        <w:t>ele</w:t>
      </w:r>
      <w:r>
        <w:t xml:space="preserve"> </w:t>
      </w:r>
      <w:r w:rsidRPr="004F364E">
        <w:t xml:space="preserve">o Estado não </w:t>
      </w:r>
      <w:r>
        <w:t>era</w:t>
      </w:r>
      <w:r w:rsidRPr="004F364E">
        <w:t xml:space="preserve"> uma realidade exterior, oposta ao indivíduo</w:t>
      </w:r>
      <w:r>
        <w:t xml:space="preserve">. </w:t>
      </w:r>
      <w:r w:rsidR="00585178">
        <w:t>Escreveu ele que «se o indivíduo não for absorvido pela vida do Estado, o indivíduo sentirá a lei e o Estado como limites à sua actividade [...]»</w:t>
      </w:r>
      <w:r w:rsidR="009202B9">
        <w:t>,</w:t>
      </w:r>
      <w:r w:rsidR="003565A3">
        <w:t xml:space="preserve"> </w:t>
      </w:r>
      <w:r w:rsidR="009202B9">
        <w:t>mas</w:t>
      </w:r>
      <w:r w:rsidR="003565A3">
        <w:t xml:space="preserve"> escreveu também que «já que o Estado é um princípio, o indivíduo converte-se numa consequência»</w:t>
      </w:r>
      <w:r w:rsidR="00BF25D3">
        <w:t xml:space="preserve"> e </w:t>
      </w:r>
      <w:r w:rsidR="005C474C">
        <w:t>rematou</w:t>
      </w:r>
      <w:r w:rsidR="00BF25D3">
        <w:t xml:space="preserve"> que «no caso do fascismo o Estado e o indivíduo são uma e a mesma coisa, ou antes, são termos inseparáveis de uma necessária síntese»</w:t>
      </w:r>
      <w:r w:rsidR="00585178">
        <w:rPr>
          <w:rStyle w:val="Refdenotaderodap"/>
        </w:rPr>
        <w:footnoteReference w:id="117"/>
      </w:r>
      <w:r w:rsidR="00585178">
        <w:t xml:space="preserve">. </w:t>
      </w:r>
      <w:r>
        <w:t xml:space="preserve">A autoridade e a força do Estado emanavam dos indivíduos que compunham o Estado, mas indivíduos remetidos ao acto de pensar. </w:t>
      </w:r>
      <w:r w:rsidR="007A630B">
        <w:t>«[...] o Estado só se torna uma realidade na consciência dos seus indivíduos»</w:t>
      </w:r>
      <w:r w:rsidR="007A630B">
        <w:rPr>
          <w:rStyle w:val="Refdenotaderodap"/>
        </w:rPr>
        <w:footnoteReference w:id="118"/>
      </w:r>
      <w:r w:rsidR="007A630B">
        <w:t xml:space="preserve">. </w:t>
      </w:r>
      <w:r w:rsidR="00CB6AE3">
        <w:t xml:space="preserve">Tratava-se portanto de algo exclusivamente dinâmico, do pensamento em acto, por isso o Estado era uma realidade em processo. «Para </w:t>
      </w:r>
      <w:r w:rsidR="00AA41BD">
        <w:t>um</w:t>
      </w:r>
      <w:r w:rsidR="00CB6AE3">
        <w:t xml:space="preserve"> fascista», explicou </w:t>
      </w:r>
      <w:r w:rsidR="00E54AFA">
        <w:t>Gentile</w:t>
      </w:r>
      <w:r w:rsidR="00CB6AE3">
        <w:t xml:space="preserve">, «o Estado existe sempre </w:t>
      </w:r>
      <w:r w:rsidR="00CB6AE3" w:rsidRPr="00CB6AE3">
        <w:rPr>
          <w:i/>
        </w:rPr>
        <w:t>in fieri</w:t>
      </w:r>
      <w:r w:rsidR="00CB6AE3">
        <w:t>»</w:t>
      </w:r>
      <w:r w:rsidR="00E54AFA">
        <w:rPr>
          <w:rStyle w:val="Refdenotaderodap"/>
        </w:rPr>
        <w:footnoteReference w:id="119"/>
      </w:r>
      <w:r w:rsidR="00CB6AE3">
        <w:t xml:space="preserve">. </w:t>
      </w:r>
      <w:r w:rsidR="00501AB1">
        <w:t xml:space="preserve">Se o Estado, porém, era disciplina e hierarquia, todos os actos de pensar eram explicados, acima deles, pelo </w:t>
      </w:r>
      <w:r w:rsidR="00501AB1" w:rsidRPr="00283FA3">
        <w:rPr>
          <w:i/>
        </w:rPr>
        <w:t>pensiero pensante</w:t>
      </w:r>
      <w:r w:rsidR="00501AB1">
        <w:t xml:space="preserve"> do chefe. </w:t>
      </w:r>
      <w:r>
        <w:t xml:space="preserve">E se o acto de pensar era, como </w:t>
      </w:r>
      <w:r w:rsidR="00501AB1">
        <w:t xml:space="preserve">Gentile </w:t>
      </w:r>
      <w:r>
        <w:t xml:space="preserve">pretendia, um acto livre, então esta liberdade era antes de tudo a liberdade do chefe. E assim </w:t>
      </w:r>
      <w:r w:rsidRPr="006552C5">
        <w:t xml:space="preserve">o </w:t>
      </w:r>
      <w:r>
        <w:t>maior</w:t>
      </w:r>
      <w:r w:rsidRPr="006552C5">
        <w:t xml:space="preserve"> filósofo do fascismo italiano</w:t>
      </w:r>
      <w:r w:rsidR="00C45D55">
        <w:t xml:space="preserve">, ou do fascismo </w:t>
      </w:r>
      <w:r w:rsidR="00C45D55" w:rsidRPr="00C45D55">
        <w:rPr>
          <w:i/>
        </w:rPr>
        <w:t>tout court</w:t>
      </w:r>
      <w:r w:rsidR="00C45D55">
        <w:t>,</w:t>
      </w:r>
      <w:r w:rsidRPr="006552C5">
        <w:t xml:space="preserve"> </w:t>
      </w:r>
      <w:r>
        <w:t xml:space="preserve">pôde </w:t>
      </w:r>
      <w:r w:rsidRPr="006552C5">
        <w:t>escreve</w:t>
      </w:r>
      <w:r>
        <w:t>r</w:t>
      </w:r>
      <w:r w:rsidRPr="006552C5">
        <w:t xml:space="preserve"> que o Duce «se esforça por adequar a realidade à lógica que determina o desenvolvimento da sua ideia e do partido na qual ele a encarnou»</w:t>
      </w:r>
      <w:r w:rsidRPr="006552C5">
        <w:rPr>
          <w:rStyle w:val="Refdenotaderodap"/>
        </w:rPr>
        <w:footnoteReference w:id="120"/>
      </w:r>
      <w:r w:rsidRPr="006552C5">
        <w:t>.</w:t>
      </w:r>
      <w:r>
        <w:t xml:space="preserve"> </w:t>
      </w:r>
    </w:p>
    <w:p w:rsidR="0017361A" w:rsidRPr="006552C5" w:rsidRDefault="0017361A" w:rsidP="0017361A">
      <w:r>
        <w:t xml:space="preserve">Outro </w:t>
      </w:r>
      <w:r w:rsidRPr="006552C5">
        <w:t>intelectua</w:t>
      </w:r>
      <w:r>
        <w:t>l fascista</w:t>
      </w:r>
      <w:r w:rsidRPr="006552C5">
        <w:t xml:space="preserve">, Gioacchino Volpe, deslindou </w:t>
      </w:r>
      <w:r>
        <w:t>aquele</w:t>
      </w:r>
      <w:r w:rsidRPr="006552C5">
        <w:t xml:space="preserve"> percurso </w:t>
      </w:r>
      <w:r w:rsidR="00774D72">
        <w:t>d</w:t>
      </w:r>
      <w:r w:rsidRPr="006552C5">
        <w:t xml:space="preserve">o ideal </w:t>
      </w:r>
      <w:r w:rsidR="00774D72">
        <w:t>para</w:t>
      </w:r>
      <w:r w:rsidRPr="006552C5">
        <w:t xml:space="preserve"> o real explicando «que as paixões e os sentimentos são ou podem ser também ideias em formação e que, pelo menos, têm a faculdade de criar os factos, nos quais há sempre alguma ideia»</w:t>
      </w:r>
      <w:r w:rsidRPr="006552C5">
        <w:rPr>
          <w:rStyle w:val="Refdenotaderodap"/>
        </w:rPr>
        <w:footnoteReference w:id="121"/>
      </w:r>
      <w:r w:rsidRPr="006552C5">
        <w:t>. Para Volpe a violência dos sentimentos era criadora de factos e eram os factos que continham em si uma ideia</w:t>
      </w:r>
      <w:r>
        <w:t xml:space="preserve">, enquanto </w:t>
      </w:r>
      <w:r w:rsidRPr="006552C5">
        <w:t xml:space="preserve">para Gentile o facto originário era </w:t>
      </w:r>
      <w:r w:rsidR="002E2E5F">
        <w:t xml:space="preserve">o acto de pensar </w:t>
      </w:r>
      <w:r w:rsidRPr="006552C5">
        <w:t>do chefe, que tomava corpo no partido, enquanto meio de acção destinado a criar uma realidade adequada àquel</w:t>
      </w:r>
      <w:r w:rsidR="006E1D46">
        <w:t>e</w:t>
      </w:r>
      <w:r w:rsidRPr="006552C5">
        <w:t xml:space="preserve"> </w:t>
      </w:r>
      <w:r w:rsidR="006E1D46">
        <w:t>acto pensante</w:t>
      </w:r>
      <w:r w:rsidRPr="006552C5">
        <w:t xml:space="preserve">. Em qualquer versão, nestas formas supremas de idealismo a nova realidade nasceria na mente do chefe e caberia à organização política dar corpo </w:t>
      </w:r>
      <w:r w:rsidR="006E1D46">
        <w:t>ao</w:t>
      </w:r>
      <w:r w:rsidRPr="006552C5">
        <w:t xml:space="preserve"> </w:t>
      </w:r>
      <w:r w:rsidRPr="006552C5">
        <w:lastRenderedPageBreak/>
        <w:t xml:space="preserve">espírito. </w:t>
      </w:r>
      <w:r w:rsidR="00774D72" w:rsidRPr="006552C5">
        <w:t xml:space="preserve">Não </w:t>
      </w:r>
      <w:r w:rsidRPr="006552C5">
        <w:t>foi prosápia, mas uma convicção profunda, que levou Mussolini a declarar no último dia de 1925: «As minhas ideias são claras, as minhas ordens são precisas</w:t>
      </w:r>
      <w:r>
        <w:t>.</w:t>
      </w:r>
      <w:r w:rsidRPr="006552C5">
        <w:t xml:space="preserve"> </w:t>
      </w:r>
      <w:r>
        <w:t xml:space="preserve">Tenho a certeza </w:t>
      </w:r>
      <w:r w:rsidRPr="006552C5">
        <w:t>de que se tornarão uma realidade concreta»</w:t>
      </w:r>
      <w:r w:rsidRPr="006552C5">
        <w:rPr>
          <w:rStyle w:val="Refdenotaderodap"/>
        </w:rPr>
        <w:footnoteReference w:id="122"/>
      </w:r>
      <w:r w:rsidRPr="006552C5">
        <w:t>. Reorganizado em 1926 consoante os princípios de uma disciplina estrita e um centralismo severo, o Partido Nacional Fascista foi então definido por Mussolini, numa circular endereçada aos prefeitos, como «um instrumento consciente e uno da vontade do Estado»</w:t>
      </w:r>
      <w:r w:rsidRPr="006552C5">
        <w:rPr>
          <w:rStyle w:val="Refdenotaderodap"/>
        </w:rPr>
        <w:footnoteReference w:id="123"/>
      </w:r>
      <w:r w:rsidRPr="006552C5">
        <w:t xml:space="preserve">. Personificado pelo Duce, o Estado era vontade, enquanto a consciência intervinha apenas ao nível da execução, no instrumento. E assim a decisão política, enquanto vontade acima </w:t>
      </w:r>
      <w:r>
        <w:t>—</w:t>
      </w:r>
      <w:r w:rsidRPr="006552C5">
        <w:t xml:space="preserve"> e antes </w:t>
      </w:r>
      <w:r>
        <w:t>—</w:t>
      </w:r>
      <w:r w:rsidRPr="006552C5">
        <w:t xml:space="preserve"> da consciência, era ela mesma intuitiva. </w:t>
      </w:r>
    </w:p>
    <w:p w:rsidR="00A61D4E" w:rsidRPr="006552C5" w:rsidRDefault="00A61D4E" w:rsidP="00A61D4E">
      <w:r w:rsidRPr="006552C5">
        <w:t>Uma prática deste tipo não podia ser senão uma criação estética</w:t>
      </w:r>
      <w:r w:rsidR="00225964">
        <w:t>.</w:t>
      </w:r>
      <w:r w:rsidR="00D07FD6">
        <w:t xml:space="preserve"> </w:t>
      </w:r>
      <w:r w:rsidR="005C334B">
        <w:t>Já D’Annunzio se classificara como «uma pura vontade de arte»</w:t>
      </w:r>
      <w:r w:rsidR="005C334B">
        <w:rPr>
          <w:rStyle w:val="Refdenotaderodap"/>
        </w:rPr>
        <w:footnoteReference w:id="124"/>
      </w:r>
      <w:r w:rsidR="005C334B">
        <w:t xml:space="preserve">. </w:t>
      </w:r>
      <w:r w:rsidR="006214C8">
        <w:t>E depois de destacar a paixão de Mussolini pela construção, Ezra Pound preveniu</w:t>
      </w:r>
      <w:r w:rsidR="009038FA">
        <w:t xml:space="preserve"> numa obra de 1935</w:t>
      </w:r>
      <w:r w:rsidR="006214C8">
        <w:t xml:space="preserve">: «Tratem-no </w:t>
      </w:r>
      <w:r w:rsidR="009038FA">
        <w:t xml:space="preserve">como </w:t>
      </w:r>
      <w:r w:rsidR="009038FA" w:rsidRPr="009038FA">
        <w:rPr>
          <w:i/>
        </w:rPr>
        <w:t>artifex</w:t>
      </w:r>
      <w:r w:rsidR="006214C8">
        <w:t xml:space="preserve"> e todos os pormenores se ajustam. Considerem-no como </w:t>
      </w:r>
      <w:r w:rsidR="009038FA">
        <w:t>o quer que seja</w:t>
      </w:r>
      <w:r w:rsidR="006214C8">
        <w:t xml:space="preserve"> menos o artista e </w:t>
      </w:r>
      <w:r w:rsidR="009038FA">
        <w:t>ficarão</w:t>
      </w:r>
      <w:r w:rsidR="006214C8">
        <w:t xml:space="preserve"> enleados em contradições»</w:t>
      </w:r>
      <w:r w:rsidR="009038FA">
        <w:rPr>
          <w:rStyle w:val="Refdenotaderodap"/>
        </w:rPr>
        <w:footnoteReference w:id="125"/>
      </w:r>
      <w:r w:rsidR="006214C8">
        <w:t xml:space="preserve">. </w:t>
      </w:r>
      <w:r w:rsidRPr="006552C5">
        <w:t>«Até agora, o único grande artista do regime é o seu fundador, Mussolini», proclam</w:t>
      </w:r>
      <w:r>
        <w:t>ou</w:t>
      </w:r>
      <w:r w:rsidRPr="006552C5">
        <w:t xml:space="preserve"> Bottai num artigo de 1927, acrescentando com toda a seriedade que a obra-prima da literatura fascista era a circular que no ano anterior o Duce enviara aos prefeitos, onde reafirma</w:t>
      </w:r>
      <w:r>
        <w:t>r</w:t>
      </w:r>
      <w:r w:rsidRPr="006552C5">
        <w:t>a a autoridade suprema do Estado</w:t>
      </w:r>
      <w:r w:rsidRPr="006552C5">
        <w:rPr>
          <w:rStyle w:val="Refdenotaderodap"/>
        </w:rPr>
        <w:footnoteReference w:id="126"/>
      </w:r>
      <w:r w:rsidRPr="006552C5">
        <w:t xml:space="preserve">. </w:t>
      </w:r>
      <w:r w:rsidR="008C6B20">
        <w:t>Mesmo alguém como Rilke considerara que Mussolini se distinguia acima de tudo pelas qualidades poéticas</w:t>
      </w:r>
      <w:r w:rsidR="008C6B20">
        <w:rPr>
          <w:rStyle w:val="Refdenotaderodap"/>
        </w:rPr>
        <w:footnoteReference w:id="127"/>
      </w:r>
      <w:r w:rsidR="008C6B20">
        <w:t xml:space="preserve">. </w:t>
      </w:r>
      <w:r w:rsidRPr="006552C5">
        <w:t>E como não? Ao mesmo tempo que escrevia algumas novelas e romances sem continuidade e aparentemente sem mérito</w:t>
      </w:r>
      <w:r w:rsidRPr="006552C5">
        <w:rPr>
          <w:rStyle w:val="Refdenotaderodap"/>
        </w:rPr>
        <w:footnoteReference w:id="128"/>
      </w:r>
      <w:r w:rsidRPr="006552C5">
        <w:t xml:space="preserve">, o socialista Mussolini, dedicado violinista amador, pensara em 1909 </w:t>
      </w:r>
      <w:r w:rsidR="00A20EF5">
        <w:t xml:space="preserve">em se </w:t>
      </w:r>
      <w:r w:rsidRPr="006552C5">
        <w:t>aperfeiçoar e viver da música</w:t>
      </w:r>
      <w:r w:rsidRPr="006552C5">
        <w:rPr>
          <w:rStyle w:val="Refdenotaderodap"/>
        </w:rPr>
        <w:footnoteReference w:id="129"/>
      </w:r>
      <w:r w:rsidRPr="006552C5">
        <w:t>. E depois do estrondoso fiasco nas eleições legislativas de Novembro de 1919 o fascista Mussolini, cedendo ao desânimo e imaginando o que faria se abandonasse a política, confiara em carta a uma das suas grandes paixões que podia pegar no violino e tornar-se músico profissional ou ganhar a vida como dramaturgo ou actor de teatro. «Posso dar a volta ao mundo com o meu violino. Que belo ofício, o de músico ambulante!»</w:t>
      </w:r>
      <w:r w:rsidRPr="006552C5">
        <w:rPr>
          <w:rStyle w:val="Refdenotaderodap"/>
        </w:rPr>
        <w:footnoteReference w:id="130"/>
      </w:r>
      <w:r w:rsidRPr="006552C5">
        <w:t xml:space="preserve">. Afinal, não foi necessário chegar a um tal extremo e dez anos depois era já o ditador da Itália quem, de colaboração com um dramaturgo e cineasta profissional, escrevia uma peça em quatro actos sobre os Cem Dias de Napoleão, representada na Itália apenas sob o nome do co-autor, mas </w:t>
      </w:r>
      <w:r w:rsidRPr="006552C5">
        <w:lastRenderedPageBreak/>
        <w:t>que, com a assinatura de ambos, passou com êxito nos palcos de Budapeste, Praga, Paris e várias cidades do outro lado do Atlântico</w:t>
      </w:r>
      <w:r w:rsidRPr="006552C5">
        <w:rPr>
          <w:rStyle w:val="Refdenotaderodap"/>
        </w:rPr>
        <w:footnoteReference w:id="131"/>
      </w:r>
      <w:r w:rsidRPr="006552C5">
        <w:t>. Nunca deixando de se exercitar diariamente no violino, nem que fosse durante alguns minutos, o Duce podia entreter por vezes aquela sua amante no palácio Torlonia ao som da música, quando não tocava para qualquer namoro episódico ou para a esposa legal e os filhos</w:t>
      </w:r>
      <w:r w:rsidRPr="006552C5">
        <w:rPr>
          <w:rStyle w:val="Refdenotaderodap"/>
        </w:rPr>
        <w:footnoteReference w:id="132"/>
      </w:r>
      <w:r w:rsidRPr="006552C5">
        <w:t>, com a mesma veia lírica que o levou, no auge da Campanha do Trigo, a compor e publicar um poema glorificando o pão</w:t>
      </w:r>
      <w:r w:rsidRPr="006552C5">
        <w:rPr>
          <w:rStyle w:val="Refdenotaderodap"/>
        </w:rPr>
        <w:footnoteReference w:id="133"/>
      </w:r>
      <w:r w:rsidRPr="006552C5">
        <w:t>, pelos vistos ultrapassado em beleza pela circular aos prefeitos. E nos últimos tempos, naquela ficção que se chamou República Social, quando via e sabia que tudo para ele estava já perdido, Mussolini confidenciou a um dos seus velhos admiradores: «Eu não sou um estadista, sou um poeta»</w:t>
      </w:r>
      <w:r w:rsidRPr="006552C5">
        <w:rPr>
          <w:rStyle w:val="Refdenotaderodap"/>
        </w:rPr>
        <w:footnoteReference w:id="134"/>
      </w:r>
      <w:r w:rsidRPr="006552C5">
        <w:t>. Muito mais tarde, alguém que o conhecera e seguira e nunca deixou de o venerar lembrou a seu respeito: «Acho que ele foi, mais do que qualquer outra coisa, um poeta. [...] Um grande poeta que era ao mesmo tempo um homem de acção, para quem a acção é irmã do sonho»</w:t>
      </w:r>
      <w:r w:rsidRPr="006552C5">
        <w:rPr>
          <w:rStyle w:val="Refdenotaderodap"/>
        </w:rPr>
        <w:footnoteReference w:id="135"/>
      </w:r>
      <w:r w:rsidRPr="006552C5">
        <w:t xml:space="preserve">. </w:t>
      </w:r>
    </w:p>
    <w:p w:rsidR="00A61D4E" w:rsidRPr="006552C5" w:rsidRDefault="00A61D4E" w:rsidP="00A61D4E">
      <w:r w:rsidRPr="006552C5">
        <w:t>O chefe fascista distinguia-se dos demais artistas porque era o povo que ele moldava, e esta era a função da política. «O povo italiano é uma massa de minério precioso. É necessário fundi-lo, purificá-lo das escórias, trabalhá-lo», proclamou Mussolini durante os anos em que preparava a tomada do poder. «É ainda possível uma obra de arte»</w:t>
      </w:r>
      <w:r w:rsidRPr="006552C5">
        <w:rPr>
          <w:rStyle w:val="Refdenotaderodap"/>
        </w:rPr>
        <w:footnoteReference w:id="136"/>
      </w:r>
      <w:r w:rsidRPr="006552C5">
        <w:t>. Depois, quando as coisas começaram a correr</w:t>
      </w:r>
      <w:r w:rsidR="003957DA">
        <w:t>-lhe</w:t>
      </w:r>
      <w:r w:rsidRPr="006552C5">
        <w:t xml:space="preserve"> francamente mal, a opinião do Duce mudou, mas a metáfora manteve-se a mesma. «É a matéria que me falta!</w:t>
      </w:r>
      <w:r w:rsidR="00D3797F">
        <w:t xml:space="preserve"> Até </w:t>
      </w:r>
      <w:r w:rsidR="00D3797F" w:rsidRPr="00D3797F">
        <w:rPr>
          <w:lang w:val="fr-FR"/>
        </w:rPr>
        <w:t xml:space="preserve">Michelangelo </w:t>
      </w:r>
      <w:r w:rsidR="00D3797F">
        <w:t>precisou de mármore para fazer estátuas. Se só tivesse barro, teria sido apenas um oleiro</w:t>
      </w:r>
      <w:r w:rsidRPr="006552C5">
        <w:t>»</w:t>
      </w:r>
      <w:r w:rsidRPr="006552C5">
        <w:rPr>
          <w:rStyle w:val="Refdenotaderodap"/>
        </w:rPr>
        <w:footnoteReference w:id="137"/>
      </w:r>
      <w:r w:rsidRPr="006552C5">
        <w:t>. Só um objecto informe é susceptível de ser manipulado de maneira a obedecer a uma imagem, e tal objecto encontra-se decerto na tela vazia, no amontoado de barro ou de gesso, no bloco de mármore, mas não na sociedade nem nas classes sociais, que têm estrutura própria, espessura orgânica, ritmos e inércias. Entendemos agora, talvez melhor do que quando analisei o problema a propósito do surgimento do conceito de «nação proletária»</w:t>
      </w:r>
      <w:r w:rsidR="005C617E">
        <w:t xml:space="preserve"> (no capítulo 1 da Parte 3)</w:t>
      </w:r>
      <w:r w:rsidRPr="006552C5">
        <w:t xml:space="preserve">, por que motivo o proletariado aparece nas </w:t>
      </w:r>
      <w:r w:rsidRPr="006552C5">
        <w:rPr>
          <w:i/>
        </w:rPr>
        <w:t>Réflexions sur la Violence</w:t>
      </w:r>
      <w:r w:rsidRPr="006552C5">
        <w:t xml:space="preserve"> como uma classe desprovida de mecanismos sociais específicos. Mas na realidade os trabalhadores têm mostrado a sua capacidade de não se deixarem reduzir a delírios da vontade. Por caminhos tantas vezes subterrâneos, ocasionalmente em completo silêncio, mas nem por isso de maneira menos eficaz, os organismos sociais resistem aos modelos imperativos e reestruturam-se em formas que </w:t>
      </w:r>
      <w:r w:rsidRPr="006552C5">
        <w:lastRenderedPageBreak/>
        <w:t xml:space="preserve">deixam esses modelos definitivamente obsoletos. Se a sociedade, então, não é objecto de manipulação artística, que nível da realidade pode ser transfigurado pelos estetas da política? </w:t>
      </w:r>
    </w:p>
    <w:p w:rsidR="00A61D4E" w:rsidRPr="006552C5" w:rsidRDefault="00A61D4E" w:rsidP="00A61D4E">
      <w:r w:rsidRPr="006552C5">
        <w:t>A única prática possível de um mito é a sua narração dramática. A teoria soreliana dos mitos conferiu obrigatoriamente à prática política o carácter de espectáculo. «O comportamento histriónico», escreveu Alceste De Ambris numa obra sobre o Duce, «é sem dúvida a verdadeira chave do seu êxito»</w:t>
      </w:r>
      <w:r w:rsidRPr="006552C5">
        <w:rPr>
          <w:rStyle w:val="Refdenotaderodap"/>
        </w:rPr>
        <w:footnoteReference w:id="138"/>
      </w:r>
      <w:r w:rsidRPr="006552C5">
        <w:t>. E num livro publicado alguns anos mais tarde, depois de responder afirmativamente à pergunta «Mussolini é um grande político?», Camilo Berneri acrescent</w:t>
      </w:r>
      <w:r>
        <w:t>ou</w:t>
      </w:r>
      <w:r w:rsidRPr="006552C5">
        <w:t xml:space="preserve"> que «para ser um grande político é necessário ser um grande actor»</w:t>
      </w:r>
      <w:r w:rsidRPr="006552C5">
        <w:rPr>
          <w:rStyle w:val="Refdenotaderodap"/>
        </w:rPr>
        <w:footnoteReference w:id="139"/>
      </w:r>
      <w:r w:rsidRPr="006552C5">
        <w:t>. Mussolini deu a todos os aspirantes a ditador a lição definitiva, comportando-se na vida quotidiana como um actor, exibindo o corpo em efeitos de cena, usando a fisionomia como uma máscara e valendo-se mesmo dos seus persistentes males de estômago</w:t>
      </w:r>
      <w:r w:rsidRPr="006552C5">
        <w:rPr>
          <w:rStyle w:val="Refdenotaderodap"/>
        </w:rPr>
        <w:footnoteReference w:id="140"/>
      </w:r>
      <w:r w:rsidRPr="006552C5">
        <w:t>. «Ele teve sempre a ideia fixa da encenação», escreveu alguém que durante mais de vinte anos o serviu na intimidade, e contou como o Duce fiscalizava até aos mínimos detalhes o arranjo dos desfiles e de outras manifestações de massa</w:t>
      </w:r>
      <w:r w:rsidRPr="006552C5">
        <w:rPr>
          <w:rStyle w:val="Refdenotaderodap"/>
        </w:rPr>
        <w:footnoteReference w:id="141"/>
      </w:r>
      <w:r w:rsidRPr="006552C5">
        <w:t>. A ninguém senão ao ditador cabia ordenar a sua própria figuração, e sobre a mesa de trabalho, naquela sala imensa do palácio Venezia imortalizada pelas numerosíssimas descrições que dela fizeram os visitantes mais ou menos atónitos, Mussolini tinha um dispositivo que lhe permitia controlar e modificar a iluminação, tal como num palco</w:t>
      </w:r>
      <w:r w:rsidRPr="006552C5">
        <w:rPr>
          <w:rStyle w:val="Refdenotaderodap"/>
        </w:rPr>
        <w:footnoteReference w:id="142"/>
      </w:r>
      <w:r w:rsidRPr="006552C5">
        <w:t>. «Fez de si mesmo um personagem, um pouco à sua própria semelhança, um pouco à semelhança do que os italianos queriam que ele fosse. É, em certo sentido, o actor do seu próprio personagem», disse o genial Pirandello</w:t>
      </w:r>
      <w:r w:rsidRPr="006552C5">
        <w:rPr>
          <w:rStyle w:val="Refdenotaderodap"/>
        </w:rPr>
        <w:footnoteReference w:id="143"/>
      </w:r>
      <w:r>
        <w:t>. Quem somos</w:t>
      </w:r>
      <w:r w:rsidR="00401D91">
        <w:t>,</w:t>
      </w:r>
      <w:r w:rsidRPr="006552C5">
        <w:t xml:space="preserve"> </w:t>
      </w:r>
      <w:r w:rsidR="00486B58" w:rsidRPr="006552C5">
        <w:t xml:space="preserve">o leitor </w:t>
      </w:r>
      <w:r w:rsidR="00486B58">
        <w:t xml:space="preserve">e </w:t>
      </w:r>
      <w:r w:rsidRPr="006552C5">
        <w:t>eu</w:t>
      </w:r>
      <w:r w:rsidR="00401D91">
        <w:t>,</w:t>
      </w:r>
      <w:r w:rsidRPr="006552C5">
        <w:t xml:space="preserve"> para o desmentirmos! No final de tudo, a pouco mais de um mês de ser fuzilado, Mussolini confess</w:t>
      </w:r>
      <w:r>
        <w:t>ou</w:t>
      </w:r>
      <w:r w:rsidRPr="006552C5">
        <w:t xml:space="preserve"> a uma jornalista que tivera o plano de o entrevistar, ideia absurda, como se ele fosse ainda alguém: «Já não me sinto actor, mas apenas o último espectador»</w:t>
      </w:r>
      <w:r w:rsidRPr="006552C5">
        <w:rPr>
          <w:rStyle w:val="Refdenotaderodap"/>
        </w:rPr>
        <w:footnoteReference w:id="144"/>
      </w:r>
      <w:r w:rsidRPr="006552C5">
        <w:t xml:space="preserve">. E espectador de quê, se ele fora, no enorme palco, perante o coro dos comparsas, o único actor verdadeiro? </w:t>
      </w:r>
      <w:r w:rsidR="00C75811">
        <w:t xml:space="preserve">A uma admiradora que lhe pediu um autógrafo, escreveu </w:t>
      </w:r>
      <w:r w:rsidR="00C75811" w:rsidRPr="00C75811">
        <w:rPr>
          <w:i/>
        </w:rPr>
        <w:t>«</w:t>
      </w:r>
      <w:r w:rsidRPr="00C75811">
        <w:rPr>
          <w:i/>
        </w:rPr>
        <w:t xml:space="preserve">Mussolini </w:t>
      </w:r>
      <w:r w:rsidR="00C75811" w:rsidRPr="00C75811">
        <w:rPr>
          <w:i/>
        </w:rPr>
        <w:t>defunto»,</w:t>
      </w:r>
      <w:r w:rsidR="00C75811">
        <w:t xml:space="preserve"> «o falecido Mussolini»</w:t>
      </w:r>
      <w:r w:rsidR="00C75811">
        <w:rPr>
          <w:rStyle w:val="Refdenotaderodap"/>
        </w:rPr>
        <w:footnoteReference w:id="145"/>
      </w:r>
      <w:r w:rsidR="00C75811">
        <w:t xml:space="preserve">. Foi </w:t>
      </w:r>
      <w:r w:rsidR="003A2289">
        <w:t xml:space="preserve">fuzilado </w:t>
      </w:r>
      <w:r w:rsidRPr="006552C5">
        <w:t xml:space="preserve">assim, contemplando o vazio dele próprio. </w:t>
      </w:r>
    </w:p>
    <w:p w:rsidR="00A61D4E" w:rsidRPr="006552C5" w:rsidRDefault="00A61D4E" w:rsidP="00297292">
      <w:pPr>
        <w:pStyle w:val="Corpodetexto2"/>
        <w:jc w:val="center"/>
        <w:rPr>
          <w:rFonts w:ascii="Arial Narrow" w:hAnsi="Arial Narrow"/>
        </w:rPr>
      </w:pPr>
      <w:r w:rsidRPr="006552C5">
        <w:rPr>
          <w:rFonts w:ascii="Arial Narrow" w:hAnsi="Arial Narrow"/>
        </w:rPr>
        <w:lastRenderedPageBreak/>
        <w:t>4. Portugal</w:t>
      </w:r>
      <w:r w:rsidR="007F0673">
        <w:rPr>
          <w:rFonts w:ascii="Arial Narrow" w:hAnsi="Arial Narrow"/>
        </w:rPr>
        <w:t>: «Transformar Portugal rústico</w:t>
      </w:r>
      <w:r w:rsidR="007F0673">
        <w:rPr>
          <w:rFonts w:ascii="Arial Narrow" w:hAnsi="Arial Narrow"/>
        </w:rPr>
        <w:br/>
      </w:r>
      <w:r w:rsidRPr="006552C5">
        <w:rPr>
          <w:rFonts w:ascii="Arial Narrow" w:hAnsi="Arial Narrow"/>
        </w:rPr>
        <w:t>numa constante exposição viva de arte popular»</w:t>
      </w:r>
    </w:p>
    <w:p w:rsidR="00A61D4E" w:rsidRPr="006552C5" w:rsidRDefault="00A61D4E" w:rsidP="00A61D4E">
      <w:r w:rsidRPr="006552C5">
        <w:t>Tentando esclarecer a perplexidade de um visitante fascista italiano, um dirigente da União Nacional explicou-lhe que o presidente do Conselho «ama o povo, mas não a massa»</w:t>
      </w:r>
      <w:r w:rsidRPr="006552C5">
        <w:rPr>
          <w:rStyle w:val="Refdenotaderodap"/>
        </w:rPr>
        <w:footnoteReference w:id="146"/>
      </w:r>
      <w:r w:rsidRPr="006552C5">
        <w:t xml:space="preserve">. Os doutorais discursos de Salazar eram quase sempre proferidos perante um escol seleccionado, porque ele temia a movimentação política das </w:t>
      </w:r>
      <w:r>
        <w:t>multidões</w:t>
      </w:r>
      <w:r w:rsidRPr="006552C5">
        <w:t xml:space="preserve"> e propunha-se «fazer viver Portugal </w:t>
      </w:r>
      <w:r w:rsidRPr="006552C5">
        <w:rPr>
          <w:i/>
        </w:rPr>
        <w:t>habitualmente</w:t>
      </w:r>
      <w:r w:rsidRPr="006552C5">
        <w:t>», «</w:t>
      </w:r>
      <w:r w:rsidRPr="006552C5">
        <w:rPr>
          <w:i/>
        </w:rPr>
        <w:t>normalizar</w:t>
      </w:r>
      <w:r w:rsidRPr="006552C5">
        <w:t xml:space="preserve"> a nação»</w:t>
      </w:r>
      <w:r w:rsidRPr="006552C5">
        <w:rPr>
          <w:rStyle w:val="Refdenotaderodap"/>
        </w:rPr>
        <w:footnoteReference w:id="147"/>
      </w:r>
      <w:r w:rsidRPr="006552C5">
        <w:t xml:space="preserve">. Poucos meses depois de ter alcançado a chefia do Governo, e respondendo a </w:t>
      </w:r>
      <w:r w:rsidR="005003AF" w:rsidRPr="006552C5">
        <w:t>António Ferro</w:t>
      </w:r>
      <w:r w:rsidR="005003AF">
        <w:t>,</w:t>
      </w:r>
      <w:r w:rsidR="005003AF" w:rsidRPr="006552C5">
        <w:t xml:space="preserve"> </w:t>
      </w:r>
      <w:r w:rsidRPr="006552C5">
        <w:t>que tentara convencê-lo a «aproveitar [a] lição de Mussolini» e entrar em «contacto com a multidão», Salazar queixou-se de ser «difícil mexer com a nossa raça adormecida», mas tudo o que sugeriu para despertá-la foi «aproveitar as bandas regimentais, caras mas boas, para dar concertos, aos domingos e quintas-feiras, por exemplo, nos jardins de Lisboa e por essa província fora» e adiantou: «Penso também em sugerir a organização de grandes espectáculos de cinema popular onde o povo possa entreter-se, simultaneamente, com filmes educativos e com filmes que o divirtam»</w:t>
      </w:r>
      <w:r w:rsidRPr="006552C5">
        <w:rPr>
          <w:rStyle w:val="Refdenotaderodap"/>
        </w:rPr>
        <w:footnoteReference w:id="148"/>
      </w:r>
      <w:r w:rsidRPr="006552C5">
        <w:t>. Esta estratégia de coreto presidiu às grandes concentrações populares organizadas pelo salazarismo, que deixavam de ser inquietantes desde que fossem movidas por paixões desportivas</w:t>
      </w:r>
      <w:r w:rsidR="006B53A4">
        <w:t>,</w:t>
      </w:r>
      <w:r w:rsidRPr="006552C5">
        <w:t xml:space="preserve"> ou desde que juntassem gente mascarada de guerreiros medievais ou de embaixadores do século XVIII ou de qualquer outra coisa, ou desde que circulassem os espectadores no meio de carnavalescas aldeias africanas onde eram exibidos negros de tanga. Não foi à construção de uma esplanada destinada a servir de palco aos discursos do chefe que o Estado Novo dedicou uma das suas obras de vulto, mas à edificação de um recinto desportivo, e consagraram-se às encenações históricas verbas muito superiores às que se gastaram com a propaganda estritamente política. É sem dúvida cómodo, e não deixa de ser correcto, referir o fascismo português como um regime avesso às massas, com a condição de não esquecermos que estimulou a mobilização popular no plano das festas, dos cortejos e das exposições. Precisamente porque constituiu a modalidade de fascismo mais alheada de uma política de massas, o salazarismo viu-se obrigado a assumir uma maior dimensão estética. E que estética! Se for exacta esta análise, que considera a deficiência de política do Estado Novo português como razão para que o regime se </w:t>
      </w:r>
      <w:r w:rsidRPr="006552C5">
        <w:lastRenderedPageBreak/>
        <w:t xml:space="preserve">concentrasse na encenação artística, então o insuperado </w:t>
      </w:r>
      <w:r w:rsidRPr="006552C5">
        <w:rPr>
          <w:i/>
        </w:rPr>
        <w:t>kitsch</w:t>
      </w:r>
      <w:r w:rsidRPr="006552C5">
        <w:t xml:space="preserve"> dos festivais salazaristas deverá servir de modelo para analisar o estilo dos demais fascismos. </w:t>
      </w:r>
    </w:p>
    <w:p w:rsidR="00A61D4E" w:rsidRPr="006552C5" w:rsidRDefault="00A61D4E" w:rsidP="00A61D4E">
      <w:r w:rsidRPr="006552C5">
        <w:t>Tal como qualquer outro chefe fascista, também Salazar estava convencido de que «politicamente, só existe o que o público sabe que existe»</w:t>
      </w:r>
      <w:r w:rsidRPr="006552C5">
        <w:rPr>
          <w:rStyle w:val="Refdenotaderodap"/>
        </w:rPr>
        <w:footnoteReference w:id="149"/>
      </w:r>
      <w:r w:rsidRPr="006552C5">
        <w:t xml:space="preserve"> e julgava ser do mesmo modo verdadeira a tese recíproca, de que «politicamente tudo o que parece é»</w:t>
      </w:r>
      <w:r w:rsidRPr="006552C5">
        <w:rPr>
          <w:rStyle w:val="Refdenotaderodap"/>
        </w:rPr>
        <w:footnoteReference w:id="150"/>
      </w:r>
      <w:r w:rsidRPr="006552C5">
        <w:t>. Não foi por acaso que, de todos os membros do governo, António Ferro, o primeiro director do Secretariado da Propaganda Nacional, era o único a possuir um currículo de radicalismo de direita ou mesmo, o que talvez fosse mais temível para a obsessão de compostura do presidente do Conselho, a ser precedido pela fama de uma certa irreverência intelectual. O Estado Novo, todavia, não encenou o discurso político directamente, mas só de maneira indirecta, como discurso acerca da política, para o qual a tomada de decisões, em vez de se exibir como manifestação pública da vontade de um chefe em transe, era enunciada como facto consumado. Ao contrário do que sucedia nas modalidades radicais do fascismo, nesta variante conservadora a oportunidade para a mobilização de massas não provinha do acto político mas da memória política</w:t>
      </w:r>
      <w:r w:rsidR="002425C5">
        <w:t>.</w:t>
      </w:r>
      <w:r w:rsidRPr="006552C5">
        <w:t xml:space="preserve"> </w:t>
      </w:r>
      <w:r w:rsidR="002425C5" w:rsidRPr="006552C5">
        <w:t xml:space="preserve">E </w:t>
      </w:r>
      <w:r w:rsidRPr="006552C5">
        <w:t>como a memória requeria o congelamento prévio da política num suporte plástico, a encenação concretizava-se na forma específica da comemoração. Substituindo a visão pela memória ou, para ser exacto, a ilusão da visão pela mistificação da memória, o fascismo português atribuiu a primazia aos aspectos plásticos materiais, enquanto na Itália ou no Reich a coreografia d</w:t>
      </w:r>
      <w:r>
        <w:t>e</w:t>
      </w:r>
      <w:r w:rsidRPr="006552C5">
        <w:t xml:space="preserve"> massas prevaleceu sobre as outras </w:t>
      </w:r>
      <w:r w:rsidR="004F16F5">
        <w:t>modalidades</w:t>
      </w:r>
      <w:r w:rsidRPr="006552C5">
        <w:t xml:space="preserve"> da estética política. </w:t>
      </w:r>
    </w:p>
    <w:p w:rsidR="00A61D4E" w:rsidRPr="006552C5" w:rsidRDefault="00A61D4E" w:rsidP="00A61D4E">
      <w:r w:rsidRPr="006552C5">
        <w:t xml:space="preserve">Ao completar-se o primeiro ano do Estado Novo foi inaugurada no Porto a Exposição Colonial, consagrando o regime através da invocação do tema do império. Num comentário à iniciativa, o ideólogo salazarista João Ameal, depois de se fortalecer com uma citação de Görres, um dos filósofos do romantismo alemão que os </w:t>
      </w:r>
      <w:r w:rsidR="00603EB0">
        <w:t>nacionais-socialistas</w:t>
      </w:r>
      <w:r w:rsidRPr="006552C5">
        <w:t xml:space="preserve"> mais apreciavam, considerou que o país «ao retomar a sua consciência de nação </w:t>
      </w:r>
      <w:r>
        <w:t>—</w:t>
      </w:r>
      <w:r w:rsidRPr="006552C5">
        <w:t xml:space="preserve"> essa consciência projecta-se num ressurgimento da sua consciência de Império»</w:t>
      </w:r>
      <w:r w:rsidRPr="006552C5">
        <w:rPr>
          <w:rStyle w:val="Refdenotaderodap"/>
        </w:rPr>
        <w:footnoteReference w:id="151"/>
      </w:r>
      <w:r w:rsidRPr="006552C5">
        <w:t xml:space="preserve">. Na prática as coisas foram mais rasteiras e em ambiente de parque de diversões, além das inevitáveis salas de museu dedicadas às descobertas, conquistas e outras grandezas, o público pôde contemplar ao vivo aldeias africanas </w:t>
      </w:r>
      <w:r w:rsidRPr="006552C5">
        <w:lastRenderedPageBreak/>
        <w:t xml:space="preserve">ou timorenses com os seus exóticos habitantes, entaladas entre </w:t>
      </w:r>
      <w:r w:rsidRPr="006552C5">
        <w:rPr>
          <w:i/>
        </w:rPr>
        <w:t>stands</w:t>
      </w:r>
      <w:r w:rsidRPr="006552C5">
        <w:t xml:space="preserve"> de bancos, de firmas coloniais e de padres missionários. Um consagrado romancista de assuntos africanos, Jul</w:t>
      </w:r>
      <w:r w:rsidR="00AE5AFC">
        <w:t>i</w:t>
      </w:r>
      <w:r w:rsidRPr="006552C5">
        <w:t xml:space="preserve">ão Quintinha, que aliás não se contava entre os admiradores de Salazar, foi ver </w:t>
      </w:r>
      <w:r>
        <w:t>—</w:t>
      </w:r>
      <w:r w:rsidRPr="006552C5">
        <w:t xml:space="preserve"> um espectador entre o milhão que por lá passou </w:t>
      </w:r>
      <w:r>
        <w:t>—</w:t>
      </w:r>
      <w:r w:rsidRPr="006552C5">
        <w:t xml:space="preserve"> e achou que a realização tinha «mais qualidades do que defeitos». «O êxito da Exposição Colonial tem o seu melhor cartaz no ambiente tropical que lhe imprime o elemento gentílico, principalmente as aldeias indígenas, com as pretas, os pretos, os nativos de Cabo Verde e das colónias do Oriente. O público perde a maior parte do tempo a observar como vivem, o que fazem e o que não fazem, as pretas, os pretos e os pretinhos. [...] Não há dúvida de que os indígenas são o grande cartaz». E além disso muito variados, o que decerto contribuía para animar o ambiente, pois enquanto no pavilhão de Cabo Verde «simpáticas raparigas servem café», o passeante encontrava na «grande aldeia indígena de Moçambique» «gente saudável e bem tratada, que, de dia, patenteia sua indolência mal disfarçada nos afazeres domésticos», ou contemplava na «pitoresca aldeia dos indígenas da Guiné» «dos mais interessantes tipos negros, com seus fatos carnavalescos, divertindo o público com cantares e momices». Todavia, e era pena, já o pavilhão da Índia «não tem beleza, e tornam-se monótonos os espectáculos da bailadeira, cor de açafrão, dançando sem arte ao som duma caixa de música com acompanhamento de campainhas», e igualmente entediante era o pavilhão de Macau, onde «de vez em quando, tocam pálidos músicos macaenses, em geral duma incompreensível música, também monótona e triste, talvez ao uso do seu país». Pior ainda, a «família de Timor», na sua cubata, «nos parece a menos comunicativa»</w:t>
      </w:r>
      <w:r w:rsidRPr="006552C5">
        <w:rPr>
          <w:rStyle w:val="Refdenotaderodap"/>
        </w:rPr>
        <w:footnoteReference w:id="152"/>
      </w:r>
      <w:r w:rsidRPr="006552C5">
        <w:t xml:space="preserve">. </w:t>
      </w:r>
      <w:r>
        <w:t xml:space="preserve">Passados seis anos, na </w:t>
      </w:r>
      <w:r w:rsidRPr="006552C5">
        <w:t>Exposição do Mundo Português</w:t>
      </w:r>
      <w:r>
        <w:t>, novamente os nativos de uma a outra ponta do Império foram transportados para povoarem na metrópole aldeias fictícias, e «numa residência típica encontra-se o Rei do Congo, com a sua comitiva — o único soberano reconhecido no Império»</w:t>
      </w:r>
      <w:r>
        <w:rPr>
          <w:rStyle w:val="Refdenotaderodap"/>
        </w:rPr>
        <w:footnoteReference w:id="153"/>
      </w:r>
      <w:r>
        <w:t xml:space="preserve">. </w:t>
      </w:r>
      <w:r w:rsidRPr="006552C5">
        <w:t xml:space="preserve">Racismo puro, dir-se-á, que transformava pessoas de pele escura em cativos de um perverso jardim zoológico humano. Mas o argumento não colhe, porque não foi só a gente das colónias a ser assim apresentada, mas a gente da metrópole também, e obrigada do mesmo modo a «divertir o público com cantares e momices». Fazendo a apologia de tudo o que era pobre e retrógrado, o salazarismo conseguiu converter em encenação a própria miséria, o que era o mesmo que dizer </w:t>
      </w:r>
      <w:r w:rsidR="00603EB0">
        <w:t>—</w:t>
      </w:r>
      <w:r w:rsidRPr="006552C5">
        <w:t xml:space="preserve"> o país. </w:t>
      </w:r>
    </w:p>
    <w:p w:rsidR="00A61D4E" w:rsidRPr="006552C5" w:rsidRDefault="00A61D4E" w:rsidP="00A61D4E">
      <w:r w:rsidRPr="006552C5">
        <w:t xml:space="preserve">Publicado em Fevereiro de 1938, o regulamento do concurso «A Aldeia mais Portuguesa de Portugal», patrocinado pelo Secretariado da Propaganda Nacional, estipulava como condições fundamentais para ser seleccionada pelo júri que uma aldeia demonstrasse «a maior </w:t>
      </w:r>
      <w:r w:rsidRPr="006552C5">
        <w:lastRenderedPageBreak/>
        <w:t>resistência oferecida a decomposições e influências estranhas e o estado de conservação no mais elevado grau de pureza das características seguintes: 1º habitação; 2º mobiliário e alfaia doméstica; 3º trajo; 4º artes e indústrias populares; 5º formas de comércio; 6º meios de transporte (terrestres, marítimos e fluviais); 7º poesias, contos, superstições, jogos, canto, música, coreografia, teatro, festas e outras usanças; 8º fisionomia topográfica e panorâmica»</w:t>
      </w:r>
      <w:r w:rsidRPr="006552C5">
        <w:rPr>
          <w:rStyle w:val="Refdenotaderodap"/>
        </w:rPr>
        <w:footnoteReference w:id="154"/>
      </w:r>
      <w:r w:rsidRPr="006552C5">
        <w:t>. O Portugal mítico não se definia enquanto capacidade de imprimir um cunho próprio às grandes tendências da época, mas pela atitude resignada de quem voltara as costas e tentava manter-se despercebido, deixando a modernidade passar ao largo. Os júris regionais, depois o júri nacional, iam escolher as terreolas mais completamente excluídas do processo histórico, e foi aqui que a perversão atingiu uma dimensão chocante, porque nenhuma delas podia representar qualquer época precisa ou qualquer cultura determinada. Depois de um longo definhamento e perda d</w:t>
      </w:r>
      <w:r w:rsidR="00065645">
        <w:t>e</w:t>
      </w:r>
      <w:r w:rsidRPr="006552C5">
        <w:t xml:space="preserve"> vitalidade, nada mais tendo para </w:t>
      </w:r>
      <w:r w:rsidR="004B59A6">
        <w:t xml:space="preserve">exibir </w:t>
      </w:r>
      <w:r w:rsidRPr="006552C5">
        <w:t xml:space="preserve">senão restos de culturas, esses dejectos do passado eram uma espécie de museus onde a população cumpria o papel de bonecos animados e em que todas as facetas da vida se resumiam a lixo deixado pelos séculos. O que noutros tempos fora um modo de viver achava-se reduzido nesses lugarejos à simples existência vegetativa, o que antes haviam sido crenças sobrevivia na forma degenerada de superstições. E eram estes sedimentos deixados pelo caudal das grandes transformações históricas que o fascismo português apresentava como cenário de todo o país. </w:t>
      </w:r>
    </w:p>
    <w:p w:rsidR="00A61D4E" w:rsidRPr="006552C5" w:rsidRDefault="003F2C4A" w:rsidP="00A61D4E">
      <w:r w:rsidRPr="006552C5">
        <w:t>Percorrendo as aldeias escolhidas na selecção prévia, os membros do júri nacional, António Ferro, e a esposa poetisa, Fernanda de Castro, e Armando Leça, compositor nacionalista e dedicado pesquisador da música popular, e o inimitável Matos Sequeira, e outros ainda, sem esquecer a comitiva de jornalistas, assistentes técnicos, pintores, fotógrafos e cineastas, eram recebidos por uma população que cantava e dançava e trabalhava para eles verem, que rezava e fazia procissões, que lhes abria as portas das casas mais «típicas», que lhes oferecia lautamente de comer e beber, segundo cardápios «típicos» também, acontecendo mesmo num dos lugares que «um poeta pobre, cego e analfabeto versejou e filosofou, conseguindo muitas palmas e algumas dezenas de escudos»</w:t>
      </w:r>
      <w:r w:rsidRPr="006552C5">
        <w:rPr>
          <w:rStyle w:val="Refdenotaderodap"/>
        </w:rPr>
        <w:footnoteReference w:id="155"/>
      </w:r>
      <w:r w:rsidRPr="006552C5">
        <w:t xml:space="preserve"> </w:t>
      </w:r>
      <w:r>
        <w:t>—</w:t>
      </w:r>
      <w:r w:rsidRPr="006552C5">
        <w:t xml:space="preserve"> toda esta gente se esforçando, perante a assistência vinda de Lisboa, por ser actores do seu próprio papel. Depois de terem sido convertidos em cenário, eram levados a encenar-se a si mesmos, prisioneiros de uma dupla representação que durante um dia deixava a vida sem realidade. </w:t>
      </w:r>
      <w:r w:rsidR="00192247">
        <w:t xml:space="preserve">Numa ocasião </w:t>
      </w:r>
      <w:r w:rsidRPr="006552C5">
        <w:t xml:space="preserve">o </w:t>
      </w:r>
      <w:r w:rsidRPr="006552C5">
        <w:lastRenderedPageBreak/>
        <w:t xml:space="preserve">autocarro em que seguiam os membros </w:t>
      </w:r>
      <w:r>
        <w:t xml:space="preserve">do </w:t>
      </w:r>
      <w:r w:rsidR="00A61D4E" w:rsidRPr="006552C5">
        <w:t xml:space="preserve">júri nacional e o respectivo séquito «atolou-se num charco e só dali saiu com o auxílio de carros de bois», e o </w:t>
      </w:r>
      <w:r w:rsidR="002B56BD" w:rsidRPr="006552C5">
        <w:rPr>
          <w:i/>
        </w:rPr>
        <w:t>Diário da Manhã</w:t>
      </w:r>
      <w:r w:rsidR="002B56BD">
        <w:rPr>
          <w:i/>
        </w:rPr>
        <w:t>,</w:t>
      </w:r>
      <w:r w:rsidR="002B56BD" w:rsidRPr="006552C5">
        <w:t xml:space="preserve"> </w:t>
      </w:r>
      <w:r w:rsidR="002B56BD">
        <w:t xml:space="preserve">jornal </w:t>
      </w:r>
      <w:r w:rsidR="00A61D4E" w:rsidRPr="006552C5">
        <w:t>oficioso do salazarismo, ao dar a notícia, classificava aquele sucesso como «um acidente pitoresco»</w:t>
      </w:r>
      <w:r w:rsidR="00A61D4E" w:rsidRPr="006552C5">
        <w:rPr>
          <w:rStyle w:val="Refdenotaderodap"/>
        </w:rPr>
        <w:footnoteReference w:id="156"/>
      </w:r>
      <w:r w:rsidR="00A61D4E" w:rsidRPr="006552C5">
        <w:t>. Acidente simbólico também. Da aldeia de Monsanto, na Beira Baixa, que o júri finalmente seleccionou como «a mais portuguesa de Portugal», dizia o órgão jornalístico do regime que «o comércio baseia-se no processo arcaico da troca» e as gentes «fazem-se transportar no velho carro de bois»</w:t>
      </w:r>
      <w:r w:rsidR="00A61D4E" w:rsidRPr="006552C5">
        <w:rPr>
          <w:rStyle w:val="Refdenotaderodap"/>
        </w:rPr>
        <w:footnoteReference w:id="157"/>
      </w:r>
      <w:r w:rsidR="00A61D4E" w:rsidRPr="006552C5">
        <w:t xml:space="preserve">. Quando ganhou a competição da miséria, Monsanto recebeu como prémio um galo de prata, para colocar no topo do campanário, lá bem alto, a rir-se </w:t>
      </w:r>
      <w:r w:rsidR="00591C06">
        <w:t>do</w:t>
      </w:r>
      <w:r w:rsidR="00A61D4E" w:rsidRPr="006552C5">
        <w:t xml:space="preserve"> </w:t>
      </w:r>
      <w:r w:rsidR="00591C06">
        <w:t>povo</w:t>
      </w:r>
      <w:r w:rsidR="00A61D4E" w:rsidRPr="006552C5">
        <w:t xml:space="preserve"> cá em baixo. Pena era, para quem puxava os cordelinhos do espectáculo, que a festa durasse tão pouco, e alguns anos depois uma publicação do Secretariado Nacional de Informação e Cultura Popular, continuador do Secretariado da Propaganda Nacional, afirm</w:t>
      </w:r>
      <w:r w:rsidR="00A61D4E">
        <w:t>ou</w:t>
      </w:r>
      <w:r w:rsidR="00A61D4E" w:rsidRPr="006552C5">
        <w:t xml:space="preserve"> que «o necessário, o verdadeiramente belo seria transformar Portugal rústico numa constante exposição viva de arte popular»</w:t>
      </w:r>
      <w:r w:rsidR="00A61D4E" w:rsidRPr="006552C5">
        <w:rPr>
          <w:rStyle w:val="Refdenotaderodap"/>
        </w:rPr>
        <w:footnoteReference w:id="158"/>
      </w:r>
      <w:r w:rsidR="00A61D4E" w:rsidRPr="006552C5">
        <w:t xml:space="preserve">. Era este mesmo o objectivo último de qualquer fascismo, converter todo o povo em </w:t>
      </w:r>
      <w:r w:rsidR="00576D0F">
        <w:t>figurantes</w:t>
      </w:r>
      <w:r w:rsidR="00A61D4E" w:rsidRPr="006552C5">
        <w:t xml:space="preserve">, o país numa «constante exposição viva». </w:t>
      </w:r>
    </w:p>
    <w:p w:rsidR="00A61D4E" w:rsidRPr="006552C5" w:rsidRDefault="00A61D4E" w:rsidP="00A61D4E">
      <w:r w:rsidRPr="006552C5">
        <w:t>Começaram a erguer-se em Portugal estranhos recintos de diversões, onde os entretenimentos habituais se misturavam com reconstruções de ruas de outrora, ficando a história reduzida a um tema de folguedos e retirando-se qualquer critério à passagem do tempo. Salazar seguia com uma atenção minuciosa a preparação das marchas populares, dos desfiles históricos, dos torneios medievais, de que encarregava</w:t>
      </w:r>
      <w:r w:rsidR="007E07EC">
        <w:t>m</w:t>
      </w:r>
      <w:r w:rsidRPr="006552C5">
        <w:t xml:space="preserve"> Matos Sequeira ou o cineasta Leitão de Barros ou outras boas-vontades disponíveis. Eram celebrações e cortejos sem epopeia nem monumentalidade, de uma pequenez pífia, com uma encenação inspirada pelas festas religiosas da província, em que os figurantes mascarados se apresentavam da mesma maneira grotesca que os anjinhos das procissões, numa transposição para o plano artístico daquela tacanhez ordeira que caracterizava politicamente o salazarismo. Se o fascismo resultou da estetização da política, o fascismo português encontrou o seu modelo nas romarias. </w:t>
      </w:r>
    </w:p>
    <w:p w:rsidR="00A61D4E" w:rsidRPr="006552C5" w:rsidRDefault="00A61D4E" w:rsidP="00A61D4E">
      <w:r w:rsidRPr="006552C5">
        <w:t xml:space="preserve">Menos de um ano após ter sido escolhida como «a mais portuguesa» uma aldeia onde o comércio era uma novidade e o passo dos bovinos marcava o ritmo dos transportes, as tropas do </w:t>
      </w:r>
      <w:r>
        <w:t xml:space="preserve">Terceiro </w:t>
      </w:r>
      <w:r w:rsidRPr="006552C5">
        <w:t>Reich invadi</w:t>
      </w:r>
      <w:r w:rsidR="007E07EC">
        <w:t>r</w:t>
      </w:r>
      <w:r w:rsidRPr="006552C5">
        <w:t>am a Polónia e, graças a uma conjugação de operações aéreas com velozes colunas de blindados, inaugura</w:t>
      </w:r>
      <w:r w:rsidR="009B28B1">
        <w:t>r</w:t>
      </w:r>
      <w:r w:rsidRPr="006552C5">
        <w:t xml:space="preserve">am um tipo novo de guerra, a guerra relâmpago, e </w:t>
      </w:r>
      <w:r w:rsidR="009B28B1">
        <w:t>deram</w:t>
      </w:r>
      <w:r w:rsidRPr="006552C5">
        <w:t xml:space="preserve"> início ao conflito mundial. Imperturbável, o salazarismo comemor</w:t>
      </w:r>
      <w:r w:rsidR="009B28B1">
        <w:t>ou</w:t>
      </w:r>
      <w:r w:rsidRPr="006552C5">
        <w:t xml:space="preserve"> </w:t>
      </w:r>
      <w:r>
        <w:t xml:space="preserve">ao longo de </w:t>
      </w:r>
      <w:r w:rsidRPr="006552C5">
        <w:t xml:space="preserve">1940 as glórias da primeira e da segunda independência </w:t>
      </w:r>
      <w:r w:rsidR="008E4B40">
        <w:t>do seu país</w:t>
      </w:r>
      <w:r w:rsidRPr="006552C5">
        <w:t xml:space="preserve">, e passando entre alas de </w:t>
      </w:r>
      <w:r w:rsidRPr="006552C5">
        <w:lastRenderedPageBreak/>
        <w:t>charameleiros e sujeitos fantasiados de guerreiros medievais, acompanhados por bandeiras e pendões que há muitos séculos não eram usados, se é que alguma vez o haviam sido, os chefes políticos e os dignitários eclesiásticos entreti</w:t>
      </w:r>
      <w:r w:rsidR="009B28B1">
        <w:t>ver</w:t>
      </w:r>
      <w:r w:rsidRPr="006552C5">
        <w:t xml:space="preserve">am-se a encenar as suas visões de outros tempos e outros lugares. Que assombroso espectáculo devia ter oferecido, na cauda de uma Europa convulsionada, aquele país por onde se precipitavam </w:t>
      </w:r>
      <w:r>
        <w:t>dezenas</w:t>
      </w:r>
      <w:r w:rsidRPr="006552C5">
        <w:t xml:space="preserve"> de milhares de foragidos buscando um asilo precário e, na melhor das hipóteses, uma passagem para as Américas</w:t>
      </w:r>
      <w:r>
        <w:rPr>
          <w:rStyle w:val="Refdenotaderodap"/>
        </w:rPr>
        <w:footnoteReference w:id="159"/>
      </w:r>
      <w:r w:rsidRPr="006552C5">
        <w:t>! Não sou eu quem fala, não vi nada, deixo expandir-se um entusiasta que di</w:t>
      </w:r>
      <w:r w:rsidR="009B28B1">
        <w:t>sse</w:t>
      </w:r>
      <w:r w:rsidRPr="006552C5">
        <w:t xml:space="preserve"> sucederem-se «de norte a sul, os cortejos folclóricos, os carros triunfais, as atracções populares, os desfiles de ranchos regionais, as danças típicas, as festas do Espírito Santo com mulheres de capote à moda dos Açores, os foliões com bandeiras e ferrinhos, os carros alentejanos, os quicos de Montegordo, os broncos de Olhão, os dragões macaístas, os campinos do Ribatejo, os pescadores da Nazaré, os carros de bois da Madeira, os fulas da Guiné, guerreiros nativos de Angola e Moçambique de mistura com os ceifeiros de São Romão e as tricanas de Ílhavo, e os pauliteiros de Miranda, e os Zés-Pereiras do Minho </w:t>
      </w:r>
      <w:r w:rsidR="00360118">
        <w:t>—</w:t>
      </w:r>
      <w:r w:rsidRPr="006552C5">
        <w:t xml:space="preserve"> ao mesmo tempo que Lisboa admira e se diverte com a embaixada de D. Manuel I ao Papa, com Tristão da Cunha e o seu secretário Garcia de Rezende, rodeados de figurantes, truões, charameleiros e caçadores de Ormuz»</w:t>
      </w:r>
      <w:r w:rsidRPr="006552C5">
        <w:rPr>
          <w:rStyle w:val="Refdenotaderodap"/>
        </w:rPr>
        <w:footnoteReference w:id="160"/>
      </w:r>
      <w:r w:rsidRPr="006552C5">
        <w:t xml:space="preserve">. </w:t>
      </w:r>
      <w:r>
        <w:t>Será que, quando apareciam entre alas de mascarados, o presidente da República e o presidente do Conselho e o cardeal-patriarca se apresentavam a eles mesmos ou representavam os monarcas, validos e prelados de outros séculos? No campo da batalha de Ourique, comemorando essa data mítica da fundação do reino, «soldados de Mousinho e de Roçadas, sobreviventes do “Augusto de Castilho” e da Flandres, içam em dez mastros de honra as bandeiras nacional e da Fundação, de D. Afonso I, de D. João I, da Ordem de Cristo, de D. Manuel, de D. João IV, da Guerra Peninsular, das Campanhas da Ocupação Africana e da Grande Guerra»</w:t>
      </w:r>
      <w:r>
        <w:rPr>
          <w:rStyle w:val="Refdenotaderodap"/>
        </w:rPr>
        <w:footnoteReference w:id="161"/>
      </w:r>
      <w:r>
        <w:t xml:space="preserve">. Realidade e encenação confundiam-se. </w:t>
      </w:r>
      <w:r w:rsidRPr="006552C5">
        <w:t xml:space="preserve">Enquanto fenómeno estético, o salazarismo confirmou uma vez mais a íntima ligação do fascismo à cultura burguesa. Mas neste carnaval histórico e geográfico as duas características da arte romântica, o revivalismo e o exotismo, foram levadas a um extremo inusitado e tudo se misturava numa vertigem que deixava sem sentido as cronologias e as bússolas. </w:t>
      </w:r>
    </w:p>
    <w:p w:rsidR="00A61D4E" w:rsidRPr="006552C5" w:rsidRDefault="002B56BD" w:rsidP="00A61D4E">
      <w:r>
        <w:t xml:space="preserve">Custa a crer, mas </w:t>
      </w:r>
      <w:r w:rsidRPr="00513C41">
        <w:t xml:space="preserve">só </w:t>
      </w:r>
      <w:r w:rsidR="00A61D4E" w:rsidRPr="00513C41">
        <w:t xml:space="preserve">a partir do Inverno de 1942-1943 as informações acerca das campanhas militares chegaram à primeira página do </w:t>
      </w:r>
      <w:r w:rsidR="00A61D4E" w:rsidRPr="00513C41">
        <w:rPr>
          <w:i/>
        </w:rPr>
        <w:t>Diário de Notícias</w:t>
      </w:r>
      <w:r w:rsidR="00A61D4E">
        <w:rPr>
          <w:i/>
        </w:rPr>
        <w:t>,</w:t>
      </w:r>
      <w:r w:rsidR="00A61D4E" w:rsidRPr="00513C41">
        <w:t xml:space="preserve"> </w:t>
      </w:r>
      <w:r w:rsidR="00A61D4E">
        <w:t xml:space="preserve">o principal jornal </w:t>
      </w:r>
      <w:r w:rsidR="00A61D4E">
        <w:lastRenderedPageBreak/>
        <w:t>português</w:t>
      </w:r>
      <w:r w:rsidR="00A61D4E">
        <w:rPr>
          <w:rStyle w:val="Refdenotaderodap"/>
        </w:rPr>
        <w:footnoteReference w:id="162"/>
      </w:r>
      <w:r w:rsidR="00A61D4E">
        <w:t xml:space="preserve">. </w:t>
      </w:r>
      <w:r w:rsidR="00A61D4E" w:rsidRPr="006552C5">
        <w:t>E que dizer ao lermos que na noite de 29 para 30 de Maio de 1943, quando a guerra se tinha aproximado perigosamente da península ibérica, «por castelos e monumentos históricos, filiados da Mocidade Portuguesa passaram uma noite de velada de armas, bradando a intervalos: “Alerta? Alerta está!”»</w:t>
      </w:r>
      <w:r w:rsidR="00A61D4E" w:rsidRPr="006552C5">
        <w:rPr>
          <w:rStyle w:val="Refdenotaderodap"/>
        </w:rPr>
        <w:footnoteReference w:id="163"/>
      </w:r>
      <w:r w:rsidR="00A61D4E" w:rsidRPr="006552C5">
        <w:t xml:space="preserve">? Não se tratava de treinar a juventude no manejo das armas nem de mentalizar a população para a conveniência de defender os centros urbanos, as vias de comunicação, as maiores unidades fabris, mas de povoar mosteiros e fortalezas em ruínas com meninos de calções caqui e um </w:t>
      </w:r>
      <w:r w:rsidR="00A61D4E" w:rsidRPr="006552C5">
        <w:rPr>
          <w:i/>
        </w:rPr>
        <w:t>S</w:t>
      </w:r>
      <w:r w:rsidR="00A61D4E" w:rsidRPr="006552C5">
        <w:t xml:space="preserve"> no cinto e de os fazer lançar noite fora gritos serôdios, como imaturos fantasmas desolados. Esta enorme brincadeira teve uma intenção muito séria, a de converter a guerra moderna em mais um pretexto para alimentar sonhos brumosos. Ao longo do conflito mundial a neutralidade portuguesa esteve sujeita a ameaças </w:t>
      </w:r>
      <w:r w:rsidR="003E2815">
        <w:t>frequentes</w:t>
      </w:r>
      <w:r w:rsidR="00A61D4E" w:rsidRPr="006552C5">
        <w:t xml:space="preserve">, correndo-se o risco de as tropas do Eixo invadirem o país através da fronteira espanhola ou de a marinha aliada tomar as ilhas atlânticas. Salazar dedicou o melhor dos seus esforços no Ministério dos Negócios Estrangeiros a singrar entre dificuldades, e fê-lo com mestria e alcançando os resultados que desejava. Mas esta política das realidades vestia trajos carnavalescos logo que se tratava de mobilizar as massas populares, e desde o começo até o fim a guerra mundial foi oficialmente acompanhada por um </w:t>
      </w:r>
      <w:r w:rsidR="00A61D4E" w:rsidRPr="006552C5">
        <w:rPr>
          <w:i/>
        </w:rPr>
        <w:t>pot-pourri</w:t>
      </w:r>
      <w:r w:rsidR="00A61D4E" w:rsidRPr="006552C5">
        <w:t xml:space="preserve"> de memórias históricas nacionais. A vida quotidiana da população trabalhadora era cada vez mais difícil e por detrás do cenário, apesar da vigilância policial acrescida e de uma repressão que atingia grande ferocidade e inaugurava formas novas de intimidação, houve greves nas fábricas e nos transportes, greves e motins nos campos de norte a sul, manifestações contra a escassez dos alimentos e o aumento do preço de bens essenciais, assaltos a lojas</w:t>
      </w:r>
      <w:r w:rsidR="00A61D4E" w:rsidRPr="006552C5">
        <w:rPr>
          <w:rStyle w:val="Refdenotaderodap"/>
        </w:rPr>
        <w:footnoteReference w:id="164"/>
      </w:r>
      <w:r w:rsidR="00A61D4E" w:rsidRPr="006552C5">
        <w:t xml:space="preserve">. Mas Salazar não atribuía a nada disto qualquer significado especial. Para ele, o grande mérito do Estado Novo consistia em dar a Portugal a oportunidade de regressar mentalmente a um passado mítico em que residiriam todas as grandezas. «Alerta? Alerta está!». </w:t>
      </w:r>
    </w:p>
    <w:p w:rsidR="00A61D4E" w:rsidRPr="006552C5" w:rsidRDefault="00A61D4E" w:rsidP="00A61D4E">
      <w:r w:rsidRPr="006552C5">
        <w:t>Aquele delírio assumiu uma forma estável, em «gesso e papelão»</w:t>
      </w:r>
      <w:r w:rsidRPr="006552C5">
        <w:rPr>
          <w:rStyle w:val="Refdenotaderodap"/>
        </w:rPr>
        <w:footnoteReference w:id="165"/>
      </w:r>
      <w:r w:rsidRPr="006552C5">
        <w:t xml:space="preserve">, na Grande Exposição Histórica do Mundo Português, uma colossal encenação inaugurada no prolixo ano de 1940, que forneceu ao salazarismo a oportunidade de entusiasmos nunca antes estimulados e que não conseguiram renovar-se depois. Qualquer cenário é ao mesmo tempo um biombo, cobrindo, com aquilo que apresenta, tudo o que não deixa ver. E era impossível que uma encenação se destinasse mais deliberadamente a mistificar o presente. Na época em que o quotidiano assumia uma implacável urgência, os pavilhões da Exposição do Mundo Português </w:t>
      </w:r>
      <w:r w:rsidRPr="006552C5">
        <w:lastRenderedPageBreak/>
        <w:t>apresentavam aos visitantes um passado obsessivo, destinado a servir de única justificação ao país do Estado Novo. Não se tratava de enaltecer simplesmente o passado, mas procedia-se a uma operação mais subtil, apresentando-se o passado como o elemento central do presente, e mesmo como o seu único elemento meritório. Esta função paradoxal de enaltecer o presente em termos exclusivamente ditados pelo passado, que pode definir o ideário artístico do Secretariado da Propaganda Nacional, conferiu-lhe uma ambiguidade estilística. Um historiador express</w:t>
      </w:r>
      <w:r>
        <w:t>ou</w:t>
      </w:r>
      <w:r w:rsidRPr="006552C5">
        <w:t xml:space="preserve"> a contradição escrevendo que se procurava «casar o modernismo estético com os valores ruralistas e conservadores do discurso oficial»</w:t>
      </w:r>
      <w:r w:rsidRPr="006552C5">
        <w:rPr>
          <w:rStyle w:val="Refdenotaderodap"/>
        </w:rPr>
        <w:footnoteReference w:id="166"/>
      </w:r>
      <w:r w:rsidRPr="006552C5">
        <w:t>, o que lev</w:t>
      </w:r>
      <w:r>
        <w:t>ou</w:t>
      </w:r>
      <w:r w:rsidRPr="006552C5">
        <w:t xml:space="preserve"> dois arquitectos a caracterizarem a Exposição do Mundo Português como o «laboratório máximo da adulteração da linguagem modernista»</w:t>
      </w:r>
      <w:r w:rsidRPr="006552C5">
        <w:rPr>
          <w:rStyle w:val="Refdenotaderodap"/>
        </w:rPr>
        <w:footnoteReference w:id="167"/>
      </w:r>
      <w:r w:rsidRPr="006552C5">
        <w:t xml:space="preserve">. </w:t>
      </w:r>
    </w:p>
    <w:p w:rsidR="00A61D4E" w:rsidRPr="006552C5" w:rsidRDefault="00A61D4E" w:rsidP="00A61D4E">
      <w:r w:rsidRPr="006552C5">
        <w:t>Igual adulteração ocorreu no recinto desportivo inaugurado em 1944, a 10 de Junho, Dia da Raça. Num regime em que a referência à nação era o supremo critério, o lugar cimeiro ocupado por este campo de futebol na hierarquia política explica a sua designação de Estádio Nacional, tanto mais que para o servir foi usada a única auto-estrada então existente. «[...] a inauguração do Estádio ultrapassa os limites de uma simples festa desportiva, para atingir um significado mais alto e mais profundo», declarou António Ferro, que para o efeito acumulou com as suas funções de director do Secretariado da Propaganda Nacional as de presidente da Comissão Organizadora da Festa do Estádio Nacional. «A festa da inauguração do Estádio não é apenas [...] a grande festa do Desporto Nacional, mas, acima de tudo, a apoteose do Portugal Novo, a confiança no dia de hoje e a certeza do dia de amanhã»</w:t>
      </w:r>
      <w:r w:rsidRPr="006552C5">
        <w:rPr>
          <w:rStyle w:val="Refdenotaderodap"/>
        </w:rPr>
        <w:footnoteReference w:id="168"/>
      </w:r>
      <w:r w:rsidRPr="006552C5">
        <w:t xml:space="preserve">. Se o desporto se apresentava como directamente político, um jornal desportivo daquela época obedecia a uma lógica rigorosamente silogística ao declarar: «O primeiro desportista de Portugal </w:t>
      </w:r>
      <w:r>
        <w:t>—</w:t>
      </w:r>
      <w:r w:rsidRPr="006552C5">
        <w:t xml:space="preserve"> é Salazar»</w:t>
      </w:r>
      <w:r w:rsidRPr="006552C5">
        <w:rPr>
          <w:rStyle w:val="Refdenotaderodap"/>
        </w:rPr>
        <w:footnoteReference w:id="169"/>
      </w:r>
      <w:r w:rsidRPr="006552C5">
        <w:t>. A mesma encenação arquitectónica, com os mesmos elementos estilísticos, colunas rigorosas e despidas de ornamentos, desdobrava-se na esplanada de Nuremberga e no vale do Jamor, tratando-se em ambos os casos de formas estéticas que haviam encontrado justificação no funcionalismo, e que na arquitectura de aparato fascista se viram remetidas a um efeito meramente decorativo e, portanto, antifuncional. Um erudito observ</w:t>
      </w:r>
      <w:r>
        <w:t>ou</w:t>
      </w:r>
      <w:r w:rsidRPr="006552C5">
        <w:t xml:space="preserve"> no pavilhão central do estádio «uma inteira expressão ariana»</w:t>
      </w:r>
      <w:r w:rsidRPr="006552C5">
        <w:rPr>
          <w:rStyle w:val="Refdenotaderodap"/>
        </w:rPr>
        <w:footnoteReference w:id="170"/>
      </w:r>
      <w:r w:rsidRPr="006552C5">
        <w:t xml:space="preserve">. Mas esta afinidade artística entre o </w:t>
      </w:r>
      <w:r w:rsidR="001A13C6">
        <w:t>nacional-socialismo</w:t>
      </w:r>
      <w:r w:rsidRPr="006552C5">
        <w:t xml:space="preserve"> e o salazarismo manifestou-se num duplo contraste, de forma e de função. A tacanhez do epígone revela-se ao confrontarmos as duas dezenas de colunas</w:t>
      </w:r>
      <w:r w:rsidR="000C1AAA">
        <w:t>,</w:t>
      </w:r>
      <w:r w:rsidRPr="006552C5">
        <w:t xml:space="preserve"> que no traçado </w:t>
      </w:r>
      <w:r w:rsidRPr="006552C5">
        <w:lastRenderedPageBreak/>
        <w:t>de Miguel Jacobetty Rosa sobrepujam as bancadas e dão o ritmo ao recinto</w:t>
      </w:r>
      <w:r w:rsidR="000C1AAA">
        <w:t>,</w:t>
      </w:r>
      <w:r w:rsidRPr="006552C5">
        <w:t xml:space="preserve"> com a interminável colunata desenhada por Albert Speer, onde a pureza das linhas perdia toda a sobriedade na sua repetição desmesurada. E devemos reflectir que a encenação que num país acolhia os discursos do Führer e as evoluções das suas milícias se destinava no outro país a servir de pano de fundo a não sei quantos jogadores à cata de uma bola. Através desta comparação podemos compreender o que havia de diferente e o que havia de comum entre o Reich hitleriano e o Estado Novo de Salazar. </w:t>
      </w:r>
    </w:p>
    <w:p w:rsidR="00A61D4E" w:rsidRPr="006552C5" w:rsidRDefault="00A61D4E" w:rsidP="00A61D4E">
      <w:r w:rsidRPr="006552C5">
        <w:t>O fascismo português começou a encenação pública da guerra com uma Idade Média carnavalesca e terminou-a com o futebol, deixando assim marcados na própria arquitectura aqueles que foram sempre os dois parâmetros culturais do regime. E o facto paradoxal de «o modernismo estético [ter sido] convocado a celebrar as excelências e os valores da “grei agrária” tradicional», nas palavras de um historiador</w:t>
      </w:r>
      <w:r w:rsidRPr="006552C5">
        <w:rPr>
          <w:rStyle w:val="Refdenotaderodap"/>
        </w:rPr>
        <w:footnoteReference w:id="171"/>
      </w:r>
      <w:r w:rsidRPr="006552C5">
        <w:t xml:space="preserve">, mostra que a própria ruptura com os padrões artísticos da burguesia, ainda que pudesse ser utilizada nos seus efeitos estilísticos, serviu ao fascismo apenas para conferir um verniz de actualidade à velha cultura burguesa. Ao se apresentar ele mesmo como estetização da política, o fascismo reduziu o modernismo a uma mera metáfora plástica. </w:t>
      </w:r>
    </w:p>
    <w:p w:rsidR="00A61D4E" w:rsidRPr="006552C5" w:rsidRDefault="00A61D4E" w:rsidP="0048053D">
      <w:pPr>
        <w:keepNext/>
        <w:spacing w:before="720" w:after="360"/>
        <w:ind w:firstLine="0"/>
        <w:jc w:val="center"/>
        <w:rPr>
          <w:b/>
          <w:sz w:val="28"/>
        </w:rPr>
      </w:pPr>
      <w:r w:rsidRPr="006552C5">
        <w:rPr>
          <w:b/>
          <w:sz w:val="28"/>
        </w:rPr>
        <w:t>5. Alemanha: «Sou um artista, não um político»</w:t>
      </w:r>
    </w:p>
    <w:p w:rsidR="00A61D4E" w:rsidRDefault="00A61D4E" w:rsidP="00A61D4E">
      <w:r w:rsidRPr="006552C5">
        <w:t xml:space="preserve">A actividade do grande estadista e do grande chefe militar, afirmou Hitler em </w:t>
      </w:r>
      <w:r w:rsidRPr="006552C5">
        <w:rPr>
          <w:i/>
        </w:rPr>
        <w:t>Mein Kampf,</w:t>
      </w:r>
      <w:r w:rsidRPr="006552C5">
        <w:t xml:space="preserve"> «reside sempre na esfera da arte», não menos do que a do grande pintor ou do grande poeta</w:t>
      </w:r>
      <w:r w:rsidRPr="006552C5">
        <w:rPr>
          <w:rStyle w:val="Refdenotaderodap"/>
        </w:rPr>
        <w:footnoteReference w:id="172"/>
      </w:r>
      <w:r w:rsidRPr="006552C5">
        <w:t xml:space="preserve">. Já nos primeiros anos do século XIX Adam Müller, um dos </w:t>
      </w:r>
      <w:r w:rsidR="002C32C3">
        <w:t>filósofos</w:t>
      </w:r>
      <w:r w:rsidRPr="006552C5">
        <w:t xml:space="preserve"> românticos que de mais perto antecipou </w:t>
      </w:r>
      <w:r w:rsidR="002C32C3">
        <w:t>alguns</w:t>
      </w:r>
      <w:r w:rsidRPr="006552C5">
        <w:t xml:space="preserve"> aspectos do </w:t>
      </w:r>
      <w:r w:rsidR="002C32C3">
        <w:t xml:space="preserve">pensamento </w:t>
      </w:r>
      <w:r w:rsidRPr="006552C5">
        <w:t>nacional-socialis</w:t>
      </w:r>
      <w:r w:rsidR="002C32C3">
        <w:t>ta</w:t>
      </w:r>
      <w:r w:rsidRPr="006552C5">
        <w:t>, considerara a política como a principal das artes, necessária para ultrapassar a permanente dualidade interna do Estado e resolver a oposição entre a razão e a imaginação</w:t>
      </w:r>
      <w:r w:rsidRPr="006552C5">
        <w:rPr>
          <w:rStyle w:val="Refdenotaderodap"/>
        </w:rPr>
        <w:footnoteReference w:id="173"/>
      </w:r>
      <w:r w:rsidRPr="006552C5">
        <w:t xml:space="preserve">. </w:t>
      </w:r>
      <w:r>
        <w:t xml:space="preserve">Também Nietzsche, </w:t>
      </w:r>
      <w:r w:rsidR="002C32C3">
        <w:t xml:space="preserve">incluído entre </w:t>
      </w:r>
      <w:r>
        <w:t xml:space="preserve">os quatro inspiradores do </w:t>
      </w:r>
      <w:r w:rsidR="002C32C3">
        <w:t>regime</w:t>
      </w:r>
      <w:r>
        <w:t>, evocara num dos seus escritos póstumos «um tipo de homens superiores que, graças ao ascendente conferido pela vontade, pelo saber, pela riqueza e pela influência, possam servir-se da Europa democrática como um instrumento dócil e manejável, para ter nas mãos os destinos do mundo, para cinzelar o homem como “artistas”»</w:t>
      </w:r>
      <w:r>
        <w:rPr>
          <w:rStyle w:val="Refdenotaderodap"/>
        </w:rPr>
        <w:footnoteReference w:id="174"/>
      </w:r>
      <w:r>
        <w:t xml:space="preserve">. </w:t>
      </w:r>
      <w:r w:rsidR="00E866D9">
        <w:t xml:space="preserve">Wagner, outro dos precursores oficiais do nacional-socialismo, considerara </w:t>
      </w:r>
      <w:r w:rsidR="004232A1">
        <w:t>igualmente</w:t>
      </w:r>
      <w:r w:rsidR="00E866D9">
        <w:t xml:space="preserve"> que o Estado </w:t>
      </w:r>
      <w:r w:rsidR="00E866D9">
        <w:lastRenderedPageBreak/>
        <w:t>devia ser elevado ao plano da obra de arte e para isso a política devia ser renovada pela estética</w:t>
      </w:r>
      <w:r w:rsidR="00E866D9">
        <w:rPr>
          <w:rStyle w:val="Refdenotaderodap"/>
        </w:rPr>
        <w:footnoteReference w:id="175"/>
      </w:r>
      <w:r w:rsidR="00E866D9">
        <w:t xml:space="preserve">. </w:t>
      </w:r>
      <w:r>
        <w:t xml:space="preserve">E outro dos </w:t>
      </w:r>
      <w:r w:rsidR="00E866D9">
        <w:t>profetas</w:t>
      </w:r>
      <w:r>
        <w:t xml:space="preserve">, </w:t>
      </w:r>
      <w:r w:rsidRPr="006552C5">
        <w:t xml:space="preserve">Houston Stewart Chamberlain, o ideólogo </w:t>
      </w:r>
      <w:r>
        <w:t>dos delírios raciais</w:t>
      </w:r>
      <w:r w:rsidRPr="006552C5">
        <w:t>, escreve</w:t>
      </w:r>
      <w:r w:rsidR="002C32C3">
        <w:t>ra</w:t>
      </w:r>
      <w:r w:rsidRPr="006552C5">
        <w:t xml:space="preserve"> no termo do século XIX que «constatámos entre os germanos a afinidade entre o construtor de um Estado e o artista [...]»</w:t>
      </w:r>
      <w:r w:rsidRPr="006552C5">
        <w:rPr>
          <w:rStyle w:val="Refdenotaderodap"/>
        </w:rPr>
        <w:footnoteReference w:id="176"/>
      </w:r>
      <w:r w:rsidRPr="006552C5">
        <w:t>. Este tema da política enquanto estética foi um dos mais versados no discurso de Hitler, record</w:t>
      </w:r>
      <w:r>
        <w:t>ou</w:t>
      </w:r>
      <w:r w:rsidRPr="006552C5">
        <w:t xml:space="preserve"> uma historiadora</w:t>
      </w:r>
      <w:r w:rsidR="004D0B17">
        <w:t>:</w:t>
      </w:r>
      <w:r w:rsidRPr="006552C5">
        <w:t xml:space="preserve"> «[...] como explicava no congresso do partido em 1936, [...] tanto a arte como o Estado são produtos de uma força criadora, que ele denominava de vários modos: “vontade autoritária” ou ainda “capacidade política de criar formas”. Da vontade política derivam tanto a forma do Estado como as formas da arte, desde que exista, como condição fundamental, um povo unificado ou uma nação. Segundo Hitler, os intérpretes das forças criadoras são, por um lado, o artista e, por outro, o político. É sintomático que ele se refira a ambos com termos praticamente permutáveis»</w:t>
      </w:r>
      <w:r w:rsidRPr="006552C5">
        <w:rPr>
          <w:rStyle w:val="Refdenotaderodap"/>
        </w:rPr>
        <w:footnoteReference w:id="177"/>
      </w:r>
      <w:r w:rsidRPr="006552C5">
        <w:t xml:space="preserve">. De maneira simétrica, </w:t>
      </w:r>
      <w:r w:rsidR="00EE40E2">
        <w:t xml:space="preserve">Alfred </w:t>
      </w:r>
      <w:r w:rsidRPr="006552C5">
        <w:t>Rosenberg escrev</w:t>
      </w:r>
      <w:r>
        <w:t>eu</w:t>
      </w:r>
      <w:r w:rsidRPr="006552C5">
        <w:t xml:space="preserve"> que «a arte germânica é acção, quer dizer, a vontade que recebeu uma forma»</w:t>
      </w:r>
      <w:r w:rsidRPr="006552C5">
        <w:rPr>
          <w:rStyle w:val="Refdenotaderodap"/>
        </w:rPr>
        <w:footnoteReference w:id="178"/>
      </w:r>
      <w:r w:rsidRPr="006552C5">
        <w:t>. A política e a arte eram definidas de modo similar. Em ambas, se o espírito, enquanto vontade e poder, era criador, bastava a palavra para que surgisse a matéria, e assim o esteticismo fascista, que na verdade foi um idealismo absoluto, regressou às províncias nebulosas da magia</w:t>
      </w:r>
      <w:r w:rsidRPr="006552C5">
        <w:rPr>
          <w:rStyle w:val="Refdenotaderodap"/>
        </w:rPr>
        <w:footnoteReference w:id="179"/>
      </w:r>
      <w:r w:rsidRPr="006552C5">
        <w:t xml:space="preserve">. </w:t>
      </w:r>
    </w:p>
    <w:p w:rsidR="00FE7F67" w:rsidRDefault="00F63E2D" w:rsidP="00A61D4E">
      <w:r>
        <w:t xml:space="preserve">«Criaremos as condições prévias de uma arte orgânica produtora de vida», anunciou Rosenberg em </w:t>
      </w:r>
      <w:r w:rsidRPr="00F63E2D">
        <w:rPr>
          <w:i/>
        </w:rPr>
        <w:t>O Mito do Século XX</w:t>
      </w:r>
      <w:r>
        <w:t>. Serão «os dois milhões de heróis germânicos mortos» na primeira guerra mundial a gerar a nova arte, pois «chegou a hora do nascimento do poeta da guerra mundial». «Os monumentos aos mortos e os túmulos de heróis serão transformados por uma nova geração em lugares de romagem de uma nova religião, em que os corações germânicos sejam outra vez formados como novos e outra vez na perspectiva de um novo Mito. Então renascerá o mundo através da arte»</w:t>
      </w:r>
      <w:r>
        <w:rPr>
          <w:rStyle w:val="Refdenotaderodap"/>
        </w:rPr>
        <w:footnoteReference w:id="180"/>
      </w:r>
      <w:r>
        <w:t xml:space="preserve">. Talvez em nenhum </w:t>
      </w:r>
      <w:r w:rsidR="00250ADE">
        <w:t xml:space="preserve">outro </w:t>
      </w:r>
      <w:r>
        <w:t xml:space="preserve">fascismo a fusão da estética com </w:t>
      </w:r>
      <w:r w:rsidR="001F0838">
        <w:t xml:space="preserve">o mito tivesse sido tão íntima, mas em vez de nos esclarecer esta </w:t>
      </w:r>
      <w:r w:rsidR="007443D3">
        <w:t>constatação</w:t>
      </w:r>
      <w:r w:rsidR="001F0838">
        <w:t xml:space="preserve"> assinala o verdadeiro problema, porque </w:t>
      </w:r>
      <w:r w:rsidR="00146DFB">
        <w:t xml:space="preserve">a noção de mito era equívoca no nacional-socialismo. </w:t>
      </w:r>
    </w:p>
    <w:p w:rsidR="00912068" w:rsidRDefault="00912068" w:rsidP="00A61D4E">
      <w:r w:rsidRPr="00202F2D">
        <w:t xml:space="preserve">«Uma crença, um Mito, só é real quando se apodera </w:t>
      </w:r>
      <w:r>
        <w:t>do homem inteiro</w:t>
      </w:r>
      <w:r w:rsidR="00B130E6">
        <w:t>»</w:t>
      </w:r>
      <w:r w:rsidR="005A3F07">
        <w:t>, considerou Rosenberg. «</w:t>
      </w:r>
      <w:r w:rsidRPr="007C0F18">
        <w:t>É o Mito que tem de determinar o tipo do futuro Germano»</w:t>
      </w:r>
      <w:r>
        <w:rPr>
          <w:rStyle w:val="Refdenotaderodap"/>
        </w:rPr>
        <w:footnoteReference w:id="181"/>
      </w:r>
      <w:r w:rsidRPr="007C0F18">
        <w:t>.</w:t>
      </w:r>
      <w:r>
        <w:t xml:space="preserve"> </w:t>
      </w:r>
      <w:r w:rsidR="005A3F07">
        <w:t xml:space="preserve">Ora, a </w:t>
      </w:r>
      <w:r>
        <w:t xml:space="preserve">oscilação </w:t>
      </w:r>
      <w:r w:rsidR="00C3798F">
        <w:lastRenderedPageBreak/>
        <w:t xml:space="preserve">entre as duas </w:t>
      </w:r>
      <w:r>
        <w:t>traduç</w:t>
      </w:r>
      <w:r w:rsidR="00C3798F">
        <w:t xml:space="preserve">ões </w:t>
      </w:r>
      <w:r w:rsidR="005526E1">
        <w:t xml:space="preserve">que estou a consultar </w:t>
      </w:r>
      <w:r>
        <w:t xml:space="preserve">conduz-nos ao cerne do problema, porque </w:t>
      </w:r>
      <w:r w:rsidR="00C3798F">
        <w:t xml:space="preserve">na versão </w:t>
      </w:r>
      <w:r>
        <w:t>ingl</w:t>
      </w:r>
      <w:r w:rsidR="00C3798F">
        <w:t>esa</w:t>
      </w:r>
      <w:r>
        <w:t xml:space="preserve"> le</w:t>
      </w:r>
      <w:r w:rsidR="003F3513">
        <w:t>io</w:t>
      </w:r>
      <w:r>
        <w:t xml:space="preserve"> que o mito «só é real quando </w:t>
      </w:r>
      <w:r w:rsidRPr="00202F2D">
        <w:t xml:space="preserve">se apodera </w:t>
      </w:r>
      <w:r>
        <w:t xml:space="preserve">do homem inteiro», mas em francês está «só é verdadeiro». Que o mito se torne verdadeiro quando se torna real, fora essa a lição de Sorel e de Mussolini, ficando a verdade convertida na execução da vontade do chefe. </w:t>
      </w:r>
      <w:r w:rsidR="00C3798F">
        <w:t>Todavia,</w:t>
      </w:r>
      <w:r>
        <w:t xml:space="preserve"> se o mito for real antes de ser verdadeiro, então a vontade do chefe </w:t>
      </w:r>
      <w:r w:rsidR="005A3F07">
        <w:t>há-de desvenda</w:t>
      </w:r>
      <w:r w:rsidR="00712DB7">
        <w:t>r</w:t>
      </w:r>
      <w:r w:rsidR="005A3F07">
        <w:t xml:space="preserve"> antes de criar. </w:t>
      </w:r>
      <w:r>
        <w:t xml:space="preserve">Apesar de a noção de mito dar o título </w:t>
      </w:r>
      <w:r w:rsidR="00DB1DAF">
        <w:t xml:space="preserve">ao livro </w:t>
      </w:r>
      <w:r>
        <w:t>de Rosenberg, ela tem ali um estatuto ambíguo. Por um lado, o mito correspond</w:t>
      </w:r>
      <w:r w:rsidR="00DB1DAF">
        <w:t>ia</w:t>
      </w:r>
      <w:r>
        <w:t xml:space="preserve"> ao </w:t>
      </w:r>
      <w:r w:rsidR="001A4142">
        <w:t xml:space="preserve">âmago </w:t>
      </w:r>
      <w:r>
        <w:t>da realidade, a ponto de a história se</w:t>
      </w:r>
      <w:r w:rsidR="00DB1DAF">
        <w:t xml:space="preserve"> reduzir às </w:t>
      </w:r>
      <w:r>
        <w:t xml:space="preserve">diversas formas </w:t>
      </w:r>
      <w:r w:rsidR="00C3798F">
        <w:t xml:space="preserve">assumidas </w:t>
      </w:r>
      <w:r>
        <w:t>pelo mito numa raça</w:t>
      </w:r>
      <w:r>
        <w:rPr>
          <w:rStyle w:val="Refdenotaderodap"/>
        </w:rPr>
        <w:footnoteReference w:id="182"/>
      </w:r>
      <w:r>
        <w:t>. «Só o Mito e as suas formas são verdadeiramente vivos»</w:t>
      </w:r>
      <w:r>
        <w:rPr>
          <w:rStyle w:val="Refdenotaderodap"/>
        </w:rPr>
        <w:footnoteReference w:id="183"/>
      </w:r>
      <w:r>
        <w:t xml:space="preserve">. E se </w:t>
      </w:r>
      <w:r w:rsidRPr="008E0627">
        <w:t xml:space="preserve">o mito </w:t>
      </w:r>
      <w:r>
        <w:t>pod</w:t>
      </w:r>
      <w:r w:rsidR="00964F68">
        <w:t>ia</w:t>
      </w:r>
      <w:r>
        <w:t xml:space="preserve"> ser </w:t>
      </w:r>
      <w:r w:rsidRPr="008E0627">
        <w:t>definido como «a religião do sangue»</w:t>
      </w:r>
      <w:r>
        <w:rPr>
          <w:rStyle w:val="Refdenotaderodap"/>
          <w:lang w:val="en-US"/>
        </w:rPr>
        <w:footnoteReference w:id="184"/>
      </w:r>
      <w:r w:rsidRPr="008E0627">
        <w:t xml:space="preserve">, </w:t>
      </w:r>
      <w:r>
        <w:t xml:space="preserve">se «o Mito do sangue» </w:t>
      </w:r>
      <w:r w:rsidR="00964F68">
        <w:t>era</w:t>
      </w:r>
      <w:r>
        <w:t xml:space="preserve"> «a convicção de que defender o sangue é também defender a natureza divina do homem em geral»</w:t>
      </w:r>
      <w:r>
        <w:rPr>
          <w:rStyle w:val="Refdenotaderodap"/>
        </w:rPr>
        <w:footnoteReference w:id="185"/>
      </w:r>
      <w:r>
        <w:t xml:space="preserve">, então nada </w:t>
      </w:r>
      <w:r w:rsidR="00964F68">
        <w:t xml:space="preserve">haveria de </w:t>
      </w:r>
      <w:r>
        <w:t>mais fundamental, nem na esfera biológica nem na espiritual, do que esse mito confundido com a raça. Por outro lado, porém, o mito emana</w:t>
      </w:r>
      <w:r w:rsidR="00C9076D">
        <w:t>va</w:t>
      </w:r>
      <w:r>
        <w:t xml:space="preserve"> da vontade heróica, entendida como vontade criadora de realidade. «O novo Mito e a nova força criadora de tipos, que hoje lutam connosco para se exprimir, não podem absolutamente ser refutados. </w:t>
      </w:r>
      <w:r w:rsidRPr="00476193">
        <w:t>Abrem um caminho e criam factos»</w:t>
      </w:r>
      <w:r>
        <w:rPr>
          <w:rStyle w:val="Refdenotaderodap"/>
          <w:lang w:val="en-US"/>
        </w:rPr>
        <w:footnoteReference w:id="186"/>
      </w:r>
      <w:r w:rsidRPr="00476193">
        <w:t xml:space="preserve">. </w:t>
      </w:r>
      <w:r>
        <w:t xml:space="preserve">E foi depois de referir </w:t>
      </w:r>
      <w:r w:rsidRPr="00476193">
        <w:t>«uma vont</w:t>
      </w:r>
      <w:r>
        <w:t>a</w:t>
      </w:r>
      <w:r w:rsidRPr="00476193">
        <w:t xml:space="preserve">de </w:t>
      </w:r>
      <w:r>
        <w:t>resoluta</w:t>
      </w:r>
      <w:r w:rsidRPr="00476193">
        <w:t xml:space="preserve">, assente numa hierarquia de valores clara, </w:t>
      </w:r>
      <w:r>
        <w:t xml:space="preserve">aliada a </w:t>
      </w:r>
      <w:r w:rsidRPr="00476193">
        <w:t xml:space="preserve">uma força de </w:t>
      </w:r>
      <w:r>
        <w:t>percepção</w:t>
      </w:r>
      <w:r w:rsidRPr="00476193">
        <w:t xml:space="preserve"> orgânica</w:t>
      </w:r>
      <w:r>
        <w:t>»</w:t>
      </w:r>
      <w:r w:rsidRPr="00476193">
        <w:t>, consegui</w:t>
      </w:r>
      <w:r>
        <w:t xml:space="preserve">ndo «fazer valer as suas realizações em todos os domínios», que Rosenberg </w:t>
      </w:r>
      <w:r w:rsidR="006616B0">
        <w:t>acrescentou</w:t>
      </w:r>
      <w:r>
        <w:t>: «</w:t>
      </w:r>
      <w:r w:rsidRPr="00A34F61">
        <w:t>Esta síntese inapreensível das consciências individuais do povo, de uma comunidade enquanto todo, constitui o seu Mito»</w:t>
      </w:r>
      <w:r>
        <w:rPr>
          <w:rStyle w:val="Refdenotaderodap"/>
          <w:lang w:val="en-US"/>
        </w:rPr>
        <w:footnoteReference w:id="187"/>
      </w:r>
      <w:r w:rsidRPr="00A34F61">
        <w:t xml:space="preserve">. </w:t>
      </w:r>
      <w:r w:rsidRPr="00FE0FA7">
        <w:t xml:space="preserve">Nunca fica claro </w:t>
      </w:r>
      <w:r>
        <w:t xml:space="preserve">em </w:t>
      </w:r>
      <w:r w:rsidRPr="00441844">
        <w:rPr>
          <w:i/>
        </w:rPr>
        <w:t>O Mito do Século XX</w:t>
      </w:r>
      <w:r>
        <w:t xml:space="preserve"> </w:t>
      </w:r>
      <w:r w:rsidRPr="00FE0FA7">
        <w:t>se se trata</w:t>
      </w:r>
      <w:r w:rsidR="00A75036">
        <w:t>va</w:t>
      </w:r>
      <w:r w:rsidRPr="00FE0FA7">
        <w:t xml:space="preserve"> de inserir a raça num mi</w:t>
      </w:r>
      <w:r>
        <w:t>to já inscrito na realidade ou se se trata</w:t>
      </w:r>
      <w:r w:rsidR="00A75036">
        <w:t>va</w:t>
      </w:r>
      <w:r>
        <w:t xml:space="preserve"> de mobilizar a vontade da raça para imprimir o mito na realidade. </w:t>
      </w:r>
      <w:r w:rsidR="00A75036">
        <w:t xml:space="preserve">Percebemos a </w:t>
      </w:r>
      <w:r>
        <w:t xml:space="preserve">primeira alternativa </w:t>
      </w:r>
      <w:r w:rsidR="00A75036">
        <w:t xml:space="preserve">quando </w:t>
      </w:r>
      <w:r>
        <w:t>Rosenberg escreve</w:t>
      </w:r>
      <w:r w:rsidR="00A75036">
        <w:t>u</w:t>
      </w:r>
      <w:r>
        <w:t xml:space="preserve">: «Vivenciando o tipo, começando a reconhecer o Mito de toda a nossa história, </w:t>
      </w:r>
      <w:r w:rsidRPr="008E0627">
        <w:t>assistiremos ao nascimento do esp</w:t>
      </w:r>
      <w:r>
        <w:t>írito racial nórdico e ao reconhecimento íntimo dos seus supremos valores enquanto estrela polar de toda a nossa existência»</w:t>
      </w:r>
      <w:r>
        <w:rPr>
          <w:rStyle w:val="Refdenotaderodap"/>
        </w:rPr>
        <w:footnoteReference w:id="188"/>
      </w:r>
      <w:r>
        <w:t xml:space="preserve">. Mas foi a segunda alternativa que </w:t>
      </w:r>
      <w:r w:rsidR="00772094">
        <w:t xml:space="preserve">noutro passo </w:t>
      </w:r>
      <w:r>
        <w:t>inspirou Rosenberg</w:t>
      </w:r>
      <w:r w:rsidR="005526E1">
        <w:t>:</w:t>
      </w:r>
      <w:r>
        <w:t xml:space="preserve"> «Chegará um dia em que o povo </w:t>
      </w:r>
      <w:r w:rsidR="00B4359B">
        <w:t>prestará</w:t>
      </w:r>
      <w:r>
        <w:t xml:space="preserve"> homenagem aos seus grandes sonhadores por serem decididos homens de acção. </w:t>
      </w:r>
      <w:r w:rsidRPr="00A34F61">
        <w:t xml:space="preserve">Os </w:t>
      </w:r>
      <w:r w:rsidRPr="00A34F61">
        <w:lastRenderedPageBreak/>
        <w:t>sonhadores desenvolveram uma imagem, e dessas visões foi criado um objectivo de vida»</w:t>
      </w:r>
      <w:r>
        <w:rPr>
          <w:rStyle w:val="Refdenotaderodap"/>
          <w:lang w:val="en-US"/>
        </w:rPr>
        <w:footnoteReference w:id="189"/>
      </w:r>
      <w:r w:rsidRPr="00A34F61">
        <w:t xml:space="preserve">. </w:t>
      </w:r>
      <w:r w:rsidR="007F1A04">
        <w:t xml:space="preserve">A </w:t>
      </w:r>
      <w:r w:rsidRPr="00A34F61">
        <w:t>ambiguidade na localizaç</w:t>
      </w:r>
      <w:r>
        <w:t xml:space="preserve">ão do mito denota que o carácter paradoxal de uma revolta dentro da ordem foi sentido no fascismo germânico mais do que em qualquer outro, talvez porque neste caso a ordem não </w:t>
      </w:r>
      <w:r w:rsidR="001A4142">
        <w:t>fosse</w:t>
      </w:r>
      <w:r>
        <w:t xml:space="preserve"> tanto social como biológica ou, mais exactamente, residi</w:t>
      </w:r>
      <w:r w:rsidR="001A4142">
        <w:t>sse</w:t>
      </w:r>
      <w:r>
        <w:t xml:space="preserve"> </w:t>
      </w:r>
      <w:r w:rsidR="005526E1">
        <w:t xml:space="preserve">na transposição mística da </w:t>
      </w:r>
      <w:r>
        <w:t xml:space="preserve">biologia. </w:t>
      </w:r>
      <w:r w:rsidR="0055633C">
        <w:t>É nos termos deste dilema que devemos apreciar as insistentes declarações do Führer, apresenta</w:t>
      </w:r>
      <w:r w:rsidR="00FE31C0">
        <w:t>ndo-se na política como artista. Extrairia</w:t>
      </w:r>
      <w:r w:rsidR="0055633C">
        <w:t xml:space="preserve"> ele de uma inspiração íntima o molde com que haveria de formar a raça ou intuiria esse molde a partir da realidade atemporal da raça? </w:t>
      </w:r>
    </w:p>
    <w:p w:rsidR="00A61D4E" w:rsidRPr="006552C5" w:rsidRDefault="00A61D4E" w:rsidP="00A61D4E">
      <w:r w:rsidRPr="006552C5">
        <w:t>Hitler jamais deixou de se considerar um artista</w:t>
      </w:r>
      <w:r w:rsidRPr="006552C5">
        <w:rPr>
          <w:rStyle w:val="Refdenotaderodap"/>
        </w:rPr>
        <w:footnoteReference w:id="190"/>
      </w:r>
      <w:r w:rsidRPr="006552C5">
        <w:t>, como tal se comportando sempre, boémio e noctívago</w:t>
      </w:r>
      <w:r w:rsidRPr="006552C5">
        <w:rPr>
          <w:rStyle w:val="Refdenotaderodap"/>
        </w:rPr>
        <w:footnoteReference w:id="191"/>
      </w:r>
      <w:r w:rsidR="00147D13">
        <w:t>,</w:t>
      </w:r>
      <w:r w:rsidRPr="006552C5">
        <w:t xml:space="preserve"> </w:t>
      </w:r>
      <w:r w:rsidR="00323612">
        <w:t xml:space="preserve">poeta que se tornara homem de Estado, como o definiu um literato </w:t>
      </w:r>
      <w:r w:rsidR="00697FE3">
        <w:t>nacional-socialista</w:t>
      </w:r>
      <w:r w:rsidR="00323612">
        <w:rPr>
          <w:rStyle w:val="Refdenotaderodap"/>
        </w:rPr>
        <w:footnoteReference w:id="192"/>
      </w:r>
      <w:r w:rsidR="00323612">
        <w:t xml:space="preserve">. </w:t>
      </w:r>
      <w:r w:rsidR="00571D29">
        <w:t xml:space="preserve">Também o </w:t>
      </w:r>
      <w:r w:rsidR="00656672">
        <w:t xml:space="preserve">chefe do fascismo </w:t>
      </w:r>
      <w:r w:rsidR="0031254F">
        <w:t>valão</w:t>
      </w:r>
      <w:r w:rsidR="00656672">
        <w:t xml:space="preserve"> </w:t>
      </w:r>
      <w:r w:rsidR="00571D29">
        <w:t xml:space="preserve">lhe </w:t>
      </w:r>
      <w:r w:rsidR="00656672">
        <w:t>chamou «homem de Estado, estratega, poeta grandioso»</w:t>
      </w:r>
      <w:r w:rsidR="00E40F8D">
        <w:rPr>
          <w:rStyle w:val="Refdenotaderodap"/>
        </w:rPr>
        <w:footnoteReference w:id="193"/>
      </w:r>
      <w:r w:rsidR="00656672">
        <w:t xml:space="preserve"> e alguém que o conheceu de muito perto recordou que </w:t>
      </w:r>
      <w:r w:rsidR="00201B01" w:rsidRPr="006552C5">
        <w:t>«com o estilo do artista boémio, ele desprezava a disciplina no trabalho, não pretendendo nem conseguindo dedicar-se a um esforço regular»</w:t>
      </w:r>
      <w:r w:rsidR="00201B01" w:rsidRPr="006552C5">
        <w:rPr>
          <w:rStyle w:val="Refdenotaderodap"/>
        </w:rPr>
        <w:footnoteReference w:id="194"/>
      </w:r>
      <w:r w:rsidR="00201B01" w:rsidRPr="006552C5">
        <w:t xml:space="preserve">. </w:t>
      </w:r>
      <w:r w:rsidR="00C46E8C">
        <w:t>«Tenho a sorte de saber descansar»</w:t>
      </w:r>
      <w:r w:rsidR="00697FE3">
        <w:t xml:space="preserve">, confidenciou o Führer numa roda de íntimos em 1941. </w:t>
      </w:r>
      <w:r w:rsidR="00697FE3" w:rsidRPr="004A0A32">
        <w:rPr>
          <w:iCs/>
        </w:rPr>
        <w:t xml:space="preserve">«Quando voltar a paz», disse </w:t>
      </w:r>
      <w:r w:rsidR="00697FE3">
        <w:rPr>
          <w:iCs/>
        </w:rPr>
        <w:t>ele no ano seguinte</w:t>
      </w:r>
      <w:r w:rsidR="00697FE3" w:rsidRPr="004A0A32">
        <w:rPr>
          <w:iCs/>
        </w:rPr>
        <w:t>, «começarei por passar três meses sem fazer na</w:t>
      </w:r>
      <w:r w:rsidR="00697FE3">
        <w:rPr>
          <w:iCs/>
        </w:rPr>
        <w:t>da»</w:t>
      </w:r>
      <w:r w:rsidR="00C46E8C">
        <w:rPr>
          <w:rStyle w:val="Refdenotaderodap"/>
        </w:rPr>
        <w:footnoteReference w:id="195"/>
      </w:r>
      <w:r w:rsidR="00C46E8C">
        <w:t xml:space="preserve">. </w:t>
      </w:r>
      <w:r w:rsidRPr="006552C5">
        <w:t>Ainda que o que se conhe</w:t>
      </w:r>
      <w:r w:rsidR="00EB19A6">
        <w:t>ce</w:t>
      </w:r>
      <w:r w:rsidRPr="006552C5">
        <w:t xml:space="preserve"> da sua produção pictórica dos dias de miséria em Viena </w:t>
      </w:r>
      <w:r w:rsidR="0089482D">
        <w:t xml:space="preserve">e Munique </w:t>
      </w:r>
      <w:r w:rsidRPr="006552C5">
        <w:t>seja de baixíssima qualidade e o</w:t>
      </w:r>
      <w:r w:rsidR="006335DE">
        <w:t>s</w:t>
      </w:r>
      <w:r w:rsidRPr="006552C5">
        <w:t xml:space="preserve"> seus gostos deixem perplexo qualquer esteta</w:t>
      </w:r>
      <w:r w:rsidRPr="006552C5">
        <w:rPr>
          <w:rStyle w:val="Refdenotaderodap"/>
        </w:rPr>
        <w:footnoteReference w:id="196"/>
      </w:r>
      <w:r w:rsidRPr="006552C5">
        <w:t>, inúmeras vezes, nos seus intermináveis monólogos, Hitler classificou</w:t>
      </w:r>
      <w:r w:rsidR="00AE5BD4">
        <w:t>-se</w:t>
      </w:r>
      <w:r w:rsidRPr="006552C5">
        <w:t xml:space="preserve"> como artista</w:t>
      </w:r>
      <w:r w:rsidRPr="006552C5">
        <w:rPr>
          <w:rStyle w:val="Refdenotaderodap"/>
        </w:rPr>
        <w:footnoteReference w:id="197"/>
      </w:r>
      <w:r w:rsidRPr="006552C5">
        <w:t xml:space="preserve"> e </w:t>
      </w:r>
      <w:r w:rsidR="00AE5BD4">
        <w:t xml:space="preserve">se em 1919, quando alugou a primeira sede do que em breve viria a ser o NSDAP, ele </w:t>
      </w:r>
      <w:r w:rsidR="007A3E9D">
        <w:t>indicou</w:t>
      </w:r>
      <w:r w:rsidR="00AE5BD4">
        <w:t xml:space="preserve"> como profissão «pintor»</w:t>
      </w:r>
      <w:r w:rsidR="00AE5BD4">
        <w:rPr>
          <w:rStyle w:val="Refdenotaderodap"/>
        </w:rPr>
        <w:footnoteReference w:id="198"/>
      </w:r>
      <w:r w:rsidR="00AE5BD4">
        <w:t xml:space="preserve">, dez anos mais tarde haveria de se declarar </w:t>
      </w:r>
      <w:r w:rsidRPr="006552C5">
        <w:t>«pintor e escritor»</w:t>
      </w:r>
      <w:r w:rsidRPr="006552C5">
        <w:rPr>
          <w:rStyle w:val="Refdenotaderodap"/>
        </w:rPr>
        <w:footnoteReference w:id="199"/>
      </w:r>
      <w:r w:rsidRPr="006552C5">
        <w:t xml:space="preserve">. É curioso observar que no primeiro ataque sistemático que dirigiu contra os judeus em </w:t>
      </w:r>
      <w:r w:rsidRPr="006552C5">
        <w:rPr>
          <w:i/>
        </w:rPr>
        <w:t>Mein Kampf</w:t>
      </w:r>
      <w:r w:rsidRPr="006552C5">
        <w:t xml:space="preserve"> ele não invocou o tema das </w:t>
      </w:r>
      <w:r w:rsidRPr="006552C5">
        <w:lastRenderedPageBreak/>
        <w:t>características raciais nem da infiltração económica, mas acusou-os de serem os promotores de uma arte deletéria</w:t>
      </w:r>
      <w:r w:rsidRPr="006552C5">
        <w:rPr>
          <w:rStyle w:val="Refdenotaderodap"/>
        </w:rPr>
        <w:footnoteReference w:id="200"/>
      </w:r>
      <w:r w:rsidRPr="006552C5">
        <w:t xml:space="preserve">, e em 1930, numa acesa discussão com Otto Strasser, que levaria à ruptura entre os dois homens e a uma cisão no NSDAP, Hitler iniciou a sua série de recriminações invocando a oposição que os jornais dirigidos por Strasser manifestavam ao ascendente adquirido no interior do partido pelas concepções estéticas de Schulze-Naumburg, um arquitecto cujas opiniões conservadoras o situavam muito perto de Rosenberg </w:t>
      </w:r>
      <w:r w:rsidR="008643EB">
        <w:t xml:space="preserve">e de </w:t>
      </w:r>
      <w:r w:rsidR="00245A3C" w:rsidRPr="009D524E">
        <w:t xml:space="preserve">Walther </w:t>
      </w:r>
      <w:r w:rsidR="008643EB">
        <w:t xml:space="preserve">Darré </w:t>
      </w:r>
      <w:r w:rsidRPr="006552C5">
        <w:t xml:space="preserve">e cujos ideais artísticos francamente retrógrados indispunham </w:t>
      </w:r>
      <w:r w:rsidR="00EB19A6">
        <w:t xml:space="preserve">os fascistas </w:t>
      </w:r>
      <w:r w:rsidRPr="006552C5">
        <w:t>radica</w:t>
      </w:r>
      <w:r w:rsidR="00EB19A6">
        <w:t>is</w:t>
      </w:r>
      <w:r w:rsidRPr="006552C5">
        <w:t>, propens</w:t>
      </w:r>
      <w:r w:rsidR="00EB19A6">
        <w:t>os</w:t>
      </w:r>
      <w:r w:rsidRPr="006552C5">
        <w:t xml:space="preserve"> ao expressionismo</w:t>
      </w:r>
      <w:r w:rsidRPr="006552C5">
        <w:rPr>
          <w:rStyle w:val="Refdenotaderodap"/>
        </w:rPr>
        <w:footnoteReference w:id="201"/>
      </w:r>
      <w:r w:rsidRPr="006552C5">
        <w:t xml:space="preserve">. Não deixa de ser elucidativo que este confronto ideológico, o maior travado no interior do partido </w:t>
      </w:r>
      <w:r w:rsidR="00245A3C">
        <w:t>nacional-socialista</w:t>
      </w:r>
      <w:r w:rsidRPr="006552C5">
        <w:t xml:space="preserve"> antes da tomada do poder, e que teve como objectivo último o papel desempenha</w:t>
      </w:r>
      <w:r>
        <w:t>do</w:t>
      </w:r>
      <w:r w:rsidRPr="006552C5">
        <w:t xml:space="preserve"> pelo socialismo no quadro nacional, abrisse com uma disputa acerca dos temas da arte. </w:t>
      </w:r>
    </w:p>
    <w:p w:rsidR="00A61D4E" w:rsidRPr="006552C5" w:rsidRDefault="00A61D4E" w:rsidP="00A61D4E">
      <w:r w:rsidRPr="006552C5">
        <w:t xml:space="preserve">Talvez o aspecto mais impressionante das </w:t>
      </w:r>
      <w:r w:rsidR="00C4256F" w:rsidRPr="006552C5">
        <w:t xml:space="preserve">Memórias </w:t>
      </w:r>
      <w:r w:rsidRPr="006552C5">
        <w:t>de Albert Speer seja o retrato de um Führer sem horários nem método nem disciplina, imitando os hábitos do que era, ou julgava ser, a boémia artística, desprezando os problemas burocráticos e ignorando as questões da administração e da economia, para se devotar principalmente aos seus projectos de arquitecto amador que, não obstante alguns defeitos técnicos, executava em geral com competência</w:t>
      </w:r>
      <w:r w:rsidRPr="006552C5">
        <w:rPr>
          <w:rStyle w:val="Refdenotaderodap"/>
        </w:rPr>
        <w:footnoteReference w:id="202"/>
      </w:r>
      <w:r w:rsidRPr="006552C5">
        <w:t xml:space="preserve">. E não o ocupavam só as grandes visões, mas os detalhes também, porque </w:t>
      </w:r>
      <w:r w:rsidR="00105413">
        <w:t>ajudou a conceber a decoração interior da nova sede do NSDAP em Munique</w:t>
      </w:r>
      <w:r w:rsidR="00105413">
        <w:rPr>
          <w:rStyle w:val="Refdenotaderodap"/>
        </w:rPr>
        <w:footnoteReference w:id="203"/>
      </w:r>
      <w:r w:rsidR="00105413">
        <w:t xml:space="preserve">, inaugurada no primeiro dia de 1931. </w:t>
      </w:r>
      <w:r w:rsidR="001D6775">
        <w:t>Em Janeiro e Fevereiro do ano seguinte, no meio de uma situação delicada em que devia ponderar as vantagens e desvantagens de se apresentar contra ou a favor da reeleição de Hindenburg, ele ocupava-se em desenhar os planos de uma nova sede do partido e, mais grandiosamente, da reconstrução de Berlim</w:t>
      </w:r>
      <w:r w:rsidR="001D6775">
        <w:rPr>
          <w:rStyle w:val="Refdenotaderodap"/>
        </w:rPr>
        <w:footnoteReference w:id="204"/>
      </w:r>
      <w:r w:rsidR="001D6775">
        <w:t xml:space="preserve">. Já chanceler, </w:t>
      </w:r>
      <w:r w:rsidR="00105413">
        <w:t>Hitler</w:t>
      </w:r>
      <w:r w:rsidRPr="006552C5">
        <w:t xml:space="preserve">, que </w:t>
      </w:r>
      <w:r w:rsidR="001D6775">
        <w:t xml:space="preserve">havia decidido outrora </w:t>
      </w:r>
      <w:r w:rsidRPr="006552C5">
        <w:t>o desenho e a cor dos símbolos do partido e do estandarte das SA</w:t>
      </w:r>
      <w:r w:rsidRPr="006552C5">
        <w:rPr>
          <w:rStyle w:val="Refdenotaderodap"/>
        </w:rPr>
        <w:footnoteReference w:id="205"/>
      </w:r>
      <w:r w:rsidRPr="006552C5">
        <w:t>, desenhou meticulosamente a nova bandeira do Reich e a insígnia do seu automóvel oficial</w:t>
      </w:r>
      <w:r w:rsidRPr="006552C5">
        <w:rPr>
          <w:rStyle w:val="Refdenotaderodap"/>
        </w:rPr>
        <w:footnoteReference w:id="206"/>
      </w:r>
      <w:r w:rsidR="001F3DB9">
        <w:t xml:space="preserve">, assim como </w:t>
      </w:r>
      <w:r w:rsidR="00851B83">
        <w:t>traçou</w:t>
      </w:r>
      <w:r w:rsidR="001F3DB9">
        <w:t xml:space="preserve"> em 1935 os planos da ampliação da sua residência de Obersalzberg</w:t>
      </w:r>
      <w:r w:rsidR="001F3DB9">
        <w:rPr>
          <w:rStyle w:val="Refdenotaderodap"/>
        </w:rPr>
        <w:footnoteReference w:id="207"/>
      </w:r>
      <w:r w:rsidRPr="006552C5">
        <w:t xml:space="preserve">. </w:t>
      </w:r>
      <w:r>
        <w:t xml:space="preserve">Ao receber em Agosto de 1939 o alto-comissário da Sociedade das Nações para Danzig, que tentava um compromisso de última hora para manter a paz, o Führer disse-lhe, tomando como testemunha a paisagem montanhosa </w:t>
      </w:r>
      <w:r>
        <w:lastRenderedPageBreak/>
        <w:t>do Obersalzberg: «Como gostaria de permanecer aqui e trabalhar como artista!»</w:t>
      </w:r>
      <w:r>
        <w:rPr>
          <w:rStyle w:val="Refdenotaderodap"/>
        </w:rPr>
        <w:footnoteReference w:id="208"/>
      </w:r>
      <w:r>
        <w:t xml:space="preserve">. E no final desse mês, uma semana antes de desencadear a guerra mundial, gritou ao embaixador britânico: </w:t>
      </w:r>
      <w:r w:rsidRPr="006552C5">
        <w:t>«Olhe para mim! Sou um artista, não um político»</w:t>
      </w:r>
      <w:r w:rsidRPr="006552C5">
        <w:rPr>
          <w:rStyle w:val="Refdenotaderodap"/>
        </w:rPr>
        <w:footnoteReference w:id="209"/>
      </w:r>
      <w:r w:rsidRPr="006552C5">
        <w:t>. Depois, a condução das operações militares alterou-lhe as regras de vida, mas apesar dis</w:t>
      </w:r>
      <w:r>
        <w:t>t</w:t>
      </w:r>
      <w:r w:rsidRPr="006552C5">
        <w:t xml:space="preserve">o teve ainda interesse em esboçar os planos dos vários tipos de </w:t>
      </w:r>
      <w:r w:rsidR="007F7421" w:rsidRPr="007F7421">
        <w:t>bunker</w:t>
      </w:r>
      <w:r w:rsidR="007F7421" w:rsidRPr="006552C5">
        <w:t xml:space="preserve"> </w:t>
      </w:r>
      <w:r w:rsidRPr="006552C5">
        <w:t>destinados à costa atlântica e encontrou tempo para fazê-lo</w:t>
      </w:r>
      <w:r w:rsidRPr="006552C5">
        <w:rPr>
          <w:rStyle w:val="Refdenotaderodap"/>
        </w:rPr>
        <w:footnoteReference w:id="210"/>
      </w:r>
      <w:r w:rsidR="00EC229B">
        <w:t>.</w:t>
      </w:r>
      <w:r w:rsidRPr="006552C5">
        <w:t xml:space="preserve"> </w:t>
      </w:r>
      <w:r w:rsidR="005F6886">
        <w:t>«Mesmo quando lhe mostravam novas armas», escreveu um biógrafo, «raramente descurava a forma estética»</w:t>
      </w:r>
      <w:r w:rsidR="005F6886">
        <w:rPr>
          <w:rStyle w:val="Refdenotaderodap"/>
        </w:rPr>
        <w:footnoteReference w:id="211"/>
      </w:r>
      <w:r w:rsidR="005F6886">
        <w:t xml:space="preserve">. </w:t>
      </w:r>
      <w:r w:rsidR="00EC229B">
        <w:t xml:space="preserve">Não eram segredo </w:t>
      </w:r>
      <w:r w:rsidR="00EC229B" w:rsidRPr="006552C5">
        <w:t xml:space="preserve">estas preferências do Führer </w:t>
      </w:r>
      <w:r w:rsidR="00EC229B">
        <w:t xml:space="preserve">e </w:t>
      </w:r>
      <w:r w:rsidR="00EC229B" w:rsidRPr="006552C5">
        <w:t xml:space="preserve">chegaram ao conhecimento de alguém que, </w:t>
      </w:r>
      <w:r w:rsidR="00EC229B">
        <w:t>embora</w:t>
      </w:r>
      <w:r w:rsidR="00EC229B" w:rsidRPr="006552C5">
        <w:t xml:space="preserve"> confinado numa residência para judeus, registou no seu diário em Abril de 1941: «As pessoas dizem que Hitler está mais interessado nos seus planos de construção do que na guerra»</w:t>
      </w:r>
      <w:r w:rsidR="00EC229B" w:rsidRPr="006552C5">
        <w:rPr>
          <w:rStyle w:val="Refdenotaderodap"/>
        </w:rPr>
        <w:footnoteReference w:id="212"/>
      </w:r>
      <w:r w:rsidR="00EC229B" w:rsidRPr="006552C5">
        <w:t xml:space="preserve">. </w:t>
      </w:r>
      <w:r w:rsidR="00AF4C24" w:rsidRPr="006552C5">
        <w:t>Ao ouvir os termos em que Hitler anunciou a Speer a ruptura com Stalin e o início das operações contra a União Soviética, julgaria trata</w:t>
      </w:r>
      <w:r w:rsidR="004407DC">
        <w:t>r-se</w:t>
      </w:r>
      <w:r w:rsidR="00AF4C24" w:rsidRPr="006552C5">
        <w:t xml:space="preserve"> de um duelo entre arquitectos, esforçando-se cada um por impedir o outro de construir o palácio mais alto, a nova sede dos sovietes ou a nova chancelaria do Reich. «Agora, exclamou, livrámo-nos para sempre daquele seu edifício»</w:t>
      </w:r>
      <w:r w:rsidR="00AF4C24" w:rsidRPr="006552C5">
        <w:rPr>
          <w:rStyle w:val="Refdenotaderodap"/>
        </w:rPr>
        <w:footnoteReference w:id="213"/>
      </w:r>
      <w:r w:rsidR="00AF4C24" w:rsidRPr="006552C5">
        <w:t>.</w:t>
      </w:r>
      <w:r w:rsidR="00AF4C24">
        <w:t xml:space="preserve"> </w:t>
      </w:r>
      <w:r w:rsidR="007A0C63">
        <w:t xml:space="preserve">Passado um </w:t>
      </w:r>
      <w:r w:rsidR="00AE5E67">
        <w:t xml:space="preserve">mês ele confidenciou numa roda de íntimos que «o meu </w:t>
      </w:r>
      <w:r w:rsidR="00957F62">
        <w:t xml:space="preserve">maior </w:t>
      </w:r>
      <w:r w:rsidR="00AE5E67">
        <w:t xml:space="preserve">desejo seria o de </w:t>
      </w:r>
      <w:r w:rsidR="00957F62">
        <w:t xml:space="preserve">poder </w:t>
      </w:r>
      <w:r w:rsidR="00AE5E67">
        <w:t>vaguear e</w:t>
      </w:r>
      <w:r w:rsidR="00346489">
        <w:t>m</w:t>
      </w:r>
      <w:r w:rsidR="00AE5E67">
        <w:t xml:space="preserve"> Itália como um pinto</w:t>
      </w:r>
      <w:r w:rsidR="00346489">
        <w:t>r</w:t>
      </w:r>
      <w:r w:rsidR="00AE5E67">
        <w:t xml:space="preserve"> desconhecido»</w:t>
      </w:r>
      <w:r w:rsidR="00240379">
        <w:rPr>
          <w:rStyle w:val="Refdenotaderodap"/>
        </w:rPr>
        <w:footnoteReference w:id="214"/>
      </w:r>
      <w:r w:rsidR="00AE5E67">
        <w:t xml:space="preserve">. </w:t>
      </w:r>
      <w:r w:rsidR="00C211D2" w:rsidRPr="006552C5">
        <w:t xml:space="preserve">Nem sequer as urgências do estado-maior e depois os imperativos </w:t>
      </w:r>
      <w:r w:rsidR="007A0C63">
        <w:t xml:space="preserve">decorrentes </w:t>
      </w:r>
      <w:r w:rsidR="00C211D2" w:rsidRPr="006552C5">
        <w:t>dos reveses militares o levaram a mudar de atitude</w:t>
      </w:r>
      <w:r w:rsidR="00C211D2">
        <w:t>,</w:t>
      </w:r>
      <w:r w:rsidR="00C211D2" w:rsidRPr="006552C5">
        <w:t xml:space="preserve"> </w:t>
      </w:r>
      <w:r w:rsidR="00C211D2">
        <w:t xml:space="preserve">porque </w:t>
      </w:r>
      <w:r>
        <w:t>em Maio de 1942</w:t>
      </w:r>
      <w:r w:rsidR="00823A73">
        <w:t>,</w:t>
      </w:r>
      <w:r>
        <w:t xml:space="preserve"> </w:t>
      </w:r>
      <w:r w:rsidR="00823A73">
        <w:t xml:space="preserve">no quartel-general, entre mapas e oficiais, </w:t>
      </w:r>
      <w:r>
        <w:t>desenh</w:t>
      </w:r>
      <w:r w:rsidR="00FE3B10">
        <w:t>ou</w:t>
      </w:r>
      <w:r>
        <w:t xml:space="preserve"> o</w:t>
      </w:r>
      <w:r w:rsidR="00CE2B09">
        <w:t>s</w:t>
      </w:r>
      <w:r>
        <w:t xml:space="preserve"> plano</w:t>
      </w:r>
      <w:r w:rsidR="00CE2B09">
        <w:t>s</w:t>
      </w:r>
      <w:r>
        <w:t xml:space="preserve"> de um novo museu a construir em Linz e de uma mansão sobre o Danúbio</w:t>
      </w:r>
      <w:r>
        <w:rPr>
          <w:rStyle w:val="Refdenotaderodap"/>
        </w:rPr>
        <w:footnoteReference w:id="215"/>
      </w:r>
      <w:r>
        <w:t xml:space="preserve">. </w:t>
      </w:r>
      <w:r w:rsidR="00C211D2" w:rsidRPr="006552C5">
        <w:t xml:space="preserve">Relatando no seu diário, em 23 de Setembro de 1943, uma conversa com o Führer, Goebbels atribuiu-lhe o desejo de ver o </w:t>
      </w:r>
      <w:r w:rsidR="003F5FCE">
        <w:t>termo</w:t>
      </w:r>
      <w:r w:rsidR="00C211D2" w:rsidRPr="006552C5">
        <w:t xml:space="preserve"> da guerra. «Ele disse que gostaria de retomar o contacto com os meios artísticos, de ir ao teatro à noite e visitar o Clube dos Artistas»</w:t>
      </w:r>
      <w:r w:rsidR="00C211D2" w:rsidRPr="006552C5">
        <w:rPr>
          <w:rStyle w:val="Refdenotaderodap"/>
        </w:rPr>
        <w:footnoteReference w:id="216"/>
      </w:r>
      <w:r w:rsidR="00C211D2" w:rsidRPr="006552C5">
        <w:t xml:space="preserve">. </w:t>
      </w:r>
      <w:r w:rsidR="00AA6034">
        <w:t>Anunciavam</w:t>
      </w:r>
      <w:r w:rsidR="002B0D7A">
        <w:t xml:space="preserve"> os serviços de propaganda nacional-socialistas, parece que com razão, que Hitler sentia mais a destruição das obras de arte pelos </w:t>
      </w:r>
      <w:r w:rsidR="002B0D7A">
        <w:lastRenderedPageBreak/>
        <w:t>bombardeamentos aéreos aliados do que o morticínio das pessoas</w:t>
      </w:r>
      <w:r w:rsidR="002B0D7A">
        <w:rPr>
          <w:rStyle w:val="Refdenotaderodap"/>
        </w:rPr>
        <w:footnoteReference w:id="217"/>
      </w:r>
      <w:r w:rsidR="002B0D7A">
        <w:t xml:space="preserve">, e </w:t>
      </w:r>
      <w:r w:rsidR="00823A73">
        <w:t>e</w:t>
      </w:r>
      <w:r w:rsidR="00D801E8">
        <w:t xml:space="preserve">m Fevereiro de 1945, </w:t>
      </w:r>
      <w:r w:rsidR="00F956FE">
        <w:t xml:space="preserve">com o Reich em escombros e </w:t>
      </w:r>
      <w:r w:rsidR="00D801E8">
        <w:t xml:space="preserve">quando tudo estava prestes a </w:t>
      </w:r>
      <w:r w:rsidR="00543CAB">
        <w:t>terminar</w:t>
      </w:r>
      <w:r w:rsidR="00D801E8">
        <w:t xml:space="preserve">, </w:t>
      </w:r>
      <w:r w:rsidR="002B0D7A">
        <w:t>ele</w:t>
      </w:r>
      <w:r w:rsidR="00D801E8">
        <w:t xml:space="preserve"> quis que lhe mostrassem a maquete da reconstrução prevista de Linz</w:t>
      </w:r>
      <w:r w:rsidR="00D801E8">
        <w:rPr>
          <w:rStyle w:val="Refdenotaderodap"/>
        </w:rPr>
        <w:footnoteReference w:id="218"/>
      </w:r>
      <w:r w:rsidR="00D801E8">
        <w:t xml:space="preserve">. </w:t>
      </w:r>
    </w:p>
    <w:p w:rsidR="00233F32" w:rsidRDefault="004E604E" w:rsidP="00A61D4E">
      <w:r w:rsidRPr="006552C5">
        <w:t xml:space="preserve">As </w:t>
      </w:r>
      <w:r w:rsidR="00A61D4E" w:rsidRPr="006552C5">
        <w:t xml:space="preserve">inclinações de Goebbels são </w:t>
      </w:r>
      <w:r>
        <w:t xml:space="preserve">igualmente </w:t>
      </w:r>
      <w:r w:rsidR="00A61D4E" w:rsidRPr="006552C5">
        <w:t>conhecidas, literato, dramaturgo e encenador frustrado</w:t>
      </w:r>
      <w:r w:rsidR="00A61D4E" w:rsidRPr="006552C5">
        <w:rPr>
          <w:rStyle w:val="Refdenotaderodap"/>
        </w:rPr>
        <w:footnoteReference w:id="219"/>
      </w:r>
      <w:r w:rsidR="00A61D4E" w:rsidRPr="006552C5">
        <w:t xml:space="preserve">. </w:t>
      </w:r>
      <w:r w:rsidR="001B21B5">
        <w:t xml:space="preserve">«Também a política é uma arte, talvez a mais elevada e abrangente </w:t>
      </w:r>
      <w:r w:rsidR="00814613">
        <w:t>que exista</w:t>
      </w:r>
      <w:r w:rsidR="001B21B5">
        <w:t>», escreveu ele em Abril de 1933 numa carta para Furtwängler, «e nós, os que moldamos a política alemã</w:t>
      </w:r>
      <w:r w:rsidR="00814613">
        <w:t xml:space="preserve"> moderna</w:t>
      </w:r>
      <w:r w:rsidR="001B21B5">
        <w:t xml:space="preserve">, </w:t>
      </w:r>
      <w:r w:rsidR="00F21ACA">
        <w:t>sentimo-nos como artista</w:t>
      </w:r>
      <w:r w:rsidR="00814613">
        <w:t>s</w:t>
      </w:r>
      <w:r w:rsidR="00F21ACA">
        <w:t xml:space="preserve"> a quem foi dada a responsabilidade de formar, a partir da matéria-prima das massas, a firme estrutura concreta d</w:t>
      </w:r>
      <w:r w:rsidR="00814613">
        <w:t>e um</w:t>
      </w:r>
      <w:r w:rsidR="00F21ACA">
        <w:t xml:space="preserve"> povo»</w:t>
      </w:r>
      <w:r w:rsidR="00C819BA">
        <w:rPr>
          <w:rStyle w:val="Refdenotaderodap"/>
        </w:rPr>
        <w:footnoteReference w:id="220"/>
      </w:r>
      <w:r w:rsidR="00F21ACA">
        <w:t xml:space="preserve">. </w:t>
      </w:r>
    </w:p>
    <w:p w:rsidR="00A61D4E" w:rsidRPr="00075F48" w:rsidRDefault="00A61D4E" w:rsidP="00075F48">
      <w:r w:rsidRPr="006552C5">
        <w:t xml:space="preserve">Não menos sugestivo foi o percurso do doutrinador do </w:t>
      </w:r>
      <w:r w:rsidR="00535402">
        <w:t>nacional-socialismo</w:t>
      </w:r>
      <w:r w:rsidRPr="006552C5">
        <w:t xml:space="preserve">, Alfred Rosenberg, </w:t>
      </w:r>
      <w:r w:rsidR="00527397">
        <w:t>licenciado em aquitectura</w:t>
      </w:r>
      <w:r w:rsidR="00233F32">
        <w:t>.</w:t>
      </w:r>
      <w:r w:rsidRPr="006552C5">
        <w:t xml:space="preserve"> </w:t>
      </w:r>
      <w:r w:rsidR="00233F32">
        <w:t>«No sentido mais lato», escreveu ele, «toda a nossa apropriação formativa do mundo e do eu é uma actividade artística voluntariosa»</w:t>
      </w:r>
      <w:r w:rsidR="00233F32">
        <w:rPr>
          <w:rStyle w:val="Refdenotaderodap"/>
        </w:rPr>
        <w:footnoteReference w:id="221"/>
      </w:r>
      <w:r w:rsidR="00233F32" w:rsidRPr="0084344F">
        <w:t xml:space="preserve">. </w:t>
      </w:r>
      <w:r w:rsidR="00233F32">
        <w:t xml:space="preserve">A estética e o misticismo são os dois eixos condutores de </w:t>
      </w:r>
      <w:r w:rsidR="00233F32" w:rsidRPr="00D35919">
        <w:rPr>
          <w:i/>
        </w:rPr>
        <w:t>O Mito do Século XX</w:t>
      </w:r>
      <w:r w:rsidR="00233F32">
        <w:rPr>
          <w:i/>
        </w:rPr>
        <w:t>,</w:t>
      </w:r>
      <w:r w:rsidR="00233F32">
        <w:t xml:space="preserve"> onde Rosenberg recordou «uma sabedoria primordial hoje esquecida», a de que «o direito é um sistema tão ligado ao sangue como o é a religião e a arte»</w:t>
      </w:r>
      <w:r w:rsidR="00233F32">
        <w:rPr>
          <w:rStyle w:val="Refdenotaderodap"/>
        </w:rPr>
        <w:footnoteReference w:id="222"/>
      </w:r>
      <w:r w:rsidR="00233F32">
        <w:t xml:space="preserve">. Este clássico filosófico do Terceiro Reich deve ser lido como uma reflexão de um artista sobre a arte e certamente por isto deixa </w:t>
      </w:r>
      <w:r w:rsidR="008F14BE">
        <w:t xml:space="preserve">os historiadores </w:t>
      </w:r>
      <w:r w:rsidR="00233F32">
        <w:t xml:space="preserve">sem saberem o que pensar. </w:t>
      </w:r>
      <w:r w:rsidR="00C05486">
        <w:t xml:space="preserve">Depois do fim de tudo, nas </w:t>
      </w:r>
      <w:r w:rsidR="00C05486" w:rsidRPr="004D76E0">
        <w:rPr>
          <w:i/>
        </w:rPr>
        <w:t>Memórias</w:t>
      </w:r>
      <w:r w:rsidR="00C05486">
        <w:t xml:space="preserve"> que escreveu antes de o enforcarem, Rosenberg lastimou que os leitores se tivessem ocupado só da componente religiosa de </w:t>
      </w:r>
      <w:r w:rsidR="00C05486" w:rsidRPr="00CC11D2">
        <w:rPr>
          <w:i/>
        </w:rPr>
        <w:t>O Mito do Século XX</w:t>
      </w:r>
      <w:r w:rsidR="00C05486">
        <w:t xml:space="preserve"> e desprezado a outra componente, não menos importante. «Tudo o que o público queria era ouvir um político controverso — nunca um homem que via a vida na perspectiva da arte — a arte do olhar»</w:t>
      </w:r>
      <w:r w:rsidR="00C05486">
        <w:rPr>
          <w:rStyle w:val="Refdenotaderodap"/>
        </w:rPr>
        <w:footnoteReference w:id="223"/>
      </w:r>
      <w:r w:rsidR="00C05486">
        <w:t xml:space="preserve">. Por isso </w:t>
      </w:r>
      <w:r w:rsidR="00C05486" w:rsidRPr="006552C5">
        <w:t xml:space="preserve">em </w:t>
      </w:r>
      <w:r w:rsidRPr="006552C5">
        <w:t xml:space="preserve">1943 </w:t>
      </w:r>
      <w:r w:rsidR="00A20A1D">
        <w:t xml:space="preserve">ele </w:t>
      </w:r>
      <w:r w:rsidRPr="006552C5">
        <w:t>inclu</w:t>
      </w:r>
      <w:r w:rsidR="00C05486">
        <w:t>íra</w:t>
      </w:r>
      <w:r w:rsidRPr="006552C5">
        <w:t xml:space="preserve"> numa antologia de textos seus a reprodução de algumas das suas pinturas, paisagens de Outono</w:t>
      </w:r>
      <w:r w:rsidRPr="006552C5">
        <w:rPr>
          <w:rStyle w:val="Refdenotaderodap"/>
        </w:rPr>
        <w:footnoteReference w:id="224"/>
      </w:r>
      <w:r w:rsidRPr="006552C5">
        <w:t>, como convinha no ocaso de tantas profecias</w:t>
      </w:r>
      <w:r w:rsidR="00C05486">
        <w:t xml:space="preserve">, </w:t>
      </w:r>
      <w:r w:rsidR="00C05486" w:rsidRPr="006552C5">
        <w:t xml:space="preserve">e </w:t>
      </w:r>
      <w:r w:rsidRPr="006552C5">
        <w:t>dois ou três anos mais tarde, quando sabia que o destino se abeirava do termo, Rosenberg, do mesmo modo que Hitler o fizera, manifestou a frustração por não ter prosseguido a vocação da juventude e não se ter dedicado inteiramente à pintura</w:t>
      </w:r>
      <w:r w:rsidRPr="006552C5">
        <w:rPr>
          <w:rStyle w:val="Refdenotaderodap"/>
        </w:rPr>
        <w:footnoteReference w:id="225"/>
      </w:r>
      <w:r w:rsidRPr="006552C5">
        <w:t xml:space="preserve">. </w:t>
      </w:r>
    </w:p>
    <w:p w:rsidR="00A61D4E" w:rsidRPr="006552C5" w:rsidRDefault="00165DAD" w:rsidP="00A61D4E">
      <w:r>
        <w:t xml:space="preserve">Já em 1925 Hitler </w:t>
      </w:r>
      <w:r w:rsidR="00A60287">
        <w:t>previra</w:t>
      </w:r>
      <w:r>
        <w:t xml:space="preserve"> que </w:t>
      </w:r>
      <w:r w:rsidRPr="00165DAD">
        <w:t xml:space="preserve">Ludendorff </w:t>
      </w:r>
      <w:r>
        <w:t>estava condenado a fracassar na política porque lhe faltava sentido musical</w:t>
      </w:r>
      <w:r>
        <w:rPr>
          <w:rStyle w:val="Refdenotaderodap"/>
        </w:rPr>
        <w:footnoteReference w:id="226"/>
      </w:r>
      <w:r>
        <w:t xml:space="preserve">, e mais tarde, </w:t>
      </w:r>
      <w:r w:rsidRPr="006552C5">
        <w:t xml:space="preserve">ao </w:t>
      </w:r>
      <w:r w:rsidR="00A61D4E" w:rsidRPr="006552C5">
        <w:t xml:space="preserve">avaliar os dignitários do Reich, sempre lhes levara em conta o gosto artístico. «Uma crítica que pusesse em causa o sentido estético de </w:t>
      </w:r>
      <w:r w:rsidR="00A61D4E" w:rsidRPr="006552C5">
        <w:lastRenderedPageBreak/>
        <w:t>alguém podia por vezes implicar o fim de uma carreira», relatou um dos cortesãos</w:t>
      </w:r>
      <w:r w:rsidR="00A61D4E" w:rsidRPr="006552C5">
        <w:rPr>
          <w:rStyle w:val="Refdenotaderodap"/>
        </w:rPr>
        <w:footnoteReference w:id="227"/>
      </w:r>
      <w:r w:rsidR="00A61D4E" w:rsidRPr="006552C5">
        <w:t xml:space="preserve">. </w:t>
      </w:r>
      <w:r w:rsidR="009678FE">
        <w:t xml:space="preserve">Nos </w:t>
      </w:r>
      <w:r w:rsidR="00F1523B">
        <w:t xml:space="preserve">altos escalões do nacional-socialismo </w:t>
      </w:r>
      <w:r w:rsidR="009678FE">
        <w:t xml:space="preserve">não faltavam </w:t>
      </w:r>
      <w:r w:rsidR="000228AF">
        <w:t>artistas malogrados</w:t>
      </w:r>
      <w:r w:rsidR="000228AF">
        <w:rPr>
          <w:rStyle w:val="Refdenotaderodap"/>
        </w:rPr>
        <w:footnoteReference w:id="228"/>
      </w:r>
      <w:r w:rsidR="000228AF">
        <w:t xml:space="preserve">, mas parece não terem sido suficientes, porque </w:t>
      </w:r>
      <w:r w:rsidR="000228AF" w:rsidRPr="006552C5">
        <w:t xml:space="preserve">em </w:t>
      </w:r>
      <w:r w:rsidR="00A61D4E" w:rsidRPr="006552C5">
        <w:t>1943, com a reputação de Göring destroçada pelos fracassos da Luftwaffe, Hitler hesitava, sem saber por quem havia de o substituir no lugar de sucessor presuntivo, já que nem em Bormann nem em Himmler nem sequer em Goebbels ele encontrava um carácter de artista</w:t>
      </w:r>
      <w:r w:rsidR="00A61D4E" w:rsidRPr="006552C5">
        <w:rPr>
          <w:rStyle w:val="Refdenotaderodap"/>
        </w:rPr>
        <w:footnoteReference w:id="229"/>
      </w:r>
      <w:r w:rsidR="00A61D4E" w:rsidRPr="006552C5">
        <w:t xml:space="preserve">. E depois do atentado frustrado de 20 de Julho de 1944, quando a possibilidade de ser morto por uma nova tentativa com </w:t>
      </w:r>
      <w:r w:rsidR="000F6E04">
        <w:t>êxito</w:t>
      </w:r>
      <w:r w:rsidR="00A61D4E" w:rsidRPr="006552C5">
        <w:t xml:space="preserve"> ou por um bombardeamento aliado o levou a ocupar-se mais demoradamente com o problema da sucessão, ele excluiu Himmler, entre outras razões, por lhe faltar completamente </w:t>
      </w:r>
      <w:r w:rsidR="009678FE">
        <w:t>o</w:t>
      </w:r>
      <w:r w:rsidR="00A61D4E" w:rsidRPr="006552C5">
        <w:t xml:space="preserve"> espírito artístico</w:t>
      </w:r>
      <w:r w:rsidR="00A61D4E" w:rsidRPr="006552C5">
        <w:rPr>
          <w:rStyle w:val="Refdenotaderodap"/>
        </w:rPr>
        <w:footnoteReference w:id="230"/>
      </w:r>
      <w:r w:rsidR="00A61D4E" w:rsidRPr="006552C5">
        <w:t xml:space="preserve">. Mesmo para conduzir um Reich batido em todas as frentes seria indispensável um artista? Quem sabe se então mais do que nunca, pois no estilo </w:t>
      </w:r>
      <w:r w:rsidR="00A61D4E" w:rsidRPr="006552C5">
        <w:rPr>
          <w:i/>
        </w:rPr>
        <w:t>pompier</w:t>
      </w:r>
      <w:r w:rsidR="00A61D4E" w:rsidRPr="006552C5">
        <w:t xml:space="preserve"> que Hitler tanto prezava as ruínas eram um tema irresistivelmente pinturesco. </w:t>
      </w:r>
    </w:p>
    <w:p w:rsidR="00A61D4E" w:rsidRPr="006552C5" w:rsidRDefault="00A61D4E" w:rsidP="00A61D4E">
      <w:r w:rsidRPr="006552C5">
        <w:t xml:space="preserve">Desta estética da política não se encarregavam as musas tradicionais. Era uma arte nova, superior às outras porque a todas englobava. Hitler levou mais longe a ambição wagneriana do teatro enquanto arte total e pôs em cena o próprio Estado, </w:t>
      </w:r>
      <w:r w:rsidR="004B05FB">
        <w:t>fazendo</w:t>
      </w:r>
      <w:r w:rsidRPr="006552C5">
        <w:t xml:space="preserve"> </w:t>
      </w:r>
      <w:r w:rsidR="004B05FB">
        <w:t>d</w:t>
      </w:r>
      <w:r w:rsidRPr="006552C5">
        <w:t xml:space="preserve">a assembleia política uma representação, </w:t>
      </w:r>
      <w:r w:rsidR="004B05FB">
        <w:t>d</w:t>
      </w:r>
      <w:r w:rsidRPr="006552C5">
        <w:t xml:space="preserve">a propaganda um teatro filmado, </w:t>
      </w:r>
      <w:r w:rsidR="004B05FB">
        <w:t>d</w:t>
      </w:r>
      <w:r w:rsidRPr="006552C5">
        <w:t xml:space="preserve">a arquitectura um cenário, finalmente </w:t>
      </w:r>
      <w:r w:rsidR="004B05FB">
        <w:t>d</w:t>
      </w:r>
      <w:r w:rsidRPr="006552C5">
        <w:t xml:space="preserve">a guerra uma coreografia. Arte do totalitarismo, a encenação converteu-se na arte absoluta e nela se operou a síntese de todas as outras. Iniciados em França pelos jacobinos, confundidos por Napoleão com o tema do </w:t>
      </w:r>
      <w:r w:rsidR="004B05FB" w:rsidRPr="006552C5">
        <w:t>Imp</w:t>
      </w:r>
      <w:r w:rsidR="004B05FB">
        <w:t>é</w:t>
      </w:r>
      <w:r w:rsidR="004B05FB" w:rsidRPr="006552C5">
        <w:t>rio</w:t>
      </w:r>
      <w:r w:rsidRPr="006552C5">
        <w:t xml:space="preserve">, usados na esfera germânica pelo movimento democrático e nacionalista do século XIX, os festivais de massas foram levados por Hitler a proporções </w:t>
      </w:r>
      <w:r w:rsidR="00AE529A" w:rsidRPr="006552C5">
        <w:t xml:space="preserve">ainda </w:t>
      </w:r>
      <w:r w:rsidRPr="006552C5">
        <w:t>mais colossais e neles passou a resumir-se a política pública</w:t>
      </w:r>
      <w:r w:rsidRPr="006552C5">
        <w:rPr>
          <w:rStyle w:val="Refdenotaderodap"/>
        </w:rPr>
        <w:footnoteReference w:id="231"/>
      </w:r>
      <w:r w:rsidRPr="006552C5">
        <w:t xml:space="preserve">. </w:t>
      </w:r>
      <w:r w:rsidR="001232D8">
        <w:t>Antes de mais, Hitler pôs-se em cena a si mesmo, desde cedo estudando e ensaiando os gestos que na tribuna haveriam de parecer espontâneos</w:t>
      </w:r>
      <w:r w:rsidR="001232D8">
        <w:rPr>
          <w:rStyle w:val="Refdenotaderodap"/>
        </w:rPr>
        <w:footnoteReference w:id="232"/>
      </w:r>
      <w:r w:rsidR="001232D8">
        <w:t xml:space="preserve">. </w:t>
      </w:r>
      <w:r w:rsidRPr="006552C5">
        <w:t>Emanação directa do espírito do Führer, a sua palavra era a própria criação em acto</w:t>
      </w:r>
      <w:r w:rsidR="00030075">
        <w:t xml:space="preserve"> e ele considerava a fala mais eficaz do que a escrita</w:t>
      </w:r>
      <w:r w:rsidR="00030075">
        <w:rPr>
          <w:rStyle w:val="Refdenotaderodap"/>
        </w:rPr>
        <w:footnoteReference w:id="233"/>
      </w:r>
      <w:r w:rsidRPr="006552C5">
        <w:t>, por isso o discurso não podia separar</w:t>
      </w:r>
      <w:r w:rsidR="00552F71">
        <w:t>-se</w:t>
      </w:r>
      <w:r w:rsidRPr="006552C5">
        <w:t xml:space="preserve"> dos grandes desfiles</w:t>
      </w:r>
      <w:r w:rsidR="00B40086">
        <w:t xml:space="preserve">, cuja preparação coreográfica seguia </w:t>
      </w:r>
      <w:r w:rsidR="00B40086">
        <w:lastRenderedPageBreak/>
        <w:t>com atenção</w:t>
      </w:r>
      <w:r w:rsidR="00B40086">
        <w:rPr>
          <w:rStyle w:val="Refdenotaderodap"/>
        </w:rPr>
        <w:footnoteReference w:id="234"/>
      </w:r>
      <w:r w:rsidRPr="006552C5">
        <w:t xml:space="preserve">. </w:t>
      </w:r>
      <w:r w:rsidR="002D26DC">
        <w:t>«Ele considerava a vida como uma espécie de desfile permanente perante uma audiência gigantesca», escreveu um biógrafo</w:t>
      </w:r>
      <w:r w:rsidR="00512FCA">
        <w:rPr>
          <w:rStyle w:val="Refdenotaderodap"/>
        </w:rPr>
        <w:footnoteReference w:id="235"/>
      </w:r>
      <w:r w:rsidR="00512FCA">
        <w:t xml:space="preserve">, e outro historiador </w:t>
      </w:r>
      <w:r w:rsidR="004B05FB">
        <w:t>relatou</w:t>
      </w:r>
      <w:r w:rsidR="00512FCA">
        <w:t xml:space="preserve"> que </w:t>
      </w:r>
      <w:r w:rsidR="001C3263">
        <w:t>«fechado num estúdio e sem audiência, Hitler não se sentia confortável e era ineficaz como orador»</w:t>
      </w:r>
      <w:r w:rsidR="001C3263">
        <w:rPr>
          <w:rStyle w:val="Refdenotaderodap"/>
        </w:rPr>
        <w:footnoteReference w:id="236"/>
      </w:r>
      <w:r w:rsidR="001C3263">
        <w:t xml:space="preserve">. </w:t>
      </w:r>
      <w:r w:rsidR="004B05FB" w:rsidRPr="006552C5">
        <w:t xml:space="preserve">As </w:t>
      </w:r>
      <w:r w:rsidR="005624E6" w:rsidRPr="006552C5">
        <w:t xml:space="preserve">consequências foram mais graves, porque se tratava de uma questão de outra ordem. Com o Führer em transe, o seu verbo constituía a expressão </w:t>
      </w:r>
      <w:r w:rsidR="005624E6">
        <w:t xml:space="preserve">mesma </w:t>
      </w:r>
      <w:r w:rsidR="005624E6" w:rsidRPr="006552C5">
        <w:t>da raça</w:t>
      </w:r>
      <w:r w:rsidR="005624E6">
        <w:t xml:space="preserve"> e a</w:t>
      </w:r>
      <w:r w:rsidR="005624E6" w:rsidRPr="006552C5">
        <w:t xml:space="preserve">s frases que ritmavam os gestos </w:t>
      </w:r>
      <w:r w:rsidR="005624E6">
        <w:t xml:space="preserve">dos espectadores </w:t>
      </w:r>
      <w:r w:rsidR="005624E6" w:rsidRPr="006552C5">
        <w:t>ou lhes impunham a imobilidade emanavam do espírito colectivo</w:t>
      </w:r>
      <w:r w:rsidR="005624E6">
        <w:t xml:space="preserve">. </w:t>
      </w:r>
      <w:r w:rsidR="005624E6" w:rsidRPr="006552C5">
        <w:t xml:space="preserve">Nesses cerimoniais públicos o orador </w:t>
      </w:r>
      <w:r w:rsidR="005624E6">
        <w:t xml:space="preserve">suspendia tanto a razão </w:t>
      </w:r>
      <w:r w:rsidR="005624E6" w:rsidRPr="006552C5">
        <w:t xml:space="preserve">quanto os próprios ouvintes, pois todos juntos escutavam apenas o pulsar do sangue dos antepassados. Enquanto alienação </w:t>
      </w:r>
      <w:r w:rsidR="005624E6">
        <w:t>colectiva</w:t>
      </w:r>
      <w:r w:rsidR="005624E6" w:rsidRPr="006552C5">
        <w:t xml:space="preserve"> da razão, a estética racista dos festivais só pode entender-se como operação de magia. </w:t>
      </w:r>
      <w:r w:rsidRPr="006552C5">
        <w:t xml:space="preserve">«Acusaram-me de fanatizar as massas, de as levar ao êxtase», confidenciou </w:t>
      </w:r>
      <w:r w:rsidR="005624E6">
        <w:t>Hitler</w:t>
      </w:r>
      <w:r w:rsidRPr="006552C5">
        <w:t>. «Os psicólogos subtis aconselham a acalmar as massas, a mantê-las num estado de apatia letárgica. Não, meus senhores, deve fazer-se exactamente o contrário</w:t>
      </w:r>
      <w:r w:rsidR="00552F71">
        <w:t xml:space="preserve">. </w:t>
      </w:r>
      <w:r w:rsidRPr="006552C5">
        <w:t>Para dirigir as massas tenho de arrancá-las à apatia. As massas só se deixam conduzir quando estão fanatizadas. Apáticas e amorfas, as massas representam o maior dos perigos para qualquer comunidade política. A apatia constitui uma das formas de defesa das massas. É um refúgio provisório, um entorpecimento de forças que de súbito explodirão em acções e reacções inesperadas»</w:t>
      </w:r>
      <w:r w:rsidRPr="006552C5">
        <w:rPr>
          <w:rStyle w:val="Refdenotaderodap"/>
        </w:rPr>
        <w:footnoteReference w:id="237"/>
      </w:r>
      <w:r w:rsidRPr="006552C5">
        <w:t xml:space="preserve">. Um crítico </w:t>
      </w:r>
      <w:r w:rsidR="00552F71">
        <w:t xml:space="preserve">arguto </w:t>
      </w:r>
      <w:r w:rsidRPr="006552C5">
        <w:t>observou que «ao sincronizar todas as actividades culturais, o nacional-socialismo submete o povo alemão a tensões permanentes. A insistência no activismo em vez do pensamento significa que as pessoas não terão nunca liberdade nem tempo para pensar por si próprias. [...] A técnica do nacional-socialismo consiste em fazer com que a acção de um aparelho autoritário pareça uma actividade espontânea das massas»</w:t>
      </w:r>
      <w:r w:rsidRPr="006552C5">
        <w:rPr>
          <w:rStyle w:val="Refdenotaderodap"/>
        </w:rPr>
        <w:footnoteReference w:id="238"/>
      </w:r>
      <w:r w:rsidRPr="006552C5">
        <w:t xml:space="preserve">. </w:t>
      </w:r>
    </w:p>
    <w:p w:rsidR="00A61D4E" w:rsidRPr="006552C5" w:rsidRDefault="00A61D4E" w:rsidP="00A61D4E">
      <w:r w:rsidRPr="006552C5">
        <w:t xml:space="preserve">Se a virmos apenas no aspecto formal, a arquitectura de aparato do Terceiro Reich não se </w:t>
      </w:r>
      <w:r w:rsidR="00F674FA">
        <w:t>singulariza</w:t>
      </w:r>
      <w:r w:rsidRPr="006552C5">
        <w:t xml:space="preserve"> </w:t>
      </w:r>
      <w:r w:rsidR="004F335F">
        <w:t>n</w:t>
      </w:r>
      <w:r w:rsidRPr="006552C5">
        <w:t xml:space="preserve">a época, mesmo nas democracias, na França, na Grã-Bretanha, nos Estados Unidos, onde edifícios públicos e sedes administrativas de grandes empresas adoptaram aquele monumentalismo de inspiração neoclássica. O que diferenciou a arquitectura hitleriana foi o seu emprego como cenário nos grandes festivais políticos de massas e a sua especificidade não se apreende sem nos darmos conta de que foi apenas um dos elementos da política enquanto suprema arte. </w:t>
      </w:r>
      <w:r w:rsidR="009A7942">
        <w:t xml:space="preserve">É curioso que </w:t>
      </w:r>
      <w:r w:rsidR="00C32A5D">
        <w:t xml:space="preserve">nas suas </w:t>
      </w:r>
      <w:r w:rsidR="00C32A5D" w:rsidRPr="00D0143D">
        <w:rPr>
          <w:i/>
        </w:rPr>
        <w:t>Memórias</w:t>
      </w:r>
      <w:r w:rsidR="00C32A5D">
        <w:t xml:space="preserve"> </w:t>
      </w:r>
      <w:r w:rsidR="009A7942">
        <w:t>Rosenberg</w:t>
      </w:r>
      <w:r w:rsidR="00C32A5D">
        <w:t xml:space="preserve"> se tivesse pronunciado contra a «teat</w:t>
      </w:r>
      <w:r w:rsidR="004D1124">
        <w:t>r</w:t>
      </w:r>
      <w:r w:rsidR="00C32A5D">
        <w:t>ocracia» do Terceiro Reich</w:t>
      </w:r>
      <w:r w:rsidR="003F02EB">
        <w:t>, responsabilizando-a pela abertura de espaços colo</w:t>
      </w:r>
      <w:r w:rsidR="004D1124">
        <w:t>ss</w:t>
      </w:r>
      <w:r w:rsidR="003F02EB">
        <w:t>ais em torno de certos edifícios</w:t>
      </w:r>
      <w:r w:rsidR="00755588">
        <w:t xml:space="preserve">. </w:t>
      </w:r>
      <w:r w:rsidR="00755588" w:rsidRPr="00755588">
        <w:t>«[…] a paixão de Hitler pe</w:t>
      </w:r>
      <w:r w:rsidR="00755588">
        <w:t xml:space="preserve">las paradas militares </w:t>
      </w:r>
      <w:r w:rsidR="00FF0413">
        <w:t>anulou</w:t>
      </w:r>
      <w:r w:rsidR="00755588">
        <w:t xml:space="preserve"> completamente o </w:t>
      </w:r>
      <w:r w:rsidR="00755588">
        <w:lastRenderedPageBreak/>
        <w:t xml:space="preserve">seu sentido verdadeiramente grandioso </w:t>
      </w:r>
      <w:r w:rsidR="00FF0413">
        <w:t xml:space="preserve">da </w:t>
      </w:r>
      <w:r w:rsidR="00755588">
        <w:t>monumental</w:t>
      </w:r>
      <w:r w:rsidR="00FF0413">
        <w:t>idade</w:t>
      </w:r>
      <w:r w:rsidR="00755588">
        <w:t>», observou Rosenberg</w:t>
      </w:r>
      <w:r w:rsidR="00FF0413">
        <w:rPr>
          <w:rStyle w:val="Refdenotaderodap"/>
        </w:rPr>
        <w:footnoteReference w:id="239"/>
      </w:r>
      <w:r w:rsidR="00755588">
        <w:t xml:space="preserve">. </w:t>
      </w:r>
      <w:r w:rsidR="00755588" w:rsidRPr="00755588">
        <w:t>Mas</w:t>
      </w:r>
      <w:r w:rsidR="00FF0413">
        <w:t>,</w:t>
      </w:r>
      <w:r w:rsidR="00755588" w:rsidRPr="00755588">
        <w:t xml:space="preserve"> </w:t>
      </w:r>
      <w:r w:rsidR="00D0143D">
        <w:t>enquanto cenário</w:t>
      </w:r>
      <w:r w:rsidR="00FF0413">
        <w:t xml:space="preserve">, </w:t>
      </w:r>
      <w:r w:rsidR="004F335F">
        <w:t xml:space="preserve">a arquitectura </w:t>
      </w:r>
      <w:r w:rsidR="00755588">
        <w:t xml:space="preserve">nacional-socialista </w:t>
      </w:r>
      <w:r w:rsidRPr="00755588">
        <w:t xml:space="preserve">foi estritamente funcional. </w:t>
      </w:r>
      <w:r w:rsidRPr="006552C5">
        <w:t xml:space="preserve">Alguns </w:t>
      </w:r>
      <w:r w:rsidR="00F674FA">
        <w:t xml:space="preserve">autores </w:t>
      </w:r>
      <w:r w:rsidRPr="006552C5">
        <w:t>censura</w:t>
      </w:r>
      <w:r w:rsidR="00F674FA">
        <w:t>ram</w:t>
      </w:r>
      <w:r w:rsidRPr="006552C5">
        <w:t xml:space="preserve"> a monotonia das esculturas produzidas durante o Terceiro Reich e lastima</w:t>
      </w:r>
      <w:r w:rsidR="00F674FA">
        <w:t>ram</w:t>
      </w:r>
      <w:r w:rsidRPr="006552C5">
        <w:t xml:space="preserve"> a insofrível banalidade das pinturas, mas vê</w:t>
      </w:r>
      <w:r>
        <w:t>e</w:t>
      </w:r>
      <w:r w:rsidRPr="006552C5">
        <w:t xml:space="preserve">m a questão pelo lado errado, porque essas obras não se destinavam a ser apreciadas sozinhas. </w:t>
      </w:r>
      <w:r w:rsidR="00D0143D" w:rsidRPr="006552C5">
        <w:t xml:space="preserve">Eram </w:t>
      </w:r>
      <w:r w:rsidRPr="006552C5">
        <w:t xml:space="preserve">adornos de uma encenação </w:t>
      </w:r>
      <w:r w:rsidR="00510A3F">
        <w:t>de conjunto</w:t>
      </w:r>
      <w:r w:rsidRPr="006552C5">
        <w:t xml:space="preserve">, a que a arquitectura presidia. </w:t>
      </w:r>
      <w:r w:rsidR="00F674FA" w:rsidRPr="006552C5">
        <w:t xml:space="preserve">Uma </w:t>
      </w:r>
      <w:r w:rsidRPr="006552C5">
        <w:t xml:space="preserve">arquitectura destinada a servir de quadro a uma política de massas tinha de </w:t>
      </w:r>
      <w:r w:rsidR="006F5B71">
        <w:t>t</w:t>
      </w:r>
      <w:r w:rsidRPr="006552C5">
        <w:t xml:space="preserve">er </w:t>
      </w:r>
      <w:r w:rsidR="006F5B71">
        <w:t xml:space="preserve">aquele tipo de </w:t>
      </w:r>
      <w:r w:rsidRPr="006552C5">
        <w:t>monumental</w:t>
      </w:r>
      <w:r w:rsidR="006F5B71">
        <w:t>idade e não outro</w:t>
      </w:r>
      <w:r w:rsidRPr="006552C5">
        <w:t xml:space="preserve">. </w:t>
      </w:r>
      <w:r w:rsidR="00F674FA">
        <w:t xml:space="preserve">Como observou um </w:t>
      </w:r>
      <w:r w:rsidR="00D0143D">
        <w:t>historiador</w:t>
      </w:r>
      <w:r w:rsidR="00F674FA">
        <w:t>,</w:t>
      </w:r>
      <w:r w:rsidR="00D0143D">
        <w:t xml:space="preserve"> </w:t>
      </w:r>
      <w:r w:rsidRPr="006552C5">
        <w:t>«o “monumentalismo” era inerente à conjugação da estética e do nacionalismo»</w:t>
      </w:r>
      <w:r w:rsidRPr="006552C5">
        <w:rPr>
          <w:rStyle w:val="Refdenotaderodap"/>
        </w:rPr>
        <w:footnoteReference w:id="240"/>
      </w:r>
      <w:r w:rsidRPr="006552C5">
        <w:t xml:space="preserve">. As paradas e os desfiles </w:t>
      </w:r>
      <w:r w:rsidR="004F335F">
        <w:t>deram</w:t>
      </w:r>
      <w:r w:rsidRPr="006552C5">
        <w:t xml:space="preserve"> o uso apropriado àquela arquitectura e àquela urbanização. «Uma característica especial destes edifícios», observ</w:t>
      </w:r>
      <w:r>
        <w:t>ou</w:t>
      </w:r>
      <w:r w:rsidRPr="006552C5">
        <w:t xml:space="preserve"> </w:t>
      </w:r>
      <w:r w:rsidR="00D0143D">
        <w:t>outro</w:t>
      </w:r>
      <w:r w:rsidRPr="006552C5">
        <w:t xml:space="preserve"> historiador, «era o papel que neles se reservava para as massas. As pessoas não haviam de os admirar como turistas, mas de os experimentar enquanto membros de formações militares. Organizadas e de uniforme, as massas forneceram à arquitectura nacional-socialista a “ornamentação” complementar de que ela necessitava»</w:t>
      </w:r>
      <w:r w:rsidRPr="006552C5">
        <w:rPr>
          <w:rStyle w:val="Refdenotaderodap"/>
        </w:rPr>
        <w:footnoteReference w:id="241"/>
      </w:r>
      <w:r w:rsidRPr="006552C5">
        <w:t xml:space="preserve">. A função da arte </w:t>
      </w:r>
      <w:r w:rsidR="00D0143D">
        <w:t>do Terceiro Reich</w:t>
      </w:r>
      <w:r w:rsidRPr="006552C5">
        <w:t xml:space="preserve"> consistiu em materializar, mais do que na pedra, na própria disciplina dos corpos a «vontade autoritária» do Führer, expressando a ordem política e a eternidade racial, o poder na permanência. Era a encenação colectiva de uma forma de vida. </w:t>
      </w:r>
    </w:p>
    <w:p w:rsidR="00A61D4E" w:rsidRPr="006552C5" w:rsidRDefault="00A61D4E" w:rsidP="00A61D4E">
      <w:r w:rsidRPr="006552C5">
        <w:t xml:space="preserve">Ao ler os seus diálogos com Albert Speer, fico tomado pela estranha ideia de que Hitler desejara conquistar o poder só para ter possibilidade de realizar os seus projectos arquitectónicos. Dias depois de vencida a França, </w:t>
      </w:r>
      <w:r w:rsidR="008A492F">
        <w:t xml:space="preserve">ele </w:t>
      </w:r>
      <w:r w:rsidRPr="006552C5">
        <w:t>foi passar algumas horas em Paris, exclusivamente ocupadas a visitar os monumentos que mais apreciava, acima de todos a Ópera, que tão bem conhecia por lhe ter estudado minuciosamente os planos, mas também o Arco do Triunfo, os Invalides, o Panthéon, o Sacré-Coeur. E confessou no final aos poucos que o acompanhavam: «Era o sonho da minha vida, poder visitar Paris. Nem imaginam como me sinto feliz hoje por ter realizado este sonho»</w:t>
      </w:r>
      <w:r w:rsidRPr="006552C5">
        <w:rPr>
          <w:rStyle w:val="Refdenotaderodap"/>
        </w:rPr>
        <w:footnoteReference w:id="242"/>
      </w:r>
      <w:r w:rsidRPr="006552C5">
        <w:t xml:space="preserve">. Para efectuar uma excursão de escassas horas, que estaria ao alcance de qualquer alemão mediamente pago, não se me afigura necessário desencadear a segunda guerra mundial. </w:t>
      </w:r>
      <w:r w:rsidR="00D3310C">
        <w:t xml:space="preserve">Bastaria a </w:t>
      </w:r>
      <w:r w:rsidR="00D3310C" w:rsidRPr="00D3310C">
        <w:rPr>
          <w:i/>
        </w:rPr>
        <w:t>Kraft durch Freude</w:t>
      </w:r>
      <w:r w:rsidR="00D3310C">
        <w:t xml:space="preserve">. </w:t>
      </w:r>
      <w:r w:rsidRPr="006552C5">
        <w:t xml:space="preserve">Mas este absurdo de tomar o poder e fazer a guerra só para dar livre curso à imaginação arquitectónica não era tão absurdo assim. O </w:t>
      </w:r>
      <w:r w:rsidR="006F5B71">
        <w:t>nacional-socialismo</w:t>
      </w:r>
      <w:r w:rsidRPr="006552C5">
        <w:t xml:space="preserve"> foi uma arquitectura porque concebeu o edifício como um </w:t>
      </w:r>
      <w:r w:rsidRPr="006552C5">
        <w:lastRenderedPageBreak/>
        <w:t xml:space="preserve">cenário. Na tradição da dicotomia romântica que separara a engenharia da arquitectura, o Terceiro Reich utilizou a proliferação das massas arquitectónicas para esconder o desinteresse ideológico pela infra-estrutura de engenharia. Mesmo as auto-estradas, usualmente </w:t>
      </w:r>
      <w:r w:rsidR="008A492F">
        <w:t>promovidas</w:t>
      </w:r>
      <w:r w:rsidRPr="006552C5">
        <w:t xml:space="preserve"> como a grande realização técnica do </w:t>
      </w:r>
      <w:r w:rsidR="008A492F">
        <w:t>Terceiro Reich</w:t>
      </w:r>
      <w:r w:rsidRPr="006552C5">
        <w:t>, eram traçadas de maneira a oferecer ao viajante os pontos de vista mais grandiosos, e por esta razão transformavam deliberadamente num cenário as aldeias e cidades que contornavam, reduziam a uma paisagem os campos que atravessavam, até converterem todo o país ao modelo do jardim pinturesco</w:t>
      </w:r>
      <w:r w:rsidRPr="006552C5">
        <w:rPr>
          <w:rStyle w:val="Refdenotaderodap"/>
        </w:rPr>
        <w:footnoteReference w:id="243"/>
      </w:r>
      <w:r w:rsidRPr="006552C5">
        <w:t>. «A auto-estrada alemã deve exprimir a paisagem que a rodeia», declarou Fritz Todt, Inspector Geral das Obras Públicas</w:t>
      </w:r>
      <w:r w:rsidRPr="006552C5">
        <w:rPr>
          <w:rStyle w:val="Refdenotaderodap"/>
        </w:rPr>
        <w:footnoteReference w:id="244"/>
      </w:r>
      <w:r w:rsidRPr="006552C5">
        <w:t>. E quando o Führer, nos infindáveis monólogos com que brindava os comensais, invocou a criação de comboios dispondo de carruagens de dois pisos, não se justificou com a necessidade de transportar um número crescente de passageiros, mas com o desejo de que «</w:t>
      </w:r>
      <w:r w:rsidR="00577478">
        <w:t>n</w:t>
      </w:r>
      <w:r w:rsidRPr="006552C5">
        <w:t>o andar superior, os viajantes tenham a possibilidade de contemplar a paisagem»</w:t>
      </w:r>
      <w:r w:rsidRPr="006552C5">
        <w:rPr>
          <w:rStyle w:val="Refdenotaderodap"/>
        </w:rPr>
        <w:footnoteReference w:id="245"/>
      </w:r>
      <w:r w:rsidRPr="006552C5">
        <w:t xml:space="preserve">. </w:t>
      </w:r>
    </w:p>
    <w:p w:rsidR="00A61D4E" w:rsidRPr="006552C5" w:rsidRDefault="00A61D4E" w:rsidP="00A61D4E">
      <w:r w:rsidRPr="006552C5">
        <w:t>As construções celebradas como monumentos</w:t>
      </w:r>
      <w:r>
        <w:t xml:space="preserve"> </w:t>
      </w:r>
      <w:r w:rsidRPr="006552C5">
        <w:t xml:space="preserve">serviram de encenação para fazer esquecer a falta de empenho artístico do regime em obras de implicação directamente produtiva, que ocasionassem um desenvolvimento </w:t>
      </w:r>
      <w:r w:rsidR="009010F2">
        <w:t xml:space="preserve">económico </w:t>
      </w:r>
      <w:r w:rsidR="006E014F">
        <w:t>independente</w:t>
      </w:r>
      <w:r w:rsidRPr="006552C5">
        <w:t xml:space="preserve"> da produção militar. </w:t>
      </w:r>
      <w:r w:rsidR="00481A2A" w:rsidRPr="006552C5">
        <w:t>Hitler, que dedicava tanto do seu tempo ao desenho de edifícios, ocupou-se apenas com construções de aparato, e a sua indiferença pelas obras de carácter técnico era tão grande que nas poucas vezes em que lhe mostraram este tipo de projectos praticamente não os viu</w:t>
      </w:r>
      <w:r w:rsidR="00481A2A" w:rsidRPr="006552C5">
        <w:rPr>
          <w:rStyle w:val="Refdenotaderodap"/>
        </w:rPr>
        <w:footnoteReference w:id="246"/>
      </w:r>
      <w:r w:rsidR="00481A2A" w:rsidRPr="006552C5">
        <w:t xml:space="preserve">. </w:t>
      </w:r>
      <w:r w:rsidR="009010F2">
        <w:t>O</w:t>
      </w:r>
      <w:r w:rsidRPr="006552C5">
        <w:t xml:space="preserve">s edifícios administrativos correntes e as habitações para trabalhadores </w:t>
      </w:r>
      <w:r w:rsidR="009010F2">
        <w:t xml:space="preserve">obedeciam a um </w:t>
      </w:r>
      <w:r w:rsidRPr="006552C5">
        <w:t>pragmatismo que, se pode parecer funcional por ser desprovido de grandiloquência, era verdadeiramente antifuncionalista porque ocultava a concatenação da estrutura sob a banalidade da aparência. Mais interessante é o caso da arquitectura industrial e d</w:t>
      </w:r>
      <w:r w:rsidR="009010F2">
        <w:t xml:space="preserve">o fabrico </w:t>
      </w:r>
      <w:r w:rsidRPr="006552C5">
        <w:t xml:space="preserve">de certos bens de consumo destinados ao grande público, </w:t>
      </w:r>
      <w:r w:rsidR="008A3979">
        <w:t>em que</w:t>
      </w:r>
      <w:r w:rsidRPr="006552C5">
        <w:t xml:space="preserve"> continuou a ser aplicado o estilo que nos outros domínios fora banido como degenerado. Muitas vezes eram as próprias empresas que, obedecendo a imperativos económicos e contrariando as orientações proclamadas pela direcção do NSDAP, impunham aos seus produtos um desenho funcionalista</w:t>
      </w:r>
      <w:r w:rsidRPr="006552C5">
        <w:rPr>
          <w:rStyle w:val="Refdenotaderodap"/>
        </w:rPr>
        <w:footnoteReference w:id="247"/>
      </w:r>
      <w:r w:rsidRPr="006552C5">
        <w:t xml:space="preserve">. Tratar-se-ia de uma resistência do capitalismo ao metacapitalismo ideológico? </w:t>
      </w:r>
    </w:p>
    <w:p w:rsidR="00A61D4E" w:rsidRPr="006552C5" w:rsidRDefault="00A61D4E" w:rsidP="00A61D4E">
      <w:r w:rsidRPr="006552C5">
        <w:t xml:space="preserve">Se assim foi, no campo estético a contradição estava resolvida de antemão, pois </w:t>
      </w:r>
      <w:r>
        <w:t>o</w:t>
      </w:r>
      <w:r w:rsidRPr="006552C5">
        <w:t xml:space="preserve"> </w:t>
      </w:r>
      <w:r w:rsidR="00302A8C">
        <w:t xml:space="preserve">que restava do </w:t>
      </w:r>
      <w:r w:rsidRPr="006552C5">
        <w:rPr>
          <w:i/>
        </w:rPr>
        <w:t>design</w:t>
      </w:r>
      <w:r w:rsidRPr="006552C5">
        <w:t xml:space="preserve"> inspirado pelas vanguardas da década de 1920 não representou </w:t>
      </w:r>
      <w:r w:rsidR="005B247F">
        <w:t>nenhuma</w:t>
      </w:r>
      <w:r w:rsidRPr="006552C5">
        <w:t xml:space="preserve"> sobrevivência de uma corrente estilística </w:t>
      </w:r>
      <w:r w:rsidR="005B247F">
        <w:t>independente</w:t>
      </w:r>
      <w:r w:rsidRPr="006552C5">
        <w:t xml:space="preserve">. Absorvidas pelo contexto dominante, as </w:t>
      </w:r>
      <w:r w:rsidRPr="006552C5">
        <w:lastRenderedPageBreak/>
        <w:t>realizações industriais tornaram-se um elemento subsidiário do monumentalismo. Um estudios</w:t>
      </w:r>
      <w:r w:rsidR="009C0672">
        <w:t>o</w:t>
      </w:r>
      <w:r w:rsidRPr="006552C5">
        <w:t xml:space="preserve"> destas questões critic</w:t>
      </w:r>
      <w:r>
        <w:t>ou</w:t>
      </w:r>
      <w:r w:rsidRPr="006552C5">
        <w:t xml:space="preserve"> aqueles autores que pretendem que «a consciência nacional-socialista se teria detido no limiar do </w:t>
      </w:r>
      <w:r w:rsidRPr="006552C5">
        <w:rPr>
          <w:i/>
        </w:rPr>
        <w:t>design</w:t>
      </w:r>
      <w:r w:rsidRPr="006552C5">
        <w:t xml:space="preserve"> dos objectos de uso corrente. Isso seria dar um exagerado valor ao significado da forma pura, porque o domínio exercido sobre todos os meios de comunicação [...] podia determinar de maneira tão definitiva o contexto e, portanto, o significado das formas, que elas próprias se tornavam meios de doutrinamento sem terem para isso de adoptar as mesmas conotações estilísticas que a arquitectura de aparato nacional-socialista»</w:t>
      </w:r>
      <w:r w:rsidRPr="006552C5">
        <w:rPr>
          <w:rStyle w:val="Refdenotaderodap"/>
        </w:rPr>
        <w:footnoteReference w:id="248"/>
      </w:r>
      <w:r w:rsidRPr="006552C5">
        <w:t>. Não eram as realizações práticas da indústria civil que os discursos, os documentários cinematográficos, os jornais e revistas, as exposições celebravam. Se a monumentalidade dos maiores edifícios públicos constituía por si mesma uma propaganda, os outros edifícios eram escamoteados por detrás da propaganda de uma propaganda, pois o que em seu lugar as fotografias de imprensa divulgavam eram maquetes de que jamais resultaram alicerces ou exemplos de habitações erguidos exclusivamente para exposição. «Eram estes complexos-modelo, e não as realizações comuns e muito menos atraentes da arquitectura residencial nazi, que apareciam com muita frequência nas publicações oficiais, onde eram apresentados como se fossem exemplos de toda a arquitectura nazi em geral»</w:t>
      </w:r>
      <w:r w:rsidRPr="006552C5">
        <w:rPr>
          <w:rStyle w:val="Refdenotaderodap"/>
        </w:rPr>
        <w:footnoteReference w:id="249"/>
      </w:r>
      <w:r w:rsidRPr="006552C5">
        <w:t xml:space="preserve">. Nos edifícios, como na linguagem, o nacional-socialismo navegou entre a pompa e o lugar-comum. A arquitectura foi para Hitler a forma sólida assumida pela propaganda, entendida, como sempre no fascismo, como inversão e máscara da prática. À realidade social e material substituíram-se as ficções do espírito. A arquitectura de aparato hitleriana foi a transmutação do sonho em pedra, e se é certo que «o sono da razão produz monstros», temos aqui a explicação daqueles edifícios de pesadelo. </w:t>
      </w:r>
    </w:p>
    <w:p w:rsidR="00A61D4E" w:rsidRPr="006552C5" w:rsidRDefault="00A61D4E" w:rsidP="00200FD9">
      <w:r w:rsidRPr="006552C5">
        <w:t>Há uma passagem perturbante num longo discurso feito por Hitler aos seus principais generais da frente ocidental, em 28 de Dezembro de 1944, a escassos meses do fim</w:t>
      </w:r>
      <w:r w:rsidR="00816119">
        <w:t>:</w:t>
      </w:r>
      <w:r w:rsidRPr="006552C5">
        <w:t xml:space="preserve"> «[...] não devem concluir que sequer por um instante eu imagine a possibilidade de uma derrota nesta guerra [...] Eu nunca aprendi o significado da palavra “capitulação” [...] No que me diz respeito, a situação actual nada traz de novo. Já estive em situações muitíssimo piores»</w:t>
      </w:r>
      <w:r w:rsidRPr="006552C5">
        <w:rPr>
          <w:rStyle w:val="Refdenotaderodap"/>
        </w:rPr>
        <w:footnoteReference w:id="250"/>
      </w:r>
      <w:r w:rsidRPr="006552C5">
        <w:t xml:space="preserve">. Aliás, tanto repetiu este tema que ele se tornou o seu refrão nos últimos tempos. O problema, porém, não consistia em saber se Hitler já tinha atravessado piores momentos, mas se a Alemanha já o teria. Tal como a arquitectura materializava o delírio da vontade do Führer, também a situação militar foi apresentada como sua emanação. </w:t>
      </w:r>
      <w:r w:rsidR="00DB00B1" w:rsidRPr="00DB00B1">
        <w:t xml:space="preserve">Nas </w:t>
      </w:r>
      <w:r w:rsidR="00DB00B1" w:rsidRPr="009757C2">
        <w:rPr>
          <w:i/>
        </w:rPr>
        <w:t>Memórias</w:t>
      </w:r>
      <w:r w:rsidR="00DB00B1" w:rsidRPr="00DB00B1">
        <w:t xml:space="preserve"> redigidas na prisão, enquanto aguardava que os vencedores o enforcassem, Rosenberg observ</w:t>
      </w:r>
      <w:r w:rsidR="00DB00B1">
        <w:t xml:space="preserve">ou, referindo-se a Hitler, «a </w:t>
      </w:r>
      <w:r w:rsidR="00DB00B1">
        <w:lastRenderedPageBreak/>
        <w:t>identificação da sua própria vontade e do seu próprio destino com os da nação como um todo»</w:t>
      </w:r>
      <w:r w:rsidR="009757C2">
        <w:rPr>
          <w:rStyle w:val="Refdenotaderodap"/>
        </w:rPr>
        <w:footnoteReference w:id="251"/>
      </w:r>
      <w:r w:rsidR="00DB00B1">
        <w:t xml:space="preserve">. </w:t>
      </w:r>
      <w:r w:rsidR="00434ECC" w:rsidRPr="006552C5">
        <w:t>«Mesmo chegado ao cume do poder», escreveu, depois de terminad</w:t>
      </w:r>
      <w:r w:rsidR="007E1C5B">
        <w:t>a a guerra</w:t>
      </w:r>
      <w:r w:rsidR="00434ECC" w:rsidRPr="006552C5">
        <w:t xml:space="preserve">, o general Franz Halder, que fora chefe do estado-maior do exército desde Setembro de 1938 até ser demitido quatro anos mais tarde, «não existia para ele a Alemanha, não existiam tropas alemãs pelas quais se sentisse responsável. Para ele havia apenas uma grandeza </w:t>
      </w:r>
      <w:r w:rsidR="00434ECC">
        <w:t>—</w:t>
      </w:r>
      <w:r w:rsidR="00434ECC" w:rsidRPr="006552C5">
        <w:t xml:space="preserve"> subconscientemente primeiro, mas nos últimos anos com plena consciência </w:t>
      </w:r>
      <w:r w:rsidR="00434ECC">
        <w:t>—</w:t>
      </w:r>
      <w:r w:rsidR="00434ECC" w:rsidRPr="006552C5">
        <w:t xml:space="preserve"> uma grandeza que dominou a sua vida e à qual o seu génio maligno sacrificou tudo </w:t>
      </w:r>
      <w:r w:rsidR="00434ECC">
        <w:t>—</w:t>
      </w:r>
      <w:r w:rsidR="00434ECC" w:rsidRPr="006552C5">
        <w:t xml:space="preserve"> o seu próprio ego»</w:t>
      </w:r>
      <w:r w:rsidR="00434ECC" w:rsidRPr="006552C5">
        <w:rPr>
          <w:rStyle w:val="Refdenotaderodap"/>
        </w:rPr>
        <w:footnoteReference w:id="252"/>
      </w:r>
      <w:r w:rsidR="00434ECC" w:rsidRPr="006552C5">
        <w:t xml:space="preserve">. </w:t>
      </w:r>
      <w:r w:rsidR="00200FD9">
        <w:t>E o fascista britânico Sir Oswald Mosley, que conhece</w:t>
      </w:r>
      <w:r w:rsidR="00F04F4E">
        <w:t>ra</w:t>
      </w:r>
      <w:r w:rsidR="00200FD9">
        <w:t xml:space="preserve"> Hitler de diversas maneiras, escreveu depois da guerra que «ele padecia num grau extremo daquilo a que os gregos clássicos chamavam </w:t>
      </w:r>
      <w:r w:rsidR="00200FD9" w:rsidRPr="00F04F4E">
        <w:rPr>
          <w:i/>
        </w:rPr>
        <w:t>hubris,</w:t>
      </w:r>
      <w:r w:rsidR="00200FD9">
        <w:t xml:space="preserve"> a convicção de que o homem pode usurpar o luga</w:t>
      </w:r>
      <w:r w:rsidR="00F04F4E">
        <w:t>r</w:t>
      </w:r>
      <w:r w:rsidR="00200FD9">
        <w:t xml:space="preserve"> dos deuses</w:t>
      </w:r>
      <w:r w:rsidR="00F04F4E">
        <w:t>,</w:t>
      </w:r>
      <w:r w:rsidR="00200FD9">
        <w:t xml:space="preserve"> determinando completamente o seu próprio destino e o dos outros»</w:t>
      </w:r>
      <w:r w:rsidR="00F04F4E">
        <w:rPr>
          <w:rStyle w:val="Refdenotaderodap"/>
        </w:rPr>
        <w:footnoteReference w:id="253"/>
      </w:r>
      <w:r w:rsidR="00200FD9">
        <w:t xml:space="preserve">. </w:t>
      </w:r>
      <w:r w:rsidR="00DB00B1" w:rsidRPr="006B293F">
        <w:t xml:space="preserve">O Führer </w:t>
      </w:r>
      <w:r w:rsidRPr="006552C5">
        <w:t xml:space="preserve">considerava os mecanismos do poder não como um meio para impor decisões mas como uma mera extensão da sua vontade, no sentido espiritual do termo, de maneira que todo o mundo real teria sido absorvido pela sua acção psíquica. </w:t>
      </w:r>
      <w:r w:rsidR="005B271F" w:rsidRPr="00F74C02">
        <w:t xml:space="preserve">Se </w:t>
      </w:r>
      <w:r w:rsidR="005B271F">
        <w:t>for possível</w:t>
      </w:r>
      <w:r w:rsidR="005B271F" w:rsidRPr="00F74C02">
        <w:t xml:space="preserve"> acreditar em Otto Strasser quando nos contou que </w:t>
      </w:r>
      <w:r w:rsidR="005B271F">
        <w:t xml:space="preserve">algum tempo antes da ruptura final </w:t>
      </w:r>
      <w:r w:rsidR="008B3CC0">
        <w:t xml:space="preserve">dissera </w:t>
      </w:r>
      <w:r w:rsidR="005B271F">
        <w:t>a Hitler que os argumentos que invocava estavam errados e Hitler respondera «Eu não posso estar errado, o que digo e faço é histórico»</w:t>
      </w:r>
      <w:r w:rsidR="005B271F">
        <w:rPr>
          <w:rStyle w:val="Refdenotaderodap"/>
        </w:rPr>
        <w:footnoteReference w:id="254"/>
      </w:r>
      <w:r w:rsidR="005B271F">
        <w:t xml:space="preserve">, então a objecção tem um sentido filosófico e estético que escapou ao memorialista. </w:t>
      </w:r>
      <w:r w:rsidRPr="006552C5">
        <w:t>«Nenhuma das artes tradicionais, literatura, pintura, escultura ou arquitectura, foi capaz de representar o sonho hitleriano da grande Alemanha», observou alguém especialmente interessado por este assunto. «Tratava-se da vontade de expressão de uma arte oficial, produzida por Hitler, cuja carreira de político e de diplomata só pode ser compreendida se não esquecermos que começou como artista. Tudo, portanto, estava ao serviço de uma vontade de grandeza e de poder, utilizando os meios que esse século forneceu para os grandes movimentos de massas»</w:t>
      </w:r>
      <w:r w:rsidRPr="006552C5">
        <w:rPr>
          <w:rStyle w:val="Refdenotaderodap"/>
        </w:rPr>
        <w:footnoteReference w:id="255"/>
      </w:r>
      <w:r w:rsidRPr="006552C5">
        <w:t xml:space="preserve">. </w:t>
      </w:r>
      <w:r w:rsidR="00816119">
        <w:t xml:space="preserve">Para empregar os termos de </w:t>
      </w:r>
      <w:r w:rsidR="00CB3586">
        <w:t xml:space="preserve">Giovanni </w:t>
      </w:r>
      <w:r w:rsidR="00816119">
        <w:t xml:space="preserve">Gentile, </w:t>
      </w:r>
      <w:r w:rsidR="00816119" w:rsidRPr="006552C5">
        <w:t xml:space="preserve">a </w:t>
      </w:r>
      <w:r w:rsidRPr="006552C5">
        <w:t xml:space="preserve">acção, concebida enquanto estética, serviria para converter o processo histórico numa emanação </w:t>
      </w:r>
      <w:r w:rsidR="00816119">
        <w:t xml:space="preserve">do </w:t>
      </w:r>
      <w:r w:rsidR="00816119" w:rsidRPr="00CB3586">
        <w:rPr>
          <w:i/>
        </w:rPr>
        <w:t>pensamento pensante</w:t>
      </w:r>
      <w:r w:rsidR="00816119">
        <w:t xml:space="preserve"> </w:t>
      </w:r>
      <w:r w:rsidRPr="006552C5">
        <w:t xml:space="preserve">do Führer. O nacional-socialismo, tal como Hitler o praticou, foi um idealismo absoluto e é neste sentido que devemos interpretá-lo enquanto estética. A realidade como resultado da actividade criadora do espírito, de um espírito, o do próprio Führer, era esta a doutrina artística. E a transformação das massas em obra de arte, era este o sentido último da política. Não nos iludamos. Sem os grandes desfiles, sem a colossal encenação de multidões jamais o </w:t>
      </w:r>
      <w:r w:rsidR="0050513A">
        <w:t xml:space="preserve">nacional-socialismo </w:t>
      </w:r>
      <w:r w:rsidRPr="006552C5">
        <w:t xml:space="preserve">poderia ter existido e sobrevivido, mas não </w:t>
      </w:r>
      <w:r w:rsidRPr="006552C5">
        <w:lastRenderedPageBreak/>
        <w:t xml:space="preserve">era essa a suprema obra de arte que o Terceiro Reich ambicionava. A encenação seria levada muito além da mera disciplina dos corpos, penetrá-los-ia até lhes conferir outra identidade biológica. O Führer devia ser um artista, porque a obra de arte suprema consistia em criar sobre um povo uma raça. </w:t>
      </w:r>
    </w:p>
    <w:p w:rsidR="00A61D4E" w:rsidRPr="006552C5" w:rsidRDefault="00A61D4E" w:rsidP="00A61D4E">
      <w:r w:rsidRPr="006552C5">
        <w:t>Tratava-se do mito ovidiano de Pigmaleão e Galatea. Se, na sua intuição, o Führer era o depositário dos mais puros impulsos do sangue e se era dele que emanava a vontade de a raça nórdica se purificar e sobreviver, então era ele a dar vida ao material informe. «As massas não são para nós senão um material informe», anotara Goebbels no seu diário</w:t>
      </w:r>
      <w:r w:rsidRPr="006552C5">
        <w:rPr>
          <w:rStyle w:val="Refdenotaderodap"/>
        </w:rPr>
        <w:footnoteReference w:id="256"/>
      </w:r>
      <w:r w:rsidRPr="006552C5">
        <w:t>. Nestes termos o Führer não seria apenas um artista, mas o supremo criador, e a selecção da espécie constituiria uma arquitectura biológica, a mais importante de todas. Como observou um dos primeiros historiadores do nacional-socialismo, os alemães eram considerados pelos seus novos chefes como «um povo para heróis e não um povo de heróis»</w:t>
      </w:r>
      <w:r w:rsidRPr="006552C5">
        <w:rPr>
          <w:rStyle w:val="Refdenotaderodap"/>
        </w:rPr>
        <w:footnoteReference w:id="257"/>
      </w:r>
      <w:r w:rsidRPr="006552C5">
        <w:t xml:space="preserve">. Os campos de concentração, as Leis de Nuremberga, o genocídio dos judeus, a escravização dos eslavos foram os meios necessários para dar àquela idealização estética da vontade uma expressão biológica. A Hitler cabia soprar o barro. Se não era Deus, era pelo menos demiurgo. </w:t>
      </w:r>
    </w:p>
    <w:p w:rsidR="00A61D4E" w:rsidRPr="006552C5" w:rsidRDefault="00A61D4E" w:rsidP="00C62CE2">
      <w:pPr>
        <w:keepNext/>
        <w:spacing w:before="720" w:after="360"/>
        <w:ind w:firstLine="0"/>
        <w:jc w:val="center"/>
        <w:rPr>
          <w:b/>
          <w:sz w:val="28"/>
        </w:rPr>
      </w:pPr>
      <w:r w:rsidRPr="006552C5">
        <w:rPr>
          <w:b/>
          <w:sz w:val="28"/>
        </w:rPr>
        <w:t>6. A estética como divertimento cruel</w:t>
      </w:r>
    </w:p>
    <w:p w:rsidR="00D117B1" w:rsidRPr="00B272CC" w:rsidRDefault="00871DF9" w:rsidP="00A61D4E">
      <w:r>
        <w:t xml:space="preserve">Explicando </w:t>
      </w:r>
      <w:r w:rsidR="00D117B1">
        <w:t xml:space="preserve">a atracção estética que </w:t>
      </w:r>
      <w:r w:rsidR="008F001C">
        <w:t xml:space="preserve">o levou ao </w:t>
      </w:r>
      <w:r w:rsidR="00D117B1">
        <w:t xml:space="preserve">fascismo, Lucien Rebatet deu como exemplo a sangrenta repressão ordenada por Hitler na noite de Junho para Julho de 1934, e o seu amigo </w:t>
      </w:r>
      <w:r>
        <w:t xml:space="preserve">e correligionário </w:t>
      </w:r>
      <w:r w:rsidR="00D117B1">
        <w:t xml:space="preserve">Pierre-Antoine Cousteau concordou: «Efectivamente, </w:t>
      </w:r>
      <w:r w:rsidR="00217C57">
        <w:t>estava</w:t>
      </w:r>
      <w:r w:rsidR="00D117B1">
        <w:t xml:space="preserve"> em </w:t>
      </w:r>
      <w:r w:rsidR="008F001C">
        <w:t xml:space="preserve">flagrante </w:t>
      </w:r>
      <w:r w:rsidR="00D117B1">
        <w:t xml:space="preserve">contradição com a estética de uma repressão democrática». «Eu», continuou Rebatet, «vi aquele chefe </w:t>
      </w:r>
      <w:r w:rsidR="008F001C">
        <w:t>precipitando-se</w:t>
      </w:r>
      <w:r w:rsidR="00D117B1">
        <w:t xml:space="preserve"> </w:t>
      </w:r>
      <w:r w:rsidR="00582E0C">
        <w:t xml:space="preserve">sobre os culpados </w:t>
      </w:r>
      <w:r w:rsidR="00D117B1">
        <w:t xml:space="preserve">como uma águia, </w:t>
      </w:r>
      <w:r w:rsidR="00217C57">
        <w:t>ag</w:t>
      </w:r>
      <w:r>
        <w:t>i</w:t>
      </w:r>
      <w:r w:rsidR="00217C57">
        <w:t xml:space="preserve">ndo </w:t>
      </w:r>
      <w:r w:rsidR="0058167D">
        <w:t xml:space="preserve">ele próprio. </w:t>
      </w:r>
      <w:r>
        <w:t xml:space="preserve">E ouvi </w:t>
      </w:r>
      <w:r w:rsidR="0058167D">
        <w:t xml:space="preserve">os trombones da </w:t>
      </w:r>
      <w:r w:rsidR="0058167D" w:rsidRPr="00D6733F">
        <w:rPr>
          <w:i/>
        </w:rPr>
        <w:t>Valquíria</w:t>
      </w:r>
      <w:r w:rsidR="0058167D">
        <w:t xml:space="preserve">. [...] </w:t>
      </w:r>
      <w:r w:rsidR="00D23AF7">
        <w:t xml:space="preserve">já que existia um wagnerismo hitleriano, </w:t>
      </w:r>
      <w:r w:rsidR="00C86D5F">
        <w:t xml:space="preserve">era muito difícil </w:t>
      </w:r>
      <w:r>
        <w:t>permanecer</w:t>
      </w:r>
      <w:r w:rsidR="008B3F04">
        <w:t>-lhe</w:t>
      </w:r>
      <w:r>
        <w:t xml:space="preserve"> indiferente</w:t>
      </w:r>
      <w:r w:rsidR="003368BD">
        <w:t>»</w:t>
      </w:r>
      <w:r w:rsidR="004D175F">
        <w:rPr>
          <w:rStyle w:val="Refdenotaderodap"/>
        </w:rPr>
        <w:footnoteReference w:id="258"/>
      </w:r>
      <w:r w:rsidR="003368BD">
        <w:t xml:space="preserve">. </w:t>
      </w:r>
      <w:r w:rsidR="00B272CC" w:rsidRPr="00B272CC">
        <w:t>Até então h</w:t>
      </w:r>
      <w:r w:rsidR="00B272CC">
        <w:t xml:space="preserve">ouvera quem evocasse o assassinato como arte, mas operava agora uma sedução nova, a estética do morticínio. </w:t>
      </w:r>
    </w:p>
    <w:p w:rsidR="00A61D4E" w:rsidRPr="006552C5" w:rsidRDefault="00A61D4E" w:rsidP="00A61D4E">
      <w:r w:rsidRPr="006552C5">
        <w:t xml:space="preserve">Curzio Malaparte foi </w:t>
      </w:r>
      <w:r w:rsidR="00195DC2">
        <w:t>—</w:t>
      </w:r>
      <w:r w:rsidRPr="006552C5">
        <w:t xml:space="preserve"> era-o sempre </w:t>
      </w:r>
      <w:r w:rsidR="00195DC2">
        <w:t>—</w:t>
      </w:r>
      <w:r w:rsidRPr="006552C5">
        <w:t xml:space="preserve"> muito perceptivo ao descrever Hans Frank, o jurista encarregado do Governo-Geral dos </w:t>
      </w:r>
      <w:r w:rsidR="001B2D7B" w:rsidRPr="006552C5">
        <w:t>territórios polacos ocupados</w:t>
      </w:r>
      <w:r w:rsidRPr="006552C5">
        <w:t xml:space="preserve">, a tocar admiravelmente </w:t>
      </w:r>
      <w:r w:rsidRPr="006552C5">
        <w:lastRenderedPageBreak/>
        <w:t xml:space="preserve">uma sonata de Beethoven ou um prelúdio de Chopin e a acompanhar depois os seus convidados numa expedição de caça em que os alvos eram judeuzitos famintos que tentavam, rastejando por orifícios cavados na muralha, obter fora do </w:t>
      </w:r>
      <w:r w:rsidRPr="006552C5">
        <w:rPr>
          <w:i/>
        </w:rPr>
        <w:t>ghetto</w:t>
      </w:r>
      <w:r w:rsidRPr="006552C5">
        <w:t xml:space="preserve"> de Varsóvia algo para se sustentarem. «O mal-estar que sempre senti na sua presença vinha precisamente da enorme complexidade do seu carácter, uma singular mistura de inteligência cruel, de subtileza e de vulgaridade, de cinismo brutal e sensibilidade requintada. [...] apercebia-me instintivamente de que as raízes da sua cruel inteligência, da sua sensibilidade musical requintada, tocavam o fundo mórbido, e em certo sentido criminoso, do seu carácter»</w:t>
      </w:r>
      <w:r w:rsidRPr="006552C5">
        <w:rPr>
          <w:rStyle w:val="Refdenotaderodap"/>
        </w:rPr>
        <w:footnoteReference w:id="259"/>
      </w:r>
      <w:r w:rsidRPr="006552C5">
        <w:t xml:space="preserve">. </w:t>
      </w:r>
    </w:p>
    <w:p w:rsidR="00A61D4E" w:rsidRPr="006552C5" w:rsidRDefault="00A61D4E" w:rsidP="00A61D4E">
      <w:r w:rsidRPr="006552C5">
        <w:t>Um sociólogo que padeceu e viu muita coisa observ</w:t>
      </w:r>
      <w:r>
        <w:t>ou</w:t>
      </w:r>
      <w:r w:rsidRPr="006552C5">
        <w:t xml:space="preserve"> que «os SS tinham uma maneira inimitável de colar etiquetas românticas na morte que infligiam aos outros»</w:t>
      </w:r>
      <w:r w:rsidRPr="006552C5">
        <w:rPr>
          <w:rStyle w:val="Refdenotaderodap"/>
        </w:rPr>
        <w:footnoteReference w:id="260"/>
      </w:r>
      <w:r w:rsidRPr="006552C5">
        <w:t>. Nesta ética de raiz schopenhaueriana</w:t>
      </w:r>
      <w:r w:rsidRPr="006552C5">
        <w:rPr>
          <w:rStyle w:val="Refdenotaderodap"/>
        </w:rPr>
        <w:footnoteReference w:id="261"/>
      </w:r>
      <w:r w:rsidRPr="006552C5">
        <w:t xml:space="preserve">, a estética era uma atitude de distância, a única possível para que os carrascos não se sentissem ainda mais abjectos do que a mais humilhada das vítimas, a distância que, despersonalizando o sofrimento alheio, o converte em jogo de prazer. </w:t>
      </w:r>
      <w:r w:rsidRPr="0004114F">
        <w:t xml:space="preserve">Quando o ressentimento toma o lugar da hostilidade de classe, a violência revolucionária é substituída pela crueldade. </w:t>
      </w:r>
      <w:r w:rsidRPr="006552C5">
        <w:t>Vittorio Mussolini, filho do Duce, aviador na guerra da Abissínia contra inimigos que não dispunham de aparelhos de caça nem de verdadeiros canhões antiaéreos, despejando gazes tóxicos e bombas incendiárias sobre uma população indefesa e chacinando etíopes que ele classificava como «animais», record</w:t>
      </w:r>
      <w:r>
        <w:t>ou</w:t>
      </w:r>
      <w:r w:rsidRPr="006552C5">
        <w:t xml:space="preserve"> algum tempo depois, num livro de </w:t>
      </w:r>
      <w:r w:rsidR="008121B9" w:rsidRPr="006552C5">
        <w:t>Memórias</w:t>
      </w:r>
      <w:r w:rsidRPr="006552C5">
        <w:t>: «Era um trabalho muito divertido, de um efeito trágico, mas de grande beleza»</w:t>
      </w:r>
      <w:r w:rsidRPr="006552C5">
        <w:rPr>
          <w:rStyle w:val="Refdenotaderodap"/>
        </w:rPr>
        <w:footnoteReference w:id="262"/>
      </w:r>
      <w:r w:rsidRPr="006552C5">
        <w:t xml:space="preserve">. Estéticas há muitas, e os fascistas amaram só uma delas, a da violência enquanto dança. Para eles a permanente palestra com a morte nada teve de mística. Negar à vítima a sua personalidade é a forma extrema da indiferença, e foi esta conjugação da violência com a indiferença que caracterizou o comportamento estético dos fascistas. A coragem que podiam demonstrar não resultava de uma abnegação a oferecer-se enquanto exemplo histórico, mas da ironia perante o perigo a </w:t>
      </w:r>
      <w:r w:rsidRPr="006552C5">
        <w:lastRenderedPageBreak/>
        <w:t xml:space="preserve">transformar o heroísmo num cruel divertimento. Era, uma vez mais, uma pose de </w:t>
      </w:r>
      <w:r w:rsidRPr="006552C5">
        <w:rPr>
          <w:i/>
        </w:rPr>
        <w:t>dandy,</w:t>
      </w:r>
      <w:r w:rsidRPr="006552C5">
        <w:t xml:space="preserve"> para quem a coragem não era um empenho mas uma atitude. </w:t>
      </w:r>
    </w:p>
    <w:p w:rsidR="00A61D4E" w:rsidRPr="006552C5" w:rsidRDefault="00A61D4E" w:rsidP="00A61D4E">
      <w:r w:rsidRPr="006552C5">
        <w:t xml:space="preserve">Ficam claros assim tantas palavras de ordem, símbolos ou nomes de jornais. Aquando da reorganização das milícias fascistas no sul da Toscana, em Setembro de 1921, as </w:t>
      </w:r>
      <w:r w:rsidRPr="006552C5">
        <w:rPr>
          <w:i/>
        </w:rPr>
        <w:t>squadre</w:t>
      </w:r>
      <w:r w:rsidRPr="006552C5">
        <w:t xml:space="preserve"> destinadas às acções de assalto foram denominadas </w:t>
      </w:r>
      <w:r w:rsidRPr="006552C5">
        <w:rPr>
          <w:i/>
        </w:rPr>
        <w:t>Disperate,</w:t>
      </w:r>
      <w:r w:rsidRPr="006552C5">
        <w:t xml:space="preserve"> as «desesperadas»</w:t>
      </w:r>
      <w:r w:rsidRPr="006552C5">
        <w:rPr>
          <w:rStyle w:val="Refdenotaderodap"/>
        </w:rPr>
        <w:footnoteReference w:id="263"/>
      </w:r>
      <w:r w:rsidRPr="006552C5">
        <w:t>, sem outro horizonte senão a violenta exaltação do ódio. E a caveira com as tíbias cruzadas, sinal da morte, com que os legionários de D’Annunzio haviam decorado em Fiume as suas camisas negras</w:t>
      </w:r>
      <w:r w:rsidRPr="006552C5">
        <w:rPr>
          <w:rStyle w:val="Refdenotaderodap"/>
        </w:rPr>
        <w:footnoteReference w:id="264"/>
      </w:r>
      <w:r w:rsidRPr="006552C5">
        <w:t>, distinguiram também os primeiros SS e depois as suas formações especiais encarregadas da vigilância nos campos de concentração</w:t>
      </w:r>
      <w:r w:rsidRPr="006552C5">
        <w:rPr>
          <w:rStyle w:val="Refdenotaderodap"/>
        </w:rPr>
        <w:footnoteReference w:id="265"/>
      </w:r>
      <w:r w:rsidRPr="006552C5">
        <w:t xml:space="preserve">, anunciando a morte alheia espalhada por estes novos senhores de raça. Em Espanha, </w:t>
      </w:r>
      <w:r w:rsidRPr="006552C5">
        <w:rPr>
          <w:i/>
        </w:rPr>
        <w:t>No Importa</w:t>
      </w:r>
      <w:r w:rsidRPr="006552C5">
        <w:t xml:space="preserve"> era o título do boletim publicado clandestinamente pela Falange quando a organização estava proibida e os dirigentes presos, nas vésperas da eclosão da guerra civil</w:t>
      </w:r>
      <w:r w:rsidRPr="006552C5">
        <w:rPr>
          <w:rStyle w:val="Refdenotaderodap"/>
        </w:rPr>
        <w:footnoteReference w:id="266"/>
      </w:r>
      <w:r w:rsidRPr="006552C5">
        <w:t xml:space="preserve">, o que soa como um claro eco do </w:t>
      </w:r>
      <w:r w:rsidRPr="006552C5">
        <w:rPr>
          <w:i/>
        </w:rPr>
        <w:t>«me ne frego»</w:t>
      </w:r>
      <w:r w:rsidRPr="006552C5">
        <w:t xml:space="preserve"> das milícias mussolinianas, a mesma divisa que um </w:t>
      </w:r>
      <w:r w:rsidRPr="006552C5">
        <w:rPr>
          <w:i/>
        </w:rPr>
        <w:t>squadrista</w:t>
      </w:r>
      <w:r w:rsidRPr="006552C5">
        <w:t xml:space="preserve"> havia escrito com o próprio sangue nos panos que lhe envolviam a ferida</w:t>
      </w:r>
      <w:r w:rsidRPr="006552C5">
        <w:rPr>
          <w:rStyle w:val="Refdenotaderodap"/>
        </w:rPr>
        <w:footnoteReference w:id="267"/>
      </w:r>
      <w:r w:rsidRPr="006552C5">
        <w:t xml:space="preserve"> e onde o Duce encontrava resumido «um novo estilo de vida italiano»</w:t>
      </w:r>
      <w:r w:rsidRPr="006552C5">
        <w:rPr>
          <w:rStyle w:val="Refdenotaderodap"/>
        </w:rPr>
        <w:footnoteReference w:id="268"/>
      </w:r>
      <w:r w:rsidRPr="006552C5">
        <w:t xml:space="preserve">. Não se tratava de sacrifício, mas de um aristocrático alheamento perante o risco. </w:t>
      </w:r>
      <w:r w:rsidRPr="006552C5">
        <w:rPr>
          <w:i/>
        </w:rPr>
        <w:t>«Vivere pericolosamente»</w:t>
      </w:r>
      <w:r w:rsidRPr="006552C5">
        <w:t xml:space="preserve"> era o lema dos fascistas italianos. Discursando em Bolonha, em Abril de 1921, Mussolini negou que os seus comparsas fizessem da violência uma estética, para contraditoriamente afirmar logo em seguida: «Somos violentos sempre que é necessário sê-lo. Mas digo-vos já que temos de manter a violência necessária do fascismo numa linha, num estilo claramente aristocrático ou, se preferirem, claramente cirúrgico»</w:t>
      </w:r>
      <w:r w:rsidRPr="006552C5">
        <w:rPr>
          <w:rStyle w:val="Refdenotaderodap"/>
        </w:rPr>
        <w:footnoteReference w:id="269"/>
      </w:r>
      <w:r w:rsidRPr="006552C5">
        <w:t xml:space="preserve">. Mas um «estilo aristocrático» mais não é do que uma estética, e uma estética assimilada a uma actuação «cirúrgica» só é possível a quem ditar as condições da violência. </w:t>
      </w:r>
      <w:r w:rsidRPr="006552C5">
        <w:lastRenderedPageBreak/>
        <w:t xml:space="preserve">Apenas assim deixaria o perigo de ser uma incontrolável ameaça exterior e ficaria reduzido a um enredo de cena, convertendo-se de catástrofe em drama. Os grupos de choque e as milícias foram os </w:t>
      </w:r>
      <w:r w:rsidRPr="006552C5">
        <w:rPr>
          <w:i/>
        </w:rPr>
        <w:t>régisseurs</w:t>
      </w:r>
      <w:r w:rsidRPr="006552C5">
        <w:t xml:space="preserve"> necessários à fruição estética destes encenadores de novo tipo. </w:t>
      </w:r>
    </w:p>
    <w:p w:rsidR="00F21840" w:rsidRPr="00A61D4E" w:rsidRDefault="00A61D4E" w:rsidP="00A61D4E">
      <w:r w:rsidRPr="006552C5">
        <w:t xml:space="preserve">Não tão novo como isso, porém. Roçar a morte enquanto supremo critério da estética era, afinal, uma ideia banalizada por toda a tradição da cultura burguesa. E esta relação estabelecida no plano artístico foi a expressão mais profunda dos elos que, no plano político, uniram o fascismo à burguesia liberal. </w:t>
      </w:r>
    </w:p>
    <w:sectPr w:rsidR="00F21840" w:rsidRPr="00A61D4E" w:rsidSect="00B14D15">
      <w:footerReference w:type="even" r:id="rId7"/>
      <w:footerReference w:type="default" r:id="rId8"/>
      <w:pgSz w:w="11907" w:h="16840" w:code="9"/>
      <w:pgMar w:top="1417" w:right="1701" w:bottom="1417" w:left="1701" w:header="720" w:footer="720" w:gutter="0"/>
      <w:pgNumType w:start="1107"/>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4661" w:rsidRDefault="007D4661" w:rsidP="00A61D4E">
      <w:pPr>
        <w:spacing w:line="240" w:lineRule="auto"/>
      </w:pPr>
      <w:r>
        <w:separator/>
      </w:r>
    </w:p>
    <w:p w:rsidR="007D4661" w:rsidRDefault="007D4661"/>
    <w:p w:rsidR="007D4661" w:rsidRDefault="007D4661" w:rsidP="00A61D4E"/>
  </w:endnote>
  <w:endnote w:type="continuationSeparator" w:id="0">
    <w:p w:rsidR="007D4661" w:rsidRDefault="007D4661" w:rsidP="00A61D4E">
      <w:pPr>
        <w:spacing w:line="240" w:lineRule="auto"/>
      </w:pPr>
      <w:r>
        <w:continuationSeparator/>
      </w:r>
    </w:p>
    <w:p w:rsidR="007D4661" w:rsidRDefault="007D4661"/>
    <w:p w:rsidR="007D4661" w:rsidRDefault="007D4661" w:rsidP="00A61D4E"/>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C71" w:rsidRDefault="00F35F1C">
    <w:pPr>
      <w:pStyle w:val="Rodap"/>
      <w:framePr w:wrap="around" w:vAnchor="text" w:hAnchor="margin" w:xAlign="center" w:y="1"/>
      <w:rPr>
        <w:rStyle w:val="Nmerodepgina"/>
      </w:rPr>
    </w:pPr>
    <w:r>
      <w:rPr>
        <w:rStyle w:val="Nmerodepgina"/>
      </w:rPr>
      <w:fldChar w:fldCharType="begin"/>
    </w:r>
    <w:r w:rsidR="00C13C71">
      <w:rPr>
        <w:rStyle w:val="Nmerodepgina"/>
      </w:rPr>
      <w:instrText xml:space="preserve">PAGE  </w:instrText>
    </w:r>
    <w:r>
      <w:rPr>
        <w:rStyle w:val="Nmerodepgina"/>
      </w:rPr>
      <w:fldChar w:fldCharType="end"/>
    </w:r>
  </w:p>
  <w:p w:rsidR="00C13C71" w:rsidRDefault="00C13C71">
    <w:pPr>
      <w:pStyle w:val="Rodap"/>
    </w:pPr>
  </w:p>
  <w:p w:rsidR="00C13C71" w:rsidRDefault="00C13C71"/>
  <w:p w:rsidR="00C13C71" w:rsidRDefault="00C13C71" w:rsidP="000E4D6D"/>
  <w:p w:rsidR="00C13C71" w:rsidRDefault="00C13C71" w:rsidP="00A61D4E"/>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657593"/>
      <w:docPartObj>
        <w:docPartGallery w:val="Page Numbers (Bottom of Page)"/>
        <w:docPartUnique/>
      </w:docPartObj>
    </w:sdtPr>
    <w:sdtContent>
      <w:p w:rsidR="00C13C71" w:rsidRDefault="00F35F1C" w:rsidP="00A61D4E">
        <w:pPr>
          <w:pStyle w:val="Rodap"/>
          <w:ind w:firstLine="0"/>
          <w:jc w:val="center"/>
        </w:pPr>
        <w:r w:rsidRPr="00F74379">
          <w:rPr>
            <w:rFonts w:ascii="Arial Narrow" w:hAnsi="Arial Narrow"/>
            <w:i/>
          </w:rPr>
          <w:fldChar w:fldCharType="begin"/>
        </w:r>
        <w:r w:rsidR="00C13C71" w:rsidRPr="00F74379">
          <w:rPr>
            <w:rFonts w:ascii="Arial Narrow" w:hAnsi="Arial Narrow"/>
            <w:i/>
          </w:rPr>
          <w:instrText xml:space="preserve"> PAGE   \* MERGEFORMAT </w:instrText>
        </w:r>
        <w:r w:rsidRPr="00F74379">
          <w:rPr>
            <w:rFonts w:ascii="Arial Narrow" w:hAnsi="Arial Narrow"/>
            <w:i/>
          </w:rPr>
          <w:fldChar w:fldCharType="separate"/>
        </w:r>
        <w:r w:rsidR="005A0595">
          <w:rPr>
            <w:rFonts w:ascii="Arial Narrow" w:hAnsi="Arial Narrow"/>
            <w:i/>
            <w:noProof/>
          </w:rPr>
          <w:t>1112</w:t>
        </w:r>
        <w:r w:rsidRPr="00F74379">
          <w:rPr>
            <w:rFonts w:ascii="Arial Narrow" w:hAnsi="Arial Narrow"/>
            <w:i/>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4661" w:rsidRDefault="007D4661" w:rsidP="00A61D4E">
      <w:pPr>
        <w:spacing w:line="240" w:lineRule="auto"/>
        <w:ind w:firstLine="0"/>
      </w:pPr>
      <w:r>
        <w:separator/>
      </w:r>
    </w:p>
  </w:footnote>
  <w:footnote w:type="continuationSeparator" w:id="0">
    <w:p w:rsidR="007D4661" w:rsidRDefault="007D4661" w:rsidP="00A61D4E">
      <w:pPr>
        <w:spacing w:line="240" w:lineRule="auto"/>
        <w:ind w:firstLine="0"/>
      </w:pPr>
      <w:r>
        <w:continuationSeparator/>
      </w:r>
    </w:p>
  </w:footnote>
  <w:footnote w:id="1">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Acerca da intervenção de Farinacci e da resposta de Mussolini ver G. Bottai (1949) 29. Com a mesma inspiração encontro um excerto do discurso de Mussolini de 17 de Janeiro de 1926, antologiado em G. S. Spinetti (org. 1938) 292.</w:t>
      </w:r>
    </w:p>
  </w:footnote>
  <w:footnote w:id="2">
    <w:p w:rsidR="00C13C71" w:rsidRPr="002B0D7A" w:rsidRDefault="00C13C71" w:rsidP="00A61D4E">
      <w:pPr>
        <w:pStyle w:val="Textodenotaderodap"/>
        <w:rPr>
          <w:rFonts w:ascii="Arial Narrow" w:hAnsi="Arial Narrow"/>
        </w:rPr>
      </w:pPr>
      <w:r w:rsidRPr="006552C5">
        <w:rPr>
          <w:rStyle w:val="Refdenotaderodap"/>
          <w:rFonts w:ascii="Arial Narrow" w:hAnsi="Arial Narrow"/>
        </w:rPr>
        <w:footnoteRef/>
      </w:r>
      <w:r w:rsidRPr="002B0D7A">
        <w:rPr>
          <w:rFonts w:ascii="Arial Narrow" w:hAnsi="Arial Narrow"/>
        </w:rPr>
        <w:t xml:space="preserve"> G. Bottai (1949) 89.</w:t>
      </w:r>
    </w:p>
  </w:footnote>
  <w:footnote w:id="3">
    <w:p w:rsidR="00C13C71" w:rsidRPr="00200FD9" w:rsidRDefault="00C13C71">
      <w:pPr>
        <w:pStyle w:val="Textodenotaderodap"/>
        <w:rPr>
          <w:rFonts w:ascii="Arial Narrow" w:hAnsi="Arial Narrow"/>
        </w:rPr>
      </w:pPr>
      <w:r w:rsidRPr="00264223">
        <w:rPr>
          <w:rStyle w:val="Refdenotaderodap"/>
          <w:rFonts w:ascii="Arial Narrow" w:hAnsi="Arial Narrow"/>
        </w:rPr>
        <w:footnoteRef/>
      </w:r>
      <w:r w:rsidRPr="002B0D7A">
        <w:rPr>
          <w:rFonts w:ascii="Arial Narrow" w:hAnsi="Arial Narrow"/>
        </w:rPr>
        <w:t xml:space="preserve"> </w:t>
      </w:r>
      <w:r w:rsidRPr="00122693">
        <w:rPr>
          <w:rFonts w:ascii="Arial Narrow" w:hAnsi="Arial Narrow"/>
          <w:bCs/>
          <w:lang w:val="fr-FR"/>
        </w:rPr>
        <w:t xml:space="preserve">O. Mosley </w:t>
      </w:r>
      <w:r>
        <w:rPr>
          <w:rFonts w:ascii="Arial Narrow" w:hAnsi="Arial Narrow"/>
          <w:bCs/>
          <w:lang w:val="fr-FR"/>
        </w:rPr>
        <w:t xml:space="preserve">(1933) 3. Ver também </w:t>
      </w:r>
      <w:r w:rsidRPr="00200FD9">
        <w:rPr>
          <w:rFonts w:ascii="Arial Narrow" w:hAnsi="Arial Narrow"/>
          <w:bCs/>
        </w:rPr>
        <w:t>id. (2006) 255.</w:t>
      </w:r>
    </w:p>
  </w:footnote>
  <w:footnote w:id="4">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200FD9">
        <w:rPr>
          <w:rFonts w:ascii="Arial Narrow" w:hAnsi="Arial Narrow"/>
        </w:rPr>
        <w:t xml:space="preserve"> G. Bottai (1949) 25-35. </w:t>
      </w:r>
      <w:r w:rsidRPr="006552C5">
        <w:rPr>
          <w:rFonts w:ascii="Arial Narrow" w:hAnsi="Arial Narrow"/>
        </w:rPr>
        <w:t xml:space="preserve">A frase citada encontra-se na pág. 28. «A pessoa», escreveu ainda Bottai </w:t>
      </w:r>
      <w:r>
        <w:rPr>
          <w:rFonts w:ascii="Arial Narrow" w:hAnsi="Arial Narrow"/>
        </w:rPr>
        <w:t>(</w:t>
      </w:r>
      <w:r w:rsidRPr="006552C5">
        <w:rPr>
          <w:rFonts w:ascii="Arial Narrow" w:hAnsi="Arial Narrow"/>
        </w:rPr>
        <w:t>pág. 26</w:t>
      </w:r>
      <w:r>
        <w:rPr>
          <w:rFonts w:ascii="Arial Narrow" w:hAnsi="Arial Narrow"/>
        </w:rPr>
        <w:t>)</w:t>
      </w:r>
      <w:r w:rsidRPr="006552C5">
        <w:rPr>
          <w:rFonts w:ascii="Arial Narrow" w:hAnsi="Arial Narrow"/>
        </w:rPr>
        <w:t xml:space="preserve"> a propósito de Mussolini, «era já uma personagem».</w:t>
      </w:r>
    </w:p>
  </w:footnote>
  <w:footnote w:id="5">
    <w:p w:rsidR="00C13C71" w:rsidRPr="006531D0" w:rsidRDefault="00C13C71">
      <w:pPr>
        <w:pStyle w:val="Textodenotaderodap"/>
        <w:rPr>
          <w:rFonts w:ascii="Arial Narrow" w:hAnsi="Arial Narrow"/>
        </w:rPr>
      </w:pPr>
      <w:r w:rsidRPr="006531D0">
        <w:rPr>
          <w:rStyle w:val="Refdenotaderodap"/>
          <w:rFonts w:ascii="Arial Narrow" w:hAnsi="Arial Narrow"/>
        </w:rPr>
        <w:footnoteRef/>
      </w:r>
      <w:r w:rsidRPr="006531D0">
        <w:rPr>
          <w:rFonts w:ascii="Arial Narrow" w:hAnsi="Arial Narrow"/>
        </w:rPr>
        <w:t xml:space="preserve"> </w:t>
      </w:r>
      <w:r>
        <w:rPr>
          <w:rFonts w:ascii="Arial Narrow" w:hAnsi="Arial Narrow"/>
        </w:rPr>
        <w:t>Citado em E. Gentile (2010) 131. Comentando esta frase, Emilio Gentile observou (págs. 131-132) a «petrificação» da imagem de Mussolini, a sua transformação numa «estátua viva», e acrescentou que se tratava de «a projecção exterior, provavelmente espontânea, de uma mutação interior», já que o Duce se convertera numa «estátua viva, porque era um mito vivo».</w:t>
      </w:r>
    </w:p>
  </w:footnote>
  <w:footnote w:id="6">
    <w:p w:rsidR="00C13C71" w:rsidRPr="003E2815" w:rsidRDefault="00C13C71" w:rsidP="00A61D4E">
      <w:pPr>
        <w:pStyle w:val="Textodenotaderodap"/>
        <w:rPr>
          <w:rFonts w:ascii="Arial Narrow" w:hAnsi="Arial Narrow"/>
          <w:lang w:val="en-US"/>
        </w:rPr>
      </w:pPr>
      <w:r w:rsidRPr="006552C5">
        <w:rPr>
          <w:rStyle w:val="Refdenotaderodap"/>
          <w:rFonts w:ascii="Arial Narrow" w:hAnsi="Arial Narrow"/>
        </w:rPr>
        <w:footnoteRef/>
      </w:r>
      <w:r w:rsidRPr="003E2815">
        <w:rPr>
          <w:rFonts w:ascii="Arial Narrow" w:hAnsi="Arial Narrow"/>
          <w:lang w:val="en-US"/>
        </w:rPr>
        <w:t xml:space="preserve"> G. Bottai (1949) 169.</w:t>
      </w:r>
    </w:p>
  </w:footnote>
  <w:footnote w:id="7">
    <w:p w:rsidR="00C13C71" w:rsidRPr="006552C5" w:rsidRDefault="00C13C71" w:rsidP="00A61D4E">
      <w:pPr>
        <w:pStyle w:val="Textodenotaderodap"/>
        <w:rPr>
          <w:rFonts w:ascii="Arial Narrow" w:hAnsi="Arial Narrow"/>
          <w:lang w:val="en-GB"/>
        </w:rPr>
      </w:pPr>
      <w:r w:rsidRPr="006552C5">
        <w:rPr>
          <w:rStyle w:val="Refdenotaderodap"/>
          <w:rFonts w:ascii="Arial Narrow" w:hAnsi="Arial Narrow"/>
        </w:rPr>
        <w:footnoteRef/>
      </w:r>
      <w:r w:rsidRPr="006552C5">
        <w:rPr>
          <w:rFonts w:ascii="Arial Narrow" w:hAnsi="Arial Narrow"/>
          <w:lang w:val="en-GB"/>
        </w:rPr>
        <w:t xml:space="preserve"> </w:t>
      </w:r>
      <w:smartTag w:uri="urn:schemas-microsoft-com:office:smarttags" w:element="State">
        <w:smartTag w:uri="urn:schemas-microsoft-com:office:smarttags" w:element="place">
          <w:r w:rsidRPr="006552C5">
            <w:rPr>
              <w:rFonts w:ascii="Arial Narrow" w:hAnsi="Arial Narrow"/>
              <w:lang w:val="en-GB"/>
            </w:rPr>
            <w:t>Id.</w:t>
          </w:r>
        </w:smartTag>
      </w:smartTag>
      <w:r w:rsidRPr="006552C5">
        <w:rPr>
          <w:rFonts w:ascii="Arial Narrow" w:hAnsi="Arial Narrow"/>
          <w:lang w:val="en-GB"/>
        </w:rPr>
        <w:t>, ibid., 115.</w:t>
      </w:r>
    </w:p>
  </w:footnote>
  <w:footnote w:id="8">
    <w:p w:rsidR="00C13C71" w:rsidRPr="00F570EA" w:rsidRDefault="00C13C71">
      <w:pPr>
        <w:pStyle w:val="Textodenotaderodap"/>
        <w:rPr>
          <w:rFonts w:ascii="Arial Narrow" w:hAnsi="Arial Narrow"/>
          <w:lang w:val="en-US"/>
        </w:rPr>
      </w:pPr>
      <w:r w:rsidRPr="00F91525">
        <w:rPr>
          <w:rStyle w:val="Refdenotaderodap"/>
          <w:rFonts w:ascii="Arial Narrow" w:hAnsi="Arial Narrow"/>
        </w:rPr>
        <w:footnoteRef/>
      </w:r>
      <w:r w:rsidRPr="00F570EA">
        <w:rPr>
          <w:rFonts w:ascii="Arial Narrow" w:hAnsi="Arial Narrow"/>
          <w:lang w:val="en-US"/>
        </w:rPr>
        <w:t xml:space="preserve"> </w:t>
      </w:r>
      <w:r w:rsidRPr="00F91525">
        <w:rPr>
          <w:rFonts w:ascii="Arial Narrow" w:hAnsi="Arial Narrow"/>
          <w:lang w:val="en-US"/>
        </w:rPr>
        <w:t>W. Lepenies (2006)</w:t>
      </w:r>
      <w:r>
        <w:rPr>
          <w:rFonts w:ascii="Arial Narrow" w:hAnsi="Arial Narrow"/>
          <w:lang w:val="en-US"/>
        </w:rPr>
        <w:t xml:space="preserve"> 72.</w:t>
      </w:r>
    </w:p>
  </w:footnote>
  <w:footnote w:id="9">
    <w:p w:rsidR="00C13C71" w:rsidRPr="006552C5" w:rsidRDefault="00C13C71" w:rsidP="00A61D4E">
      <w:pPr>
        <w:pStyle w:val="Textodenotaderodap"/>
        <w:ind w:firstLine="708"/>
        <w:rPr>
          <w:rFonts w:ascii="Arial Narrow" w:hAnsi="Arial Narrow"/>
          <w:lang w:val="en-GB"/>
        </w:rPr>
      </w:pPr>
      <w:r w:rsidRPr="006552C5">
        <w:rPr>
          <w:rStyle w:val="Refdenotaderodap"/>
          <w:rFonts w:ascii="Arial Narrow" w:hAnsi="Arial Narrow"/>
        </w:rPr>
        <w:footnoteRef/>
      </w:r>
      <w:r w:rsidRPr="006552C5">
        <w:rPr>
          <w:rFonts w:ascii="Arial Narrow" w:hAnsi="Arial Narrow"/>
          <w:lang w:val="en-GB"/>
        </w:rPr>
        <w:t xml:space="preserve"> J. Billig (2000) 88.</w:t>
      </w:r>
    </w:p>
  </w:footnote>
  <w:footnote w:id="10">
    <w:p w:rsidR="00C13C71" w:rsidRPr="006552C5" w:rsidRDefault="00C13C71" w:rsidP="00A61D4E">
      <w:pPr>
        <w:pStyle w:val="Textodenotaderodap"/>
        <w:ind w:firstLine="708"/>
        <w:rPr>
          <w:rFonts w:ascii="Arial Narrow" w:hAnsi="Arial Narrow"/>
          <w:lang w:val="fr-FR"/>
        </w:rPr>
      </w:pPr>
      <w:r w:rsidRPr="006552C5">
        <w:rPr>
          <w:rStyle w:val="Refdenotaderodap"/>
          <w:rFonts w:ascii="Arial Narrow" w:hAnsi="Arial Narrow"/>
        </w:rPr>
        <w:footnoteRef/>
      </w:r>
      <w:r w:rsidRPr="006552C5">
        <w:rPr>
          <w:rFonts w:ascii="Arial Narrow" w:hAnsi="Arial Narrow"/>
          <w:lang w:val="fr-FR"/>
        </w:rPr>
        <w:t xml:space="preserve"> </w:t>
      </w:r>
      <w:r w:rsidRPr="00712842">
        <w:rPr>
          <w:rFonts w:ascii="Arial Narrow" w:hAnsi="Arial Narrow"/>
          <w:lang w:val="en-US"/>
        </w:rPr>
        <w:t xml:space="preserve">D. Orlow (2009) </w:t>
      </w:r>
      <w:r>
        <w:rPr>
          <w:rFonts w:ascii="Arial Narrow" w:hAnsi="Arial Narrow"/>
          <w:lang w:val="en-US"/>
        </w:rPr>
        <w:t xml:space="preserve">32; </w:t>
      </w:r>
      <w:r w:rsidRPr="006552C5">
        <w:rPr>
          <w:rFonts w:ascii="Arial Narrow" w:hAnsi="Arial Narrow"/>
          <w:lang w:val="fr-FR"/>
        </w:rPr>
        <w:t>P. Sérant (1959) 230.</w:t>
      </w:r>
    </w:p>
  </w:footnote>
  <w:footnote w:id="11">
    <w:p w:rsidR="00C13C71" w:rsidRPr="00F570EA" w:rsidRDefault="00C13C71">
      <w:pPr>
        <w:pStyle w:val="Textodenotaderodap"/>
        <w:rPr>
          <w:rFonts w:ascii="Arial Narrow" w:hAnsi="Arial Narrow"/>
          <w:lang w:val="en-US"/>
        </w:rPr>
      </w:pPr>
      <w:r w:rsidRPr="0047269F">
        <w:rPr>
          <w:rStyle w:val="Refdenotaderodap"/>
          <w:rFonts w:ascii="Arial Narrow" w:hAnsi="Arial Narrow"/>
        </w:rPr>
        <w:footnoteRef/>
      </w:r>
      <w:r w:rsidRPr="0047269F">
        <w:rPr>
          <w:rFonts w:ascii="Arial Narrow" w:hAnsi="Arial Narrow"/>
          <w:lang w:val="en-US"/>
        </w:rPr>
        <w:t xml:space="preserve"> L</w:t>
      </w:r>
      <w:r>
        <w:rPr>
          <w:rFonts w:ascii="Arial Narrow" w:hAnsi="Arial Narrow"/>
          <w:lang w:val="en-US"/>
        </w:rPr>
        <w:t xml:space="preserve">. Rebatet et al. </w:t>
      </w:r>
      <w:r w:rsidRPr="00F570EA">
        <w:rPr>
          <w:rFonts w:ascii="Arial Narrow" w:hAnsi="Arial Narrow"/>
          <w:lang w:val="en-US"/>
        </w:rPr>
        <w:t>(1999) 62.</w:t>
      </w:r>
    </w:p>
  </w:footnote>
  <w:footnote w:id="12">
    <w:p w:rsidR="00C13C71" w:rsidRPr="00923A44" w:rsidRDefault="00C13C71" w:rsidP="00C20AA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lang w:val="fr-FR"/>
        </w:rPr>
        <w:t xml:space="preserve"> Z. Sternhell et al. </w:t>
      </w:r>
      <w:r w:rsidRPr="00923A44">
        <w:rPr>
          <w:rFonts w:ascii="Arial Narrow" w:hAnsi="Arial Narrow"/>
        </w:rPr>
        <w:t xml:space="preserve">(1994) 29. Ver também </w:t>
      </w:r>
      <w:r w:rsidRPr="00923A44">
        <w:rPr>
          <w:rFonts w:ascii="Arial Narrow" w:hAnsi="Arial Narrow"/>
          <w:bCs/>
        </w:rPr>
        <w:t xml:space="preserve">S. G. Payne </w:t>
      </w:r>
      <w:r w:rsidRPr="00923A44">
        <w:rPr>
          <w:rFonts w:ascii="Arial Narrow" w:hAnsi="Arial Narrow"/>
        </w:rPr>
        <w:t>(2003 b) 12-13.</w:t>
      </w:r>
    </w:p>
  </w:footnote>
  <w:footnote w:id="13">
    <w:p w:rsidR="00C13C71" w:rsidRPr="00923A44" w:rsidRDefault="00C13C71" w:rsidP="00A61D4E">
      <w:pPr>
        <w:pStyle w:val="Textodenotaderodap"/>
        <w:rPr>
          <w:rFonts w:ascii="Arial Narrow" w:hAnsi="Arial Narrow"/>
        </w:rPr>
      </w:pPr>
      <w:r w:rsidRPr="006552C5">
        <w:rPr>
          <w:rStyle w:val="Refdenotaderodap"/>
          <w:rFonts w:ascii="Arial Narrow" w:hAnsi="Arial Narrow"/>
        </w:rPr>
        <w:footnoteRef/>
      </w:r>
      <w:r w:rsidRPr="00923A44">
        <w:rPr>
          <w:rFonts w:ascii="Arial Narrow" w:hAnsi="Arial Narrow"/>
        </w:rPr>
        <w:t xml:space="preserve"> </w:t>
      </w:r>
      <w:r>
        <w:rPr>
          <w:rFonts w:ascii="Arial Narrow" w:hAnsi="Arial Narrow"/>
        </w:rPr>
        <w:t xml:space="preserve">W. Benjamin (1971) 178-179. Para a relação desta crítica com a obra de Ernst Jünger ver </w:t>
      </w:r>
      <w:r w:rsidRPr="004232A1">
        <w:rPr>
          <w:rFonts w:ascii="Arial Narrow" w:hAnsi="Arial Narrow"/>
        </w:rPr>
        <w:t xml:space="preserve">J. Herf (1986) 71 e 92. </w:t>
      </w:r>
      <w:r>
        <w:rPr>
          <w:rFonts w:ascii="Arial Narrow" w:hAnsi="Arial Narrow"/>
        </w:rPr>
        <w:t xml:space="preserve">Não concordo com </w:t>
      </w:r>
      <w:r w:rsidRPr="00F91525">
        <w:rPr>
          <w:rFonts w:ascii="Arial Narrow" w:hAnsi="Arial Narrow"/>
        </w:rPr>
        <w:t xml:space="preserve">W. Lepenies (2006) 19 e 67 e segs. quando relacionou o atractivo artístico do nacional-socialismo alemão exclusivamente com a noção germânica de </w:t>
      </w:r>
      <w:r w:rsidRPr="00F91525">
        <w:rPr>
          <w:rFonts w:ascii="Arial Narrow" w:hAnsi="Arial Narrow"/>
          <w:i/>
        </w:rPr>
        <w:t>cultura</w:t>
      </w:r>
      <w:r w:rsidRPr="00F91525">
        <w:rPr>
          <w:rFonts w:ascii="Arial Narrow" w:hAnsi="Arial Narrow"/>
        </w:rPr>
        <w:t>. Por mais importante que esta noção tivesse sido no nacional-socialismo, o carácter estético do fascismo foi genérico e incluiu todas as suas variantes.</w:t>
      </w:r>
    </w:p>
  </w:footnote>
  <w:footnote w:id="14">
    <w:p w:rsidR="00C13C71" w:rsidRPr="00D052C3" w:rsidRDefault="00C13C71">
      <w:pPr>
        <w:pStyle w:val="Textodenotaderodap"/>
        <w:rPr>
          <w:rFonts w:ascii="Arial Narrow" w:hAnsi="Arial Narrow"/>
        </w:rPr>
      </w:pPr>
      <w:r w:rsidRPr="00D052C3">
        <w:rPr>
          <w:rStyle w:val="Refdenotaderodap"/>
          <w:rFonts w:ascii="Arial Narrow" w:hAnsi="Arial Narrow"/>
        </w:rPr>
        <w:footnoteRef/>
      </w:r>
      <w:r w:rsidRPr="00D052C3">
        <w:rPr>
          <w:rFonts w:ascii="Arial Narrow" w:hAnsi="Arial Narrow"/>
        </w:rPr>
        <w:t xml:space="preserve"> W. Lepenies (2006) 193. Numa carta e</w:t>
      </w:r>
      <w:r>
        <w:rPr>
          <w:rFonts w:ascii="Arial Narrow" w:hAnsi="Arial Narrow"/>
        </w:rPr>
        <w:t xml:space="preserve">nviada a Hannah Arendt em Outubro de 1946 Jaspers mencionara a «total banalidade» do Terceiro Reich, a sua «prosaica trivialidade». Ver </w:t>
      </w:r>
      <w:r w:rsidRPr="00E866D9">
        <w:rPr>
          <w:rFonts w:ascii="Arial Narrow" w:hAnsi="Arial Narrow"/>
        </w:rPr>
        <w:t>Wolf Lepenies, op. cit., 192.</w:t>
      </w:r>
    </w:p>
  </w:footnote>
  <w:footnote w:id="15">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C. Castel</w:t>
      </w:r>
      <w:r w:rsidR="005A0595">
        <w:rPr>
          <w:rFonts w:ascii="Arial Narrow" w:hAnsi="Arial Narrow"/>
        </w:rPr>
        <w:t>l</w:t>
      </w:r>
      <w:r w:rsidRPr="006552C5">
        <w:rPr>
          <w:rFonts w:ascii="Arial Narrow" w:hAnsi="Arial Narrow"/>
        </w:rPr>
        <w:t>o Branco (1922) 14.</w:t>
      </w:r>
    </w:p>
  </w:footnote>
  <w:footnote w:id="16">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w:t>
      </w:r>
      <w:r w:rsidRPr="00F57265">
        <w:rPr>
          <w:rFonts w:ascii="Arial Narrow" w:hAnsi="Arial Narrow"/>
        </w:rPr>
        <w:t xml:space="preserve">V. C. Ferkiss (1955) 176-177 e 181 observou que Ezra Pound recusava as abstracções e procurava sobretudo imagens sensoriais, elevando a percepção imediata acima do raciocínio e usando o símbolo como uma forma de representação que não consiste numa abstracção; por isso Pound substituía as relações por justaposições. Mas não creio que a questão se restrinja a Pound nem sequer à poesia e </w:t>
      </w:r>
      <w:r w:rsidRPr="006552C5">
        <w:rPr>
          <w:rFonts w:ascii="Arial Narrow" w:hAnsi="Arial Narrow"/>
        </w:rPr>
        <w:t xml:space="preserve">G. Lukács (1980) </w:t>
      </w:r>
      <w:r w:rsidRPr="006552C5">
        <w:rPr>
          <w:rFonts w:ascii="Arial Narrow" w:hAnsi="Arial Narrow"/>
          <w:i/>
        </w:rPr>
        <w:t>passim</w:t>
      </w:r>
      <w:r w:rsidRPr="006552C5">
        <w:rPr>
          <w:rFonts w:ascii="Arial Narrow" w:hAnsi="Arial Narrow"/>
        </w:rPr>
        <w:t xml:space="preserve"> mostrou que todo o pensamento irracionalista procede por analogias.</w:t>
      </w:r>
    </w:p>
  </w:footnote>
  <w:footnote w:id="17">
    <w:p w:rsidR="00C13C71" w:rsidRPr="00CB7B2E" w:rsidRDefault="00C13C71">
      <w:pPr>
        <w:pStyle w:val="Textodenotaderodap"/>
        <w:rPr>
          <w:rFonts w:ascii="Arial Narrow" w:hAnsi="Arial Narrow"/>
        </w:rPr>
      </w:pPr>
      <w:r w:rsidRPr="00CB7B2E">
        <w:rPr>
          <w:rStyle w:val="Refdenotaderodap"/>
          <w:rFonts w:ascii="Arial Narrow" w:hAnsi="Arial Narrow"/>
        </w:rPr>
        <w:footnoteRef/>
      </w:r>
      <w:r w:rsidRPr="00CB7B2E">
        <w:rPr>
          <w:rFonts w:ascii="Arial Narrow" w:hAnsi="Arial Narrow"/>
        </w:rPr>
        <w:t xml:space="preserve"> </w:t>
      </w:r>
      <w:r>
        <w:rPr>
          <w:rFonts w:ascii="Arial Narrow" w:hAnsi="Arial Narrow"/>
        </w:rPr>
        <w:t xml:space="preserve">Citado em P. Watson (2011) 492. E no entanto, a crer em </w:t>
      </w:r>
      <w:r w:rsidRPr="00E866D9">
        <w:rPr>
          <w:rFonts w:ascii="Arial Narrow" w:hAnsi="Arial Narrow"/>
        </w:rPr>
        <w:t xml:space="preserve">J. C. Fest (1974) 55, nos seus dias de Viena Hitler nunca ouvira falar de </w:t>
      </w:r>
      <w:r w:rsidRPr="001000BB">
        <w:rPr>
          <w:rFonts w:ascii="Arial Narrow" w:hAnsi="Arial Narrow"/>
        </w:rPr>
        <w:t>Hofmannsthal</w:t>
      </w:r>
      <w:r>
        <w:rPr>
          <w:rFonts w:ascii="Arial Narrow" w:hAnsi="Arial Narrow"/>
        </w:rPr>
        <w:t>.</w:t>
      </w:r>
    </w:p>
  </w:footnote>
  <w:footnote w:id="18">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S. Saladino (1965) 230.</w:t>
      </w:r>
    </w:p>
  </w:footnote>
  <w:footnote w:id="19">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Num discurso pronunciado a 20 de Setembro de 1922, um mês </w:t>
      </w:r>
      <w:r>
        <w:rPr>
          <w:rFonts w:ascii="Arial Narrow" w:hAnsi="Arial Narrow"/>
        </w:rPr>
        <w:t xml:space="preserve">antes </w:t>
      </w:r>
      <w:r w:rsidRPr="006552C5">
        <w:rPr>
          <w:rFonts w:ascii="Arial Narrow" w:hAnsi="Arial Narrow"/>
        </w:rPr>
        <w:t>de fabricar aquela obra, de arte ou de fancaria, que foi a Marcha sobre Roma, Mussolini declar</w:t>
      </w:r>
      <w:r>
        <w:rPr>
          <w:rFonts w:ascii="Arial Narrow" w:hAnsi="Arial Narrow"/>
        </w:rPr>
        <w:t>ou</w:t>
      </w:r>
      <w:r w:rsidRPr="006552C5">
        <w:rPr>
          <w:rFonts w:ascii="Arial Narrow" w:hAnsi="Arial Narrow"/>
        </w:rPr>
        <w:t xml:space="preserve"> que «a função do fascismo é realizar um todo orgânico das massas trabalhadoras com a nação, para que possa amanhã dispor delas, quando a nação tiver necessidade das massas, tal como o artista tem necessidade da matéria bruta para forjar as suas obras-primas». Citado em E. Santarelli (1981) I 311.</w:t>
      </w:r>
    </w:p>
  </w:footnote>
  <w:footnote w:id="20">
    <w:p w:rsidR="00C13C71" w:rsidRPr="00D07FD6" w:rsidRDefault="00C13C71" w:rsidP="00DA56C2">
      <w:pPr>
        <w:pStyle w:val="Textodenotaderodap"/>
        <w:rPr>
          <w:rFonts w:ascii="Arial Narrow" w:hAnsi="Arial Narrow"/>
        </w:rPr>
      </w:pPr>
      <w:r w:rsidRPr="00D07FD6">
        <w:rPr>
          <w:rStyle w:val="Refdenotaderodap"/>
          <w:rFonts w:ascii="Arial Narrow" w:hAnsi="Arial Narrow"/>
        </w:rPr>
        <w:footnoteRef/>
      </w:r>
      <w:r w:rsidRPr="00D07FD6">
        <w:rPr>
          <w:rFonts w:ascii="Arial Narrow" w:hAnsi="Arial Narrow"/>
        </w:rPr>
        <w:t xml:space="preserve"> </w:t>
      </w:r>
      <w:r>
        <w:rPr>
          <w:rFonts w:ascii="Arial Narrow" w:hAnsi="Arial Narrow"/>
        </w:rPr>
        <w:t>Mario Piazzesi citado em E. Gentile (2010) 8-9.</w:t>
      </w:r>
    </w:p>
  </w:footnote>
  <w:footnote w:id="21">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Citado em A. Llorente Hernández (1995) 25.</w:t>
      </w:r>
    </w:p>
  </w:footnote>
  <w:footnote w:id="22">
    <w:p w:rsidR="00C13C71" w:rsidRPr="006552C5" w:rsidRDefault="00C13C71" w:rsidP="00874162">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S. G. Payne (1961) 49 e segs.</w:t>
      </w:r>
    </w:p>
  </w:footnote>
  <w:footnote w:id="23">
    <w:p w:rsidR="00C13C71" w:rsidRPr="006552C5" w:rsidRDefault="00C13C71" w:rsidP="00874162">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lang w:val="es-ES"/>
        </w:rPr>
        <w:t xml:space="preserve"> A. Río Cisneros et al. </w:t>
      </w:r>
      <w:r w:rsidRPr="006552C5">
        <w:rPr>
          <w:rFonts w:ascii="Arial Narrow" w:hAnsi="Arial Narrow"/>
        </w:rPr>
        <w:t>(orgs. 1945) 559.</w:t>
      </w:r>
    </w:p>
  </w:footnote>
  <w:footnote w:id="24">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Citado em Ph. Burrin (1986) 302.</w:t>
      </w:r>
    </w:p>
  </w:footnote>
  <w:footnote w:id="25">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Carta de Paul Marion a Jacques Doriot, 3 de Janeiro de 1939, citada em id., ibid., 304-305.</w:t>
      </w:r>
      <w:r>
        <w:rPr>
          <w:rFonts w:ascii="Arial Narrow" w:hAnsi="Arial Narrow"/>
        </w:rPr>
        <w:t xml:space="preserve"> Ver também </w:t>
      </w:r>
      <w:r w:rsidRPr="001C3263">
        <w:rPr>
          <w:rFonts w:ascii="Arial Narrow" w:hAnsi="Arial Narrow"/>
        </w:rPr>
        <w:t>D. Orlow (2009) 135-136.</w:t>
      </w:r>
    </w:p>
  </w:footnote>
  <w:footnote w:id="26">
    <w:p w:rsidR="00C13C71" w:rsidRPr="001C3263" w:rsidRDefault="00C13C71">
      <w:pPr>
        <w:pStyle w:val="Textodenotaderodap"/>
        <w:rPr>
          <w:rFonts w:ascii="Arial Narrow" w:hAnsi="Arial Narrow"/>
        </w:rPr>
      </w:pPr>
      <w:r w:rsidRPr="006E497E">
        <w:rPr>
          <w:rStyle w:val="Refdenotaderodap"/>
          <w:rFonts w:ascii="Arial Narrow" w:hAnsi="Arial Narrow"/>
        </w:rPr>
        <w:footnoteRef/>
      </w:r>
      <w:r w:rsidRPr="001C3263">
        <w:rPr>
          <w:rFonts w:ascii="Arial Narrow" w:hAnsi="Arial Narrow"/>
        </w:rPr>
        <w:t xml:space="preserve"> R. Brasillach [s. d.] 33.</w:t>
      </w:r>
    </w:p>
  </w:footnote>
  <w:footnote w:id="27">
    <w:p w:rsidR="00C13C71" w:rsidRPr="001C3263" w:rsidRDefault="00C13C71" w:rsidP="00A61D4E">
      <w:pPr>
        <w:pStyle w:val="Textodenotaderodap"/>
        <w:rPr>
          <w:rFonts w:ascii="Arial Narrow" w:hAnsi="Arial Narrow"/>
        </w:rPr>
      </w:pPr>
      <w:r w:rsidRPr="006552C5">
        <w:rPr>
          <w:rStyle w:val="Refdenotaderodap"/>
          <w:rFonts w:ascii="Arial Narrow" w:hAnsi="Arial Narrow"/>
        </w:rPr>
        <w:footnoteRef/>
      </w:r>
      <w:r w:rsidRPr="001C3263">
        <w:rPr>
          <w:rFonts w:ascii="Arial Narrow" w:hAnsi="Arial Narrow"/>
        </w:rPr>
        <w:t xml:space="preserve"> P. Togliatti (1971) 12 (sub. orig.).</w:t>
      </w:r>
    </w:p>
  </w:footnote>
  <w:footnote w:id="28">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Citado por H. R. Southworth (1967) 13. Entre os traços distintivos do fascismo, R. De Felice (1978) 25 observ</w:t>
      </w:r>
      <w:r>
        <w:rPr>
          <w:rFonts w:ascii="Arial Narrow" w:hAnsi="Arial Narrow"/>
        </w:rPr>
        <w:t>ou</w:t>
      </w:r>
      <w:r w:rsidRPr="006552C5">
        <w:rPr>
          <w:rFonts w:ascii="Arial Narrow" w:hAnsi="Arial Narrow"/>
        </w:rPr>
        <w:t xml:space="preserve"> a concomitância de «um revolucionarismo verbal e [de] um conservadorismo de fundo», mas </w:t>
      </w:r>
      <w:r>
        <w:rPr>
          <w:rFonts w:ascii="Arial Narrow" w:hAnsi="Arial Narrow"/>
        </w:rPr>
        <w:t xml:space="preserve">não </w:t>
      </w:r>
      <w:r w:rsidRPr="006552C5">
        <w:rPr>
          <w:rFonts w:ascii="Arial Narrow" w:hAnsi="Arial Narrow"/>
        </w:rPr>
        <w:t>se apercebe</w:t>
      </w:r>
      <w:r>
        <w:rPr>
          <w:rFonts w:ascii="Arial Narrow" w:hAnsi="Arial Narrow"/>
        </w:rPr>
        <w:t>u</w:t>
      </w:r>
      <w:r w:rsidRPr="006552C5">
        <w:rPr>
          <w:rFonts w:ascii="Arial Narrow" w:hAnsi="Arial Narrow"/>
        </w:rPr>
        <w:t xml:space="preserve"> de que a contradição era resolvida no plano estético.</w:t>
      </w:r>
    </w:p>
  </w:footnote>
  <w:footnote w:id="29">
    <w:p w:rsidR="00C13C71" w:rsidRPr="00B272E6" w:rsidRDefault="00C13C71" w:rsidP="002D2710">
      <w:pPr>
        <w:pStyle w:val="Textodenotaderodap"/>
        <w:rPr>
          <w:rFonts w:ascii="Arial Narrow" w:hAnsi="Arial Narrow"/>
          <w:lang w:val="en-US"/>
        </w:rPr>
      </w:pPr>
      <w:r w:rsidRPr="005B352D">
        <w:rPr>
          <w:rStyle w:val="Refdenotaderodap"/>
          <w:rFonts w:ascii="Arial Narrow" w:hAnsi="Arial Narrow"/>
        </w:rPr>
        <w:footnoteRef/>
      </w:r>
      <w:r w:rsidRPr="00B272E6">
        <w:rPr>
          <w:rFonts w:ascii="Arial Narrow" w:hAnsi="Arial Narrow"/>
          <w:lang w:val="en-US"/>
        </w:rPr>
        <w:t xml:space="preserve"> K. Jaspers (1948) 205.</w:t>
      </w:r>
    </w:p>
  </w:footnote>
  <w:footnote w:id="30">
    <w:p w:rsidR="00C13C71" w:rsidRPr="00B272E6" w:rsidRDefault="00C13C71" w:rsidP="00A61D4E">
      <w:pPr>
        <w:pStyle w:val="Textodenotaderodap"/>
        <w:rPr>
          <w:rFonts w:ascii="Arial Narrow" w:hAnsi="Arial Narrow"/>
          <w:lang w:val="en-US"/>
        </w:rPr>
      </w:pPr>
      <w:r w:rsidRPr="006552C5">
        <w:rPr>
          <w:rStyle w:val="Refdenotaderodap"/>
          <w:rFonts w:ascii="Arial Narrow" w:hAnsi="Arial Narrow"/>
        </w:rPr>
        <w:footnoteRef/>
      </w:r>
      <w:r w:rsidRPr="00B272E6">
        <w:rPr>
          <w:rFonts w:ascii="Arial Narrow" w:hAnsi="Arial Narrow"/>
          <w:lang w:val="en-US"/>
        </w:rPr>
        <w:t xml:space="preserve"> F. T. Marinetti, </w:t>
      </w:r>
      <w:r w:rsidRPr="00B272E6">
        <w:rPr>
          <w:rFonts w:ascii="Arial Narrow" w:hAnsi="Arial Narrow"/>
          <w:i/>
          <w:lang w:val="en-US"/>
        </w:rPr>
        <w:t>Destruction of Syntax – Imagination without Strings – Words-in-Freedom,</w:t>
      </w:r>
      <w:r w:rsidRPr="00B272E6">
        <w:rPr>
          <w:rFonts w:ascii="Arial Narrow" w:hAnsi="Arial Narrow"/>
          <w:lang w:val="en-US"/>
        </w:rPr>
        <w:t xml:space="preserve"> 11 de Maio de 1913, em U. Apollonio (org. 1973) 98.</w:t>
      </w:r>
    </w:p>
  </w:footnote>
  <w:footnote w:id="31">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w:t>
      </w:r>
      <w:r>
        <w:rPr>
          <w:rFonts w:ascii="Arial Narrow" w:hAnsi="Arial Narrow"/>
        </w:rPr>
        <w:t>Id.</w:t>
      </w:r>
      <w:r w:rsidRPr="006552C5">
        <w:rPr>
          <w:rFonts w:ascii="Arial Narrow" w:hAnsi="Arial Narrow"/>
        </w:rPr>
        <w:t xml:space="preserve">, </w:t>
      </w:r>
      <w:r>
        <w:rPr>
          <w:rFonts w:ascii="Arial Narrow" w:hAnsi="Arial Narrow"/>
          <w:i/>
        </w:rPr>
        <w:t xml:space="preserve">Premier </w:t>
      </w:r>
      <w:r w:rsidRPr="006552C5">
        <w:rPr>
          <w:rFonts w:ascii="Arial Narrow" w:hAnsi="Arial Narrow"/>
          <w:i/>
        </w:rPr>
        <w:t>Manifest</w:t>
      </w:r>
      <w:r>
        <w:rPr>
          <w:rFonts w:ascii="Arial Narrow" w:hAnsi="Arial Narrow"/>
          <w:i/>
        </w:rPr>
        <w:t>e</w:t>
      </w:r>
      <w:r w:rsidRPr="006552C5">
        <w:rPr>
          <w:rFonts w:ascii="Arial Narrow" w:hAnsi="Arial Narrow"/>
          <w:i/>
        </w:rPr>
        <w:t xml:space="preserve"> d</w:t>
      </w:r>
      <w:r>
        <w:rPr>
          <w:rFonts w:ascii="Arial Narrow" w:hAnsi="Arial Narrow"/>
          <w:i/>
        </w:rPr>
        <w:t>u</w:t>
      </w:r>
      <w:r w:rsidRPr="006552C5">
        <w:rPr>
          <w:rFonts w:ascii="Arial Narrow" w:hAnsi="Arial Narrow"/>
          <w:i/>
        </w:rPr>
        <w:t xml:space="preserve"> Futurism</w:t>
      </w:r>
      <w:r>
        <w:rPr>
          <w:rFonts w:ascii="Arial Narrow" w:hAnsi="Arial Narrow"/>
          <w:i/>
        </w:rPr>
        <w:t>e</w:t>
      </w:r>
      <w:r w:rsidRPr="006552C5">
        <w:rPr>
          <w:rFonts w:ascii="Arial Narrow" w:hAnsi="Arial Narrow"/>
          <w:i/>
        </w:rPr>
        <w:t>,</w:t>
      </w:r>
      <w:r w:rsidRPr="006552C5">
        <w:rPr>
          <w:rFonts w:ascii="Arial Narrow" w:hAnsi="Arial Narrow"/>
        </w:rPr>
        <w:t xml:space="preserve"> 20 de Fevereiro de 1909, em F. T. Marinetti (1911) 146-147.</w:t>
      </w:r>
    </w:p>
  </w:footnote>
  <w:footnote w:id="32">
    <w:p w:rsidR="00C13C71" w:rsidRPr="003E2919" w:rsidRDefault="00C13C71" w:rsidP="00A61D4E">
      <w:pPr>
        <w:pStyle w:val="Textodenotaderodap"/>
        <w:rPr>
          <w:rFonts w:ascii="Arial Narrow" w:hAnsi="Arial Narrow"/>
        </w:rPr>
      </w:pPr>
      <w:r w:rsidRPr="006552C5">
        <w:rPr>
          <w:rStyle w:val="Refdenotaderodap"/>
          <w:rFonts w:ascii="Arial Narrow" w:hAnsi="Arial Narrow"/>
        </w:rPr>
        <w:footnoteRef/>
      </w:r>
      <w:r w:rsidRPr="003E2919">
        <w:rPr>
          <w:rFonts w:ascii="Arial Narrow" w:hAnsi="Arial Narrow"/>
        </w:rPr>
        <w:t xml:space="preserve"> Id. (1911) 5.</w:t>
      </w:r>
    </w:p>
  </w:footnote>
  <w:footnote w:id="33">
    <w:p w:rsidR="00C13C71" w:rsidRPr="003E2919" w:rsidRDefault="00C13C71" w:rsidP="00A61D4E">
      <w:pPr>
        <w:pStyle w:val="Textodenotaderodap"/>
        <w:rPr>
          <w:rFonts w:ascii="Arial Narrow" w:hAnsi="Arial Narrow"/>
        </w:rPr>
      </w:pPr>
      <w:r w:rsidRPr="006552C5">
        <w:rPr>
          <w:rStyle w:val="Refdenotaderodap"/>
          <w:rFonts w:ascii="Arial Narrow" w:hAnsi="Arial Narrow"/>
        </w:rPr>
        <w:footnoteRef/>
      </w:r>
      <w:r w:rsidRPr="003E2919">
        <w:rPr>
          <w:rFonts w:ascii="Arial Narrow" w:hAnsi="Arial Narrow"/>
        </w:rPr>
        <w:t xml:space="preserve"> Id., ibid., 99.</w:t>
      </w:r>
    </w:p>
  </w:footnote>
  <w:footnote w:id="34">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w:t>
      </w:r>
      <w:r>
        <w:rPr>
          <w:rFonts w:ascii="Arial Narrow" w:hAnsi="Arial Narrow"/>
        </w:rPr>
        <w:t xml:space="preserve">Umberto </w:t>
      </w:r>
      <w:r w:rsidRPr="006552C5">
        <w:rPr>
          <w:rFonts w:ascii="Arial Narrow" w:hAnsi="Arial Narrow"/>
        </w:rPr>
        <w:t xml:space="preserve">Boccioni, </w:t>
      </w:r>
      <w:r>
        <w:rPr>
          <w:rFonts w:ascii="Arial Narrow" w:hAnsi="Arial Narrow"/>
        </w:rPr>
        <w:t xml:space="preserve">Carlo </w:t>
      </w:r>
      <w:r w:rsidRPr="006552C5">
        <w:rPr>
          <w:rFonts w:ascii="Arial Narrow" w:hAnsi="Arial Narrow"/>
        </w:rPr>
        <w:t xml:space="preserve">Carrà, </w:t>
      </w:r>
      <w:r>
        <w:rPr>
          <w:rFonts w:ascii="Arial Narrow" w:hAnsi="Arial Narrow"/>
        </w:rPr>
        <w:t xml:space="preserve">Luigi </w:t>
      </w:r>
      <w:r w:rsidRPr="006552C5">
        <w:rPr>
          <w:rFonts w:ascii="Arial Narrow" w:hAnsi="Arial Narrow"/>
        </w:rPr>
        <w:t xml:space="preserve">Russolo, </w:t>
      </w:r>
      <w:r>
        <w:rPr>
          <w:rFonts w:ascii="Arial Narrow" w:hAnsi="Arial Narrow"/>
        </w:rPr>
        <w:t xml:space="preserve">Giacomo </w:t>
      </w:r>
      <w:r w:rsidRPr="006552C5">
        <w:rPr>
          <w:rFonts w:ascii="Arial Narrow" w:hAnsi="Arial Narrow"/>
        </w:rPr>
        <w:t xml:space="preserve">Balla e </w:t>
      </w:r>
      <w:r>
        <w:rPr>
          <w:rFonts w:ascii="Arial Narrow" w:hAnsi="Arial Narrow"/>
        </w:rPr>
        <w:t xml:space="preserve">Gino </w:t>
      </w:r>
      <w:r w:rsidRPr="006552C5">
        <w:rPr>
          <w:rFonts w:ascii="Arial Narrow" w:hAnsi="Arial Narrow"/>
        </w:rPr>
        <w:t xml:space="preserve">Severini, </w:t>
      </w:r>
      <w:r w:rsidRPr="006552C5">
        <w:rPr>
          <w:rFonts w:ascii="Arial Narrow" w:hAnsi="Arial Narrow"/>
          <w:i/>
        </w:rPr>
        <w:t xml:space="preserve">Manifesto </w:t>
      </w:r>
      <w:r>
        <w:rPr>
          <w:rFonts w:ascii="Arial Narrow" w:hAnsi="Arial Narrow"/>
          <w:i/>
        </w:rPr>
        <w:t>of the Futurist Painters</w:t>
      </w:r>
      <w:r w:rsidRPr="006552C5">
        <w:rPr>
          <w:rFonts w:ascii="Arial Narrow" w:hAnsi="Arial Narrow"/>
          <w:i/>
        </w:rPr>
        <w:t>,</w:t>
      </w:r>
      <w:r w:rsidRPr="006552C5">
        <w:rPr>
          <w:rFonts w:ascii="Arial Narrow" w:hAnsi="Arial Narrow"/>
        </w:rPr>
        <w:t xml:space="preserve"> </w:t>
      </w:r>
      <w:r>
        <w:rPr>
          <w:rFonts w:ascii="Arial Narrow" w:hAnsi="Arial Narrow"/>
        </w:rPr>
        <w:t xml:space="preserve">11 de </w:t>
      </w:r>
      <w:r w:rsidRPr="006552C5">
        <w:rPr>
          <w:rFonts w:ascii="Arial Narrow" w:hAnsi="Arial Narrow"/>
        </w:rPr>
        <w:t>Fevereiro de 1910, em U. Apollonio (org. 1973) 27.</w:t>
      </w:r>
    </w:p>
  </w:footnote>
  <w:footnote w:id="35">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w:t>
      </w:r>
      <w:r w:rsidRPr="001A2A3B">
        <w:rPr>
          <w:rFonts w:ascii="Arial Narrow" w:hAnsi="Arial Narrow"/>
        </w:rPr>
        <w:t>Balilla Pratella</w:t>
      </w:r>
      <w:r>
        <w:rPr>
          <w:rFonts w:ascii="Arial Narrow" w:hAnsi="Arial Narrow"/>
        </w:rPr>
        <w:t>,</w:t>
      </w:r>
      <w:r w:rsidRPr="001A2A3B">
        <w:rPr>
          <w:rFonts w:ascii="Arial Narrow" w:hAnsi="Arial Narrow"/>
        </w:rPr>
        <w:t xml:space="preserve"> </w:t>
      </w:r>
      <w:r w:rsidRPr="00F123D4">
        <w:rPr>
          <w:rFonts w:ascii="Arial Narrow" w:hAnsi="Arial Narrow"/>
          <w:i/>
        </w:rPr>
        <w:t>Manifesto of Futurist Musicians,</w:t>
      </w:r>
      <w:r>
        <w:rPr>
          <w:rFonts w:ascii="Arial Narrow" w:hAnsi="Arial Narrow"/>
        </w:rPr>
        <w:t xml:space="preserve"> 11 </w:t>
      </w:r>
      <w:r w:rsidRPr="006552C5">
        <w:rPr>
          <w:rFonts w:ascii="Arial Narrow" w:hAnsi="Arial Narrow"/>
        </w:rPr>
        <w:t xml:space="preserve">de Outubro de 1910, em </w:t>
      </w:r>
      <w:r>
        <w:rPr>
          <w:rFonts w:ascii="Arial Narrow" w:hAnsi="Arial Narrow"/>
        </w:rPr>
        <w:t xml:space="preserve">id., ibid., </w:t>
      </w:r>
      <w:r w:rsidRPr="006552C5">
        <w:rPr>
          <w:rFonts w:ascii="Arial Narrow" w:hAnsi="Arial Narrow"/>
        </w:rPr>
        <w:t>31.</w:t>
      </w:r>
    </w:p>
  </w:footnote>
  <w:footnote w:id="36">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w:t>
      </w:r>
      <w:r>
        <w:rPr>
          <w:rFonts w:ascii="Arial Narrow" w:hAnsi="Arial Narrow"/>
        </w:rPr>
        <w:t xml:space="preserve">Valentine de </w:t>
      </w:r>
      <w:r w:rsidRPr="000B0532">
        <w:rPr>
          <w:rFonts w:ascii="Arial Narrow" w:hAnsi="Arial Narrow"/>
        </w:rPr>
        <w:t>Saint-Point</w:t>
      </w:r>
      <w:r>
        <w:rPr>
          <w:rFonts w:ascii="Arial Narrow" w:hAnsi="Arial Narrow"/>
        </w:rPr>
        <w:t>,</w:t>
      </w:r>
      <w:r w:rsidRPr="000B0532">
        <w:rPr>
          <w:rFonts w:ascii="Arial Narrow" w:hAnsi="Arial Narrow"/>
          <w:i/>
        </w:rPr>
        <w:t xml:space="preserve"> </w:t>
      </w:r>
      <w:r w:rsidRPr="00E3243B">
        <w:rPr>
          <w:rFonts w:ascii="Arial Narrow" w:hAnsi="Arial Narrow"/>
          <w:i/>
        </w:rPr>
        <w:t>Futurist</w:t>
      </w:r>
      <w:r>
        <w:rPr>
          <w:rFonts w:ascii="Arial Narrow" w:hAnsi="Arial Narrow"/>
        </w:rPr>
        <w:t xml:space="preserve"> </w:t>
      </w:r>
      <w:r w:rsidRPr="006552C5">
        <w:rPr>
          <w:rFonts w:ascii="Arial Narrow" w:hAnsi="Arial Narrow"/>
          <w:i/>
        </w:rPr>
        <w:t xml:space="preserve">Manifesto </w:t>
      </w:r>
      <w:r>
        <w:rPr>
          <w:rFonts w:ascii="Arial Narrow" w:hAnsi="Arial Narrow"/>
          <w:i/>
        </w:rPr>
        <w:t xml:space="preserve">of </w:t>
      </w:r>
      <w:r w:rsidRPr="006552C5">
        <w:rPr>
          <w:rFonts w:ascii="Arial Narrow" w:hAnsi="Arial Narrow"/>
          <w:i/>
        </w:rPr>
        <w:t>Lu</w:t>
      </w:r>
      <w:r>
        <w:rPr>
          <w:rFonts w:ascii="Arial Narrow" w:hAnsi="Arial Narrow"/>
          <w:i/>
        </w:rPr>
        <w:t>st</w:t>
      </w:r>
      <w:r w:rsidRPr="006552C5">
        <w:rPr>
          <w:rFonts w:ascii="Arial Narrow" w:hAnsi="Arial Narrow"/>
          <w:i/>
        </w:rPr>
        <w:t>,</w:t>
      </w:r>
      <w:r w:rsidRPr="006552C5">
        <w:rPr>
          <w:rFonts w:ascii="Arial Narrow" w:hAnsi="Arial Narrow"/>
        </w:rPr>
        <w:t xml:space="preserve"> </w:t>
      </w:r>
      <w:r>
        <w:rPr>
          <w:rFonts w:ascii="Arial Narrow" w:hAnsi="Arial Narrow"/>
        </w:rPr>
        <w:t xml:space="preserve">11 de </w:t>
      </w:r>
      <w:r w:rsidRPr="006552C5">
        <w:rPr>
          <w:rFonts w:ascii="Arial Narrow" w:hAnsi="Arial Narrow"/>
        </w:rPr>
        <w:t>Janeiro de 1913, em id., ibid., 70-74 (subs. orig.).</w:t>
      </w:r>
    </w:p>
  </w:footnote>
  <w:footnote w:id="37">
    <w:p w:rsidR="00C13C71" w:rsidRPr="004C41ED" w:rsidRDefault="00C13C71">
      <w:pPr>
        <w:pStyle w:val="Textodenotaderodap"/>
        <w:rPr>
          <w:rFonts w:ascii="Arial Narrow" w:hAnsi="Arial Narrow"/>
        </w:rPr>
      </w:pPr>
      <w:r w:rsidRPr="004C41ED">
        <w:rPr>
          <w:rStyle w:val="Refdenotaderodap"/>
          <w:rFonts w:ascii="Arial Narrow" w:hAnsi="Arial Narrow"/>
        </w:rPr>
        <w:footnoteRef/>
      </w:r>
      <w:r w:rsidRPr="004C41ED">
        <w:rPr>
          <w:rFonts w:ascii="Arial Narrow" w:hAnsi="Arial Narrow"/>
        </w:rPr>
        <w:t xml:space="preserve"> </w:t>
      </w:r>
      <w:r>
        <w:rPr>
          <w:rFonts w:ascii="Arial Narrow" w:hAnsi="Arial Narrow"/>
        </w:rPr>
        <w:t xml:space="preserve">Em 23 de Abril </w:t>
      </w:r>
      <w:r w:rsidRPr="00453539">
        <w:rPr>
          <w:rFonts w:ascii="Arial Narrow" w:hAnsi="Arial Narrow"/>
          <w:iCs/>
        </w:rPr>
        <w:t xml:space="preserve">de 1942, em </w:t>
      </w:r>
      <w:r w:rsidRPr="00453539">
        <w:rPr>
          <w:rFonts w:ascii="Arial Narrow" w:hAnsi="Arial Narrow"/>
          <w:bCs/>
          <w:i/>
          <w:iCs/>
        </w:rPr>
        <w:t>Hitler’s Table Talk</w:t>
      </w:r>
      <w:r w:rsidRPr="00453539">
        <w:rPr>
          <w:rFonts w:ascii="Arial Narrow" w:hAnsi="Arial Narrow"/>
          <w:iCs/>
        </w:rPr>
        <w:t>...,</w:t>
      </w:r>
      <w:r>
        <w:rPr>
          <w:rFonts w:ascii="Arial Narrow" w:hAnsi="Arial Narrow"/>
          <w:iCs/>
        </w:rPr>
        <w:t xml:space="preserve"> 435.</w:t>
      </w:r>
    </w:p>
  </w:footnote>
  <w:footnote w:id="38">
    <w:p w:rsidR="00C13C71" w:rsidRPr="009D694D" w:rsidRDefault="00C13C71" w:rsidP="00A61D4E">
      <w:pPr>
        <w:pStyle w:val="Textodenotaderodap"/>
        <w:rPr>
          <w:rFonts w:ascii="Arial Narrow" w:hAnsi="Arial Narrow"/>
        </w:rPr>
      </w:pPr>
      <w:r w:rsidRPr="006552C5">
        <w:rPr>
          <w:rStyle w:val="Refdenotaderodap"/>
          <w:rFonts w:ascii="Arial Narrow" w:hAnsi="Arial Narrow"/>
        </w:rPr>
        <w:footnoteRef/>
      </w:r>
      <w:r w:rsidRPr="003E2919">
        <w:rPr>
          <w:rFonts w:ascii="Arial Narrow" w:hAnsi="Arial Narrow"/>
        </w:rPr>
        <w:t xml:space="preserve"> F. T. Marinetti (1911) 4. </w:t>
      </w:r>
      <w:r w:rsidRPr="009D694D">
        <w:rPr>
          <w:rFonts w:ascii="Arial Narrow" w:hAnsi="Arial Narrow"/>
        </w:rPr>
        <w:t>Porém, tratava-se mais de um desprezo pelo amor do que propr</w:t>
      </w:r>
      <w:r>
        <w:rPr>
          <w:rFonts w:ascii="Arial Narrow" w:hAnsi="Arial Narrow"/>
        </w:rPr>
        <w:t xml:space="preserve">iamente pela mulher, como pode ver-se em id., </w:t>
      </w:r>
      <w:r w:rsidRPr="009D694D">
        <w:rPr>
          <w:rFonts w:ascii="Arial Narrow" w:hAnsi="Arial Narrow"/>
          <w:i/>
        </w:rPr>
        <w:t>Destruction of Syntax – Imagination without Strings – Words-in-Freedom,</w:t>
      </w:r>
      <w:r w:rsidRPr="009D694D">
        <w:rPr>
          <w:rFonts w:ascii="Arial Narrow" w:hAnsi="Arial Narrow"/>
        </w:rPr>
        <w:t xml:space="preserve"> 11 de Maio de 1913, em U. Apollonio (org. 1973) 9</w:t>
      </w:r>
      <w:r>
        <w:rPr>
          <w:rFonts w:ascii="Arial Narrow" w:hAnsi="Arial Narrow"/>
        </w:rPr>
        <w:t>6</w:t>
      </w:r>
      <w:r w:rsidRPr="009D694D">
        <w:rPr>
          <w:rFonts w:ascii="Arial Narrow" w:hAnsi="Arial Narrow"/>
        </w:rPr>
        <w:t>.</w:t>
      </w:r>
    </w:p>
  </w:footnote>
  <w:footnote w:id="39">
    <w:p w:rsidR="00C13C71" w:rsidRPr="003E2919" w:rsidRDefault="00C13C71" w:rsidP="00A61D4E">
      <w:pPr>
        <w:pStyle w:val="Textodenotaderodap"/>
        <w:rPr>
          <w:rFonts w:ascii="Arial Narrow" w:hAnsi="Arial Narrow"/>
          <w:lang w:val="en-US"/>
        </w:rPr>
      </w:pPr>
      <w:r w:rsidRPr="006552C5">
        <w:rPr>
          <w:rStyle w:val="Refdenotaderodap"/>
          <w:rFonts w:ascii="Arial Narrow" w:hAnsi="Arial Narrow"/>
        </w:rPr>
        <w:footnoteRef/>
      </w:r>
      <w:r w:rsidRPr="003E2919">
        <w:rPr>
          <w:rFonts w:ascii="Arial Narrow" w:hAnsi="Arial Narrow"/>
          <w:lang w:val="en-US"/>
        </w:rPr>
        <w:t xml:space="preserve"> Id. (1911) 57-58 (sub. orig.).</w:t>
      </w:r>
    </w:p>
  </w:footnote>
  <w:footnote w:id="40">
    <w:p w:rsidR="00C13C71" w:rsidRPr="003E2919" w:rsidRDefault="00C13C71" w:rsidP="00A61D4E">
      <w:pPr>
        <w:pStyle w:val="Textodenotaderodap"/>
        <w:rPr>
          <w:rFonts w:ascii="Arial Narrow" w:hAnsi="Arial Narrow"/>
          <w:lang w:val="en-US"/>
        </w:rPr>
      </w:pPr>
      <w:r w:rsidRPr="006552C5">
        <w:rPr>
          <w:rStyle w:val="Refdenotaderodap"/>
          <w:rFonts w:ascii="Arial Narrow" w:hAnsi="Arial Narrow"/>
        </w:rPr>
        <w:footnoteRef/>
      </w:r>
      <w:r w:rsidRPr="003E2919">
        <w:rPr>
          <w:rFonts w:ascii="Arial Narrow" w:hAnsi="Arial Narrow"/>
          <w:lang w:val="en-US"/>
        </w:rPr>
        <w:t xml:space="preserve"> Umberto Boccioni, </w:t>
      </w:r>
      <w:r w:rsidRPr="003E2919">
        <w:rPr>
          <w:rFonts w:ascii="Arial Narrow" w:hAnsi="Arial Narrow"/>
          <w:i/>
          <w:lang w:val="en-US"/>
        </w:rPr>
        <w:t>Futurist Painting and Sculpture (extracts),</w:t>
      </w:r>
      <w:r w:rsidRPr="003E2919">
        <w:rPr>
          <w:rFonts w:ascii="Arial Narrow" w:hAnsi="Arial Narrow"/>
          <w:lang w:val="en-US"/>
        </w:rPr>
        <w:t xml:space="preserve"> 1914, em U. Apollonio (org. 1973) 173.</w:t>
      </w:r>
    </w:p>
  </w:footnote>
  <w:footnote w:id="41">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w:t>
      </w:r>
      <w:r>
        <w:rPr>
          <w:rFonts w:ascii="Arial Narrow" w:hAnsi="Arial Narrow"/>
        </w:rPr>
        <w:t xml:space="preserve">Anton Giulio </w:t>
      </w:r>
      <w:r w:rsidRPr="006552C5">
        <w:rPr>
          <w:rFonts w:ascii="Arial Narrow" w:hAnsi="Arial Narrow"/>
        </w:rPr>
        <w:t xml:space="preserve">Bragaglia, </w:t>
      </w:r>
      <w:r w:rsidRPr="00DA1008">
        <w:rPr>
          <w:rFonts w:ascii="Arial Narrow" w:hAnsi="Arial Narrow"/>
          <w:i/>
        </w:rPr>
        <w:t>Futurist</w:t>
      </w:r>
      <w:r>
        <w:rPr>
          <w:rFonts w:ascii="Arial Narrow" w:hAnsi="Arial Narrow"/>
        </w:rPr>
        <w:t xml:space="preserve"> </w:t>
      </w:r>
      <w:r>
        <w:rPr>
          <w:rFonts w:ascii="Arial Narrow" w:hAnsi="Arial Narrow"/>
          <w:i/>
        </w:rPr>
        <w:t>Ph</w:t>
      </w:r>
      <w:r w:rsidRPr="006552C5">
        <w:rPr>
          <w:rFonts w:ascii="Arial Narrow" w:hAnsi="Arial Narrow"/>
          <w:i/>
        </w:rPr>
        <w:t>otod</w:t>
      </w:r>
      <w:r>
        <w:rPr>
          <w:rFonts w:ascii="Arial Narrow" w:hAnsi="Arial Narrow"/>
          <w:i/>
        </w:rPr>
        <w:t>y</w:t>
      </w:r>
      <w:r w:rsidRPr="006552C5">
        <w:rPr>
          <w:rFonts w:ascii="Arial Narrow" w:hAnsi="Arial Narrow"/>
          <w:i/>
        </w:rPr>
        <w:t>namism,</w:t>
      </w:r>
      <w:r w:rsidRPr="006552C5">
        <w:rPr>
          <w:rFonts w:ascii="Arial Narrow" w:hAnsi="Arial Narrow"/>
        </w:rPr>
        <w:t xml:space="preserve"> </w:t>
      </w:r>
      <w:r>
        <w:rPr>
          <w:rFonts w:ascii="Arial Narrow" w:hAnsi="Arial Narrow"/>
        </w:rPr>
        <w:t xml:space="preserve">1 de </w:t>
      </w:r>
      <w:r w:rsidRPr="006552C5">
        <w:rPr>
          <w:rFonts w:ascii="Arial Narrow" w:hAnsi="Arial Narrow"/>
        </w:rPr>
        <w:t>Julho de 1911, em id., ibid., 44 (sub. orig.).</w:t>
      </w:r>
    </w:p>
  </w:footnote>
  <w:footnote w:id="42">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w:t>
      </w:r>
      <w:r>
        <w:rPr>
          <w:rFonts w:ascii="Arial Narrow" w:hAnsi="Arial Narrow"/>
        </w:rPr>
        <w:t xml:space="preserve">Umberto </w:t>
      </w:r>
      <w:r w:rsidRPr="00B8065A">
        <w:rPr>
          <w:rFonts w:ascii="Arial Narrow" w:hAnsi="Arial Narrow"/>
        </w:rPr>
        <w:t>Boccioni</w:t>
      </w:r>
      <w:r>
        <w:rPr>
          <w:rFonts w:ascii="Arial Narrow" w:hAnsi="Arial Narrow"/>
        </w:rPr>
        <w:t>,</w:t>
      </w:r>
      <w:r w:rsidRPr="00B8065A">
        <w:rPr>
          <w:rFonts w:ascii="Arial Narrow" w:hAnsi="Arial Narrow"/>
        </w:rPr>
        <w:t xml:space="preserve"> </w:t>
      </w:r>
      <w:r>
        <w:rPr>
          <w:rFonts w:ascii="Arial Narrow" w:hAnsi="Arial Narrow"/>
          <w:i/>
        </w:rPr>
        <w:t xml:space="preserve">Plastic </w:t>
      </w:r>
      <w:r w:rsidRPr="006552C5">
        <w:rPr>
          <w:rFonts w:ascii="Arial Narrow" w:hAnsi="Arial Narrow"/>
          <w:i/>
        </w:rPr>
        <w:t>D</w:t>
      </w:r>
      <w:r>
        <w:rPr>
          <w:rFonts w:ascii="Arial Narrow" w:hAnsi="Arial Narrow"/>
          <w:i/>
        </w:rPr>
        <w:t>y</w:t>
      </w:r>
      <w:r w:rsidRPr="006552C5">
        <w:rPr>
          <w:rFonts w:ascii="Arial Narrow" w:hAnsi="Arial Narrow"/>
          <w:i/>
        </w:rPr>
        <w:t>namism,</w:t>
      </w:r>
      <w:r w:rsidRPr="006552C5">
        <w:rPr>
          <w:rFonts w:ascii="Arial Narrow" w:hAnsi="Arial Narrow"/>
        </w:rPr>
        <w:t xml:space="preserve"> </w:t>
      </w:r>
      <w:r>
        <w:rPr>
          <w:rFonts w:ascii="Arial Narrow" w:hAnsi="Arial Narrow"/>
        </w:rPr>
        <w:t xml:space="preserve">12 de </w:t>
      </w:r>
      <w:r w:rsidRPr="006552C5">
        <w:rPr>
          <w:rFonts w:ascii="Arial Narrow" w:hAnsi="Arial Narrow"/>
        </w:rPr>
        <w:t>Dezembro de 1913, em id., ibid., 93.</w:t>
      </w:r>
    </w:p>
  </w:footnote>
  <w:footnote w:id="43">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F. T. Marinetti (1911) 114.</w:t>
      </w:r>
    </w:p>
  </w:footnote>
  <w:footnote w:id="44">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w:t>
      </w:r>
      <w:r>
        <w:rPr>
          <w:rFonts w:ascii="Arial Narrow" w:hAnsi="Arial Narrow"/>
        </w:rPr>
        <w:t xml:space="preserve">Umberto </w:t>
      </w:r>
      <w:r w:rsidRPr="006552C5">
        <w:rPr>
          <w:rFonts w:ascii="Arial Narrow" w:hAnsi="Arial Narrow"/>
        </w:rPr>
        <w:t xml:space="preserve">Boccioni, </w:t>
      </w:r>
      <w:r>
        <w:rPr>
          <w:rFonts w:ascii="Arial Narrow" w:hAnsi="Arial Narrow"/>
        </w:rPr>
        <w:t xml:space="preserve">Carlo </w:t>
      </w:r>
      <w:r w:rsidRPr="006552C5">
        <w:rPr>
          <w:rFonts w:ascii="Arial Narrow" w:hAnsi="Arial Narrow"/>
        </w:rPr>
        <w:t xml:space="preserve">Carrà, </w:t>
      </w:r>
      <w:r>
        <w:rPr>
          <w:rFonts w:ascii="Arial Narrow" w:hAnsi="Arial Narrow"/>
        </w:rPr>
        <w:t xml:space="preserve">Luigi </w:t>
      </w:r>
      <w:r w:rsidRPr="006552C5">
        <w:rPr>
          <w:rFonts w:ascii="Arial Narrow" w:hAnsi="Arial Narrow"/>
        </w:rPr>
        <w:t xml:space="preserve">Russolo, </w:t>
      </w:r>
      <w:r>
        <w:rPr>
          <w:rFonts w:ascii="Arial Narrow" w:hAnsi="Arial Narrow"/>
        </w:rPr>
        <w:t xml:space="preserve">Giacomo </w:t>
      </w:r>
      <w:r w:rsidRPr="006552C5">
        <w:rPr>
          <w:rFonts w:ascii="Arial Narrow" w:hAnsi="Arial Narrow"/>
        </w:rPr>
        <w:t>Balla</w:t>
      </w:r>
      <w:r>
        <w:rPr>
          <w:rFonts w:ascii="Arial Narrow" w:hAnsi="Arial Narrow"/>
        </w:rPr>
        <w:t xml:space="preserve"> e Gino Severini</w:t>
      </w:r>
      <w:r w:rsidRPr="006552C5">
        <w:rPr>
          <w:rFonts w:ascii="Arial Narrow" w:hAnsi="Arial Narrow"/>
        </w:rPr>
        <w:t xml:space="preserve">, </w:t>
      </w:r>
      <w:r>
        <w:rPr>
          <w:rFonts w:ascii="Arial Narrow" w:hAnsi="Arial Narrow"/>
          <w:i/>
        </w:rPr>
        <w:t>Futurist Painting: Technical Manifesto</w:t>
      </w:r>
      <w:r w:rsidRPr="006552C5">
        <w:rPr>
          <w:rFonts w:ascii="Arial Narrow" w:hAnsi="Arial Narrow"/>
          <w:i/>
        </w:rPr>
        <w:t>,</w:t>
      </w:r>
      <w:r w:rsidRPr="006552C5">
        <w:rPr>
          <w:rFonts w:ascii="Arial Narrow" w:hAnsi="Arial Narrow"/>
        </w:rPr>
        <w:t xml:space="preserve"> </w:t>
      </w:r>
      <w:r>
        <w:rPr>
          <w:rFonts w:ascii="Arial Narrow" w:hAnsi="Arial Narrow"/>
        </w:rPr>
        <w:t xml:space="preserve">11 de Abril de </w:t>
      </w:r>
      <w:r w:rsidRPr="006552C5">
        <w:rPr>
          <w:rFonts w:ascii="Arial Narrow" w:hAnsi="Arial Narrow"/>
        </w:rPr>
        <w:t xml:space="preserve">1910, em U. Apollonio (org. 1973) </w:t>
      </w:r>
      <w:r>
        <w:rPr>
          <w:rFonts w:ascii="Arial Narrow" w:hAnsi="Arial Narrow"/>
        </w:rPr>
        <w:t>27</w:t>
      </w:r>
      <w:r w:rsidRPr="006552C5">
        <w:rPr>
          <w:rFonts w:ascii="Arial Narrow" w:hAnsi="Arial Narrow"/>
        </w:rPr>
        <w:t xml:space="preserve"> (subs. orig.).</w:t>
      </w:r>
    </w:p>
  </w:footnote>
  <w:footnote w:id="45">
    <w:p w:rsidR="00C13C71" w:rsidRPr="007721F5" w:rsidRDefault="00C13C71" w:rsidP="00A61D4E">
      <w:pPr>
        <w:pStyle w:val="Textodenotaderodap"/>
        <w:rPr>
          <w:rFonts w:ascii="Arial Narrow" w:hAnsi="Arial Narrow"/>
        </w:rPr>
      </w:pPr>
      <w:r w:rsidRPr="006552C5">
        <w:rPr>
          <w:rStyle w:val="Refdenotaderodap"/>
          <w:rFonts w:ascii="Arial Narrow" w:hAnsi="Arial Narrow"/>
        </w:rPr>
        <w:footnoteRef/>
      </w:r>
      <w:r w:rsidRPr="007721F5">
        <w:rPr>
          <w:rFonts w:ascii="Arial Narrow" w:hAnsi="Arial Narrow"/>
        </w:rPr>
        <w:t xml:space="preserve"> Umberto Boccioni, </w:t>
      </w:r>
      <w:r w:rsidRPr="007721F5">
        <w:rPr>
          <w:rFonts w:ascii="Arial Narrow" w:hAnsi="Arial Narrow"/>
          <w:i/>
        </w:rPr>
        <w:t>Absolute Motion + Relative Motion = Dynamism,</w:t>
      </w:r>
      <w:r w:rsidRPr="007721F5">
        <w:rPr>
          <w:rFonts w:ascii="Arial Narrow" w:hAnsi="Arial Narrow"/>
        </w:rPr>
        <w:t xml:space="preserve"> 15 de Março </w:t>
      </w:r>
      <w:r>
        <w:rPr>
          <w:rFonts w:ascii="Arial Narrow" w:hAnsi="Arial Narrow"/>
        </w:rPr>
        <w:t xml:space="preserve">de 1914, </w:t>
      </w:r>
      <w:r w:rsidRPr="007721F5">
        <w:rPr>
          <w:rFonts w:ascii="Arial Narrow" w:hAnsi="Arial Narrow"/>
        </w:rPr>
        <w:t>em id., ibid., 150, 152.</w:t>
      </w:r>
    </w:p>
  </w:footnote>
  <w:footnote w:id="46">
    <w:p w:rsidR="00C13C71" w:rsidRPr="003E2919" w:rsidRDefault="00C13C71" w:rsidP="00A61D4E">
      <w:pPr>
        <w:pStyle w:val="Textodenotaderodap"/>
        <w:rPr>
          <w:rFonts w:ascii="Arial Narrow" w:hAnsi="Arial Narrow"/>
          <w:lang w:val="en-US"/>
        </w:rPr>
      </w:pPr>
      <w:r w:rsidRPr="006552C5">
        <w:rPr>
          <w:rStyle w:val="Refdenotaderodap"/>
          <w:rFonts w:ascii="Arial Narrow" w:hAnsi="Arial Narrow"/>
        </w:rPr>
        <w:footnoteRef/>
      </w:r>
      <w:r w:rsidRPr="003E2919">
        <w:rPr>
          <w:rFonts w:ascii="Arial Narrow" w:hAnsi="Arial Narrow"/>
          <w:lang w:val="en-US"/>
        </w:rPr>
        <w:t xml:space="preserve"> U. Apollonio (org. 1973) 90, 93, 150-151, 172-176.</w:t>
      </w:r>
    </w:p>
  </w:footnote>
  <w:footnote w:id="47">
    <w:p w:rsidR="00C13C71" w:rsidRPr="003E2919" w:rsidRDefault="00C13C71" w:rsidP="00A61D4E">
      <w:pPr>
        <w:pStyle w:val="Textodenotaderodap"/>
        <w:rPr>
          <w:rFonts w:ascii="Arial Narrow" w:hAnsi="Arial Narrow"/>
          <w:lang w:val="en-US"/>
        </w:rPr>
      </w:pPr>
      <w:r w:rsidRPr="006552C5">
        <w:rPr>
          <w:rStyle w:val="Refdenotaderodap"/>
          <w:rFonts w:ascii="Arial Narrow" w:hAnsi="Arial Narrow"/>
        </w:rPr>
        <w:footnoteRef/>
      </w:r>
      <w:r w:rsidRPr="003E2919">
        <w:rPr>
          <w:rFonts w:ascii="Arial Narrow" w:hAnsi="Arial Narrow"/>
          <w:lang w:val="en-US"/>
        </w:rPr>
        <w:t xml:space="preserve"> Id., ibid., 91, 112-113, 123, 171, 177.</w:t>
      </w:r>
    </w:p>
  </w:footnote>
  <w:footnote w:id="48">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w:t>
      </w:r>
      <w:r>
        <w:rPr>
          <w:rFonts w:ascii="Arial Narrow" w:hAnsi="Arial Narrow"/>
        </w:rPr>
        <w:t xml:space="preserve">Anton Giulio </w:t>
      </w:r>
      <w:r w:rsidRPr="006552C5">
        <w:rPr>
          <w:rFonts w:ascii="Arial Narrow" w:hAnsi="Arial Narrow"/>
        </w:rPr>
        <w:t xml:space="preserve">Bragaglia, </w:t>
      </w:r>
      <w:r>
        <w:rPr>
          <w:rFonts w:ascii="Arial Narrow" w:hAnsi="Arial Narrow"/>
          <w:i/>
        </w:rPr>
        <w:t>Futurist Ph</w:t>
      </w:r>
      <w:r w:rsidRPr="006552C5">
        <w:rPr>
          <w:rFonts w:ascii="Arial Narrow" w:hAnsi="Arial Narrow"/>
          <w:i/>
        </w:rPr>
        <w:t>otod</w:t>
      </w:r>
      <w:r>
        <w:rPr>
          <w:rFonts w:ascii="Arial Narrow" w:hAnsi="Arial Narrow"/>
          <w:i/>
        </w:rPr>
        <w:t>y</w:t>
      </w:r>
      <w:r w:rsidRPr="006552C5">
        <w:rPr>
          <w:rFonts w:ascii="Arial Narrow" w:hAnsi="Arial Narrow"/>
          <w:i/>
        </w:rPr>
        <w:t>namism,</w:t>
      </w:r>
      <w:r w:rsidRPr="006552C5">
        <w:rPr>
          <w:rFonts w:ascii="Arial Narrow" w:hAnsi="Arial Narrow"/>
        </w:rPr>
        <w:t xml:space="preserve"> </w:t>
      </w:r>
      <w:r>
        <w:rPr>
          <w:rFonts w:ascii="Arial Narrow" w:hAnsi="Arial Narrow"/>
        </w:rPr>
        <w:t xml:space="preserve">1 de Julho de 1913, </w:t>
      </w:r>
      <w:r w:rsidRPr="006552C5">
        <w:rPr>
          <w:rFonts w:ascii="Arial Narrow" w:hAnsi="Arial Narrow"/>
        </w:rPr>
        <w:t>em id., ibid., 40.</w:t>
      </w:r>
    </w:p>
  </w:footnote>
  <w:footnote w:id="49">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w:t>
      </w:r>
      <w:r>
        <w:rPr>
          <w:rFonts w:ascii="Arial Narrow" w:hAnsi="Arial Narrow"/>
        </w:rPr>
        <w:t xml:space="preserve">Umberto </w:t>
      </w:r>
      <w:r w:rsidRPr="00B8065A">
        <w:rPr>
          <w:rFonts w:ascii="Arial Narrow" w:hAnsi="Arial Narrow"/>
        </w:rPr>
        <w:t>Boccioni</w:t>
      </w:r>
      <w:r>
        <w:rPr>
          <w:rFonts w:ascii="Arial Narrow" w:hAnsi="Arial Narrow"/>
        </w:rPr>
        <w:t>,</w:t>
      </w:r>
      <w:r w:rsidRPr="00B8065A">
        <w:rPr>
          <w:rFonts w:ascii="Arial Narrow" w:hAnsi="Arial Narrow"/>
        </w:rPr>
        <w:t xml:space="preserve"> </w:t>
      </w:r>
      <w:r>
        <w:rPr>
          <w:rFonts w:ascii="Arial Narrow" w:hAnsi="Arial Narrow"/>
          <w:i/>
        </w:rPr>
        <w:t xml:space="preserve">Plastic </w:t>
      </w:r>
      <w:r w:rsidRPr="006552C5">
        <w:rPr>
          <w:rFonts w:ascii="Arial Narrow" w:hAnsi="Arial Narrow"/>
          <w:i/>
        </w:rPr>
        <w:t>D</w:t>
      </w:r>
      <w:r>
        <w:rPr>
          <w:rFonts w:ascii="Arial Narrow" w:hAnsi="Arial Narrow"/>
          <w:i/>
        </w:rPr>
        <w:t>y</w:t>
      </w:r>
      <w:r w:rsidRPr="006552C5">
        <w:rPr>
          <w:rFonts w:ascii="Arial Narrow" w:hAnsi="Arial Narrow"/>
          <w:i/>
        </w:rPr>
        <w:t>namism,</w:t>
      </w:r>
      <w:r w:rsidRPr="006552C5">
        <w:rPr>
          <w:rFonts w:ascii="Arial Narrow" w:hAnsi="Arial Narrow"/>
        </w:rPr>
        <w:t xml:space="preserve"> </w:t>
      </w:r>
      <w:r>
        <w:rPr>
          <w:rFonts w:ascii="Arial Narrow" w:hAnsi="Arial Narrow"/>
        </w:rPr>
        <w:t xml:space="preserve">12 de </w:t>
      </w:r>
      <w:r w:rsidRPr="00500DEE">
        <w:rPr>
          <w:rFonts w:ascii="Arial Narrow" w:hAnsi="Arial Narrow"/>
        </w:rPr>
        <w:t>Dezembro de 1913</w:t>
      </w:r>
      <w:r>
        <w:rPr>
          <w:rFonts w:ascii="Arial Narrow" w:hAnsi="Arial Narrow"/>
        </w:rPr>
        <w:t xml:space="preserve">, </w:t>
      </w:r>
      <w:r w:rsidRPr="006552C5">
        <w:rPr>
          <w:rFonts w:ascii="Arial Narrow" w:hAnsi="Arial Narrow"/>
        </w:rPr>
        <w:t>em id., ibid., 93.</w:t>
      </w:r>
    </w:p>
  </w:footnote>
  <w:footnote w:id="50">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w:t>
      </w:r>
      <w:r>
        <w:rPr>
          <w:rFonts w:ascii="Arial Narrow" w:hAnsi="Arial Narrow"/>
        </w:rPr>
        <w:t>Id.,</w:t>
      </w:r>
      <w:r w:rsidRPr="00B8065A">
        <w:rPr>
          <w:rFonts w:ascii="Arial Narrow" w:hAnsi="Arial Narrow"/>
        </w:rPr>
        <w:t xml:space="preserve"> </w:t>
      </w:r>
      <w:r>
        <w:rPr>
          <w:rFonts w:ascii="Arial Narrow" w:hAnsi="Arial Narrow"/>
          <w:i/>
        </w:rPr>
        <w:t xml:space="preserve">Technical </w:t>
      </w:r>
      <w:r w:rsidRPr="006552C5">
        <w:rPr>
          <w:rFonts w:ascii="Arial Narrow" w:hAnsi="Arial Narrow"/>
          <w:i/>
        </w:rPr>
        <w:t>Manifest</w:t>
      </w:r>
      <w:r>
        <w:rPr>
          <w:rFonts w:ascii="Arial Narrow" w:hAnsi="Arial Narrow"/>
          <w:i/>
        </w:rPr>
        <w:t>o of Futurist Sculpture</w:t>
      </w:r>
      <w:r w:rsidRPr="006552C5">
        <w:rPr>
          <w:rFonts w:ascii="Arial Narrow" w:hAnsi="Arial Narrow"/>
          <w:i/>
        </w:rPr>
        <w:t>,</w:t>
      </w:r>
      <w:r w:rsidRPr="006552C5">
        <w:rPr>
          <w:rFonts w:ascii="Arial Narrow" w:hAnsi="Arial Narrow"/>
        </w:rPr>
        <w:t xml:space="preserve"> </w:t>
      </w:r>
      <w:r>
        <w:rPr>
          <w:rFonts w:ascii="Arial Narrow" w:hAnsi="Arial Narrow"/>
        </w:rPr>
        <w:t xml:space="preserve">11 de </w:t>
      </w:r>
      <w:r w:rsidRPr="006552C5">
        <w:rPr>
          <w:rFonts w:ascii="Arial Narrow" w:hAnsi="Arial Narrow"/>
        </w:rPr>
        <w:t>Abril de 1912, em id., ibid., 52.</w:t>
      </w:r>
    </w:p>
  </w:footnote>
  <w:footnote w:id="51">
    <w:p w:rsidR="00C13C71" w:rsidRPr="00CD5C4E" w:rsidRDefault="00C13C71" w:rsidP="00A61D4E">
      <w:pPr>
        <w:pStyle w:val="Textodenotaderodap"/>
        <w:rPr>
          <w:rFonts w:ascii="Arial Narrow" w:hAnsi="Arial Narrow"/>
          <w:lang w:val="en-US"/>
        </w:rPr>
      </w:pPr>
      <w:r w:rsidRPr="006552C5">
        <w:rPr>
          <w:rStyle w:val="Refdenotaderodap"/>
          <w:rFonts w:ascii="Arial Narrow" w:hAnsi="Arial Narrow"/>
        </w:rPr>
        <w:footnoteRef/>
      </w:r>
      <w:r w:rsidRPr="00CD5C4E">
        <w:rPr>
          <w:rFonts w:ascii="Arial Narrow" w:hAnsi="Arial Narrow"/>
          <w:lang w:val="en-US"/>
        </w:rPr>
        <w:t xml:space="preserve"> Id., </w:t>
      </w:r>
      <w:r w:rsidRPr="00CD5C4E">
        <w:rPr>
          <w:rFonts w:ascii="Arial Narrow" w:hAnsi="Arial Narrow"/>
          <w:i/>
          <w:lang w:val="en-US"/>
        </w:rPr>
        <w:t>The Plastic Foundations of Futurist Sculpture and Painting,</w:t>
      </w:r>
      <w:r w:rsidRPr="00CD5C4E">
        <w:rPr>
          <w:rFonts w:ascii="Arial Narrow" w:hAnsi="Arial Narrow"/>
          <w:lang w:val="en-US"/>
        </w:rPr>
        <w:t xml:space="preserve"> 1</w:t>
      </w:r>
      <w:r>
        <w:rPr>
          <w:rFonts w:ascii="Arial Narrow" w:hAnsi="Arial Narrow"/>
          <w:lang w:val="en-US"/>
        </w:rPr>
        <w:t xml:space="preserve">5 de </w:t>
      </w:r>
      <w:r w:rsidRPr="00CD5C4E">
        <w:rPr>
          <w:rFonts w:ascii="Arial Narrow" w:hAnsi="Arial Narrow"/>
          <w:lang w:val="en-US"/>
        </w:rPr>
        <w:t>Março de 1913, em id., ibid., 89.</w:t>
      </w:r>
    </w:p>
  </w:footnote>
  <w:footnote w:id="52">
    <w:p w:rsidR="00C13C71" w:rsidRPr="003E2919" w:rsidRDefault="00C13C71" w:rsidP="00A61D4E">
      <w:pPr>
        <w:pStyle w:val="Textodenotaderodap"/>
        <w:rPr>
          <w:rFonts w:ascii="Arial Narrow" w:hAnsi="Arial Narrow"/>
          <w:lang w:val="en-US"/>
        </w:rPr>
      </w:pPr>
      <w:r w:rsidRPr="006552C5">
        <w:rPr>
          <w:rStyle w:val="Refdenotaderodap"/>
          <w:rFonts w:ascii="Arial Narrow" w:hAnsi="Arial Narrow"/>
        </w:rPr>
        <w:footnoteRef/>
      </w:r>
      <w:r w:rsidRPr="003E2919">
        <w:rPr>
          <w:rFonts w:ascii="Arial Narrow" w:hAnsi="Arial Narrow"/>
          <w:lang w:val="en-US"/>
        </w:rPr>
        <w:t xml:space="preserve"> Carlo Carrà, </w:t>
      </w:r>
      <w:r w:rsidRPr="003E2919">
        <w:rPr>
          <w:rFonts w:ascii="Arial Narrow" w:hAnsi="Arial Narrow"/>
          <w:i/>
          <w:lang w:val="en-US"/>
        </w:rPr>
        <w:t>The Painting of Sounds, Noises and Smells,</w:t>
      </w:r>
      <w:r w:rsidRPr="003E2919">
        <w:rPr>
          <w:rFonts w:ascii="Arial Narrow" w:hAnsi="Arial Narrow"/>
          <w:lang w:val="en-US"/>
        </w:rPr>
        <w:t xml:space="preserve"> 11 de Agosto de 1913, em id., ibid., 113.</w:t>
      </w:r>
    </w:p>
  </w:footnote>
  <w:footnote w:id="53">
    <w:p w:rsidR="00C13C71" w:rsidRPr="003E2919" w:rsidRDefault="00C13C71" w:rsidP="00A61D4E">
      <w:pPr>
        <w:pStyle w:val="Textodenotaderodap"/>
        <w:rPr>
          <w:rFonts w:ascii="Arial Narrow" w:hAnsi="Arial Narrow"/>
          <w:lang w:val="en-US"/>
        </w:rPr>
      </w:pPr>
      <w:r w:rsidRPr="006552C5">
        <w:rPr>
          <w:rStyle w:val="Refdenotaderodap"/>
          <w:rFonts w:ascii="Arial Narrow" w:hAnsi="Arial Narrow"/>
        </w:rPr>
        <w:footnoteRef/>
      </w:r>
      <w:r w:rsidRPr="003E2919">
        <w:rPr>
          <w:rFonts w:ascii="Arial Narrow" w:hAnsi="Arial Narrow"/>
          <w:lang w:val="en-US"/>
        </w:rPr>
        <w:t xml:space="preserve"> Gino Severini, </w:t>
      </w:r>
      <w:r w:rsidRPr="003E2919">
        <w:rPr>
          <w:rFonts w:ascii="Arial Narrow" w:hAnsi="Arial Narrow"/>
          <w:i/>
          <w:lang w:val="en-US"/>
        </w:rPr>
        <w:t>The Plastic Analogies of Dynamism – Futurist Manifesto,</w:t>
      </w:r>
      <w:r w:rsidRPr="003E2919">
        <w:rPr>
          <w:rFonts w:ascii="Arial Narrow" w:hAnsi="Arial Narrow"/>
          <w:lang w:val="en-US"/>
        </w:rPr>
        <w:t xml:space="preserve"> Setembro-Outubro de 1913, em id., ibid., 124 (sub. orig.).</w:t>
      </w:r>
    </w:p>
  </w:footnote>
  <w:footnote w:id="54">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w:t>
      </w:r>
      <w:r>
        <w:rPr>
          <w:rFonts w:ascii="Arial Narrow" w:hAnsi="Arial Narrow"/>
        </w:rPr>
        <w:t xml:space="preserve">Umberto </w:t>
      </w:r>
      <w:r w:rsidRPr="00313A8C">
        <w:rPr>
          <w:rFonts w:ascii="Arial Narrow" w:hAnsi="Arial Narrow"/>
        </w:rPr>
        <w:t>Boccioni</w:t>
      </w:r>
      <w:r>
        <w:rPr>
          <w:rFonts w:ascii="Arial Narrow" w:hAnsi="Arial Narrow"/>
        </w:rPr>
        <w:t>,</w:t>
      </w:r>
      <w:r w:rsidRPr="00313A8C">
        <w:rPr>
          <w:rFonts w:ascii="Arial Narrow" w:hAnsi="Arial Narrow"/>
        </w:rPr>
        <w:t xml:space="preserve"> </w:t>
      </w:r>
      <w:r>
        <w:rPr>
          <w:rFonts w:ascii="Arial Narrow" w:hAnsi="Arial Narrow"/>
          <w:i/>
        </w:rPr>
        <w:t xml:space="preserve">Technical </w:t>
      </w:r>
      <w:r w:rsidRPr="006552C5">
        <w:rPr>
          <w:rFonts w:ascii="Arial Narrow" w:hAnsi="Arial Narrow"/>
          <w:i/>
        </w:rPr>
        <w:t>Manifest</w:t>
      </w:r>
      <w:r>
        <w:rPr>
          <w:rFonts w:ascii="Arial Narrow" w:hAnsi="Arial Narrow"/>
          <w:i/>
        </w:rPr>
        <w:t>o of Futurist Sculpture</w:t>
      </w:r>
      <w:r w:rsidRPr="006552C5">
        <w:rPr>
          <w:rFonts w:ascii="Arial Narrow" w:hAnsi="Arial Narrow"/>
          <w:i/>
        </w:rPr>
        <w:t>,</w:t>
      </w:r>
      <w:r w:rsidRPr="006552C5">
        <w:rPr>
          <w:rFonts w:ascii="Arial Narrow" w:hAnsi="Arial Narrow"/>
        </w:rPr>
        <w:t xml:space="preserve"> </w:t>
      </w:r>
      <w:r>
        <w:rPr>
          <w:rFonts w:ascii="Arial Narrow" w:hAnsi="Arial Narrow"/>
        </w:rPr>
        <w:t xml:space="preserve">11 de </w:t>
      </w:r>
      <w:r w:rsidRPr="006552C5">
        <w:rPr>
          <w:rFonts w:ascii="Arial Narrow" w:hAnsi="Arial Narrow"/>
        </w:rPr>
        <w:t>Abril de 1912, em id., ibid., 62-63, 65 (subs. orig.).</w:t>
      </w:r>
    </w:p>
  </w:footnote>
  <w:footnote w:id="55">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w:t>
      </w:r>
      <w:r>
        <w:rPr>
          <w:rFonts w:ascii="Arial Narrow" w:hAnsi="Arial Narrow"/>
        </w:rPr>
        <w:t xml:space="preserve">Id., </w:t>
      </w:r>
      <w:r>
        <w:rPr>
          <w:rFonts w:ascii="Arial Narrow" w:hAnsi="Arial Narrow"/>
          <w:i/>
        </w:rPr>
        <w:t xml:space="preserve">Plastic </w:t>
      </w:r>
      <w:r w:rsidRPr="006552C5">
        <w:rPr>
          <w:rFonts w:ascii="Arial Narrow" w:hAnsi="Arial Narrow"/>
          <w:i/>
        </w:rPr>
        <w:t>D</w:t>
      </w:r>
      <w:r>
        <w:rPr>
          <w:rFonts w:ascii="Arial Narrow" w:hAnsi="Arial Narrow"/>
          <w:i/>
        </w:rPr>
        <w:t>y</w:t>
      </w:r>
      <w:r w:rsidRPr="006552C5">
        <w:rPr>
          <w:rFonts w:ascii="Arial Narrow" w:hAnsi="Arial Narrow"/>
          <w:i/>
        </w:rPr>
        <w:t>namism,</w:t>
      </w:r>
      <w:r w:rsidRPr="006552C5">
        <w:rPr>
          <w:rFonts w:ascii="Arial Narrow" w:hAnsi="Arial Narrow"/>
        </w:rPr>
        <w:t xml:space="preserve"> </w:t>
      </w:r>
      <w:r>
        <w:rPr>
          <w:rFonts w:ascii="Arial Narrow" w:hAnsi="Arial Narrow"/>
        </w:rPr>
        <w:t xml:space="preserve">12 de </w:t>
      </w:r>
      <w:r w:rsidRPr="00500DEE">
        <w:rPr>
          <w:rFonts w:ascii="Arial Narrow" w:hAnsi="Arial Narrow"/>
        </w:rPr>
        <w:t>Dezembro de 1913</w:t>
      </w:r>
      <w:r>
        <w:rPr>
          <w:rFonts w:ascii="Arial Narrow" w:hAnsi="Arial Narrow"/>
        </w:rPr>
        <w:t xml:space="preserve">, </w:t>
      </w:r>
      <w:r w:rsidRPr="006552C5">
        <w:rPr>
          <w:rFonts w:ascii="Arial Narrow" w:hAnsi="Arial Narrow"/>
        </w:rPr>
        <w:t>em id, ibid., 94, 95 (sub. orig.).</w:t>
      </w:r>
    </w:p>
  </w:footnote>
  <w:footnote w:id="56">
    <w:p w:rsidR="00C13C71" w:rsidRPr="00CA38D3" w:rsidRDefault="00C13C71" w:rsidP="00A61D4E">
      <w:pPr>
        <w:pStyle w:val="Textodenotaderodap"/>
        <w:rPr>
          <w:rFonts w:ascii="Arial Narrow" w:hAnsi="Arial Narrow"/>
          <w:lang w:val="en-US"/>
        </w:rPr>
      </w:pPr>
      <w:r w:rsidRPr="006552C5">
        <w:rPr>
          <w:rStyle w:val="Refdenotaderodap"/>
          <w:rFonts w:ascii="Arial Narrow" w:hAnsi="Arial Narrow"/>
        </w:rPr>
        <w:footnoteRef/>
      </w:r>
      <w:r w:rsidRPr="00CA38D3">
        <w:rPr>
          <w:rFonts w:ascii="Arial Narrow" w:hAnsi="Arial Narrow"/>
          <w:lang w:val="en-US"/>
        </w:rPr>
        <w:t xml:space="preserve"> F. T. Marinetti, </w:t>
      </w:r>
      <w:r w:rsidRPr="00CA38D3">
        <w:rPr>
          <w:rFonts w:ascii="Arial Narrow" w:hAnsi="Arial Narrow"/>
          <w:i/>
          <w:lang w:val="en-US"/>
        </w:rPr>
        <w:t>Geometric and Mechanical Splendour and the Numerical Sensibility,</w:t>
      </w:r>
      <w:r w:rsidRPr="00CA38D3">
        <w:rPr>
          <w:rFonts w:ascii="Arial Narrow" w:hAnsi="Arial Narrow"/>
          <w:lang w:val="en-US"/>
        </w:rPr>
        <w:t xml:space="preserve"> Março</w:t>
      </w:r>
      <w:r>
        <w:rPr>
          <w:rFonts w:ascii="Arial Narrow" w:hAnsi="Arial Narrow"/>
          <w:lang w:val="en-US"/>
        </w:rPr>
        <w:t>-Abril</w:t>
      </w:r>
      <w:r w:rsidRPr="00CA38D3">
        <w:rPr>
          <w:rFonts w:ascii="Arial Narrow" w:hAnsi="Arial Narrow"/>
          <w:lang w:val="en-US"/>
        </w:rPr>
        <w:t xml:space="preserve"> de 1914, em id., ibid., 155.</w:t>
      </w:r>
    </w:p>
  </w:footnote>
  <w:footnote w:id="57">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w:t>
      </w:r>
      <w:r>
        <w:rPr>
          <w:rFonts w:ascii="Arial Narrow" w:hAnsi="Arial Narrow"/>
        </w:rPr>
        <w:t xml:space="preserve">Gino </w:t>
      </w:r>
      <w:r w:rsidRPr="00500DEE">
        <w:rPr>
          <w:rFonts w:ascii="Arial Narrow" w:hAnsi="Arial Narrow"/>
        </w:rPr>
        <w:t>Severini</w:t>
      </w:r>
      <w:r>
        <w:rPr>
          <w:rFonts w:ascii="Arial Narrow" w:hAnsi="Arial Narrow"/>
        </w:rPr>
        <w:t>,</w:t>
      </w:r>
      <w:r w:rsidRPr="00500DEE">
        <w:rPr>
          <w:rFonts w:ascii="Arial Narrow" w:hAnsi="Arial Narrow"/>
        </w:rPr>
        <w:t xml:space="preserve"> </w:t>
      </w:r>
      <w:r>
        <w:rPr>
          <w:rFonts w:ascii="Arial Narrow" w:hAnsi="Arial Narrow"/>
          <w:i/>
        </w:rPr>
        <w:t>The Plastic Analogies of Dynamism – Futurist Manifesto</w:t>
      </w:r>
      <w:r w:rsidRPr="006552C5">
        <w:rPr>
          <w:rFonts w:ascii="Arial Narrow" w:hAnsi="Arial Narrow"/>
          <w:i/>
        </w:rPr>
        <w:t>,</w:t>
      </w:r>
      <w:r w:rsidRPr="006552C5">
        <w:rPr>
          <w:rFonts w:ascii="Arial Narrow" w:hAnsi="Arial Narrow"/>
        </w:rPr>
        <w:t xml:space="preserve"> Setembro</w:t>
      </w:r>
      <w:r>
        <w:rPr>
          <w:rFonts w:ascii="Arial Narrow" w:hAnsi="Arial Narrow"/>
        </w:rPr>
        <w:t>-</w:t>
      </w:r>
      <w:r w:rsidRPr="006552C5">
        <w:rPr>
          <w:rFonts w:ascii="Arial Narrow" w:hAnsi="Arial Narrow"/>
        </w:rPr>
        <w:t>Outubro de 1913, em id., ibid., 118.</w:t>
      </w:r>
    </w:p>
  </w:footnote>
  <w:footnote w:id="58">
    <w:p w:rsidR="00C13C71" w:rsidRPr="009742A1" w:rsidRDefault="00C13C71" w:rsidP="00A61D4E">
      <w:pPr>
        <w:pStyle w:val="Textodenotaderodap"/>
        <w:rPr>
          <w:rFonts w:ascii="Arial Narrow" w:hAnsi="Arial Narrow"/>
          <w:lang w:val="en-US"/>
        </w:rPr>
      </w:pPr>
      <w:r w:rsidRPr="006552C5">
        <w:rPr>
          <w:rStyle w:val="Refdenotaderodap"/>
          <w:rFonts w:ascii="Arial Narrow" w:hAnsi="Arial Narrow"/>
        </w:rPr>
        <w:footnoteRef/>
      </w:r>
      <w:r w:rsidRPr="009742A1">
        <w:rPr>
          <w:rFonts w:ascii="Arial Narrow" w:hAnsi="Arial Narrow"/>
          <w:lang w:val="en-US"/>
        </w:rPr>
        <w:t xml:space="preserve"> Umberto Boccioni, </w:t>
      </w:r>
      <w:r w:rsidRPr="00CD5C4E">
        <w:rPr>
          <w:rFonts w:ascii="Arial Narrow" w:hAnsi="Arial Narrow"/>
          <w:i/>
          <w:lang w:val="en-US"/>
        </w:rPr>
        <w:t>The Plastic Foundations of Futurist Sculpture and Painting,</w:t>
      </w:r>
      <w:r w:rsidRPr="00CD5C4E">
        <w:rPr>
          <w:rFonts w:ascii="Arial Narrow" w:hAnsi="Arial Narrow"/>
          <w:lang w:val="en-US"/>
        </w:rPr>
        <w:t xml:space="preserve"> 1</w:t>
      </w:r>
      <w:r>
        <w:rPr>
          <w:rFonts w:ascii="Arial Narrow" w:hAnsi="Arial Narrow"/>
          <w:lang w:val="en-US"/>
        </w:rPr>
        <w:t xml:space="preserve">5 de </w:t>
      </w:r>
      <w:r w:rsidRPr="00CD5C4E">
        <w:rPr>
          <w:rFonts w:ascii="Arial Narrow" w:hAnsi="Arial Narrow"/>
          <w:lang w:val="en-US"/>
        </w:rPr>
        <w:t xml:space="preserve">Março de 1913, </w:t>
      </w:r>
      <w:r w:rsidRPr="009742A1">
        <w:rPr>
          <w:rFonts w:ascii="Arial Narrow" w:hAnsi="Arial Narrow"/>
          <w:lang w:val="en-US"/>
        </w:rPr>
        <w:t>em id., ibid., 88.</w:t>
      </w:r>
    </w:p>
  </w:footnote>
  <w:footnote w:id="59">
    <w:p w:rsidR="00C13C71" w:rsidRPr="003E2919" w:rsidRDefault="00C13C71" w:rsidP="00A61D4E">
      <w:pPr>
        <w:pStyle w:val="Textodenotaderodap"/>
        <w:rPr>
          <w:rFonts w:ascii="Arial Narrow" w:hAnsi="Arial Narrow"/>
          <w:lang w:val="en-US"/>
        </w:rPr>
      </w:pPr>
      <w:r w:rsidRPr="006552C5">
        <w:rPr>
          <w:rStyle w:val="Refdenotaderodap"/>
          <w:rFonts w:ascii="Arial Narrow" w:hAnsi="Arial Narrow"/>
        </w:rPr>
        <w:footnoteRef/>
      </w:r>
      <w:r w:rsidRPr="003E2919">
        <w:rPr>
          <w:rFonts w:ascii="Arial Narrow" w:hAnsi="Arial Narrow"/>
          <w:lang w:val="en-US"/>
        </w:rPr>
        <w:t xml:space="preserve"> Carlo Carrà, </w:t>
      </w:r>
      <w:r w:rsidRPr="003E2919">
        <w:rPr>
          <w:rFonts w:ascii="Arial Narrow" w:hAnsi="Arial Narrow"/>
          <w:i/>
          <w:lang w:val="en-US"/>
        </w:rPr>
        <w:t>The Painting of Sounds, Noises and Smells,</w:t>
      </w:r>
      <w:r w:rsidRPr="003E2919">
        <w:rPr>
          <w:rFonts w:ascii="Arial Narrow" w:hAnsi="Arial Narrow"/>
          <w:lang w:val="en-US"/>
        </w:rPr>
        <w:t xml:space="preserve"> 11 de Agosto de 1913, em id., ibid., 111, 114 (subs. orig.).</w:t>
      </w:r>
    </w:p>
  </w:footnote>
  <w:footnote w:id="60">
    <w:p w:rsidR="00C13C71" w:rsidRPr="003E2919" w:rsidRDefault="00C13C71" w:rsidP="00A61D4E">
      <w:pPr>
        <w:pStyle w:val="Textodenotaderodap"/>
        <w:rPr>
          <w:rFonts w:ascii="Arial Narrow" w:hAnsi="Arial Narrow"/>
          <w:lang w:val="en-US"/>
        </w:rPr>
      </w:pPr>
      <w:r w:rsidRPr="006552C5">
        <w:rPr>
          <w:rStyle w:val="Refdenotaderodap"/>
          <w:rFonts w:ascii="Arial Narrow" w:hAnsi="Arial Narrow"/>
        </w:rPr>
        <w:footnoteRef/>
      </w:r>
      <w:r w:rsidRPr="003E2919">
        <w:rPr>
          <w:rFonts w:ascii="Arial Narrow" w:hAnsi="Arial Narrow"/>
          <w:lang w:val="en-US"/>
        </w:rPr>
        <w:t xml:space="preserve"> Enrico Prampolini, </w:t>
      </w:r>
      <w:r w:rsidRPr="003E2919">
        <w:rPr>
          <w:rFonts w:ascii="Arial Narrow" w:hAnsi="Arial Narrow"/>
          <w:i/>
          <w:lang w:val="en-US"/>
        </w:rPr>
        <w:t>Cromophony – The Colours of Sounds,</w:t>
      </w:r>
      <w:r w:rsidRPr="003E2919">
        <w:rPr>
          <w:rFonts w:ascii="Arial Narrow" w:hAnsi="Arial Narrow"/>
          <w:lang w:val="en-US"/>
        </w:rPr>
        <w:t xml:space="preserve"> 26 de Agosto de 1913, em id., ibid., 116-118 (sub. orig.).</w:t>
      </w:r>
    </w:p>
  </w:footnote>
  <w:footnote w:id="61">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w:t>
      </w:r>
      <w:r>
        <w:rPr>
          <w:rFonts w:ascii="Arial Narrow" w:hAnsi="Arial Narrow"/>
        </w:rPr>
        <w:t xml:space="preserve">Gino </w:t>
      </w:r>
      <w:r w:rsidRPr="00F02F93">
        <w:rPr>
          <w:rFonts w:ascii="Arial Narrow" w:hAnsi="Arial Narrow"/>
        </w:rPr>
        <w:t>Severini</w:t>
      </w:r>
      <w:r>
        <w:rPr>
          <w:rFonts w:ascii="Arial Narrow" w:hAnsi="Arial Narrow"/>
        </w:rPr>
        <w:t>,</w:t>
      </w:r>
      <w:r w:rsidRPr="00F02F93">
        <w:rPr>
          <w:rFonts w:ascii="Arial Narrow" w:hAnsi="Arial Narrow"/>
        </w:rPr>
        <w:t xml:space="preserve"> </w:t>
      </w:r>
      <w:r>
        <w:rPr>
          <w:rFonts w:ascii="Arial Narrow" w:hAnsi="Arial Narrow"/>
          <w:i/>
        </w:rPr>
        <w:t>The Plastic Analogies of Dynamism – Futurist Manifesto</w:t>
      </w:r>
      <w:r w:rsidRPr="006552C5">
        <w:rPr>
          <w:rFonts w:ascii="Arial Narrow" w:hAnsi="Arial Narrow"/>
          <w:i/>
        </w:rPr>
        <w:t>,</w:t>
      </w:r>
      <w:r w:rsidRPr="006552C5">
        <w:rPr>
          <w:rFonts w:ascii="Arial Narrow" w:hAnsi="Arial Narrow"/>
        </w:rPr>
        <w:t xml:space="preserve"> Setembro</w:t>
      </w:r>
      <w:r>
        <w:rPr>
          <w:rFonts w:ascii="Arial Narrow" w:hAnsi="Arial Narrow"/>
        </w:rPr>
        <w:t>-</w:t>
      </w:r>
      <w:r w:rsidRPr="006552C5">
        <w:rPr>
          <w:rFonts w:ascii="Arial Narrow" w:hAnsi="Arial Narrow"/>
        </w:rPr>
        <w:t>Outubro de 1913, em id., ibid., 121-122 (subs. orig.).</w:t>
      </w:r>
    </w:p>
  </w:footnote>
  <w:footnote w:id="62">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w:t>
      </w:r>
      <w:r>
        <w:rPr>
          <w:rFonts w:ascii="Arial Narrow" w:hAnsi="Arial Narrow"/>
        </w:rPr>
        <w:t xml:space="preserve">Bruno </w:t>
      </w:r>
      <w:r w:rsidRPr="006552C5">
        <w:rPr>
          <w:rFonts w:ascii="Arial Narrow" w:hAnsi="Arial Narrow"/>
        </w:rPr>
        <w:t xml:space="preserve">Corradini e </w:t>
      </w:r>
      <w:r>
        <w:rPr>
          <w:rFonts w:ascii="Arial Narrow" w:hAnsi="Arial Narrow"/>
        </w:rPr>
        <w:t xml:space="preserve">Emilio </w:t>
      </w:r>
      <w:r w:rsidRPr="006552C5">
        <w:rPr>
          <w:rFonts w:ascii="Arial Narrow" w:hAnsi="Arial Narrow"/>
        </w:rPr>
        <w:t xml:space="preserve">Settimelli, </w:t>
      </w:r>
      <w:r>
        <w:rPr>
          <w:rFonts w:ascii="Arial Narrow" w:hAnsi="Arial Narrow"/>
          <w:i/>
        </w:rPr>
        <w:t>Weights, Measures and Prices of Artistic Genius – Futurist Manifesto</w:t>
      </w:r>
      <w:r w:rsidRPr="006552C5">
        <w:rPr>
          <w:rFonts w:ascii="Arial Narrow" w:hAnsi="Arial Narrow"/>
          <w:i/>
        </w:rPr>
        <w:t>,</w:t>
      </w:r>
      <w:r w:rsidRPr="006552C5">
        <w:rPr>
          <w:rFonts w:ascii="Arial Narrow" w:hAnsi="Arial Narrow"/>
        </w:rPr>
        <w:t xml:space="preserve"> </w:t>
      </w:r>
      <w:r>
        <w:rPr>
          <w:rFonts w:ascii="Arial Narrow" w:hAnsi="Arial Narrow"/>
        </w:rPr>
        <w:t xml:space="preserve">11 de </w:t>
      </w:r>
      <w:r w:rsidRPr="006552C5">
        <w:rPr>
          <w:rFonts w:ascii="Arial Narrow" w:hAnsi="Arial Narrow"/>
        </w:rPr>
        <w:t>Março de 1914, em id., ibid., 135-150. Convém, evidentemente, não confundir Bruno Corradini com Enrico Corradini.</w:t>
      </w:r>
      <w:r>
        <w:rPr>
          <w:rFonts w:ascii="Arial Narrow" w:hAnsi="Arial Narrow"/>
        </w:rPr>
        <w:t xml:space="preserve"> Por outro lado, é interessante saber que, segundo A. Aniante (1933) 66, «Settimelli é o primeiro intelectual italiano a pronunciar, por volta de 1916, esta frase: “Sem dúvida nenhuma, Mussolini há-de tomar o poder!”».</w:t>
      </w:r>
    </w:p>
  </w:footnote>
  <w:footnote w:id="63">
    <w:p w:rsidR="00C13C71" w:rsidRPr="003E2919" w:rsidRDefault="00C13C71" w:rsidP="00A61D4E">
      <w:pPr>
        <w:pStyle w:val="Textodenotaderodap"/>
        <w:rPr>
          <w:rFonts w:ascii="Arial Narrow" w:hAnsi="Arial Narrow"/>
          <w:lang w:val="en-US"/>
        </w:rPr>
      </w:pPr>
      <w:r w:rsidRPr="006552C5">
        <w:rPr>
          <w:rStyle w:val="Refdenotaderodap"/>
          <w:rFonts w:ascii="Arial Narrow" w:hAnsi="Arial Narrow"/>
        </w:rPr>
        <w:footnoteRef/>
      </w:r>
      <w:r w:rsidRPr="003E2919">
        <w:rPr>
          <w:rFonts w:ascii="Arial Narrow" w:hAnsi="Arial Narrow"/>
          <w:lang w:val="en-US"/>
        </w:rPr>
        <w:t xml:space="preserve"> Carlo Carrà, </w:t>
      </w:r>
      <w:r w:rsidRPr="003E2919">
        <w:rPr>
          <w:rFonts w:ascii="Arial Narrow" w:hAnsi="Arial Narrow"/>
          <w:i/>
          <w:lang w:val="en-US"/>
        </w:rPr>
        <w:t>Warpainting (extracts),</w:t>
      </w:r>
      <w:r w:rsidRPr="003E2919">
        <w:rPr>
          <w:rFonts w:ascii="Arial Narrow" w:hAnsi="Arial Narrow"/>
          <w:lang w:val="en-US"/>
        </w:rPr>
        <w:t xml:space="preserve"> 1915, em U. Apollonio (org. 1973) 202-205.</w:t>
      </w:r>
    </w:p>
  </w:footnote>
  <w:footnote w:id="64">
    <w:p w:rsidR="00C13C71" w:rsidRPr="00FD07BA" w:rsidRDefault="00C13C71" w:rsidP="00A61D4E">
      <w:pPr>
        <w:pStyle w:val="Textodenotaderodap"/>
        <w:rPr>
          <w:rFonts w:ascii="Arial Narrow" w:hAnsi="Arial Narrow"/>
          <w:lang w:val="en-US"/>
        </w:rPr>
      </w:pPr>
      <w:r w:rsidRPr="006552C5">
        <w:rPr>
          <w:rStyle w:val="Refdenotaderodap"/>
          <w:rFonts w:ascii="Arial Narrow" w:hAnsi="Arial Narrow"/>
        </w:rPr>
        <w:footnoteRef/>
      </w:r>
      <w:r w:rsidRPr="00FD07BA">
        <w:rPr>
          <w:rFonts w:ascii="Arial Narrow" w:hAnsi="Arial Narrow"/>
          <w:lang w:val="en-US"/>
        </w:rPr>
        <w:t xml:space="preserve"> Id., </w:t>
      </w:r>
      <w:r w:rsidRPr="00FD07BA">
        <w:rPr>
          <w:rFonts w:ascii="Arial Narrow" w:hAnsi="Arial Narrow"/>
          <w:i/>
          <w:lang w:val="en-US"/>
        </w:rPr>
        <w:t>The Painting of Sounds, Noises and Smells,</w:t>
      </w:r>
      <w:r w:rsidRPr="00FD07BA">
        <w:rPr>
          <w:rFonts w:ascii="Arial Narrow" w:hAnsi="Arial Narrow"/>
          <w:lang w:val="en-US"/>
        </w:rPr>
        <w:t xml:space="preserve"> 11 de Agosto de 1913, em id., ibid., 115 (sub. orig.).</w:t>
      </w:r>
    </w:p>
  </w:footnote>
  <w:footnote w:id="65">
    <w:p w:rsidR="00C13C71" w:rsidRPr="007E3A67" w:rsidRDefault="00C13C71" w:rsidP="00A61D4E">
      <w:pPr>
        <w:pStyle w:val="Textodenotaderodap"/>
        <w:rPr>
          <w:rFonts w:ascii="Arial Narrow" w:hAnsi="Arial Narrow"/>
          <w:lang w:val="en-US"/>
        </w:rPr>
      </w:pPr>
      <w:r w:rsidRPr="006552C5">
        <w:rPr>
          <w:rStyle w:val="Refdenotaderodap"/>
          <w:rFonts w:ascii="Arial Narrow" w:hAnsi="Arial Narrow"/>
        </w:rPr>
        <w:footnoteRef/>
      </w:r>
      <w:r w:rsidRPr="007E3A67">
        <w:rPr>
          <w:rFonts w:ascii="Arial Narrow" w:hAnsi="Arial Narrow"/>
          <w:lang w:val="en-US"/>
        </w:rPr>
        <w:t xml:space="preserve"> U. Apollonio (org. 1973) 34, 38, 40, 45, 46, 48, 66, 90, 100-103.</w:t>
      </w:r>
    </w:p>
  </w:footnote>
  <w:footnote w:id="66">
    <w:p w:rsidR="00C13C71" w:rsidRPr="007E3A67" w:rsidRDefault="00C13C71" w:rsidP="00A61D4E">
      <w:pPr>
        <w:pStyle w:val="Textodenotaderodap"/>
        <w:rPr>
          <w:rFonts w:ascii="Arial Narrow" w:hAnsi="Arial Narrow"/>
          <w:lang w:val="en-US"/>
        </w:rPr>
      </w:pPr>
      <w:r w:rsidRPr="006552C5">
        <w:rPr>
          <w:rStyle w:val="Refdenotaderodap"/>
          <w:rFonts w:ascii="Arial Narrow" w:hAnsi="Arial Narrow"/>
        </w:rPr>
        <w:footnoteRef/>
      </w:r>
      <w:r w:rsidRPr="007E3A67">
        <w:rPr>
          <w:rFonts w:ascii="Arial Narrow" w:hAnsi="Arial Narrow"/>
          <w:lang w:val="en-US"/>
        </w:rPr>
        <w:t xml:space="preserve"> </w:t>
      </w:r>
      <w:r w:rsidRPr="009742A1">
        <w:rPr>
          <w:rFonts w:ascii="Arial Narrow" w:hAnsi="Arial Narrow"/>
          <w:lang w:val="en-US"/>
        </w:rPr>
        <w:t xml:space="preserve">Umberto Boccioni, </w:t>
      </w:r>
      <w:r w:rsidRPr="00CD5C4E">
        <w:rPr>
          <w:rFonts w:ascii="Arial Narrow" w:hAnsi="Arial Narrow"/>
          <w:i/>
          <w:lang w:val="en-US"/>
        </w:rPr>
        <w:t>The Plastic Foundations of Futurist Sculpture and Painting,</w:t>
      </w:r>
      <w:r w:rsidRPr="00CD5C4E">
        <w:rPr>
          <w:rFonts w:ascii="Arial Narrow" w:hAnsi="Arial Narrow"/>
          <w:lang w:val="en-US"/>
        </w:rPr>
        <w:t xml:space="preserve"> 1</w:t>
      </w:r>
      <w:r>
        <w:rPr>
          <w:rFonts w:ascii="Arial Narrow" w:hAnsi="Arial Narrow"/>
          <w:lang w:val="en-US"/>
        </w:rPr>
        <w:t xml:space="preserve">5 de </w:t>
      </w:r>
      <w:r w:rsidRPr="00CD5C4E">
        <w:rPr>
          <w:rFonts w:ascii="Arial Narrow" w:hAnsi="Arial Narrow"/>
          <w:lang w:val="en-US"/>
        </w:rPr>
        <w:t xml:space="preserve">Março de 1913, </w:t>
      </w:r>
      <w:r w:rsidRPr="007E3A67">
        <w:rPr>
          <w:rFonts w:ascii="Arial Narrow" w:hAnsi="Arial Narrow"/>
          <w:lang w:val="en-US"/>
        </w:rPr>
        <w:t>em id., ibid., 90.</w:t>
      </w:r>
    </w:p>
  </w:footnote>
  <w:footnote w:id="67">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w:t>
      </w:r>
      <w:r>
        <w:rPr>
          <w:rFonts w:ascii="Arial Narrow" w:hAnsi="Arial Narrow"/>
        </w:rPr>
        <w:t xml:space="preserve">Carlo </w:t>
      </w:r>
      <w:r w:rsidRPr="006552C5">
        <w:rPr>
          <w:rFonts w:ascii="Arial Narrow" w:hAnsi="Arial Narrow"/>
        </w:rPr>
        <w:t xml:space="preserve">Carrà, </w:t>
      </w:r>
      <w:r>
        <w:rPr>
          <w:rFonts w:ascii="Arial Narrow" w:hAnsi="Arial Narrow"/>
          <w:i/>
        </w:rPr>
        <w:t>Plastic Planes as Spherical Expansions in Space</w:t>
      </w:r>
      <w:r w:rsidRPr="006552C5">
        <w:rPr>
          <w:rFonts w:ascii="Arial Narrow" w:hAnsi="Arial Narrow"/>
          <w:i/>
        </w:rPr>
        <w:t>,</w:t>
      </w:r>
      <w:r w:rsidRPr="006552C5">
        <w:rPr>
          <w:rFonts w:ascii="Arial Narrow" w:hAnsi="Arial Narrow"/>
        </w:rPr>
        <w:t xml:space="preserve"> </w:t>
      </w:r>
      <w:r>
        <w:rPr>
          <w:rFonts w:ascii="Arial Narrow" w:hAnsi="Arial Narrow"/>
        </w:rPr>
        <w:t xml:space="preserve">15 de </w:t>
      </w:r>
      <w:r w:rsidRPr="006552C5">
        <w:rPr>
          <w:rFonts w:ascii="Arial Narrow" w:hAnsi="Arial Narrow"/>
        </w:rPr>
        <w:t>Março de 1913, em id., ibid., 92.</w:t>
      </w:r>
    </w:p>
  </w:footnote>
  <w:footnote w:id="68">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w:t>
      </w:r>
      <w:r>
        <w:rPr>
          <w:rFonts w:ascii="Arial Narrow" w:hAnsi="Arial Narrow"/>
        </w:rPr>
        <w:t xml:space="preserve">Umberto </w:t>
      </w:r>
      <w:r w:rsidRPr="006552C5">
        <w:rPr>
          <w:rFonts w:ascii="Arial Narrow" w:hAnsi="Arial Narrow"/>
        </w:rPr>
        <w:t xml:space="preserve">Boccioni, </w:t>
      </w:r>
      <w:r>
        <w:rPr>
          <w:rFonts w:ascii="Arial Narrow" w:hAnsi="Arial Narrow"/>
        </w:rPr>
        <w:t xml:space="preserve">Carlo </w:t>
      </w:r>
      <w:r w:rsidRPr="006552C5">
        <w:rPr>
          <w:rFonts w:ascii="Arial Narrow" w:hAnsi="Arial Narrow"/>
        </w:rPr>
        <w:t xml:space="preserve">Carrà, </w:t>
      </w:r>
      <w:r>
        <w:rPr>
          <w:rFonts w:ascii="Arial Narrow" w:hAnsi="Arial Narrow"/>
        </w:rPr>
        <w:t xml:space="preserve">Luigi </w:t>
      </w:r>
      <w:r w:rsidRPr="006552C5">
        <w:rPr>
          <w:rFonts w:ascii="Arial Narrow" w:hAnsi="Arial Narrow"/>
        </w:rPr>
        <w:t xml:space="preserve">Russolo, </w:t>
      </w:r>
      <w:r>
        <w:rPr>
          <w:rFonts w:ascii="Arial Narrow" w:hAnsi="Arial Narrow"/>
        </w:rPr>
        <w:t xml:space="preserve">Giacomo </w:t>
      </w:r>
      <w:r w:rsidRPr="006552C5">
        <w:rPr>
          <w:rFonts w:ascii="Arial Narrow" w:hAnsi="Arial Narrow"/>
        </w:rPr>
        <w:t xml:space="preserve">Balla e </w:t>
      </w:r>
      <w:r>
        <w:rPr>
          <w:rFonts w:ascii="Arial Narrow" w:hAnsi="Arial Narrow"/>
        </w:rPr>
        <w:t xml:space="preserve">Gino </w:t>
      </w:r>
      <w:r w:rsidRPr="006552C5">
        <w:rPr>
          <w:rFonts w:ascii="Arial Narrow" w:hAnsi="Arial Narrow"/>
        </w:rPr>
        <w:t xml:space="preserve">Severini, </w:t>
      </w:r>
      <w:r>
        <w:rPr>
          <w:rFonts w:ascii="Arial Narrow" w:hAnsi="Arial Narrow"/>
          <w:i/>
        </w:rPr>
        <w:t>The Exhibitors to the Public,</w:t>
      </w:r>
      <w:r w:rsidRPr="006552C5">
        <w:rPr>
          <w:rFonts w:ascii="Arial Narrow" w:hAnsi="Arial Narrow"/>
        </w:rPr>
        <w:t xml:space="preserve"> </w:t>
      </w:r>
      <w:r>
        <w:rPr>
          <w:rFonts w:ascii="Arial Narrow" w:hAnsi="Arial Narrow"/>
        </w:rPr>
        <w:t xml:space="preserve">5 </w:t>
      </w:r>
      <w:r w:rsidRPr="006552C5">
        <w:rPr>
          <w:rFonts w:ascii="Arial Narrow" w:hAnsi="Arial Narrow"/>
        </w:rPr>
        <w:t>de Fevereiro de 1912, em id., ibid., 47-49 (subs. orig.).</w:t>
      </w:r>
    </w:p>
  </w:footnote>
  <w:footnote w:id="69">
    <w:p w:rsidR="00C13C71" w:rsidRPr="003E2919" w:rsidRDefault="00C13C71" w:rsidP="00A61D4E">
      <w:pPr>
        <w:pStyle w:val="Textodenotaderodap"/>
        <w:rPr>
          <w:rFonts w:ascii="Arial Narrow" w:hAnsi="Arial Narrow"/>
          <w:lang w:val="en-US"/>
        </w:rPr>
      </w:pPr>
      <w:r w:rsidRPr="006552C5">
        <w:rPr>
          <w:rStyle w:val="Refdenotaderodap"/>
          <w:rFonts w:ascii="Arial Narrow" w:hAnsi="Arial Narrow"/>
        </w:rPr>
        <w:footnoteRef/>
      </w:r>
      <w:r w:rsidRPr="003E2919">
        <w:rPr>
          <w:rFonts w:ascii="Arial Narrow" w:hAnsi="Arial Narrow"/>
          <w:lang w:val="en-US"/>
        </w:rPr>
        <w:t xml:space="preserve"> Umberto Boccioni, </w:t>
      </w:r>
      <w:r w:rsidRPr="003E2919">
        <w:rPr>
          <w:rFonts w:ascii="Arial Narrow" w:hAnsi="Arial Narrow"/>
          <w:i/>
          <w:lang w:val="en-US"/>
        </w:rPr>
        <w:t>Futurist Painting and Sculpture (extracts),</w:t>
      </w:r>
      <w:r w:rsidRPr="003E2919">
        <w:rPr>
          <w:rFonts w:ascii="Arial Narrow" w:hAnsi="Arial Narrow"/>
          <w:lang w:val="en-US"/>
        </w:rPr>
        <w:t xml:space="preserve"> 1914, em id., ibid., 179.</w:t>
      </w:r>
    </w:p>
  </w:footnote>
  <w:footnote w:id="70">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w:t>
      </w:r>
      <w:r>
        <w:rPr>
          <w:rFonts w:ascii="Arial Narrow" w:hAnsi="Arial Narrow"/>
        </w:rPr>
        <w:t>Umberto Boccioni</w:t>
      </w:r>
      <w:r w:rsidRPr="006552C5">
        <w:rPr>
          <w:rFonts w:ascii="Arial Narrow" w:hAnsi="Arial Narrow"/>
        </w:rPr>
        <w:t xml:space="preserve">, </w:t>
      </w:r>
      <w:r>
        <w:rPr>
          <w:rFonts w:ascii="Arial Narrow" w:hAnsi="Arial Narrow"/>
        </w:rPr>
        <w:t xml:space="preserve">Carlo D. </w:t>
      </w:r>
      <w:r w:rsidRPr="006552C5">
        <w:rPr>
          <w:rFonts w:ascii="Arial Narrow" w:hAnsi="Arial Narrow"/>
        </w:rPr>
        <w:t xml:space="preserve">Carrà, </w:t>
      </w:r>
      <w:r>
        <w:rPr>
          <w:rFonts w:ascii="Arial Narrow" w:hAnsi="Arial Narrow"/>
        </w:rPr>
        <w:t xml:space="preserve">Luigi </w:t>
      </w:r>
      <w:r w:rsidRPr="006552C5">
        <w:rPr>
          <w:rFonts w:ascii="Arial Narrow" w:hAnsi="Arial Narrow"/>
        </w:rPr>
        <w:t xml:space="preserve">Russolo, </w:t>
      </w:r>
      <w:r>
        <w:rPr>
          <w:rFonts w:ascii="Arial Narrow" w:hAnsi="Arial Narrow"/>
        </w:rPr>
        <w:t xml:space="preserve">Gino </w:t>
      </w:r>
      <w:r w:rsidRPr="006552C5">
        <w:rPr>
          <w:rFonts w:ascii="Arial Narrow" w:hAnsi="Arial Narrow"/>
        </w:rPr>
        <w:t xml:space="preserve">Severini e </w:t>
      </w:r>
      <w:r>
        <w:rPr>
          <w:rFonts w:ascii="Arial Narrow" w:hAnsi="Arial Narrow"/>
        </w:rPr>
        <w:t xml:space="preserve">Giacomo </w:t>
      </w:r>
      <w:r w:rsidRPr="006552C5">
        <w:rPr>
          <w:rFonts w:ascii="Arial Narrow" w:hAnsi="Arial Narrow"/>
        </w:rPr>
        <w:t>Balla,</w:t>
      </w:r>
      <w:r w:rsidRPr="006552C5">
        <w:rPr>
          <w:rFonts w:ascii="Arial Narrow" w:hAnsi="Arial Narrow"/>
          <w:i/>
        </w:rPr>
        <w:t xml:space="preserve"> Manifest</w:t>
      </w:r>
      <w:r>
        <w:rPr>
          <w:rFonts w:ascii="Arial Narrow" w:hAnsi="Arial Narrow"/>
          <w:i/>
        </w:rPr>
        <w:t xml:space="preserve">e des Peintres </w:t>
      </w:r>
      <w:r w:rsidRPr="006552C5">
        <w:rPr>
          <w:rFonts w:ascii="Arial Narrow" w:hAnsi="Arial Narrow"/>
          <w:i/>
        </w:rPr>
        <w:t>Futurist</w:t>
      </w:r>
      <w:r>
        <w:rPr>
          <w:rFonts w:ascii="Arial Narrow" w:hAnsi="Arial Narrow"/>
          <w:i/>
        </w:rPr>
        <w:t>e</w:t>
      </w:r>
      <w:r w:rsidRPr="006552C5">
        <w:rPr>
          <w:rFonts w:ascii="Arial Narrow" w:hAnsi="Arial Narrow"/>
          <w:i/>
        </w:rPr>
        <w:t>s,</w:t>
      </w:r>
      <w:r w:rsidRPr="006552C5">
        <w:rPr>
          <w:rFonts w:ascii="Arial Narrow" w:hAnsi="Arial Narrow"/>
        </w:rPr>
        <w:t xml:space="preserve"> em F. T. Marinetti (1911) 185-186.</w:t>
      </w:r>
    </w:p>
  </w:footnote>
  <w:footnote w:id="71">
    <w:p w:rsidR="00C13C71" w:rsidRPr="003E2919" w:rsidRDefault="00C13C71" w:rsidP="00A61D4E">
      <w:pPr>
        <w:pStyle w:val="Textodenotaderodap"/>
        <w:rPr>
          <w:rFonts w:ascii="Arial Narrow" w:hAnsi="Arial Narrow"/>
          <w:lang w:val="en-US"/>
        </w:rPr>
      </w:pPr>
      <w:r w:rsidRPr="006552C5">
        <w:rPr>
          <w:rStyle w:val="Refdenotaderodap"/>
          <w:rFonts w:ascii="Arial Narrow" w:hAnsi="Arial Narrow"/>
        </w:rPr>
        <w:footnoteRef/>
      </w:r>
      <w:r w:rsidRPr="003E2919">
        <w:rPr>
          <w:rFonts w:ascii="Arial Narrow" w:hAnsi="Arial Narrow"/>
          <w:lang w:val="en-US"/>
        </w:rPr>
        <w:t xml:space="preserve"> Umberto Boccioni, </w:t>
      </w:r>
      <w:r w:rsidRPr="003E2919">
        <w:rPr>
          <w:rFonts w:ascii="Arial Narrow" w:hAnsi="Arial Narrow"/>
          <w:i/>
          <w:lang w:val="en-US"/>
        </w:rPr>
        <w:t>Futurist Painting and Sculpture (extracts),</w:t>
      </w:r>
      <w:r w:rsidRPr="003E2919">
        <w:rPr>
          <w:rFonts w:ascii="Arial Narrow" w:hAnsi="Arial Narrow"/>
          <w:lang w:val="en-US"/>
        </w:rPr>
        <w:t xml:space="preserve"> 1914, em U. Apollonio (org. 1973) 176 (sub. orig.).</w:t>
      </w:r>
    </w:p>
  </w:footnote>
  <w:footnote w:id="72">
    <w:p w:rsidR="00C13C71" w:rsidRPr="003E2919" w:rsidRDefault="00C13C71" w:rsidP="00A61D4E">
      <w:pPr>
        <w:pStyle w:val="Textodenotaderodap"/>
        <w:rPr>
          <w:rFonts w:ascii="Arial Narrow" w:hAnsi="Arial Narrow"/>
          <w:lang w:val="en-US"/>
        </w:rPr>
      </w:pPr>
      <w:r w:rsidRPr="006552C5">
        <w:rPr>
          <w:rStyle w:val="Refdenotaderodap"/>
          <w:rFonts w:ascii="Arial Narrow" w:hAnsi="Arial Narrow"/>
        </w:rPr>
        <w:footnoteRef/>
      </w:r>
      <w:r w:rsidRPr="003E2919">
        <w:rPr>
          <w:rFonts w:ascii="Arial Narrow" w:hAnsi="Arial Narrow"/>
          <w:lang w:val="en-US"/>
        </w:rPr>
        <w:t xml:space="preserve"> F. T. Marinetti (1911) 94-95.</w:t>
      </w:r>
    </w:p>
  </w:footnote>
  <w:footnote w:id="73">
    <w:p w:rsidR="00C13C71" w:rsidRPr="003E2919" w:rsidRDefault="00C13C71" w:rsidP="00A61D4E">
      <w:pPr>
        <w:pStyle w:val="Textodenotaderodap"/>
        <w:rPr>
          <w:rFonts w:ascii="Arial Narrow" w:hAnsi="Arial Narrow"/>
          <w:lang w:val="en-US"/>
        </w:rPr>
      </w:pPr>
      <w:r w:rsidRPr="006552C5">
        <w:rPr>
          <w:rStyle w:val="Refdenotaderodap"/>
          <w:rFonts w:ascii="Arial Narrow" w:hAnsi="Arial Narrow"/>
        </w:rPr>
        <w:footnoteRef/>
      </w:r>
      <w:r w:rsidRPr="003E2919">
        <w:rPr>
          <w:rFonts w:ascii="Arial Narrow" w:hAnsi="Arial Narrow"/>
          <w:lang w:val="en-US"/>
        </w:rPr>
        <w:t xml:space="preserve"> F. T. Marinetti,</w:t>
      </w:r>
      <w:r w:rsidRPr="003E2919">
        <w:rPr>
          <w:rFonts w:ascii="Arial Narrow" w:hAnsi="Arial Narrow"/>
          <w:i/>
          <w:lang w:val="en-US"/>
        </w:rPr>
        <w:t xml:space="preserve"> Destruction of Syntax – Imagination without Strings – Words-in-Freedom,</w:t>
      </w:r>
      <w:r w:rsidRPr="003E2919">
        <w:rPr>
          <w:rFonts w:ascii="Arial Narrow" w:hAnsi="Arial Narrow"/>
          <w:lang w:val="en-US"/>
        </w:rPr>
        <w:t xml:space="preserve"> 11 de Maio de 1913, em U. Apollonio (org. 1973) 97.</w:t>
      </w:r>
    </w:p>
  </w:footnote>
  <w:footnote w:id="74">
    <w:p w:rsidR="00C13C71" w:rsidRPr="00923A44" w:rsidRDefault="00C13C71">
      <w:pPr>
        <w:pStyle w:val="Textodenotaderodap"/>
        <w:rPr>
          <w:rFonts w:ascii="Arial Narrow" w:hAnsi="Arial Narrow"/>
          <w:lang w:val="en-US"/>
        </w:rPr>
      </w:pPr>
      <w:r w:rsidRPr="00923A44">
        <w:rPr>
          <w:rStyle w:val="Refdenotaderodap"/>
          <w:rFonts w:ascii="Arial Narrow" w:hAnsi="Arial Narrow"/>
        </w:rPr>
        <w:footnoteRef/>
      </w:r>
      <w:r w:rsidRPr="00923A44">
        <w:rPr>
          <w:rFonts w:ascii="Arial Narrow" w:hAnsi="Arial Narrow"/>
          <w:lang w:val="en-US"/>
        </w:rPr>
        <w:t xml:space="preserve"> </w:t>
      </w:r>
      <w:r w:rsidRPr="00923A44">
        <w:rPr>
          <w:rFonts w:ascii="Arial Narrow" w:hAnsi="Arial Narrow"/>
          <w:bCs/>
          <w:lang w:val="en-US"/>
        </w:rPr>
        <w:t xml:space="preserve">S. G. Payne </w:t>
      </w:r>
      <w:r w:rsidRPr="00923A44">
        <w:rPr>
          <w:rFonts w:ascii="Arial Narrow" w:hAnsi="Arial Narrow"/>
          <w:lang w:val="en-US"/>
        </w:rPr>
        <w:t>(2003 b)</w:t>
      </w:r>
      <w:r>
        <w:rPr>
          <w:rFonts w:ascii="Arial Narrow" w:hAnsi="Arial Narrow"/>
          <w:lang w:val="en-US"/>
        </w:rPr>
        <w:t xml:space="preserve"> 63.</w:t>
      </w:r>
    </w:p>
  </w:footnote>
  <w:footnote w:id="75">
    <w:p w:rsidR="00C13C71" w:rsidRPr="00D3310C" w:rsidRDefault="00C13C71" w:rsidP="00A61D4E">
      <w:pPr>
        <w:pStyle w:val="Textodenotaderodap"/>
        <w:rPr>
          <w:rFonts w:ascii="Arial Narrow" w:hAnsi="Arial Narrow"/>
        </w:rPr>
      </w:pPr>
      <w:r w:rsidRPr="006552C5">
        <w:rPr>
          <w:rStyle w:val="Refdenotaderodap"/>
          <w:rFonts w:ascii="Arial Narrow" w:hAnsi="Arial Narrow"/>
        </w:rPr>
        <w:footnoteRef/>
      </w:r>
      <w:r w:rsidRPr="00923A44">
        <w:rPr>
          <w:rFonts w:ascii="Arial Narrow" w:hAnsi="Arial Narrow"/>
          <w:lang w:val="en-US"/>
        </w:rPr>
        <w:t xml:space="preserve"> F. T. Marinetti (1911) 71, 76-77. </w:t>
      </w:r>
      <w:r w:rsidRPr="00D3310C">
        <w:rPr>
          <w:rFonts w:ascii="Arial Narrow" w:hAnsi="Arial Narrow"/>
        </w:rPr>
        <w:t>O Reichsleiter Robert Ley, chefe da Frente do Trabalho no Terceiro Reich, embora não ficasse conhecido pela veia poética, disse aos operários num discurso de Outubro de 1933, aquando do jubileu da Siemens: «O lugar de trabalho é vosso e devem aprender a amar a máquina como uma noiva». Ver J. Caplan (org. 1995) 80.</w:t>
      </w:r>
    </w:p>
  </w:footnote>
  <w:footnote w:id="76">
    <w:p w:rsidR="00C13C71" w:rsidRPr="00D3310C" w:rsidRDefault="00C13C71" w:rsidP="00A61D4E">
      <w:pPr>
        <w:pStyle w:val="Textodenotaderodap"/>
        <w:rPr>
          <w:rFonts w:ascii="Arial Narrow" w:hAnsi="Arial Narrow"/>
        </w:rPr>
      </w:pPr>
      <w:r w:rsidRPr="006552C5">
        <w:rPr>
          <w:rStyle w:val="Refdenotaderodap"/>
          <w:rFonts w:ascii="Arial Narrow" w:hAnsi="Arial Narrow"/>
        </w:rPr>
        <w:footnoteRef/>
      </w:r>
      <w:r w:rsidRPr="00D3310C">
        <w:rPr>
          <w:rFonts w:ascii="Arial Narrow" w:hAnsi="Arial Narrow"/>
        </w:rPr>
        <w:t xml:space="preserve"> F. T. Marinetti (1911) 92.</w:t>
      </w:r>
    </w:p>
  </w:footnote>
  <w:footnote w:id="77">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w:t>
      </w:r>
      <w:r>
        <w:rPr>
          <w:rFonts w:ascii="Arial Narrow" w:hAnsi="Arial Narrow"/>
        </w:rPr>
        <w:t xml:space="preserve">Luigi </w:t>
      </w:r>
      <w:r w:rsidRPr="006E0F6D">
        <w:rPr>
          <w:rFonts w:ascii="Arial Narrow" w:hAnsi="Arial Narrow"/>
        </w:rPr>
        <w:t>Russolo</w:t>
      </w:r>
      <w:r>
        <w:rPr>
          <w:rFonts w:ascii="Arial Narrow" w:hAnsi="Arial Narrow"/>
        </w:rPr>
        <w:t>,</w:t>
      </w:r>
      <w:r w:rsidRPr="006E0F6D">
        <w:rPr>
          <w:rFonts w:ascii="Arial Narrow" w:hAnsi="Arial Narrow"/>
          <w:i/>
        </w:rPr>
        <w:t xml:space="preserve"> </w:t>
      </w:r>
      <w:r>
        <w:rPr>
          <w:rFonts w:ascii="Arial Narrow" w:hAnsi="Arial Narrow"/>
          <w:i/>
        </w:rPr>
        <w:t>The Art of Noises (extracts)</w:t>
      </w:r>
      <w:r w:rsidRPr="006552C5">
        <w:rPr>
          <w:rFonts w:ascii="Arial Narrow" w:hAnsi="Arial Narrow"/>
          <w:i/>
        </w:rPr>
        <w:t>,</w:t>
      </w:r>
      <w:r w:rsidRPr="006552C5">
        <w:rPr>
          <w:rFonts w:ascii="Arial Narrow" w:hAnsi="Arial Narrow"/>
        </w:rPr>
        <w:t xml:space="preserve"> </w:t>
      </w:r>
      <w:r>
        <w:rPr>
          <w:rFonts w:ascii="Arial Narrow" w:hAnsi="Arial Narrow"/>
        </w:rPr>
        <w:t xml:space="preserve">11 de Março de </w:t>
      </w:r>
      <w:r w:rsidRPr="006552C5">
        <w:rPr>
          <w:rFonts w:ascii="Arial Narrow" w:hAnsi="Arial Narrow"/>
        </w:rPr>
        <w:t>1913, em U. Apollonio (org. 1973) 75.</w:t>
      </w:r>
    </w:p>
  </w:footnote>
  <w:footnote w:id="78">
    <w:p w:rsidR="00C13C71" w:rsidRPr="003E2919" w:rsidRDefault="00C13C71" w:rsidP="00A61D4E">
      <w:pPr>
        <w:pStyle w:val="Textodenotaderodap"/>
        <w:rPr>
          <w:rFonts w:ascii="Arial Narrow" w:hAnsi="Arial Narrow"/>
          <w:lang w:val="en-US"/>
        </w:rPr>
      </w:pPr>
      <w:r w:rsidRPr="006552C5">
        <w:rPr>
          <w:rStyle w:val="Refdenotaderodap"/>
          <w:rFonts w:ascii="Arial Narrow" w:hAnsi="Arial Narrow"/>
        </w:rPr>
        <w:footnoteRef/>
      </w:r>
      <w:r w:rsidRPr="003E2919">
        <w:rPr>
          <w:rFonts w:ascii="Arial Narrow" w:hAnsi="Arial Narrow"/>
          <w:lang w:val="en-US"/>
        </w:rPr>
        <w:t xml:space="preserve"> F. T. Marinetti,</w:t>
      </w:r>
      <w:r w:rsidRPr="003E2919">
        <w:rPr>
          <w:rFonts w:ascii="Arial Narrow" w:hAnsi="Arial Narrow"/>
          <w:i/>
          <w:lang w:val="en-US"/>
        </w:rPr>
        <w:t xml:space="preserve"> Destruction of Syntax – Imagination without Strings – Words-in-Freedom,</w:t>
      </w:r>
      <w:r w:rsidRPr="003E2919">
        <w:rPr>
          <w:rFonts w:ascii="Arial Narrow" w:hAnsi="Arial Narrow"/>
          <w:lang w:val="en-US"/>
        </w:rPr>
        <w:t xml:space="preserve"> 11 de Maio de 1913, em id., ibid., 97.</w:t>
      </w:r>
    </w:p>
  </w:footnote>
  <w:footnote w:id="79">
    <w:p w:rsidR="00C13C71" w:rsidRPr="003E2919" w:rsidRDefault="00C13C71" w:rsidP="00A61D4E">
      <w:pPr>
        <w:pStyle w:val="Textodenotaderodap"/>
        <w:rPr>
          <w:rFonts w:ascii="Arial Narrow" w:hAnsi="Arial Narrow"/>
          <w:lang w:val="en-US"/>
        </w:rPr>
      </w:pPr>
      <w:r w:rsidRPr="006552C5">
        <w:rPr>
          <w:rStyle w:val="Refdenotaderodap"/>
          <w:rFonts w:ascii="Arial Narrow" w:hAnsi="Arial Narrow"/>
        </w:rPr>
        <w:footnoteRef/>
      </w:r>
      <w:r w:rsidRPr="003E2919">
        <w:rPr>
          <w:rFonts w:ascii="Arial Narrow" w:hAnsi="Arial Narrow"/>
          <w:lang w:val="en-US"/>
        </w:rPr>
        <w:t xml:space="preserve"> Umberto Boccioni,</w:t>
      </w:r>
      <w:r w:rsidRPr="003E2919">
        <w:rPr>
          <w:rFonts w:ascii="Arial Narrow" w:hAnsi="Arial Narrow"/>
          <w:i/>
          <w:lang w:val="en-US"/>
        </w:rPr>
        <w:t xml:space="preserve"> Futurist Dynamism and French Painting,</w:t>
      </w:r>
      <w:r w:rsidRPr="003E2919">
        <w:rPr>
          <w:rFonts w:ascii="Arial Narrow" w:hAnsi="Arial Narrow"/>
          <w:lang w:val="en-US"/>
        </w:rPr>
        <w:t xml:space="preserve"> 1 de Agosto de 1913, em id., ibid., 110.</w:t>
      </w:r>
    </w:p>
  </w:footnote>
  <w:footnote w:id="80">
    <w:p w:rsidR="00C13C71" w:rsidRPr="003E2919" w:rsidRDefault="00C13C71" w:rsidP="00A61D4E">
      <w:pPr>
        <w:pStyle w:val="Textodenotaderodap"/>
        <w:rPr>
          <w:rFonts w:ascii="Arial Narrow" w:hAnsi="Arial Narrow"/>
          <w:lang w:val="en-US"/>
        </w:rPr>
      </w:pPr>
      <w:r w:rsidRPr="006552C5">
        <w:rPr>
          <w:rStyle w:val="Refdenotaderodap"/>
          <w:rFonts w:ascii="Arial Narrow" w:hAnsi="Arial Narrow"/>
        </w:rPr>
        <w:footnoteRef/>
      </w:r>
      <w:r w:rsidRPr="003E2919">
        <w:rPr>
          <w:rFonts w:ascii="Arial Narrow" w:hAnsi="Arial Narrow"/>
          <w:lang w:val="en-US"/>
        </w:rPr>
        <w:t xml:space="preserve"> F. T. Marinetti (1911) 73.</w:t>
      </w:r>
    </w:p>
  </w:footnote>
  <w:footnote w:id="81">
    <w:p w:rsidR="00C13C71" w:rsidRPr="003E2919" w:rsidRDefault="00C13C71" w:rsidP="00A61D4E">
      <w:pPr>
        <w:pStyle w:val="Textodenotaderodap"/>
        <w:rPr>
          <w:rFonts w:ascii="Arial Narrow" w:hAnsi="Arial Narrow"/>
          <w:lang w:val="en-US"/>
        </w:rPr>
      </w:pPr>
      <w:r w:rsidRPr="006552C5">
        <w:rPr>
          <w:rStyle w:val="Refdenotaderodap"/>
          <w:rFonts w:ascii="Arial Narrow" w:hAnsi="Arial Narrow"/>
        </w:rPr>
        <w:footnoteRef/>
      </w:r>
      <w:r w:rsidRPr="003E2919">
        <w:rPr>
          <w:rFonts w:ascii="Arial Narrow" w:hAnsi="Arial Narrow"/>
          <w:lang w:val="en-US"/>
        </w:rPr>
        <w:t xml:space="preserve"> Bruno Corradini e Emilio Settimelli, </w:t>
      </w:r>
      <w:r w:rsidRPr="003E2919">
        <w:rPr>
          <w:rFonts w:ascii="Arial Narrow" w:hAnsi="Arial Narrow"/>
          <w:i/>
          <w:lang w:val="en-US"/>
        </w:rPr>
        <w:t>Weights, Measures and Prices of Artistic Genius – Futurist Manifesto,</w:t>
      </w:r>
      <w:r w:rsidRPr="003E2919">
        <w:rPr>
          <w:rFonts w:ascii="Arial Narrow" w:hAnsi="Arial Narrow"/>
          <w:lang w:val="en-US"/>
        </w:rPr>
        <w:t xml:space="preserve"> 11 de Março de 1914, em U. Apollonio (org. 1973) 136.</w:t>
      </w:r>
    </w:p>
  </w:footnote>
  <w:footnote w:id="82">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w:t>
      </w:r>
      <w:r>
        <w:rPr>
          <w:rFonts w:ascii="Arial Narrow" w:hAnsi="Arial Narrow"/>
        </w:rPr>
        <w:t xml:space="preserve">Antonio </w:t>
      </w:r>
      <w:r w:rsidRPr="006552C5">
        <w:rPr>
          <w:rFonts w:ascii="Arial Narrow" w:hAnsi="Arial Narrow"/>
        </w:rPr>
        <w:t xml:space="preserve">Sant’Elia, </w:t>
      </w:r>
      <w:r w:rsidRPr="006552C5">
        <w:rPr>
          <w:rFonts w:ascii="Arial Narrow" w:hAnsi="Arial Narrow"/>
          <w:i/>
        </w:rPr>
        <w:t xml:space="preserve">Manifesto </w:t>
      </w:r>
      <w:r>
        <w:rPr>
          <w:rFonts w:ascii="Arial Narrow" w:hAnsi="Arial Narrow"/>
          <w:i/>
        </w:rPr>
        <w:t>of Futurist Architecture</w:t>
      </w:r>
      <w:r w:rsidRPr="006552C5">
        <w:rPr>
          <w:rFonts w:ascii="Arial Narrow" w:hAnsi="Arial Narrow"/>
          <w:i/>
        </w:rPr>
        <w:t>,</w:t>
      </w:r>
      <w:r w:rsidRPr="006552C5">
        <w:rPr>
          <w:rFonts w:ascii="Arial Narrow" w:hAnsi="Arial Narrow"/>
        </w:rPr>
        <w:t xml:space="preserve"> </w:t>
      </w:r>
      <w:r>
        <w:rPr>
          <w:rFonts w:ascii="Arial Narrow" w:hAnsi="Arial Narrow"/>
        </w:rPr>
        <w:t xml:space="preserve">11 de Julho de </w:t>
      </w:r>
      <w:r w:rsidRPr="006552C5">
        <w:rPr>
          <w:rFonts w:ascii="Arial Narrow" w:hAnsi="Arial Narrow"/>
        </w:rPr>
        <w:t>1914, em id., ibid., 170.</w:t>
      </w:r>
    </w:p>
  </w:footnote>
  <w:footnote w:id="83">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w:t>
      </w:r>
      <w:r>
        <w:rPr>
          <w:rFonts w:ascii="Arial Narrow" w:hAnsi="Arial Narrow"/>
        </w:rPr>
        <w:t xml:space="preserve">Anton Giulio </w:t>
      </w:r>
      <w:r w:rsidRPr="009A78D2">
        <w:rPr>
          <w:rFonts w:ascii="Arial Narrow" w:hAnsi="Arial Narrow"/>
        </w:rPr>
        <w:t>Bragaglia</w:t>
      </w:r>
      <w:r>
        <w:rPr>
          <w:rFonts w:ascii="Arial Narrow" w:hAnsi="Arial Narrow"/>
        </w:rPr>
        <w:t>,</w:t>
      </w:r>
      <w:r w:rsidRPr="009A78D2">
        <w:rPr>
          <w:rFonts w:ascii="Arial Narrow" w:hAnsi="Arial Narrow"/>
          <w:i/>
        </w:rPr>
        <w:t xml:space="preserve"> </w:t>
      </w:r>
      <w:r>
        <w:rPr>
          <w:rFonts w:ascii="Arial Narrow" w:hAnsi="Arial Narrow"/>
          <w:i/>
        </w:rPr>
        <w:t>Futurist Ph</w:t>
      </w:r>
      <w:r w:rsidRPr="006552C5">
        <w:rPr>
          <w:rFonts w:ascii="Arial Narrow" w:hAnsi="Arial Narrow"/>
          <w:i/>
        </w:rPr>
        <w:t>otod</w:t>
      </w:r>
      <w:r>
        <w:rPr>
          <w:rFonts w:ascii="Arial Narrow" w:hAnsi="Arial Narrow"/>
          <w:i/>
        </w:rPr>
        <w:t>y</w:t>
      </w:r>
      <w:r w:rsidRPr="006552C5">
        <w:rPr>
          <w:rFonts w:ascii="Arial Narrow" w:hAnsi="Arial Narrow"/>
          <w:i/>
        </w:rPr>
        <w:t>namism,</w:t>
      </w:r>
      <w:r w:rsidRPr="006552C5">
        <w:rPr>
          <w:rFonts w:ascii="Arial Narrow" w:hAnsi="Arial Narrow"/>
        </w:rPr>
        <w:t xml:space="preserve"> </w:t>
      </w:r>
      <w:r>
        <w:rPr>
          <w:rFonts w:ascii="Arial Narrow" w:hAnsi="Arial Narrow"/>
        </w:rPr>
        <w:t xml:space="preserve">1 de Julho de 1913, </w:t>
      </w:r>
      <w:r w:rsidRPr="006552C5">
        <w:rPr>
          <w:rFonts w:ascii="Arial Narrow" w:hAnsi="Arial Narrow"/>
        </w:rPr>
        <w:t>em id., ibid., 39-40.</w:t>
      </w:r>
    </w:p>
  </w:footnote>
  <w:footnote w:id="84">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w:t>
      </w:r>
      <w:r>
        <w:rPr>
          <w:rFonts w:ascii="Arial Narrow" w:hAnsi="Arial Narrow"/>
        </w:rPr>
        <w:t xml:space="preserve">Giacomo </w:t>
      </w:r>
      <w:r w:rsidRPr="009A78D2">
        <w:rPr>
          <w:rFonts w:ascii="Arial Narrow" w:hAnsi="Arial Narrow"/>
        </w:rPr>
        <w:t>Balla</w:t>
      </w:r>
      <w:r>
        <w:rPr>
          <w:rFonts w:ascii="Arial Narrow" w:hAnsi="Arial Narrow"/>
        </w:rPr>
        <w:t>,</w:t>
      </w:r>
      <w:r w:rsidRPr="009A78D2">
        <w:rPr>
          <w:rFonts w:ascii="Arial Narrow" w:hAnsi="Arial Narrow"/>
        </w:rPr>
        <w:t xml:space="preserve"> </w:t>
      </w:r>
      <w:r w:rsidRPr="003E2919">
        <w:rPr>
          <w:rFonts w:ascii="Arial Narrow" w:hAnsi="Arial Narrow"/>
          <w:i/>
        </w:rPr>
        <w:t>The</w:t>
      </w:r>
      <w:r>
        <w:rPr>
          <w:rFonts w:ascii="Arial Narrow" w:hAnsi="Arial Narrow"/>
          <w:i/>
        </w:rPr>
        <w:t xml:space="preserve"> Late Balla – Futurist Balla,</w:t>
      </w:r>
      <w:r>
        <w:rPr>
          <w:rFonts w:ascii="Arial Narrow" w:hAnsi="Arial Narrow"/>
        </w:rPr>
        <w:t xml:space="preserve"> </w:t>
      </w:r>
      <w:r w:rsidRPr="006552C5">
        <w:rPr>
          <w:rFonts w:ascii="Arial Narrow" w:hAnsi="Arial Narrow"/>
        </w:rPr>
        <w:t>Dezembro de 1915, em id., ibid., 206.</w:t>
      </w:r>
    </w:p>
  </w:footnote>
  <w:footnote w:id="85">
    <w:p w:rsidR="00C13C71" w:rsidRPr="003E2919" w:rsidRDefault="00C13C71" w:rsidP="00A61D4E">
      <w:pPr>
        <w:pStyle w:val="Textodenotaderodap"/>
        <w:rPr>
          <w:rFonts w:ascii="Arial Narrow" w:hAnsi="Arial Narrow"/>
        </w:rPr>
      </w:pPr>
      <w:r w:rsidRPr="006552C5">
        <w:rPr>
          <w:rStyle w:val="Refdenotaderodap"/>
          <w:rFonts w:ascii="Arial Narrow" w:hAnsi="Arial Narrow"/>
        </w:rPr>
        <w:footnoteRef/>
      </w:r>
      <w:r w:rsidRPr="003E2919">
        <w:rPr>
          <w:rFonts w:ascii="Arial Narrow" w:hAnsi="Arial Narrow"/>
        </w:rPr>
        <w:t xml:space="preserve"> Luigi Russolo, </w:t>
      </w:r>
      <w:r w:rsidRPr="003E2919">
        <w:rPr>
          <w:rFonts w:ascii="Arial Narrow" w:hAnsi="Arial Narrow"/>
          <w:i/>
        </w:rPr>
        <w:t>The Art of Noises (extracts),</w:t>
      </w:r>
      <w:r w:rsidRPr="003E2919">
        <w:rPr>
          <w:rFonts w:ascii="Arial Narrow" w:hAnsi="Arial Narrow"/>
        </w:rPr>
        <w:t xml:space="preserve"> 11 de Março de </w:t>
      </w:r>
      <w:r>
        <w:rPr>
          <w:rFonts w:ascii="Arial Narrow" w:hAnsi="Arial Narrow"/>
        </w:rPr>
        <w:t xml:space="preserve">1913, </w:t>
      </w:r>
      <w:r w:rsidRPr="003E2919">
        <w:rPr>
          <w:rFonts w:ascii="Arial Narrow" w:hAnsi="Arial Narrow"/>
        </w:rPr>
        <w:t>em id., ibid., 87.</w:t>
      </w:r>
    </w:p>
  </w:footnote>
  <w:footnote w:id="86">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F. T. Marinetti (1911) 87.</w:t>
      </w:r>
    </w:p>
  </w:footnote>
  <w:footnote w:id="87">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w:t>
      </w:r>
      <w:r>
        <w:rPr>
          <w:rFonts w:ascii="Arial Narrow" w:hAnsi="Arial Narrow"/>
        </w:rPr>
        <w:t xml:space="preserve">F. T. </w:t>
      </w:r>
      <w:r w:rsidRPr="006552C5">
        <w:rPr>
          <w:rFonts w:ascii="Arial Narrow" w:hAnsi="Arial Narrow"/>
        </w:rPr>
        <w:t xml:space="preserve">Marinetti, </w:t>
      </w:r>
      <w:r>
        <w:rPr>
          <w:rFonts w:ascii="Arial Narrow" w:hAnsi="Arial Narrow"/>
        </w:rPr>
        <w:t xml:space="preserve">Emilio </w:t>
      </w:r>
      <w:r w:rsidRPr="006552C5">
        <w:rPr>
          <w:rFonts w:ascii="Arial Narrow" w:hAnsi="Arial Narrow"/>
        </w:rPr>
        <w:t xml:space="preserve">Settimelli e </w:t>
      </w:r>
      <w:r>
        <w:rPr>
          <w:rFonts w:ascii="Arial Narrow" w:hAnsi="Arial Narrow"/>
        </w:rPr>
        <w:t xml:space="preserve">Bruno </w:t>
      </w:r>
      <w:r w:rsidRPr="006552C5">
        <w:rPr>
          <w:rFonts w:ascii="Arial Narrow" w:hAnsi="Arial Narrow"/>
        </w:rPr>
        <w:t>Corr</w:t>
      </w:r>
      <w:r>
        <w:rPr>
          <w:rFonts w:ascii="Arial Narrow" w:hAnsi="Arial Narrow"/>
        </w:rPr>
        <w:t xml:space="preserve">a, </w:t>
      </w:r>
      <w:r w:rsidRPr="00A65AAD">
        <w:rPr>
          <w:rFonts w:ascii="Arial Narrow" w:hAnsi="Arial Narrow"/>
          <w:i/>
        </w:rPr>
        <w:t>The Futurist Synthetic Theatre,</w:t>
      </w:r>
      <w:r w:rsidRPr="006552C5">
        <w:rPr>
          <w:rFonts w:ascii="Arial Narrow" w:hAnsi="Arial Narrow"/>
        </w:rPr>
        <w:t xml:space="preserve"> </w:t>
      </w:r>
      <w:r>
        <w:rPr>
          <w:rFonts w:ascii="Arial Narrow" w:hAnsi="Arial Narrow"/>
        </w:rPr>
        <w:t xml:space="preserve">11 de </w:t>
      </w:r>
      <w:r w:rsidRPr="006552C5">
        <w:rPr>
          <w:rFonts w:ascii="Arial Narrow" w:hAnsi="Arial Narrow"/>
        </w:rPr>
        <w:t>Janeiro de 1915, em U. Apollonio (org. 1973) 183, 184. Corra foi o pseudónimo adoptado por Bruno Corradini.</w:t>
      </w:r>
    </w:p>
  </w:footnote>
  <w:footnote w:id="88">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w:t>
      </w:r>
      <w:r>
        <w:rPr>
          <w:rFonts w:ascii="Arial Narrow" w:hAnsi="Arial Narrow"/>
        </w:rPr>
        <w:t xml:space="preserve">Umberto </w:t>
      </w:r>
      <w:r w:rsidRPr="006552C5">
        <w:rPr>
          <w:rFonts w:ascii="Arial Narrow" w:hAnsi="Arial Narrow"/>
        </w:rPr>
        <w:t xml:space="preserve">Boccioni, </w:t>
      </w:r>
      <w:r>
        <w:rPr>
          <w:rFonts w:ascii="Arial Narrow" w:hAnsi="Arial Narrow"/>
        </w:rPr>
        <w:t xml:space="preserve">Carlo </w:t>
      </w:r>
      <w:r w:rsidRPr="006552C5">
        <w:rPr>
          <w:rFonts w:ascii="Arial Narrow" w:hAnsi="Arial Narrow"/>
        </w:rPr>
        <w:t xml:space="preserve">Carrà, </w:t>
      </w:r>
      <w:r>
        <w:rPr>
          <w:rFonts w:ascii="Arial Narrow" w:hAnsi="Arial Narrow"/>
        </w:rPr>
        <w:t xml:space="preserve">Luigi </w:t>
      </w:r>
      <w:r w:rsidRPr="006552C5">
        <w:rPr>
          <w:rFonts w:ascii="Arial Narrow" w:hAnsi="Arial Narrow"/>
        </w:rPr>
        <w:t xml:space="preserve">Russolo, </w:t>
      </w:r>
      <w:r>
        <w:rPr>
          <w:rFonts w:ascii="Arial Narrow" w:hAnsi="Arial Narrow"/>
        </w:rPr>
        <w:t xml:space="preserve">Giacomo </w:t>
      </w:r>
      <w:r w:rsidRPr="006552C5">
        <w:rPr>
          <w:rFonts w:ascii="Arial Narrow" w:hAnsi="Arial Narrow"/>
        </w:rPr>
        <w:t xml:space="preserve">Balla e </w:t>
      </w:r>
      <w:r>
        <w:rPr>
          <w:rFonts w:ascii="Arial Narrow" w:hAnsi="Arial Narrow"/>
        </w:rPr>
        <w:t xml:space="preserve">Gino </w:t>
      </w:r>
      <w:r w:rsidRPr="006552C5">
        <w:rPr>
          <w:rFonts w:ascii="Arial Narrow" w:hAnsi="Arial Narrow"/>
        </w:rPr>
        <w:t xml:space="preserve">Severini, </w:t>
      </w:r>
      <w:r>
        <w:rPr>
          <w:rFonts w:ascii="Arial Narrow" w:hAnsi="Arial Narrow"/>
          <w:i/>
        </w:rPr>
        <w:t>The Exhibitors to the Public,</w:t>
      </w:r>
      <w:r w:rsidRPr="006552C5">
        <w:rPr>
          <w:rFonts w:ascii="Arial Narrow" w:hAnsi="Arial Narrow"/>
        </w:rPr>
        <w:t xml:space="preserve"> </w:t>
      </w:r>
      <w:r>
        <w:rPr>
          <w:rFonts w:ascii="Arial Narrow" w:hAnsi="Arial Narrow"/>
        </w:rPr>
        <w:t xml:space="preserve">5 </w:t>
      </w:r>
      <w:r w:rsidRPr="006552C5">
        <w:rPr>
          <w:rFonts w:ascii="Arial Narrow" w:hAnsi="Arial Narrow"/>
        </w:rPr>
        <w:t>de Fevereiro de 1912, em id., ibid., 46.</w:t>
      </w:r>
    </w:p>
  </w:footnote>
  <w:footnote w:id="89">
    <w:p w:rsidR="00C13C71" w:rsidRPr="004A1DD8" w:rsidRDefault="00C13C71" w:rsidP="00A61D4E">
      <w:pPr>
        <w:pStyle w:val="Textodenotaderodap"/>
        <w:rPr>
          <w:rFonts w:ascii="Arial Narrow" w:hAnsi="Arial Narrow"/>
          <w:lang w:val="en-US"/>
        </w:rPr>
      </w:pPr>
      <w:r w:rsidRPr="006552C5">
        <w:rPr>
          <w:rStyle w:val="Refdenotaderodap"/>
          <w:rFonts w:ascii="Arial Narrow" w:hAnsi="Arial Narrow"/>
        </w:rPr>
        <w:footnoteRef/>
      </w:r>
      <w:r w:rsidRPr="004A1DD8">
        <w:rPr>
          <w:rFonts w:ascii="Arial Narrow" w:hAnsi="Arial Narrow"/>
          <w:lang w:val="en-US"/>
        </w:rPr>
        <w:t xml:space="preserve"> G. Bortolotto (1938) 195.</w:t>
      </w:r>
    </w:p>
  </w:footnote>
  <w:footnote w:id="90">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4A1DD8">
        <w:rPr>
          <w:rFonts w:ascii="Arial Narrow" w:hAnsi="Arial Narrow"/>
          <w:lang w:val="en-US"/>
        </w:rPr>
        <w:t xml:space="preserve"> F. T. Marinetti (1911) 46-48. </w:t>
      </w:r>
      <w:r w:rsidRPr="006552C5">
        <w:rPr>
          <w:rFonts w:ascii="Arial Narrow" w:hAnsi="Arial Narrow"/>
        </w:rPr>
        <w:t>A passagem citada encontra-se nas págs. 47-48.</w:t>
      </w:r>
    </w:p>
  </w:footnote>
  <w:footnote w:id="91">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Z. Sternhell et al. (1994) 236.</w:t>
      </w:r>
    </w:p>
  </w:footnote>
  <w:footnote w:id="92">
    <w:p w:rsidR="00C13C71" w:rsidRPr="00D801E8" w:rsidRDefault="00C13C71" w:rsidP="00A61D4E">
      <w:pPr>
        <w:pStyle w:val="Textodenotaderodap"/>
        <w:rPr>
          <w:rFonts w:ascii="Arial Narrow" w:hAnsi="Arial Narrow"/>
        </w:rPr>
      </w:pPr>
      <w:r w:rsidRPr="006552C5">
        <w:rPr>
          <w:rStyle w:val="Refdenotaderodap"/>
          <w:rFonts w:ascii="Arial Narrow" w:hAnsi="Arial Narrow"/>
        </w:rPr>
        <w:footnoteRef/>
      </w:r>
      <w:r w:rsidRPr="00D801E8">
        <w:rPr>
          <w:rFonts w:ascii="Arial Narrow" w:hAnsi="Arial Narrow"/>
        </w:rPr>
        <w:t xml:space="preserve"> F. T. Marinetti (1911) 54-55.</w:t>
      </w:r>
    </w:p>
  </w:footnote>
  <w:footnote w:id="93">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D801E8">
        <w:rPr>
          <w:rFonts w:ascii="Arial Narrow" w:hAnsi="Arial Narrow"/>
        </w:rPr>
        <w:t xml:space="preserve"> Id., ibid., 53-54. </w:t>
      </w:r>
      <w:r w:rsidRPr="006552C5">
        <w:rPr>
          <w:rFonts w:ascii="Arial Narrow" w:hAnsi="Arial Narrow"/>
        </w:rPr>
        <w:t>Ver no mesmo sentido a pág. 50.</w:t>
      </w:r>
    </w:p>
  </w:footnote>
  <w:footnote w:id="94">
    <w:p w:rsidR="00C13C71" w:rsidRPr="00D85AA4" w:rsidRDefault="00C13C71" w:rsidP="00A61D4E">
      <w:pPr>
        <w:pStyle w:val="Textodenotaderodap"/>
        <w:rPr>
          <w:rFonts w:ascii="Arial Narrow" w:hAnsi="Arial Narrow"/>
        </w:rPr>
      </w:pPr>
      <w:r w:rsidRPr="006552C5">
        <w:rPr>
          <w:rStyle w:val="Refdenotaderodap"/>
          <w:rFonts w:ascii="Arial Narrow" w:hAnsi="Arial Narrow"/>
        </w:rPr>
        <w:footnoteRef/>
      </w:r>
      <w:r w:rsidRPr="00D85AA4">
        <w:rPr>
          <w:rFonts w:ascii="Arial Narrow" w:hAnsi="Arial Narrow"/>
        </w:rPr>
        <w:t xml:space="preserve"> F. T. Marinetti, </w:t>
      </w:r>
      <w:r w:rsidRPr="00D85AA4">
        <w:rPr>
          <w:rFonts w:ascii="Arial Narrow" w:hAnsi="Arial Narrow"/>
          <w:i/>
        </w:rPr>
        <w:t>Proclamation Futuriste aux Espagnols,</w:t>
      </w:r>
      <w:r w:rsidRPr="00D85AA4">
        <w:rPr>
          <w:rFonts w:ascii="Arial Narrow" w:hAnsi="Arial Narrow"/>
        </w:rPr>
        <w:t xml:space="preserve"> em id., ibid., 218.</w:t>
      </w:r>
    </w:p>
  </w:footnote>
  <w:footnote w:id="95">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Quanto ao orgulho com que Marinetti descreveu os seus próprios acidentes de automóvel ver id., ibid., 38-39 e 144-145. E ele proclamou </w:t>
      </w:r>
      <w:r>
        <w:rPr>
          <w:rFonts w:ascii="Arial Narrow" w:hAnsi="Arial Narrow"/>
        </w:rPr>
        <w:t>(</w:t>
      </w:r>
      <w:r w:rsidRPr="006552C5">
        <w:rPr>
          <w:rFonts w:ascii="Arial Narrow" w:hAnsi="Arial Narrow"/>
        </w:rPr>
        <w:t>pág. 100</w:t>
      </w:r>
      <w:r>
        <w:rPr>
          <w:rFonts w:ascii="Arial Narrow" w:hAnsi="Arial Narrow"/>
        </w:rPr>
        <w:t>)</w:t>
      </w:r>
      <w:r w:rsidRPr="006552C5">
        <w:rPr>
          <w:rFonts w:ascii="Arial Narrow" w:hAnsi="Arial Narrow"/>
        </w:rPr>
        <w:t>: «Enquanto esperamos pela guerra com a Áustria, que invocamos, não vemos hoje nada que nos interesse a não ser as belas mortes contínuas e desenvoltas dos aviadores».</w:t>
      </w:r>
    </w:p>
  </w:footnote>
  <w:footnote w:id="96">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«Eu crio verdadeiros teoremas ou equações líricas mediante a introdução de números, escolhidos intuitivamente e colocados mesmo no meio de uma palavra, com uma certa quantidade de + </w:t>
      </w:r>
      <w:r w:rsidRPr="006552C5">
        <w:rPr>
          <w:rFonts w:ascii="Arial Narrow" w:hAnsi="Arial Narrow"/>
        </w:rPr>
        <w:sym w:font="Symbol" w:char="F02D"/>
      </w:r>
      <w:r>
        <w:rPr>
          <w:rFonts w:ascii="Arial Narrow" w:hAnsi="Arial Narrow"/>
        </w:rPr>
        <w:t xml:space="preserve"> x </w:t>
      </w:r>
      <w:r w:rsidRPr="006552C5">
        <w:rPr>
          <w:rFonts w:ascii="Arial Narrow" w:hAnsi="Arial Narrow"/>
        </w:rPr>
        <w:t xml:space="preserve">=. Eu mostro a espessura, o relevo, o volume daquilo que as palavras devem expressar. [...] Ao colocar + + + + + eu represento um aglomerado de sensações iguais (por exemplo, </w:t>
      </w:r>
      <w:r w:rsidRPr="006552C5">
        <w:rPr>
          <w:rFonts w:ascii="Arial Narrow" w:hAnsi="Arial Narrow"/>
          <w:i/>
        </w:rPr>
        <w:t>odor fecal da disenteria + o fedor adocicado dos suores pestíferos + cheiro de amónia,</w:t>
      </w:r>
      <w:r w:rsidRPr="006552C5">
        <w:rPr>
          <w:rFonts w:ascii="Arial Narrow" w:hAnsi="Arial Narrow"/>
        </w:rPr>
        <w:t xml:space="preserve"> etc. em “Comboio Cheio de Soldados Doentes”, no meu </w:t>
      </w:r>
      <w:r w:rsidRPr="006552C5">
        <w:rPr>
          <w:rFonts w:ascii="Arial Narrow" w:hAnsi="Arial Narrow"/>
          <w:i/>
        </w:rPr>
        <w:t>Zang Tumb Tumb</w:t>
      </w:r>
      <w:r w:rsidRPr="006552C5">
        <w:rPr>
          <w:rFonts w:ascii="Arial Narrow" w:hAnsi="Arial Narrow"/>
        </w:rPr>
        <w:t>)», explic</w:t>
      </w:r>
      <w:r>
        <w:rPr>
          <w:rFonts w:ascii="Arial Narrow" w:hAnsi="Arial Narrow"/>
        </w:rPr>
        <w:t>ou</w:t>
      </w:r>
      <w:r w:rsidRPr="006552C5">
        <w:rPr>
          <w:rFonts w:ascii="Arial Narrow" w:hAnsi="Arial Narrow"/>
        </w:rPr>
        <w:t xml:space="preserve"> Marinetti em </w:t>
      </w:r>
      <w:r>
        <w:rPr>
          <w:rFonts w:ascii="Arial Narrow" w:hAnsi="Arial Narrow"/>
          <w:i/>
        </w:rPr>
        <w:t>Geometric and Mechanical Splendour and the Numerical Sensibility</w:t>
      </w:r>
      <w:r w:rsidRPr="006552C5">
        <w:rPr>
          <w:rFonts w:ascii="Arial Narrow" w:hAnsi="Arial Narrow"/>
          <w:i/>
        </w:rPr>
        <w:t>,</w:t>
      </w:r>
      <w:r w:rsidRPr="006552C5">
        <w:rPr>
          <w:rFonts w:ascii="Arial Narrow" w:hAnsi="Arial Narrow"/>
        </w:rPr>
        <w:t xml:space="preserve"> </w:t>
      </w:r>
      <w:r>
        <w:rPr>
          <w:rFonts w:ascii="Arial Narrow" w:hAnsi="Arial Narrow"/>
        </w:rPr>
        <w:t xml:space="preserve">Março-Abril de 1914, </w:t>
      </w:r>
      <w:r w:rsidRPr="006552C5">
        <w:rPr>
          <w:rFonts w:ascii="Arial Narrow" w:hAnsi="Arial Narrow"/>
        </w:rPr>
        <w:t>em U. Apollonio (org. 1973) 159.</w:t>
      </w:r>
      <w:r>
        <w:rPr>
          <w:rFonts w:ascii="Arial Narrow" w:hAnsi="Arial Narrow"/>
        </w:rPr>
        <w:t xml:space="preserve"> </w:t>
      </w:r>
    </w:p>
  </w:footnote>
  <w:footnote w:id="97">
    <w:p w:rsidR="00C13C71" w:rsidRPr="006552C5" w:rsidRDefault="00C13C71" w:rsidP="00A61D4E">
      <w:pPr>
        <w:pStyle w:val="Textodenotaderodap"/>
        <w:rPr>
          <w:rFonts w:ascii="Arial Narrow" w:hAnsi="Arial Narrow"/>
          <w:lang w:val="fr-FR"/>
        </w:rPr>
      </w:pPr>
      <w:r w:rsidRPr="006552C5">
        <w:rPr>
          <w:rStyle w:val="Refdenotaderodap"/>
          <w:rFonts w:ascii="Arial Narrow" w:hAnsi="Arial Narrow"/>
        </w:rPr>
        <w:footnoteRef/>
      </w:r>
      <w:r w:rsidRPr="006552C5">
        <w:rPr>
          <w:rFonts w:ascii="Arial Narrow" w:hAnsi="Arial Narrow"/>
          <w:lang w:val="fr-FR"/>
        </w:rPr>
        <w:t xml:space="preserve"> Z. Sternhell et al. (1994) 236-237.</w:t>
      </w:r>
    </w:p>
  </w:footnote>
  <w:footnote w:id="98">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lang w:val="fr-FR"/>
        </w:rPr>
        <w:t xml:space="preserve"> E. Santarelli (1981) I 151 n. cont. </w:t>
      </w:r>
      <w:r w:rsidRPr="006552C5">
        <w:rPr>
          <w:rFonts w:ascii="Arial Narrow" w:hAnsi="Arial Narrow"/>
        </w:rPr>
        <w:t>Encontra-se uma menção demasiado breve na cronologia incluída em U. Apollonio (org. 1973) 221.</w:t>
      </w:r>
    </w:p>
  </w:footnote>
  <w:footnote w:id="99">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G. Bortolotto (1938) 195-196; A. Lyttelton (1982) 74 e segs.; P. Milza (1999) 238; E. Santarelli (1981) I 96-98, 107, 145, 146 n. 1, 150-151 n.; Z. Sternhell et al. (1994) 28. «Aquelas “escolas de coragem física” que foram propostas por Marinetti no seu discurso acerca da necessidade da violência, proferido em Nápoles a 26 de Junho de 1910, assemelham-se, no espírito e nos objectivos, ao que serão mais tarde os Fasci e as </w:t>
      </w:r>
      <w:r w:rsidRPr="006552C5">
        <w:rPr>
          <w:rFonts w:ascii="Arial Narrow" w:hAnsi="Arial Narrow"/>
          <w:i/>
        </w:rPr>
        <w:t>squadre d’azione</w:t>
      </w:r>
      <w:r w:rsidRPr="006552C5">
        <w:rPr>
          <w:rFonts w:ascii="Arial Narrow" w:hAnsi="Arial Narrow"/>
        </w:rPr>
        <w:t xml:space="preserve"> do fascismo», escreve</w:t>
      </w:r>
      <w:r>
        <w:rPr>
          <w:rFonts w:ascii="Arial Narrow" w:hAnsi="Arial Narrow"/>
        </w:rPr>
        <w:t>u</w:t>
      </w:r>
      <w:r w:rsidRPr="006552C5">
        <w:rPr>
          <w:rFonts w:ascii="Arial Narrow" w:hAnsi="Arial Narrow"/>
        </w:rPr>
        <w:t xml:space="preserve"> G. Bortolotto (1938) 193.</w:t>
      </w:r>
      <w:r>
        <w:rPr>
          <w:rFonts w:ascii="Arial Narrow" w:hAnsi="Arial Narrow"/>
        </w:rPr>
        <w:t xml:space="preserve"> Mencionarei essas escolas quando analisar o fascínio da morte (no capítulo 2 desta Parte 5).</w:t>
      </w:r>
    </w:p>
  </w:footnote>
  <w:footnote w:id="100">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P. Milza (1999) 235. </w:t>
      </w:r>
      <w:r>
        <w:rPr>
          <w:rFonts w:ascii="Arial Narrow" w:hAnsi="Arial Narrow"/>
        </w:rPr>
        <w:t xml:space="preserve">Ver também A. Aniante (1933) 78. </w:t>
      </w:r>
      <w:r w:rsidRPr="006552C5">
        <w:rPr>
          <w:rFonts w:ascii="Arial Narrow" w:hAnsi="Arial Narrow"/>
        </w:rPr>
        <w:t xml:space="preserve">Acerca da actividade de Vecchi como pintor futurista ver </w:t>
      </w:r>
      <w:r>
        <w:rPr>
          <w:rFonts w:ascii="Arial Narrow" w:hAnsi="Arial Narrow"/>
        </w:rPr>
        <w:t xml:space="preserve">Pierre Milza, </w:t>
      </w:r>
      <w:r w:rsidRPr="00EA4228">
        <w:rPr>
          <w:rFonts w:ascii="Arial Narrow" w:hAnsi="Arial Narrow"/>
        </w:rPr>
        <w:t>op. cit.,</w:t>
      </w:r>
      <w:r>
        <w:rPr>
          <w:rFonts w:ascii="Arial Narrow" w:hAnsi="Arial Narrow"/>
        </w:rPr>
        <w:t xml:space="preserve"> </w:t>
      </w:r>
      <w:r w:rsidRPr="006552C5">
        <w:rPr>
          <w:rFonts w:ascii="Arial Narrow" w:hAnsi="Arial Narrow"/>
        </w:rPr>
        <w:t>565.</w:t>
      </w:r>
    </w:p>
  </w:footnote>
  <w:footnote w:id="101">
    <w:p w:rsidR="00C13C71" w:rsidRPr="00126918" w:rsidRDefault="00C13C71" w:rsidP="00A61D4E">
      <w:pPr>
        <w:pStyle w:val="Textodenotaderodap"/>
        <w:ind w:firstLine="708"/>
        <w:rPr>
          <w:rFonts w:ascii="Arial Narrow" w:hAnsi="Arial Narrow"/>
          <w:lang w:val="en-GB"/>
        </w:rPr>
      </w:pPr>
      <w:r w:rsidRPr="006552C5">
        <w:rPr>
          <w:rStyle w:val="Refdenotaderodap"/>
          <w:rFonts w:ascii="Arial Narrow" w:hAnsi="Arial Narrow"/>
        </w:rPr>
        <w:footnoteRef/>
      </w:r>
      <w:r w:rsidRPr="00126918">
        <w:rPr>
          <w:rFonts w:ascii="Arial Narrow" w:hAnsi="Arial Narrow"/>
          <w:lang w:val="en-GB"/>
        </w:rPr>
        <w:t xml:space="preserve"> </w:t>
      </w:r>
      <w:r w:rsidRPr="0023245D">
        <w:rPr>
          <w:rFonts w:ascii="Arial Narrow" w:hAnsi="Arial Narrow"/>
          <w:lang w:val="en-US"/>
        </w:rPr>
        <w:t xml:space="preserve">P. Milza (1999) </w:t>
      </w:r>
      <w:r w:rsidRPr="00126918">
        <w:rPr>
          <w:rFonts w:ascii="Arial Narrow" w:hAnsi="Arial Narrow"/>
          <w:lang w:val="en-GB"/>
        </w:rPr>
        <w:t>511.</w:t>
      </w:r>
    </w:p>
  </w:footnote>
  <w:footnote w:id="102">
    <w:p w:rsidR="00C13C71" w:rsidRPr="00126918" w:rsidRDefault="00C13C71" w:rsidP="00A61D4E">
      <w:pPr>
        <w:pStyle w:val="Textodenotaderodap"/>
        <w:rPr>
          <w:rFonts w:ascii="Arial Narrow" w:hAnsi="Arial Narrow"/>
          <w:lang w:val="en-GB"/>
        </w:rPr>
      </w:pPr>
      <w:r w:rsidRPr="006552C5">
        <w:rPr>
          <w:rStyle w:val="Refdenotaderodap"/>
          <w:rFonts w:ascii="Arial Narrow" w:hAnsi="Arial Narrow"/>
        </w:rPr>
        <w:footnoteRef/>
      </w:r>
      <w:r w:rsidRPr="00126918">
        <w:rPr>
          <w:rFonts w:ascii="Arial Narrow" w:hAnsi="Arial Narrow"/>
          <w:lang w:val="en-GB"/>
        </w:rPr>
        <w:t xml:space="preserve"> Ch. F. Delzell (org. 1971) 7.</w:t>
      </w:r>
    </w:p>
  </w:footnote>
  <w:footnote w:id="103">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P. Milza (1999) 241-242. Este autor esclarece</w:t>
      </w:r>
      <w:r>
        <w:rPr>
          <w:rFonts w:ascii="Arial Narrow" w:hAnsi="Arial Narrow"/>
        </w:rPr>
        <w:t>u (</w:t>
      </w:r>
      <w:r w:rsidRPr="006552C5">
        <w:rPr>
          <w:rFonts w:ascii="Arial Narrow" w:hAnsi="Arial Narrow"/>
        </w:rPr>
        <w:t>pág. 242</w:t>
      </w:r>
      <w:r>
        <w:rPr>
          <w:rFonts w:ascii="Arial Narrow" w:hAnsi="Arial Narrow"/>
        </w:rPr>
        <w:t>)</w:t>
      </w:r>
      <w:r w:rsidRPr="006552C5">
        <w:rPr>
          <w:rFonts w:ascii="Arial Narrow" w:hAnsi="Arial Narrow"/>
        </w:rPr>
        <w:t xml:space="preserve"> que alguns dias depois Marinetti e Vecchi foram recebidos pelo ministro da Guerra, que lhes anunciou que nem eles nem os presumidos assassinos seriam incriminados em justiça e que os fascistas haviam «salvo a nação».</w:t>
      </w:r>
    </w:p>
  </w:footnote>
  <w:footnote w:id="104">
    <w:p w:rsidR="00C13C71" w:rsidRPr="006552C5" w:rsidRDefault="00C13C71" w:rsidP="0089429B">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F. T. Marinetti</w:t>
      </w:r>
      <w:r>
        <w:rPr>
          <w:rFonts w:ascii="Arial Narrow" w:hAnsi="Arial Narrow"/>
        </w:rPr>
        <w:t>,</w:t>
      </w:r>
      <w:r w:rsidRPr="006552C5">
        <w:rPr>
          <w:rFonts w:ascii="Arial Narrow" w:hAnsi="Arial Narrow"/>
        </w:rPr>
        <w:t xml:space="preserve"> </w:t>
      </w:r>
      <w:r>
        <w:rPr>
          <w:rFonts w:ascii="Arial Narrow" w:hAnsi="Arial Narrow"/>
          <w:i/>
        </w:rPr>
        <w:t>Premier Manifeste du Futurisme,</w:t>
      </w:r>
      <w:r>
        <w:rPr>
          <w:rFonts w:ascii="Arial Narrow" w:hAnsi="Arial Narrow"/>
        </w:rPr>
        <w:t xml:space="preserve"> 20 de Fevereiro de 1909, em id. </w:t>
      </w:r>
      <w:r w:rsidRPr="006552C5">
        <w:rPr>
          <w:rFonts w:ascii="Arial Narrow" w:hAnsi="Arial Narrow"/>
        </w:rPr>
        <w:t>(1911) 146-147.</w:t>
      </w:r>
    </w:p>
  </w:footnote>
  <w:footnote w:id="105">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E. Santarelli (1981) I 103, 149 n. 1, 151 n. cont., 181-182, 371, 382.</w:t>
      </w:r>
    </w:p>
  </w:footnote>
  <w:footnote w:id="106">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P. Milza (1999) 270.</w:t>
      </w:r>
    </w:p>
  </w:footnote>
  <w:footnote w:id="107">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Citado em E. Santarelli (1981) I 372 n. 1. Traduzo por «espírito [...] ousado» o que no original se</w:t>
      </w:r>
      <w:r>
        <w:rPr>
          <w:rFonts w:ascii="Arial Narrow" w:hAnsi="Arial Narrow"/>
        </w:rPr>
        <w:t xml:space="preserve"> lê</w:t>
      </w:r>
      <w:r w:rsidRPr="006552C5">
        <w:rPr>
          <w:rFonts w:ascii="Arial Narrow" w:hAnsi="Arial Narrow"/>
        </w:rPr>
        <w:t xml:space="preserve"> como </w:t>
      </w:r>
      <w:r w:rsidRPr="006552C5">
        <w:rPr>
          <w:rFonts w:ascii="Arial Narrow" w:hAnsi="Arial Narrow"/>
          <w:i/>
        </w:rPr>
        <w:t>«anima [...] ardita»,</w:t>
      </w:r>
      <w:r w:rsidRPr="006552C5">
        <w:rPr>
          <w:rFonts w:ascii="Arial Narrow" w:hAnsi="Arial Narrow"/>
        </w:rPr>
        <w:t xml:space="preserve"> mas a palavra aqui tem um duplo sentido, referindo-se igualmente aos </w:t>
      </w:r>
      <w:r w:rsidRPr="006552C5">
        <w:rPr>
          <w:rFonts w:ascii="Arial Narrow" w:hAnsi="Arial Narrow"/>
          <w:i/>
        </w:rPr>
        <w:t>arditi,</w:t>
      </w:r>
      <w:r w:rsidRPr="006552C5">
        <w:rPr>
          <w:rFonts w:ascii="Arial Narrow" w:hAnsi="Arial Narrow"/>
        </w:rPr>
        <w:t xml:space="preserve"> as tropas que durante a guerra se haviam especializado em operações audaciosas</w:t>
      </w:r>
      <w:r>
        <w:rPr>
          <w:rFonts w:ascii="Arial Narrow" w:hAnsi="Arial Narrow"/>
        </w:rPr>
        <w:t xml:space="preserve"> e constituíram depois uma das três correntes formadoras do fascismo</w:t>
      </w:r>
      <w:r w:rsidRPr="006552C5">
        <w:rPr>
          <w:rFonts w:ascii="Arial Narrow" w:hAnsi="Arial Narrow"/>
        </w:rPr>
        <w:t>.</w:t>
      </w:r>
    </w:p>
  </w:footnote>
  <w:footnote w:id="108">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G. Le Bon (1980) 61-63.</w:t>
      </w:r>
    </w:p>
  </w:footnote>
  <w:footnote w:id="109">
    <w:p w:rsidR="00C13C71" w:rsidRPr="006552C5" w:rsidRDefault="00C13C71" w:rsidP="0017361A">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Antologiado em Ch. F. Delzell (org. 1971) e G. S. Spinetti (org. 1938) 69.</w:t>
      </w:r>
      <w:r>
        <w:rPr>
          <w:rFonts w:ascii="Arial Narrow" w:hAnsi="Arial Narrow"/>
        </w:rPr>
        <w:t xml:space="preserve"> Ver também M. D. Irish (1946) 93, W. Laqueur (1996) 25 e </w:t>
      </w:r>
      <w:r w:rsidRPr="005B271F">
        <w:rPr>
          <w:rFonts w:ascii="Arial Narrow" w:hAnsi="Arial Narrow"/>
        </w:rPr>
        <w:t>D. Sassoon (20</w:t>
      </w:r>
      <w:r>
        <w:rPr>
          <w:rFonts w:ascii="Arial Narrow" w:hAnsi="Arial Narrow"/>
        </w:rPr>
        <w:t>12</w:t>
      </w:r>
      <w:r w:rsidRPr="005B271F">
        <w:rPr>
          <w:rFonts w:ascii="Arial Narrow" w:hAnsi="Arial Narrow"/>
        </w:rPr>
        <w:t>) 127</w:t>
      </w:r>
      <w:r>
        <w:rPr>
          <w:rFonts w:ascii="Arial Narrow" w:hAnsi="Arial Narrow"/>
        </w:rPr>
        <w:t>.</w:t>
      </w:r>
    </w:p>
  </w:footnote>
  <w:footnote w:id="110">
    <w:p w:rsidR="00C13C71" w:rsidRPr="00B17100" w:rsidRDefault="00C13C71" w:rsidP="0017361A">
      <w:pPr>
        <w:pStyle w:val="Textodenotaderodap"/>
        <w:rPr>
          <w:rFonts w:ascii="Arial Narrow" w:hAnsi="Arial Narrow"/>
        </w:rPr>
      </w:pPr>
      <w:r w:rsidRPr="00B17100">
        <w:rPr>
          <w:rStyle w:val="Refdenotaderodap"/>
          <w:rFonts w:ascii="Arial Narrow" w:hAnsi="Arial Narrow"/>
        </w:rPr>
        <w:footnoteRef/>
      </w:r>
      <w:r w:rsidRPr="00B17100">
        <w:rPr>
          <w:rFonts w:ascii="Arial Narrow" w:hAnsi="Arial Narrow"/>
        </w:rPr>
        <w:t xml:space="preserve"> </w:t>
      </w:r>
      <w:r>
        <w:rPr>
          <w:rFonts w:ascii="Arial Narrow" w:hAnsi="Arial Narrow"/>
        </w:rPr>
        <w:t xml:space="preserve">Para esta exposição da filosofia de Gentile ver R. W. Holmes (1937) </w:t>
      </w:r>
      <w:r w:rsidRPr="00B17100">
        <w:rPr>
          <w:rFonts w:ascii="Arial Narrow" w:hAnsi="Arial Narrow"/>
          <w:i/>
        </w:rPr>
        <w:t>passim</w:t>
      </w:r>
      <w:r>
        <w:rPr>
          <w:rFonts w:ascii="Arial Narrow" w:hAnsi="Arial Narrow"/>
        </w:rPr>
        <w:t>.</w:t>
      </w:r>
    </w:p>
  </w:footnote>
  <w:footnote w:id="111">
    <w:p w:rsidR="00C13C71" w:rsidRPr="00303387" w:rsidRDefault="00C13C71" w:rsidP="0017361A">
      <w:pPr>
        <w:pStyle w:val="Textodenotaderodap"/>
        <w:rPr>
          <w:rFonts w:ascii="Arial Narrow" w:hAnsi="Arial Narrow"/>
        </w:rPr>
      </w:pPr>
      <w:r w:rsidRPr="00EB4D57">
        <w:rPr>
          <w:rStyle w:val="Refdenotaderodap"/>
          <w:rFonts w:ascii="Arial Narrow" w:hAnsi="Arial Narrow"/>
        </w:rPr>
        <w:footnoteRef/>
      </w:r>
      <w:r w:rsidRPr="00303387">
        <w:rPr>
          <w:rFonts w:ascii="Arial Narrow" w:hAnsi="Arial Narrow"/>
        </w:rPr>
        <w:t xml:space="preserve"> Id., ibid., 105. </w:t>
      </w:r>
      <w:r w:rsidRPr="00895587">
        <w:rPr>
          <w:rFonts w:ascii="Arial Narrow" w:hAnsi="Arial Narrow"/>
        </w:rPr>
        <w:t>Roger Holmes</w:t>
      </w:r>
      <w:r>
        <w:rPr>
          <w:rFonts w:ascii="Arial Narrow" w:hAnsi="Arial Narrow"/>
        </w:rPr>
        <w:t xml:space="preserve"> </w:t>
      </w:r>
      <w:r w:rsidRPr="00895587">
        <w:rPr>
          <w:rFonts w:ascii="Arial Narrow" w:hAnsi="Arial Narrow"/>
        </w:rPr>
        <w:t xml:space="preserve">observou </w:t>
      </w:r>
      <w:r>
        <w:rPr>
          <w:rFonts w:ascii="Arial Narrow" w:hAnsi="Arial Narrow"/>
        </w:rPr>
        <w:t>ainda (pág.</w:t>
      </w:r>
      <w:r w:rsidRPr="00895587">
        <w:rPr>
          <w:rFonts w:ascii="Arial Narrow" w:hAnsi="Arial Narrow"/>
        </w:rPr>
        <w:t xml:space="preserve"> 25</w:t>
      </w:r>
      <w:r>
        <w:rPr>
          <w:rFonts w:ascii="Arial Narrow" w:hAnsi="Arial Narrow"/>
        </w:rPr>
        <w:t>, sub. orig.)</w:t>
      </w:r>
      <w:r w:rsidRPr="00895587">
        <w:rPr>
          <w:rFonts w:ascii="Arial Narrow" w:hAnsi="Arial Narrow"/>
        </w:rPr>
        <w:t xml:space="preserve"> que para Gentile «os próprios factos da hist</w:t>
      </w:r>
      <w:r>
        <w:rPr>
          <w:rFonts w:ascii="Arial Narrow" w:hAnsi="Arial Narrow"/>
        </w:rPr>
        <w:t xml:space="preserve">ória deixam de ser importantes </w:t>
      </w:r>
      <w:r w:rsidRPr="005431FF">
        <w:rPr>
          <w:rFonts w:ascii="Arial Narrow" w:hAnsi="Arial Narrow"/>
          <w:i/>
        </w:rPr>
        <w:t>enquanto tais</w:t>
      </w:r>
      <w:r>
        <w:rPr>
          <w:rFonts w:ascii="Arial Narrow" w:hAnsi="Arial Narrow"/>
        </w:rPr>
        <w:t>» e acrescentou que, para ele, «a história real é o pensamento do historiador em acção».</w:t>
      </w:r>
    </w:p>
  </w:footnote>
  <w:footnote w:id="112">
    <w:p w:rsidR="00C13C71" w:rsidRPr="000873BF" w:rsidRDefault="00C13C71">
      <w:pPr>
        <w:pStyle w:val="Textodenotaderodap"/>
        <w:rPr>
          <w:rFonts w:ascii="Arial Narrow" w:hAnsi="Arial Narrow"/>
        </w:rPr>
      </w:pPr>
      <w:r w:rsidRPr="000C05F4">
        <w:rPr>
          <w:rStyle w:val="Refdenotaderodap"/>
          <w:rFonts w:ascii="Arial Narrow" w:hAnsi="Arial Narrow"/>
        </w:rPr>
        <w:footnoteRef/>
      </w:r>
      <w:r w:rsidRPr="000873BF">
        <w:rPr>
          <w:rFonts w:ascii="Arial Narrow" w:hAnsi="Arial Narrow"/>
        </w:rPr>
        <w:t xml:space="preserve"> G. Gentile (1928) 293.</w:t>
      </w:r>
    </w:p>
  </w:footnote>
  <w:footnote w:id="113">
    <w:p w:rsidR="00C13C71" w:rsidRPr="000873BF" w:rsidRDefault="00C13C71">
      <w:pPr>
        <w:pStyle w:val="Textodenotaderodap"/>
        <w:rPr>
          <w:rFonts w:ascii="Arial Narrow" w:hAnsi="Arial Narrow"/>
        </w:rPr>
      </w:pPr>
      <w:r w:rsidRPr="00846569">
        <w:rPr>
          <w:rStyle w:val="Refdenotaderodap"/>
          <w:rFonts w:ascii="Arial Narrow" w:hAnsi="Arial Narrow"/>
        </w:rPr>
        <w:footnoteRef/>
      </w:r>
      <w:r w:rsidRPr="000873BF">
        <w:rPr>
          <w:rFonts w:ascii="Arial Narrow" w:hAnsi="Arial Narrow"/>
        </w:rPr>
        <w:t xml:space="preserve"> R. W. Holmes (1937) 4.</w:t>
      </w:r>
    </w:p>
  </w:footnote>
  <w:footnote w:id="114">
    <w:p w:rsidR="00C13C71" w:rsidRPr="006C716F" w:rsidRDefault="00C13C71">
      <w:pPr>
        <w:pStyle w:val="Textodenotaderodap"/>
        <w:rPr>
          <w:rFonts w:ascii="Arial Narrow" w:hAnsi="Arial Narrow"/>
        </w:rPr>
      </w:pPr>
      <w:r w:rsidRPr="006C716F">
        <w:rPr>
          <w:rStyle w:val="Refdenotaderodap"/>
          <w:rFonts w:ascii="Arial Narrow" w:hAnsi="Arial Narrow"/>
        </w:rPr>
        <w:footnoteRef/>
      </w:r>
      <w:r w:rsidRPr="006C716F">
        <w:rPr>
          <w:rFonts w:ascii="Arial Narrow" w:hAnsi="Arial Narrow"/>
        </w:rPr>
        <w:t xml:space="preserve"> Para as raízes mazzinianas d</w:t>
      </w:r>
      <w:r>
        <w:rPr>
          <w:rFonts w:ascii="Arial Narrow" w:hAnsi="Arial Narrow"/>
        </w:rPr>
        <w:t xml:space="preserve">esta concepção ver </w:t>
      </w:r>
      <w:r w:rsidRPr="006C716F">
        <w:rPr>
          <w:rFonts w:ascii="Arial Narrow" w:hAnsi="Arial Narrow"/>
        </w:rPr>
        <w:t>G. Gentile (1928)</w:t>
      </w:r>
      <w:r>
        <w:rPr>
          <w:rFonts w:ascii="Arial Narrow" w:hAnsi="Arial Narrow"/>
        </w:rPr>
        <w:t xml:space="preserve"> 292 e 300.</w:t>
      </w:r>
    </w:p>
  </w:footnote>
  <w:footnote w:id="115">
    <w:p w:rsidR="00C13C71" w:rsidRPr="00462252" w:rsidRDefault="00C13C71">
      <w:pPr>
        <w:pStyle w:val="Textodenotaderodap"/>
        <w:rPr>
          <w:rFonts w:ascii="Arial Narrow" w:hAnsi="Arial Narrow"/>
          <w:lang w:val="en-US"/>
        </w:rPr>
      </w:pPr>
      <w:r w:rsidRPr="00462252">
        <w:rPr>
          <w:rStyle w:val="Refdenotaderodap"/>
          <w:rFonts w:ascii="Arial Narrow" w:hAnsi="Arial Narrow"/>
        </w:rPr>
        <w:footnoteRef/>
      </w:r>
      <w:r w:rsidRPr="00462252">
        <w:rPr>
          <w:rFonts w:ascii="Arial Narrow" w:hAnsi="Arial Narrow"/>
          <w:lang w:val="en-US"/>
        </w:rPr>
        <w:t xml:space="preserve"> Id., ib</w:t>
      </w:r>
      <w:r>
        <w:rPr>
          <w:rFonts w:ascii="Arial Narrow" w:hAnsi="Arial Narrow"/>
          <w:lang w:val="en-US"/>
        </w:rPr>
        <w:t>id., 300.</w:t>
      </w:r>
    </w:p>
  </w:footnote>
  <w:footnote w:id="116">
    <w:p w:rsidR="00C13C71" w:rsidRPr="00303387" w:rsidRDefault="00C13C71" w:rsidP="0017361A">
      <w:pPr>
        <w:pStyle w:val="Textodenotaderodap"/>
        <w:rPr>
          <w:rFonts w:ascii="Arial Narrow" w:hAnsi="Arial Narrow"/>
        </w:rPr>
      </w:pPr>
      <w:r w:rsidRPr="00D01F0A">
        <w:rPr>
          <w:rStyle w:val="Refdenotaderodap"/>
          <w:rFonts w:ascii="Arial Narrow" w:hAnsi="Arial Narrow"/>
        </w:rPr>
        <w:footnoteRef/>
      </w:r>
      <w:r w:rsidRPr="003F3513">
        <w:rPr>
          <w:rFonts w:ascii="Arial Narrow" w:hAnsi="Arial Narrow"/>
          <w:lang w:val="en-US"/>
        </w:rPr>
        <w:t xml:space="preserve"> </w:t>
      </w:r>
      <w:r w:rsidRPr="006C716F">
        <w:rPr>
          <w:rFonts w:ascii="Arial Narrow" w:hAnsi="Arial Narrow"/>
          <w:lang w:val="en-US"/>
        </w:rPr>
        <w:t xml:space="preserve">R. W. Holmes (1937) </w:t>
      </w:r>
      <w:r>
        <w:rPr>
          <w:rFonts w:ascii="Arial Narrow" w:hAnsi="Arial Narrow"/>
          <w:lang w:val="en-US"/>
        </w:rPr>
        <w:t xml:space="preserve">22. </w:t>
      </w:r>
      <w:r w:rsidRPr="00303387">
        <w:rPr>
          <w:rFonts w:ascii="Arial Narrow" w:hAnsi="Arial Narrow"/>
        </w:rPr>
        <w:t xml:space="preserve">«O </w:t>
      </w:r>
      <w:r>
        <w:rPr>
          <w:rFonts w:ascii="Arial Narrow" w:hAnsi="Arial Narrow"/>
        </w:rPr>
        <w:t xml:space="preserve">sistema </w:t>
      </w:r>
      <w:r w:rsidRPr="00303387">
        <w:rPr>
          <w:rFonts w:ascii="Arial Narrow" w:hAnsi="Arial Narrow"/>
        </w:rPr>
        <w:t>fa</w:t>
      </w:r>
      <w:r>
        <w:rPr>
          <w:rFonts w:ascii="Arial Narrow" w:hAnsi="Arial Narrow"/>
        </w:rPr>
        <w:t xml:space="preserve">scista não é um sistema político», escreveu </w:t>
      </w:r>
      <w:r w:rsidRPr="00303387">
        <w:rPr>
          <w:rFonts w:ascii="Arial Narrow" w:hAnsi="Arial Narrow"/>
        </w:rPr>
        <w:t xml:space="preserve">G. Gentile (1928) </w:t>
      </w:r>
      <w:r>
        <w:rPr>
          <w:rFonts w:ascii="Arial Narrow" w:hAnsi="Arial Narrow"/>
        </w:rPr>
        <w:t>301, «mas tem o centro de gravidade na política».</w:t>
      </w:r>
    </w:p>
  </w:footnote>
  <w:footnote w:id="117">
    <w:p w:rsidR="00C13C71" w:rsidRPr="005126C3" w:rsidRDefault="00C13C71">
      <w:pPr>
        <w:pStyle w:val="Textodenotaderodap"/>
        <w:rPr>
          <w:rFonts w:ascii="Arial Narrow" w:hAnsi="Arial Narrow"/>
        </w:rPr>
      </w:pPr>
      <w:r w:rsidRPr="00585178">
        <w:rPr>
          <w:rStyle w:val="Refdenotaderodap"/>
          <w:rFonts w:ascii="Arial Narrow" w:hAnsi="Arial Narrow"/>
        </w:rPr>
        <w:footnoteRef/>
      </w:r>
      <w:r w:rsidRPr="000873BF">
        <w:rPr>
          <w:rFonts w:ascii="Arial Narrow" w:hAnsi="Arial Narrow"/>
        </w:rPr>
        <w:t xml:space="preserve"> G. Gentile (1928) 294, 301, 301-302. </w:t>
      </w:r>
      <w:r w:rsidRPr="005126C3">
        <w:rPr>
          <w:rFonts w:ascii="Arial Narrow" w:hAnsi="Arial Narrow"/>
        </w:rPr>
        <w:t>Para a n</w:t>
      </w:r>
      <w:r>
        <w:rPr>
          <w:rFonts w:ascii="Arial Narrow" w:hAnsi="Arial Narrow"/>
        </w:rPr>
        <w:t>oção expressa na última citação ver ainda as págs. 303-304.</w:t>
      </w:r>
    </w:p>
  </w:footnote>
  <w:footnote w:id="118">
    <w:p w:rsidR="00C13C71" w:rsidRPr="007A630B" w:rsidRDefault="00C13C71">
      <w:pPr>
        <w:pStyle w:val="Textodenotaderodap"/>
        <w:rPr>
          <w:rFonts w:ascii="Arial Narrow" w:hAnsi="Arial Narrow"/>
        </w:rPr>
      </w:pPr>
      <w:r w:rsidRPr="007A630B">
        <w:rPr>
          <w:rStyle w:val="Refdenotaderodap"/>
          <w:rFonts w:ascii="Arial Narrow" w:hAnsi="Arial Narrow"/>
        </w:rPr>
        <w:footnoteRef/>
      </w:r>
      <w:r w:rsidRPr="007A630B">
        <w:rPr>
          <w:rFonts w:ascii="Arial Narrow" w:hAnsi="Arial Narrow"/>
        </w:rPr>
        <w:t xml:space="preserve"> </w:t>
      </w:r>
      <w:r>
        <w:rPr>
          <w:rFonts w:ascii="Arial Narrow" w:hAnsi="Arial Narrow"/>
        </w:rPr>
        <w:t>Id., ibid., 304.</w:t>
      </w:r>
    </w:p>
  </w:footnote>
  <w:footnote w:id="119">
    <w:p w:rsidR="00C13C71" w:rsidRPr="005126C3" w:rsidRDefault="00C13C71">
      <w:pPr>
        <w:pStyle w:val="Textodenotaderodap"/>
        <w:rPr>
          <w:rFonts w:ascii="Arial Narrow" w:hAnsi="Arial Narrow"/>
        </w:rPr>
      </w:pPr>
      <w:r w:rsidRPr="00E54AFA">
        <w:rPr>
          <w:rStyle w:val="Refdenotaderodap"/>
          <w:rFonts w:ascii="Arial Narrow" w:hAnsi="Arial Narrow"/>
        </w:rPr>
        <w:footnoteRef/>
      </w:r>
      <w:r w:rsidRPr="005126C3">
        <w:rPr>
          <w:rFonts w:ascii="Arial Narrow" w:hAnsi="Arial Narrow"/>
        </w:rPr>
        <w:t xml:space="preserve"> Id., ibid., 302.</w:t>
      </w:r>
    </w:p>
  </w:footnote>
  <w:footnote w:id="120">
    <w:p w:rsidR="00C13C71" w:rsidRPr="000873BF" w:rsidRDefault="00C13C71" w:rsidP="0017361A">
      <w:pPr>
        <w:pStyle w:val="Textodenotaderodap"/>
        <w:rPr>
          <w:rFonts w:ascii="Arial Narrow" w:hAnsi="Arial Narrow"/>
        </w:rPr>
      </w:pPr>
      <w:r w:rsidRPr="006552C5">
        <w:rPr>
          <w:rStyle w:val="Refdenotaderodap"/>
          <w:rFonts w:ascii="Arial Narrow" w:hAnsi="Arial Narrow"/>
        </w:rPr>
        <w:footnoteRef/>
      </w:r>
      <w:r w:rsidRPr="000873BF">
        <w:rPr>
          <w:rFonts w:ascii="Arial Narrow" w:hAnsi="Arial Narrow"/>
        </w:rPr>
        <w:t xml:space="preserve"> Id. (1929) 34.</w:t>
      </w:r>
    </w:p>
  </w:footnote>
  <w:footnote w:id="121">
    <w:p w:rsidR="00C13C71" w:rsidRPr="00C82B2A" w:rsidRDefault="00C13C71" w:rsidP="0017361A">
      <w:pPr>
        <w:pStyle w:val="Textodenotaderodap"/>
        <w:rPr>
          <w:rFonts w:ascii="Arial Narrow" w:hAnsi="Arial Narrow"/>
        </w:rPr>
      </w:pPr>
      <w:r w:rsidRPr="006552C5">
        <w:rPr>
          <w:rStyle w:val="Refdenotaderodap"/>
          <w:rFonts w:ascii="Arial Narrow" w:hAnsi="Arial Narrow"/>
        </w:rPr>
        <w:footnoteRef/>
      </w:r>
      <w:r w:rsidRPr="00C82B2A">
        <w:rPr>
          <w:rFonts w:ascii="Arial Narrow" w:hAnsi="Arial Narrow"/>
        </w:rPr>
        <w:t xml:space="preserve"> G. Volpe (1941) 75.</w:t>
      </w:r>
    </w:p>
  </w:footnote>
  <w:footnote w:id="122">
    <w:p w:rsidR="00C13C71" w:rsidRPr="006552C5" w:rsidRDefault="00C13C71" w:rsidP="0017361A">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w:t>
      </w:r>
      <w:r>
        <w:rPr>
          <w:rFonts w:ascii="Arial Narrow" w:hAnsi="Arial Narrow"/>
        </w:rPr>
        <w:t xml:space="preserve">Citado em E. Gentile (2010) 68 e </w:t>
      </w:r>
      <w:r w:rsidRPr="006552C5">
        <w:rPr>
          <w:rFonts w:ascii="Arial Narrow" w:hAnsi="Arial Narrow"/>
        </w:rPr>
        <w:t>antologiado em G. S. Spinetti (org. 1938) 311.</w:t>
      </w:r>
    </w:p>
  </w:footnote>
  <w:footnote w:id="123">
    <w:p w:rsidR="00C13C71" w:rsidRPr="006552C5" w:rsidRDefault="00C13C71" w:rsidP="0017361A">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Citado em G. Volpe (1941) 143. Ver igualmente P. Milza (1999) 374.</w:t>
      </w:r>
      <w:r>
        <w:rPr>
          <w:rFonts w:ascii="Arial Narrow" w:hAnsi="Arial Narrow"/>
        </w:rPr>
        <w:t xml:space="preserve"> Salazar dirá mais tarde, no discurso de 27 de Abril de 1935: «Mais do que nunca o Estado será um pensamento em acção [...]». Ver J. Ameal (org. 1956) III 368.</w:t>
      </w:r>
    </w:p>
  </w:footnote>
  <w:footnote w:id="124">
    <w:p w:rsidR="00C13C71" w:rsidRPr="005C334B" w:rsidRDefault="00C13C71">
      <w:pPr>
        <w:pStyle w:val="Textodenotaderodap"/>
        <w:rPr>
          <w:rFonts w:ascii="Arial Narrow" w:hAnsi="Arial Narrow"/>
        </w:rPr>
      </w:pPr>
      <w:r w:rsidRPr="005C334B">
        <w:rPr>
          <w:rStyle w:val="Refdenotaderodap"/>
          <w:rFonts w:ascii="Arial Narrow" w:hAnsi="Arial Narrow"/>
        </w:rPr>
        <w:footnoteRef/>
      </w:r>
      <w:r w:rsidRPr="005C334B">
        <w:rPr>
          <w:rFonts w:ascii="Arial Narrow" w:hAnsi="Arial Narrow"/>
        </w:rPr>
        <w:t xml:space="preserve"> </w:t>
      </w:r>
      <w:r>
        <w:rPr>
          <w:rFonts w:ascii="Arial Narrow" w:hAnsi="Arial Narrow"/>
        </w:rPr>
        <w:t xml:space="preserve">Citado em </w:t>
      </w:r>
      <w:r w:rsidRPr="005C334B">
        <w:rPr>
          <w:rFonts w:ascii="Arial Narrow" w:hAnsi="Arial Narrow"/>
        </w:rPr>
        <w:t>P</w:t>
      </w:r>
      <w:r>
        <w:rPr>
          <w:rFonts w:ascii="Arial Narrow" w:hAnsi="Arial Narrow"/>
        </w:rPr>
        <w:t xml:space="preserve">. </w:t>
      </w:r>
      <w:r w:rsidRPr="005C334B">
        <w:rPr>
          <w:rFonts w:ascii="Arial Narrow" w:hAnsi="Arial Narrow"/>
        </w:rPr>
        <w:t>Álvarez-Quiñones Sanz (2013)</w:t>
      </w:r>
      <w:r>
        <w:rPr>
          <w:rFonts w:ascii="Arial Narrow" w:hAnsi="Arial Narrow"/>
        </w:rPr>
        <w:t xml:space="preserve"> 71.</w:t>
      </w:r>
    </w:p>
  </w:footnote>
  <w:footnote w:id="125">
    <w:p w:rsidR="00C13C71" w:rsidRPr="000C05F4" w:rsidRDefault="00C13C71">
      <w:pPr>
        <w:pStyle w:val="Textodenotaderodap"/>
        <w:rPr>
          <w:rFonts w:ascii="Arial Narrow" w:hAnsi="Arial Narrow"/>
        </w:rPr>
      </w:pPr>
      <w:r w:rsidRPr="009038FA">
        <w:rPr>
          <w:rStyle w:val="Refdenotaderodap"/>
          <w:rFonts w:ascii="Arial Narrow" w:hAnsi="Arial Narrow"/>
        </w:rPr>
        <w:footnoteRef/>
      </w:r>
      <w:r w:rsidRPr="000C05F4">
        <w:rPr>
          <w:rFonts w:ascii="Arial Narrow" w:hAnsi="Arial Narrow"/>
        </w:rPr>
        <w:t xml:space="preserve"> Ezra Pound em </w:t>
      </w:r>
      <w:r w:rsidRPr="000C05F4">
        <w:rPr>
          <w:rFonts w:ascii="Arial Narrow" w:hAnsi="Arial Narrow"/>
          <w:i/>
        </w:rPr>
        <w:t>Jefferson and/or Mussolini,</w:t>
      </w:r>
      <w:r w:rsidRPr="000C05F4">
        <w:rPr>
          <w:rFonts w:ascii="Arial Narrow" w:hAnsi="Arial Narrow"/>
        </w:rPr>
        <w:t xml:space="preserve"> citado em P. Morrison (1996) 49.</w:t>
      </w:r>
    </w:p>
  </w:footnote>
  <w:footnote w:id="126">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Citado em P. Milza (1999) 563.</w:t>
      </w:r>
    </w:p>
  </w:footnote>
  <w:footnote w:id="127">
    <w:p w:rsidR="00C13C71" w:rsidRPr="00F570EA" w:rsidRDefault="00C13C71">
      <w:pPr>
        <w:pStyle w:val="Textodenotaderodap"/>
        <w:rPr>
          <w:rFonts w:ascii="Arial Narrow" w:hAnsi="Arial Narrow"/>
          <w:lang w:val="en-US"/>
        </w:rPr>
      </w:pPr>
      <w:r w:rsidRPr="008C6B20">
        <w:rPr>
          <w:rStyle w:val="Refdenotaderodap"/>
          <w:rFonts w:ascii="Arial Narrow" w:hAnsi="Arial Narrow"/>
        </w:rPr>
        <w:footnoteRef/>
      </w:r>
      <w:r w:rsidRPr="00F570EA">
        <w:rPr>
          <w:rFonts w:ascii="Arial Narrow" w:hAnsi="Arial Narrow"/>
          <w:lang w:val="en-US"/>
        </w:rPr>
        <w:t xml:space="preserve"> </w:t>
      </w:r>
      <w:r w:rsidRPr="008C6B20">
        <w:rPr>
          <w:rFonts w:ascii="Arial Narrow" w:hAnsi="Arial Narrow"/>
          <w:lang w:val="en-US"/>
        </w:rPr>
        <w:t>W. Lepenies (2006)</w:t>
      </w:r>
      <w:r>
        <w:rPr>
          <w:rFonts w:ascii="Arial Narrow" w:hAnsi="Arial Narrow"/>
          <w:lang w:val="en-US"/>
        </w:rPr>
        <w:t xml:space="preserve"> 72.</w:t>
      </w:r>
    </w:p>
  </w:footnote>
  <w:footnote w:id="128">
    <w:p w:rsidR="00C13C71" w:rsidRPr="00F570EA" w:rsidRDefault="00C13C71" w:rsidP="00A61D4E">
      <w:pPr>
        <w:pStyle w:val="Textodenotaderodap"/>
        <w:ind w:firstLine="708"/>
        <w:rPr>
          <w:rFonts w:ascii="Arial Narrow" w:hAnsi="Arial Narrow"/>
          <w:lang w:val="en-US"/>
        </w:rPr>
      </w:pPr>
      <w:r w:rsidRPr="006552C5">
        <w:rPr>
          <w:rStyle w:val="Refdenotaderodap"/>
          <w:rFonts w:ascii="Arial Narrow" w:hAnsi="Arial Narrow"/>
        </w:rPr>
        <w:footnoteRef/>
      </w:r>
      <w:r w:rsidRPr="00F570EA">
        <w:rPr>
          <w:rFonts w:ascii="Arial Narrow" w:hAnsi="Arial Narrow"/>
          <w:lang w:val="en-US"/>
        </w:rPr>
        <w:t xml:space="preserve"> P. Milza (1999) 114-115, 121, 131.</w:t>
      </w:r>
    </w:p>
  </w:footnote>
  <w:footnote w:id="129">
    <w:p w:rsidR="00C13C71" w:rsidRPr="00F570EA" w:rsidRDefault="00C13C71" w:rsidP="00A61D4E">
      <w:pPr>
        <w:pStyle w:val="Textodenotaderodap"/>
        <w:ind w:firstLine="708"/>
        <w:rPr>
          <w:rFonts w:ascii="Arial Narrow" w:hAnsi="Arial Narrow"/>
          <w:lang w:val="en-US"/>
        </w:rPr>
      </w:pPr>
      <w:r w:rsidRPr="006552C5">
        <w:rPr>
          <w:rStyle w:val="Refdenotaderodap"/>
          <w:rFonts w:ascii="Arial Narrow" w:hAnsi="Arial Narrow"/>
        </w:rPr>
        <w:footnoteRef/>
      </w:r>
      <w:r w:rsidRPr="00F570EA">
        <w:rPr>
          <w:rFonts w:ascii="Arial Narrow" w:hAnsi="Arial Narrow"/>
          <w:lang w:val="en-US"/>
        </w:rPr>
        <w:t xml:space="preserve"> Id., ibid., 110, 130, 131, 465.</w:t>
      </w:r>
    </w:p>
  </w:footnote>
  <w:footnote w:id="130">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A carta de Mussolini </w:t>
      </w:r>
      <w:r>
        <w:rPr>
          <w:rFonts w:ascii="Arial Narrow" w:hAnsi="Arial Narrow"/>
        </w:rPr>
        <w:t>par</w:t>
      </w:r>
      <w:r w:rsidRPr="006552C5">
        <w:rPr>
          <w:rFonts w:ascii="Arial Narrow" w:hAnsi="Arial Narrow"/>
        </w:rPr>
        <w:t>a Margherita Sarfatti encontra-se parcialmente reproduzida em id., ibid., 254.</w:t>
      </w:r>
    </w:p>
  </w:footnote>
  <w:footnote w:id="131">
    <w:p w:rsidR="00C13C71" w:rsidRPr="006552C5" w:rsidRDefault="00C13C71" w:rsidP="00A61D4E">
      <w:pPr>
        <w:pStyle w:val="Textodenotaderodap"/>
        <w:ind w:firstLine="708"/>
        <w:rPr>
          <w:rFonts w:ascii="Arial Narrow" w:hAnsi="Arial Narrow"/>
          <w:lang w:val="en-GB"/>
        </w:rPr>
      </w:pPr>
      <w:r w:rsidRPr="006552C5">
        <w:rPr>
          <w:rStyle w:val="Refdenotaderodap"/>
          <w:rFonts w:ascii="Arial Narrow" w:hAnsi="Arial Narrow"/>
        </w:rPr>
        <w:footnoteRef/>
      </w:r>
      <w:r w:rsidRPr="006552C5">
        <w:rPr>
          <w:rFonts w:ascii="Arial Narrow" w:hAnsi="Arial Narrow"/>
          <w:lang w:val="en-GB"/>
        </w:rPr>
        <w:t xml:space="preserve"> </w:t>
      </w:r>
      <w:smartTag w:uri="urn:schemas-microsoft-com:office:smarttags" w:element="State">
        <w:smartTag w:uri="urn:schemas-microsoft-com:office:smarttags" w:element="place">
          <w:r w:rsidRPr="006552C5">
            <w:rPr>
              <w:rFonts w:ascii="Arial Narrow" w:hAnsi="Arial Narrow"/>
              <w:lang w:val="en-GB"/>
            </w:rPr>
            <w:t>Id.</w:t>
          </w:r>
        </w:smartTag>
      </w:smartTag>
      <w:r w:rsidRPr="006552C5">
        <w:rPr>
          <w:rFonts w:ascii="Arial Narrow" w:hAnsi="Arial Narrow"/>
          <w:lang w:val="en-GB"/>
        </w:rPr>
        <w:t>, ibid., 626-629.</w:t>
      </w:r>
    </w:p>
  </w:footnote>
  <w:footnote w:id="132">
    <w:p w:rsidR="00C13C71" w:rsidRPr="006552C5" w:rsidRDefault="00C13C71" w:rsidP="00A61D4E">
      <w:pPr>
        <w:pStyle w:val="Textodenotaderodap"/>
        <w:ind w:firstLine="708"/>
        <w:rPr>
          <w:rFonts w:ascii="Arial Narrow" w:hAnsi="Arial Narrow"/>
          <w:lang w:val="en-GB"/>
        </w:rPr>
      </w:pPr>
      <w:r w:rsidRPr="006552C5">
        <w:rPr>
          <w:rStyle w:val="Refdenotaderodap"/>
          <w:rFonts w:ascii="Arial Narrow" w:hAnsi="Arial Narrow"/>
        </w:rPr>
        <w:footnoteRef/>
      </w:r>
      <w:r w:rsidRPr="006552C5">
        <w:rPr>
          <w:rFonts w:ascii="Arial Narrow" w:hAnsi="Arial Narrow"/>
          <w:lang w:val="en-GB"/>
        </w:rPr>
        <w:t xml:space="preserve"> </w:t>
      </w:r>
      <w:smartTag w:uri="urn:schemas-microsoft-com:office:smarttags" w:element="State">
        <w:smartTag w:uri="urn:schemas-microsoft-com:office:smarttags" w:element="place">
          <w:r w:rsidRPr="006552C5">
            <w:rPr>
              <w:rFonts w:ascii="Arial Narrow" w:hAnsi="Arial Narrow"/>
              <w:lang w:val="en-GB"/>
            </w:rPr>
            <w:t>Id.</w:t>
          </w:r>
        </w:smartTag>
      </w:smartTag>
      <w:r w:rsidRPr="006552C5">
        <w:rPr>
          <w:rFonts w:ascii="Arial Narrow" w:hAnsi="Arial Narrow"/>
          <w:lang w:val="en-GB"/>
        </w:rPr>
        <w:t>, ibid., 403, 453.</w:t>
      </w:r>
    </w:p>
  </w:footnote>
  <w:footnote w:id="133">
    <w:p w:rsidR="00C13C71" w:rsidRPr="006552C5" w:rsidRDefault="00C13C71" w:rsidP="00A61D4E">
      <w:pPr>
        <w:pStyle w:val="Textodenotaderodap"/>
        <w:ind w:firstLine="708"/>
        <w:rPr>
          <w:rFonts w:ascii="Arial Narrow" w:hAnsi="Arial Narrow"/>
          <w:lang w:val="en-GB"/>
        </w:rPr>
      </w:pPr>
      <w:r w:rsidRPr="006552C5">
        <w:rPr>
          <w:rStyle w:val="Refdenotaderodap"/>
          <w:rFonts w:ascii="Arial Narrow" w:hAnsi="Arial Narrow"/>
        </w:rPr>
        <w:footnoteRef/>
      </w:r>
      <w:r w:rsidRPr="006552C5">
        <w:rPr>
          <w:rFonts w:ascii="Arial Narrow" w:hAnsi="Arial Narrow"/>
          <w:lang w:val="en-GB"/>
        </w:rPr>
        <w:t xml:space="preserve"> </w:t>
      </w:r>
      <w:smartTag w:uri="urn:schemas-microsoft-com:office:smarttags" w:element="State">
        <w:smartTag w:uri="urn:schemas-microsoft-com:office:smarttags" w:element="place">
          <w:r w:rsidRPr="006552C5">
            <w:rPr>
              <w:rFonts w:ascii="Arial Narrow" w:hAnsi="Arial Narrow"/>
              <w:lang w:val="en-GB"/>
            </w:rPr>
            <w:t>Id.</w:t>
          </w:r>
        </w:smartTag>
      </w:smartTag>
      <w:r w:rsidRPr="006552C5">
        <w:rPr>
          <w:rFonts w:ascii="Arial Narrow" w:hAnsi="Arial Narrow"/>
          <w:lang w:val="en-GB"/>
        </w:rPr>
        <w:t>, ibid., 389, 603.</w:t>
      </w:r>
    </w:p>
  </w:footnote>
  <w:footnote w:id="134">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Citado em id., ibid., 868.</w:t>
      </w:r>
    </w:p>
  </w:footnote>
  <w:footnote w:id="135">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G. Oltramare (1956) 140.</w:t>
      </w:r>
    </w:p>
  </w:footnote>
  <w:footnote w:id="136">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Citado em G. Bortolotto (1938) 30.</w:t>
      </w:r>
    </w:p>
  </w:footnote>
  <w:footnote w:id="137">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Citado em G. Bottai (1949) 86</w:t>
      </w:r>
      <w:r>
        <w:rPr>
          <w:rFonts w:ascii="Arial Narrow" w:hAnsi="Arial Narrow"/>
        </w:rPr>
        <w:t xml:space="preserve">, </w:t>
      </w:r>
      <w:r w:rsidRPr="00D3797F">
        <w:rPr>
          <w:rFonts w:ascii="Arial Narrow" w:hAnsi="Arial Narrow"/>
        </w:rPr>
        <w:t xml:space="preserve">J. C. Fest (1974) </w:t>
      </w:r>
      <w:r>
        <w:rPr>
          <w:rFonts w:ascii="Arial Narrow" w:hAnsi="Arial Narrow"/>
        </w:rPr>
        <w:t>1083</w:t>
      </w:r>
      <w:r w:rsidRPr="006552C5">
        <w:rPr>
          <w:rFonts w:ascii="Arial Narrow" w:hAnsi="Arial Narrow"/>
        </w:rPr>
        <w:t xml:space="preserve"> e P. Milza (1999) 783.</w:t>
      </w:r>
    </w:p>
  </w:footnote>
  <w:footnote w:id="138">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Citado em P. C. Masini (1999) 28.</w:t>
      </w:r>
    </w:p>
  </w:footnote>
  <w:footnote w:id="139">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Citado em id., ibid., 13.</w:t>
      </w:r>
    </w:p>
  </w:footnote>
  <w:footnote w:id="140">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P. Milza (1999) 445 e segs.</w:t>
      </w:r>
    </w:p>
  </w:footnote>
  <w:footnote w:id="141">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O </w:t>
      </w:r>
      <w:r w:rsidRPr="006552C5">
        <w:rPr>
          <w:rFonts w:ascii="Arial Narrow" w:hAnsi="Arial Narrow"/>
          <w:i/>
        </w:rPr>
        <w:t>cameriere</w:t>
      </w:r>
      <w:r w:rsidRPr="006552C5">
        <w:rPr>
          <w:rFonts w:ascii="Arial Narrow" w:hAnsi="Arial Narrow"/>
        </w:rPr>
        <w:t xml:space="preserve"> de Mussolini citado em id., ibid., 455.</w:t>
      </w:r>
    </w:p>
  </w:footnote>
  <w:footnote w:id="142">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Id., ibid., 442.</w:t>
      </w:r>
    </w:p>
  </w:footnote>
  <w:footnote w:id="143">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Citado em P. C. Masini (1999) 17.</w:t>
      </w:r>
    </w:p>
  </w:footnote>
  <w:footnote w:id="144">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Citado em P. Milza (1999) 867. E alguém que falou com Mussolini, ou o ouviu falar, em Março de 1945 contou muito depois: «Ficávamos com a impressão de que desempenhava um papel no qual ele mesmo já não acreditava. Por detrás das suas palavras sentíamos uma espécie de vazio [...]». Citado em id., ibid., 869.</w:t>
      </w:r>
    </w:p>
  </w:footnote>
  <w:footnote w:id="145">
    <w:p w:rsidR="00C13C71" w:rsidRPr="00C75811" w:rsidRDefault="00C13C71">
      <w:pPr>
        <w:pStyle w:val="Textodenotaderodap"/>
        <w:rPr>
          <w:rFonts w:ascii="Arial Narrow" w:hAnsi="Arial Narrow"/>
        </w:rPr>
      </w:pPr>
      <w:r w:rsidRPr="00C75811">
        <w:rPr>
          <w:rStyle w:val="Refdenotaderodap"/>
          <w:rFonts w:ascii="Arial Narrow" w:hAnsi="Arial Narrow"/>
        </w:rPr>
        <w:footnoteRef/>
      </w:r>
      <w:r w:rsidRPr="00C75811">
        <w:rPr>
          <w:rFonts w:ascii="Arial Narrow" w:hAnsi="Arial Narrow"/>
        </w:rPr>
        <w:t xml:space="preserve"> </w:t>
      </w:r>
      <w:r>
        <w:rPr>
          <w:rFonts w:ascii="Arial Narrow" w:hAnsi="Arial Narrow"/>
        </w:rPr>
        <w:t xml:space="preserve">Citado em </w:t>
      </w:r>
      <w:r w:rsidRPr="00C75811">
        <w:rPr>
          <w:rFonts w:ascii="Arial Narrow" w:hAnsi="Arial Narrow"/>
        </w:rPr>
        <w:t>J. C. Fest (1974)</w:t>
      </w:r>
      <w:r>
        <w:rPr>
          <w:rFonts w:ascii="Arial Narrow" w:hAnsi="Arial Narrow"/>
        </w:rPr>
        <w:t xml:space="preserve"> 1191.</w:t>
      </w:r>
    </w:p>
  </w:footnote>
  <w:footnote w:id="146">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Citado em A. C. Pinto (1992) 593.</w:t>
      </w:r>
    </w:p>
  </w:footnote>
  <w:footnote w:id="147">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Declarações de Salazar a Henri Massis, em 1938, citadas em </w:t>
      </w:r>
      <w:r>
        <w:rPr>
          <w:rFonts w:ascii="Arial Narrow" w:hAnsi="Arial Narrow"/>
        </w:rPr>
        <w:t xml:space="preserve">J. Ameal (org. 1956) IV 231 e </w:t>
      </w:r>
      <w:r w:rsidRPr="006552C5">
        <w:rPr>
          <w:rFonts w:ascii="Arial Narrow" w:hAnsi="Arial Narrow"/>
        </w:rPr>
        <w:t>F. Nogueira [1977-1985] III 148 (subs. orig.).</w:t>
      </w:r>
      <w:r>
        <w:rPr>
          <w:rFonts w:ascii="Arial Narrow" w:hAnsi="Arial Narrow"/>
        </w:rPr>
        <w:t xml:space="preserve"> Defensor de uma noção heróica de fascismo, Paul Marion mencionou com visível desprezo as «nações conservadoras» que «julgam poder prescindir de destino e viver </w:t>
      </w:r>
      <w:r w:rsidRPr="004B39EA">
        <w:rPr>
          <w:rFonts w:ascii="Arial Narrow" w:hAnsi="Arial Narrow"/>
          <w:i/>
        </w:rPr>
        <w:t>habitualmente</w:t>
      </w:r>
      <w:r>
        <w:rPr>
          <w:rFonts w:ascii="Arial Narrow" w:hAnsi="Arial Narrow"/>
        </w:rPr>
        <w:t>». Ver P. Marion (1939) xxi (sub. orig.).</w:t>
      </w:r>
    </w:p>
  </w:footnote>
  <w:footnote w:id="148">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A. Ferro (1933) 83, 85-86.</w:t>
      </w:r>
    </w:p>
  </w:footnote>
  <w:footnote w:id="149">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Esta declaração de Salazar no discurso em que deu posse a António Ferro como director do Secretariado da Propaganda Nacional, a 26 de Outubro de 1933, encontra-se citada em </w:t>
      </w:r>
      <w:r>
        <w:rPr>
          <w:rFonts w:ascii="Arial Narrow" w:hAnsi="Arial Narrow"/>
        </w:rPr>
        <w:t xml:space="preserve">J. Ameal (org. 1956) III 263 e </w:t>
      </w:r>
      <w:r w:rsidRPr="006552C5">
        <w:rPr>
          <w:rFonts w:ascii="Arial Narrow" w:hAnsi="Arial Narrow"/>
        </w:rPr>
        <w:t>F. Nogueira [1977-1985] II 242.</w:t>
      </w:r>
    </w:p>
  </w:footnote>
  <w:footnote w:id="150">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Esta passagem do discurso de Salazar por ocasião da tomada de posse dos novos dirigentes da União Nacional, em </w:t>
      </w:r>
      <w:r>
        <w:rPr>
          <w:rFonts w:ascii="Arial Narrow" w:hAnsi="Arial Narrow"/>
        </w:rPr>
        <w:t xml:space="preserve">22 de Março de </w:t>
      </w:r>
      <w:r w:rsidRPr="006552C5">
        <w:rPr>
          <w:rFonts w:ascii="Arial Narrow" w:hAnsi="Arial Narrow"/>
        </w:rPr>
        <w:t xml:space="preserve">1938, vem citada em </w:t>
      </w:r>
      <w:r>
        <w:rPr>
          <w:rFonts w:ascii="Arial Narrow" w:hAnsi="Arial Narrow"/>
        </w:rPr>
        <w:t xml:space="preserve">J. Ameal (org. 1956) IV 222 e </w:t>
      </w:r>
      <w:r w:rsidRPr="006552C5">
        <w:rPr>
          <w:rFonts w:ascii="Arial Narrow" w:hAnsi="Arial Narrow"/>
        </w:rPr>
        <w:t xml:space="preserve">F. Nogueira [1977-1985] III 150. Tanto esta frase como aquela a que se refere a nota anterior foram repetidas por Salazar, praticamente sem alterações, no discurso de 26 de Fevereiro de 1940, citado em </w:t>
      </w:r>
      <w:r>
        <w:rPr>
          <w:rFonts w:ascii="Arial Narrow" w:hAnsi="Arial Narrow"/>
        </w:rPr>
        <w:t xml:space="preserve">João Ameal, </w:t>
      </w:r>
      <w:r w:rsidRPr="00D469D5">
        <w:rPr>
          <w:rFonts w:ascii="Arial Narrow" w:hAnsi="Arial Narrow"/>
        </w:rPr>
        <w:t>op. cit.,</w:t>
      </w:r>
      <w:r>
        <w:rPr>
          <w:rFonts w:ascii="Arial Narrow" w:hAnsi="Arial Narrow"/>
        </w:rPr>
        <w:t xml:space="preserve"> V 71, 72 e Franco Nogueira,</w:t>
      </w:r>
      <w:r w:rsidRPr="00D469D5">
        <w:rPr>
          <w:rFonts w:ascii="Arial Narrow" w:hAnsi="Arial Narrow"/>
        </w:rPr>
        <w:t xml:space="preserve"> op. cit.,</w:t>
      </w:r>
      <w:r>
        <w:rPr>
          <w:rFonts w:ascii="Arial Narrow" w:hAnsi="Arial Narrow"/>
        </w:rPr>
        <w:t xml:space="preserve"> </w:t>
      </w:r>
      <w:r w:rsidRPr="006552C5">
        <w:rPr>
          <w:rFonts w:ascii="Arial Narrow" w:hAnsi="Arial Narrow"/>
        </w:rPr>
        <w:t>III 248.</w:t>
      </w:r>
      <w:r>
        <w:rPr>
          <w:rFonts w:ascii="Arial Narrow" w:hAnsi="Arial Narrow"/>
        </w:rPr>
        <w:t xml:space="preserve"> É curioso que um </w:t>
      </w:r>
      <w:r w:rsidRPr="00481B43">
        <w:rPr>
          <w:rFonts w:ascii="Arial Narrow" w:hAnsi="Arial Narrow"/>
          <w:i/>
        </w:rPr>
        <w:t>dandy</w:t>
      </w:r>
      <w:r>
        <w:rPr>
          <w:rFonts w:ascii="Arial Narrow" w:hAnsi="Arial Narrow"/>
        </w:rPr>
        <w:t xml:space="preserve"> ultraconservador, Barbey d’Aurevilly, tivesse escrito que «para os </w:t>
      </w:r>
      <w:r w:rsidRPr="00481B43">
        <w:rPr>
          <w:rFonts w:ascii="Arial Narrow" w:hAnsi="Arial Narrow"/>
          <w:i/>
        </w:rPr>
        <w:t>dandies,</w:t>
      </w:r>
      <w:r>
        <w:rPr>
          <w:rFonts w:ascii="Arial Narrow" w:hAnsi="Arial Narrow"/>
        </w:rPr>
        <w:t xml:space="preserve"> como para as mulheres, parecer é ser». Citado em </w:t>
      </w:r>
      <w:r w:rsidRPr="00D41BE2">
        <w:rPr>
          <w:rFonts w:ascii="Arial Narrow" w:hAnsi="Arial Narrow"/>
        </w:rPr>
        <w:t>P</w:t>
      </w:r>
      <w:r>
        <w:rPr>
          <w:rFonts w:ascii="Arial Narrow" w:hAnsi="Arial Narrow"/>
        </w:rPr>
        <w:t xml:space="preserve">. </w:t>
      </w:r>
      <w:r w:rsidRPr="00D41BE2">
        <w:rPr>
          <w:rFonts w:ascii="Arial Narrow" w:hAnsi="Arial Narrow"/>
        </w:rPr>
        <w:t>Álvarez-Quiñones Sanz (2013)</w:t>
      </w:r>
      <w:r>
        <w:rPr>
          <w:rFonts w:ascii="Arial Narrow" w:hAnsi="Arial Narrow"/>
        </w:rPr>
        <w:t xml:space="preserve"> 61. O bisonho presidente do Conselho encontrou aqui uma inesperada linhagem estética.</w:t>
      </w:r>
    </w:p>
  </w:footnote>
  <w:footnote w:id="151">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J. Ameal (1934 b) 98.</w:t>
      </w:r>
    </w:p>
  </w:footnote>
  <w:footnote w:id="152">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J. Quintinha (1934) 6-7. Todas as passagens citadas se encontram na pág. 6.</w:t>
      </w:r>
    </w:p>
  </w:footnote>
  <w:footnote w:id="153">
    <w:p w:rsidR="00C13C71" w:rsidRPr="006C169C" w:rsidRDefault="00C13C71" w:rsidP="00A61D4E">
      <w:pPr>
        <w:pStyle w:val="Textodenotaderodap"/>
        <w:rPr>
          <w:rFonts w:ascii="Arial Narrow" w:hAnsi="Arial Narrow"/>
        </w:rPr>
      </w:pPr>
      <w:r w:rsidRPr="006C169C">
        <w:rPr>
          <w:rStyle w:val="Refdenotaderodap"/>
          <w:rFonts w:ascii="Arial Narrow" w:hAnsi="Arial Narrow"/>
        </w:rPr>
        <w:footnoteRef/>
      </w:r>
      <w:r w:rsidRPr="006C169C">
        <w:rPr>
          <w:rFonts w:ascii="Arial Narrow" w:hAnsi="Arial Narrow"/>
        </w:rPr>
        <w:t xml:space="preserve"> </w:t>
      </w:r>
      <w:r>
        <w:rPr>
          <w:rFonts w:ascii="Arial Narrow" w:hAnsi="Arial Narrow"/>
        </w:rPr>
        <w:t>J. Ameal (org. 1956) V 143.</w:t>
      </w:r>
    </w:p>
  </w:footnote>
  <w:footnote w:id="154">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Citado em J. P. Brito (1982) 511-512.</w:t>
      </w:r>
    </w:p>
  </w:footnote>
  <w:footnote w:id="155">
    <w:p w:rsidR="003F2C4A" w:rsidRPr="006552C5" w:rsidRDefault="003F2C4A" w:rsidP="003F2C4A">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w:t>
      </w:r>
      <w:r w:rsidRPr="006552C5">
        <w:rPr>
          <w:rFonts w:ascii="Arial Narrow" w:hAnsi="Arial Narrow"/>
          <w:i/>
        </w:rPr>
        <w:t>Diário da Manhã,</w:t>
      </w:r>
      <w:r w:rsidRPr="006552C5">
        <w:rPr>
          <w:rFonts w:ascii="Arial Narrow" w:hAnsi="Arial Narrow"/>
        </w:rPr>
        <w:t xml:space="preserve"> 10 de Outubro de 1938, citado em </w:t>
      </w:r>
      <w:r w:rsidR="00A567BA">
        <w:rPr>
          <w:rFonts w:ascii="Arial Narrow" w:hAnsi="Arial Narrow"/>
        </w:rPr>
        <w:t xml:space="preserve">id., ibid., </w:t>
      </w:r>
      <w:r w:rsidRPr="006552C5">
        <w:rPr>
          <w:rFonts w:ascii="Arial Narrow" w:hAnsi="Arial Narrow"/>
        </w:rPr>
        <w:t>525. A exibição do «pobre, cego e analfabeto» ocorreu em Peroguarda, no Alentejo.</w:t>
      </w:r>
      <w:r w:rsidR="00A567BA">
        <w:rPr>
          <w:rFonts w:ascii="Arial Narrow" w:hAnsi="Arial Narrow"/>
        </w:rPr>
        <w:t xml:space="preserve"> </w:t>
      </w:r>
      <w:r w:rsidR="00A567BA" w:rsidRPr="006552C5">
        <w:rPr>
          <w:rFonts w:ascii="Arial Narrow" w:hAnsi="Arial Narrow"/>
        </w:rPr>
        <w:t>Tudo isto foi fotografado e filmado, as películas estão decerto guardadas algures. Por que razão não surge um cineasta que proceda a uma montagem crítica des</w:t>
      </w:r>
      <w:r w:rsidR="00A567BA">
        <w:rPr>
          <w:rFonts w:ascii="Arial Narrow" w:hAnsi="Arial Narrow"/>
        </w:rPr>
        <w:t>t</w:t>
      </w:r>
      <w:r w:rsidR="00A567BA" w:rsidRPr="006552C5">
        <w:rPr>
          <w:rFonts w:ascii="Arial Narrow" w:hAnsi="Arial Narrow"/>
        </w:rPr>
        <w:t>es materiais e faça com eles um filme desvendando o âmago da cultura salazarista?</w:t>
      </w:r>
    </w:p>
  </w:footnote>
  <w:footnote w:id="156">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w:t>
      </w:r>
      <w:r w:rsidRPr="006552C5">
        <w:rPr>
          <w:rFonts w:ascii="Arial Narrow" w:hAnsi="Arial Narrow"/>
          <w:i/>
        </w:rPr>
        <w:t>Diário da Manhã,</w:t>
      </w:r>
      <w:r w:rsidRPr="006552C5">
        <w:rPr>
          <w:rFonts w:ascii="Arial Narrow" w:hAnsi="Arial Narrow"/>
        </w:rPr>
        <w:t xml:space="preserve"> 19 de Setembro de 1938, citado em id., ibid., 521.</w:t>
      </w:r>
    </w:p>
  </w:footnote>
  <w:footnote w:id="157">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w:t>
      </w:r>
      <w:r w:rsidRPr="006552C5">
        <w:rPr>
          <w:rFonts w:ascii="Arial Narrow" w:hAnsi="Arial Narrow"/>
          <w:i/>
        </w:rPr>
        <w:t>Diário da Manhã,</w:t>
      </w:r>
      <w:r w:rsidRPr="006552C5">
        <w:rPr>
          <w:rFonts w:ascii="Arial Narrow" w:hAnsi="Arial Narrow"/>
        </w:rPr>
        <w:t xml:space="preserve"> 8 de Setembro de 1938, citado em id., ibid., 516.</w:t>
      </w:r>
    </w:p>
  </w:footnote>
  <w:footnote w:id="158">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w:t>
      </w:r>
      <w:r w:rsidRPr="006552C5">
        <w:rPr>
          <w:rFonts w:ascii="Arial Narrow" w:hAnsi="Arial Narrow"/>
          <w:i/>
        </w:rPr>
        <w:t>Monsanto,</w:t>
      </w:r>
      <w:r w:rsidRPr="006552C5">
        <w:rPr>
          <w:rFonts w:ascii="Arial Narrow" w:hAnsi="Arial Narrow"/>
        </w:rPr>
        <w:t xml:space="preserve"> Lisboa: SNI, 1947, citado em id., ibid., 530.</w:t>
      </w:r>
    </w:p>
  </w:footnote>
  <w:footnote w:id="159">
    <w:p w:rsidR="00C13C71" w:rsidRPr="002A0EA6" w:rsidRDefault="00C13C71" w:rsidP="00A61D4E">
      <w:pPr>
        <w:pStyle w:val="Textodenotaderodap"/>
        <w:rPr>
          <w:rFonts w:ascii="Arial Narrow" w:hAnsi="Arial Narrow"/>
        </w:rPr>
      </w:pPr>
      <w:r w:rsidRPr="002A0EA6">
        <w:rPr>
          <w:rStyle w:val="Refdenotaderodap"/>
          <w:rFonts w:ascii="Arial Narrow" w:hAnsi="Arial Narrow"/>
        </w:rPr>
        <w:footnoteRef/>
      </w:r>
      <w:r w:rsidRPr="002A0EA6">
        <w:rPr>
          <w:rFonts w:ascii="Arial Narrow" w:hAnsi="Arial Narrow"/>
        </w:rPr>
        <w:t xml:space="preserve"> </w:t>
      </w:r>
      <w:r>
        <w:rPr>
          <w:rFonts w:ascii="Arial Narrow" w:hAnsi="Arial Narrow"/>
        </w:rPr>
        <w:t>I. F. Pimentel (2006) 355 calculou que durante a guerra transitaram por Portugal entre cinquenta mil e cem mil refugiados e acrescentou que a estimativa mas verosímil é a de cinquenta mil.</w:t>
      </w:r>
    </w:p>
  </w:footnote>
  <w:footnote w:id="160">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F. Nogueira [1977-1985] III 281-282. «Sentem-se estupefactos os que atentam em Portugal», coment</w:t>
      </w:r>
      <w:r>
        <w:rPr>
          <w:rFonts w:ascii="Arial Narrow" w:hAnsi="Arial Narrow"/>
        </w:rPr>
        <w:t>ou</w:t>
      </w:r>
      <w:r w:rsidRPr="006552C5">
        <w:rPr>
          <w:rFonts w:ascii="Arial Narrow" w:hAnsi="Arial Narrow"/>
        </w:rPr>
        <w:t xml:space="preserve"> (pág. 282) o antigo ministro dos Negócios Estrangeiros de Salazar. Nisto dev</w:t>
      </w:r>
      <w:r>
        <w:rPr>
          <w:rFonts w:ascii="Arial Narrow" w:hAnsi="Arial Narrow"/>
        </w:rPr>
        <w:t>ia</w:t>
      </w:r>
      <w:r w:rsidRPr="006552C5">
        <w:rPr>
          <w:rFonts w:ascii="Arial Narrow" w:hAnsi="Arial Narrow"/>
        </w:rPr>
        <w:t xml:space="preserve"> ter razão.</w:t>
      </w:r>
    </w:p>
  </w:footnote>
  <w:footnote w:id="161">
    <w:p w:rsidR="00C13C71" w:rsidRPr="00F82F7E" w:rsidRDefault="00C13C71" w:rsidP="00A61D4E">
      <w:pPr>
        <w:pStyle w:val="Textodenotaderodap"/>
        <w:rPr>
          <w:rFonts w:ascii="Arial Narrow" w:hAnsi="Arial Narrow"/>
        </w:rPr>
      </w:pPr>
      <w:r w:rsidRPr="00F82F7E">
        <w:rPr>
          <w:rStyle w:val="Refdenotaderodap"/>
          <w:rFonts w:ascii="Arial Narrow" w:hAnsi="Arial Narrow"/>
        </w:rPr>
        <w:footnoteRef/>
      </w:r>
      <w:r w:rsidRPr="00F82F7E">
        <w:rPr>
          <w:rFonts w:ascii="Arial Narrow" w:hAnsi="Arial Narrow"/>
        </w:rPr>
        <w:t xml:space="preserve"> </w:t>
      </w:r>
      <w:r>
        <w:rPr>
          <w:rFonts w:ascii="Arial Narrow" w:hAnsi="Arial Narrow"/>
        </w:rPr>
        <w:t>J. Ameal (org. 1956) V 127.</w:t>
      </w:r>
    </w:p>
  </w:footnote>
  <w:footnote w:id="162">
    <w:p w:rsidR="00C13C71" w:rsidRPr="00513C41" w:rsidRDefault="00C13C71" w:rsidP="00A61D4E">
      <w:pPr>
        <w:pStyle w:val="Textodenotaderodap"/>
        <w:rPr>
          <w:rFonts w:ascii="Arial Narrow" w:hAnsi="Arial Narrow"/>
        </w:rPr>
      </w:pPr>
      <w:r w:rsidRPr="00513C41">
        <w:rPr>
          <w:rStyle w:val="Refdenotaderodap"/>
          <w:rFonts w:ascii="Arial Narrow" w:hAnsi="Arial Narrow"/>
        </w:rPr>
        <w:footnoteRef/>
      </w:r>
      <w:r w:rsidRPr="00513C41">
        <w:rPr>
          <w:rFonts w:ascii="Arial Narrow" w:hAnsi="Arial Narrow"/>
        </w:rPr>
        <w:t xml:space="preserve"> I. F. Pimentel (2006) 269</w:t>
      </w:r>
      <w:r>
        <w:rPr>
          <w:rFonts w:ascii="Arial Narrow" w:hAnsi="Arial Narrow"/>
        </w:rPr>
        <w:t>.</w:t>
      </w:r>
    </w:p>
  </w:footnote>
  <w:footnote w:id="163">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F. Nogueira [1977-1985] III 430.</w:t>
      </w:r>
    </w:p>
  </w:footnote>
  <w:footnote w:id="164">
    <w:p w:rsidR="00C13C71" w:rsidRPr="0023245D" w:rsidRDefault="00C13C71" w:rsidP="00A61D4E">
      <w:pPr>
        <w:pStyle w:val="Textodenotaderodap"/>
        <w:ind w:firstLine="708"/>
        <w:rPr>
          <w:rFonts w:ascii="Arial Narrow" w:hAnsi="Arial Narrow"/>
          <w:lang w:val="en-US"/>
        </w:rPr>
      </w:pPr>
      <w:r w:rsidRPr="006552C5">
        <w:rPr>
          <w:rStyle w:val="Refdenotaderodap"/>
          <w:rFonts w:ascii="Arial Narrow" w:hAnsi="Arial Narrow"/>
        </w:rPr>
        <w:footnoteRef/>
      </w:r>
      <w:r w:rsidRPr="006552C5">
        <w:rPr>
          <w:rFonts w:ascii="Arial Narrow" w:hAnsi="Arial Narrow"/>
        </w:rPr>
        <w:t xml:space="preserve"> F. Rosas et al. </w:t>
      </w:r>
      <w:r w:rsidRPr="0023245D">
        <w:rPr>
          <w:rFonts w:ascii="Arial Narrow" w:hAnsi="Arial Narrow"/>
          <w:lang w:val="en-US"/>
        </w:rPr>
        <w:t>[s. d.] 353-369.</w:t>
      </w:r>
    </w:p>
  </w:footnote>
  <w:footnote w:id="165">
    <w:p w:rsidR="00C13C71" w:rsidRPr="0023245D" w:rsidRDefault="00C13C71" w:rsidP="00A61D4E">
      <w:pPr>
        <w:pStyle w:val="Textodenotaderodap"/>
        <w:ind w:firstLine="708"/>
        <w:rPr>
          <w:rFonts w:ascii="Arial Narrow" w:hAnsi="Arial Narrow"/>
          <w:lang w:val="en-US"/>
        </w:rPr>
      </w:pPr>
      <w:r w:rsidRPr="006552C5">
        <w:rPr>
          <w:rStyle w:val="Refdenotaderodap"/>
          <w:rFonts w:ascii="Arial Narrow" w:hAnsi="Arial Narrow"/>
        </w:rPr>
        <w:footnoteRef/>
      </w:r>
      <w:r w:rsidRPr="0023245D">
        <w:rPr>
          <w:rFonts w:ascii="Arial Narrow" w:hAnsi="Arial Narrow"/>
          <w:lang w:val="en-US"/>
        </w:rPr>
        <w:t xml:space="preserve"> Id., ibid., 245.</w:t>
      </w:r>
    </w:p>
  </w:footnote>
  <w:footnote w:id="166">
    <w:p w:rsidR="00C13C71" w:rsidRPr="0023245D" w:rsidRDefault="00C13C71" w:rsidP="00A61D4E">
      <w:pPr>
        <w:pStyle w:val="Textodenotaderodap"/>
        <w:rPr>
          <w:rFonts w:ascii="Arial Narrow" w:hAnsi="Arial Narrow"/>
          <w:lang w:val="en-US"/>
        </w:rPr>
      </w:pPr>
      <w:r w:rsidRPr="006552C5">
        <w:rPr>
          <w:rStyle w:val="Refdenotaderodap"/>
          <w:rFonts w:ascii="Arial Narrow" w:hAnsi="Arial Narrow"/>
        </w:rPr>
        <w:footnoteRef/>
      </w:r>
      <w:r w:rsidRPr="0023245D">
        <w:rPr>
          <w:rFonts w:ascii="Arial Narrow" w:hAnsi="Arial Narrow"/>
          <w:lang w:val="en-US"/>
        </w:rPr>
        <w:t xml:space="preserve"> Id. (2001) 1043.</w:t>
      </w:r>
    </w:p>
  </w:footnote>
  <w:footnote w:id="167">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N. T. Pereira et al. (1982) 543.</w:t>
      </w:r>
    </w:p>
  </w:footnote>
  <w:footnote w:id="168">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Citado em J. Esteves (1974) 34.</w:t>
      </w:r>
    </w:p>
  </w:footnote>
  <w:footnote w:id="169">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Esta citação de </w:t>
      </w:r>
      <w:r w:rsidRPr="006552C5">
        <w:rPr>
          <w:rFonts w:ascii="Arial Narrow" w:hAnsi="Arial Narrow"/>
          <w:i/>
        </w:rPr>
        <w:t>Os Sports</w:t>
      </w:r>
      <w:r w:rsidRPr="006552C5">
        <w:rPr>
          <w:rFonts w:ascii="Arial Narrow" w:hAnsi="Arial Narrow"/>
        </w:rPr>
        <w:t xml:space="preserve"> encontra-se em id., ibid., 35. E o jornal insisti</w:t>
      </w:r>
      <w:r>
        <w:rPr>
          <w:rFonts w:ascii="Arial Narrow" w:hAnsi="Arial Narrow"/>
        </w:rPr>
        <w:t>u</w:t>
      </w:r>
      <w:r w:rsidRPr="006552C5">
        <w:rPr>
          <w:rFonts w:ascii="Arial Narrow" w:hAnsi="Arial Narrow"/>
        </w:rPr>
        <w:t>: «[...] Salazar é o primeiro desportista de Portugal».</w:t>
      </w:r>
    </w:p>
  </w:footnote>
  <w:footnote w:id="170">
    <w:p w:rsidR="00C13C71" w:rsidRPr="006552C5" w:rsidRDefault="00C13C71" w:rsidP="00A61D4E">
      <w:pPr>
        <w:pStyle w:val="Textodenotaderodap"/>
        <w:ind w:firstLine="708"/>
        <w:rPr>
          <w:rFonts w:ascii="Arial Narrow" w:hAnsi="Arial Narrow"/>
          <w:lang w:val="fr-FR"/>
        </w:rPr>
      </w:pPr>
      <w:r w:rsidRPr="006552C5">
        <w:rPr>
          <w:rStyle w:val="Refdenotaderodap"/>
          <w:rFonts w:ascii="Arial Narrow" w:hAnsi="Arial Narrow"/>
        </w:rPr>
        <w:footnoteRef/>
      </w:r>
      <w:r w:rsidRPr="006552C5">
        <w:rPr>
          <w:rFonts w:ascii="Arial Narrow" w:hAnsi="Arial Narrow"/>
          <w:lang w:val="fr-FR"/>
        </w:rPr>
        <w:t xml:space="preserve"> J.-A. França (1974) 252.</w:t>
      </w:r>
    </w:p>
  </w:footnote>
  <w:footnote w:id="171">
    <w:p w:rsidR="00C13C71" w:rsidRPr="00126918" w:rsidRDefault="00C13C71" w:rsidP="00A61D4E">
      <w:pPr>
        <w:pStyle w:val="Textodenotaderodap"/>
        <w:ind w:firstLine="708"/>
        <w:rPr>
          <w:rFonts w:ascii="Arial Narrow" w:hAnsi="Arial Narrow"/>
          <w:lang w:val="de-DE"/>
        </w:rPr>
      </w:pPr>
      <w:r w:rsidRPr="006552C5">
        <w:rPr>
          <w:rStyle w:val="Refdenotaderodap"/>
          <w:rFonts w:ascii="Arial Narrow" w:hAnsi="Arial Narrow"/>
        </w:rPr>
        <w:footnoteRef/>
      </w:r>
      <w:r w:rsidRPr="006552C5">
        <w:rPr>
          <w:rFonts w:ascii="Arial Narrow" w:hAnsi="Arial Narrow"/>
          <w:lang w:val="fr-FR"/>
        </w:rPr>
        <w:t xml:space="preserve"> F. Rosas et al. </w:t>
      </w:r>
      <w:r w:rsidRPr="00126918">
        <w:rPr>
          <w:rFonts w:ascii="Arial Narrow" w:hAnsi="Arial Narrow"/>
          <w:lang w:val="de-DE"/>
        </w:rPr>
        <w:t>[s. d.] 292.</w:t>
      </w:r>
    </w:p>
  </w:footnote>
  <w:footnote w:id="172">
    <w:p w:rsidR="00C13C71" w:rsidRPr="00126918" w:rsidRDefault="00C13C71" w:rsidP="00A61D4E">
      <w:pPr>
        <w:pStyle w:val="Textodenotaderodap"/>
        <w:rPr>
          <w:rFonts w:ascii="Arial Narrow" w:hAnsi="Arial Narrow"/>
          <w:lang w:val="de-DE"/>
        </w:rPr>
      </w:pPr>
      <w:r w:rsidRPr="006552C5">
        <w:rPr>
          <w:rStyle w:val="Refdenotaderodap"/>
          <w:rFonts w:ascii="Arial Narrow" w:hAnsi="Arial Narrow"/>
        </w:rPr>
        <w:footnoteRef/>
      </w:r>
      <w:r w:rsidRPr="00126918">
        <w:rPr>
          <w:rFonts w:ascii="Arial Narrow" w:hAnsi="Arial Narrow"/>
          <w:lang w:val="de-DE"/>
        </w:rPr>
        <w:t xml:space="preserve"> A. Hitler (1995) 320.</w:t>
      </w:r>
    </w:p>
  </w:footnote>
  <w:footnote w:id="173">
    <w:p w:rsidR="00C13C71" w:rsidRPr="00126918" w:rsidRDefault="00C13C71" w:rsidP="00A61D4E">
      <w:pPr>
        <w:pStyle w:val="Textodenotaderodap"/>
        <w:rPr>
          <w:rFonts w:ascii="Arial Narrow" w:hAnsi="Arial Narrow"/>
          <w:lang w:val="de-DE"/>
        </w:rPr>
      </w:pPr>
      <w:r w:rsidRPr="006552C5">
        <w:rPr>
          <w:rStyle w:val="Refdenotaderodap"/>
          <w:rFonts w:ascii="Arial Narrow" w:hAnsi="Arial Narrow"/>
        </w:rPr>
        <w:footnoteRef/>
      </w:r>
      <w:r w:rsidRPr="00126918">
        <w:rPr>
          <w:rFonts w:ascii="Arial Narrow" w:hAnsi="Arial Narrow"/>
          <w:lang w:val="de-DE"/>
        </w:rPr>
        <w:t xml:space="preserve"> J. Droz (1966) 70-71.</w:t>
      </w:r>
    </w:p>
  </w:footnote>
  <w:footnote w:id="174">
    <w:p w:rsidR="00C13C71" w:rsidRPr="007A7960" w:rsidRDefault="00C13C71" w:rsidP="00A61D4E">
      <w:pPr>
        <w:pStyle w:val="Textodenotaderodap"/>
        <w:rPr>
          <w:rFonts w:ascii="Arial Narrow" w:hAnsi="Arial Narrow"/>
        </w:rPr>
      </w:pPr>
      <w:r w:rsidRPr="007A7960">
        <w:rPr>
          <w:rStyle w:val="Refdenotaderodap"/>
          <w:rFonts w:ascii="Arial Narrow" w:hAnsi="Arial Narrow"/>
        </w:rPr>
        <w:footnoteRef/>
      </w:r>
      <w:r w:rsidRPr="007A7960">
        <w:rPr>
          <w:rFonts w:ascii="Arial Narrow" w:hAnsi="Arial Narrow"/>
        </w:rPr>
        <w:t xml:space="preserve"> Citado em O. Spengler (1942-1944) II 201</w:t>
      </w:r>
      <w:r>
        <w:rPr>
          <w:rFonts w:ascii="Arial Narrow" w:hAnsi="Arial Narrow"/>
        </w:rPr>
        <w:t xml:space="preserve">. </w:t>
      </w:r>
      <w:r w:rsidR="00250ADE">
        <w:rPr>
          <w:rFonts w:ascii="Arial Narrow" w:hAnsi="Arial Narrow"/>
        </w:rPr>
        <w:t xml:space="preserve">Quanto a </w:t>
      </w:r>
      <w:r>
        <w:rPr>
          <w:rFonts w:ascii="Arial Narrow" w:hAnsi="Arial Narrow"/>
        </w:rPr>
        <w:t>Nietzsche</w:t>
      </w:r>
      <w:r w:rsidR="00250ADE">
        <w:rPr>
          <w:rFonts w:ascii="Arial Narrow" w:hAnsi="Arial Narrow"/>
        </w:rPr>
        <w:t xml:space="preserve"> como </w:t>
      </w:r>
      <w:r>
        <w:rPr>
          <w:rFonts w:ascii="Arial Narrow" w:hAnsi="Arial Narrow"/>
        </w:rPr>
        <w:t>precursor</w:t>
      </w:r>
      <w:r w:rsidR="00250ADE">
        <w:rPr>
          <w:rFonts w:ascii="Arial Narrow" w:hAnsi="Arial Narrow"/>
        </w:rPr>
        <w:t xml:space="preserve"> do nacional-socialismo ver a n. 58 no capítulo 4 da Parte 2.</w:t>
      </w:r>
    </w:p>
  </w:footnote>
  <w:footnote w:id="175">
    <w:p w:rsidR="00C13C71" w:rsidRPr="007002F7" w:rsidRDefault="00C13C71">
      <w:pPr>
        <w:pStyle w:val="Textodenotaderodap"/>
        <w:rPr>
          <w:rFonts w:ascii="Arial Narrow" w:hAnsi="Arial Narrow"/>
        </w:rPr>
      </w:pPr>
      <w:r w:rsidRPr="00E866D9">
        <w:rPr>
          <w:rStyle w:val="Refdenotaderodap"/>
          <w:rFonts w:ascii="Arial Narrow" w:hAnsi="Arial Narrow"/>
        </w:rPr>
        <w:footnoteRef/>
      </w:r>
      <w:r w:rsidRPr="007002F7">
        <w:rPr>
          <w:rFonts w:ascii="Arial Narrow" w:hAnsi="Arial Narrow"/>
        </w:rPr>
        <w:t xml:space="preserve"> J. C. Fest (1974) 85. Segundo Joachim Fest, o</w:t>
      </w:r>
      <w:r>
        <w:rPr>
          <w:rFonts w:ascii="Arial Narrow" w:hAnsi="Arial Narrow"/>
        </w:rPr>
        <w:t>p. cit., 94, em Viena «as obras políticas de Wagner eram a leitura preferida de Hitler e aquele estilo pomposo e difuso influenciou indubitavelmente a gramática e a sintaxe de Hitler». E Fest acrescentou que «essas obras políticas, junto com as óperas, formam todo o quadro da ideologia de Hitler».</w:t>
      </w:r>
    </w:p>
  </w:footnote>
  <w:footnote w:id="176">
    <w:p w:rsidR="00C13C71" w:rsidRPr="006552C5" w:rsidRDefault="00C13C71" w:rsidP="00A61D4E">
      <w:pPr>
        <w:pStyle w:val="Textodenotaderodap"/>
        <w:ind w:firstLine="708"/>
        <w:rPr>
          <w:rFonts w:ascii="Arial Narrow" w:hAnsi="Arial Narrow"/>
          <w:lang w:val="fr-FR"/>
        </w:rPr>
      </w:pPr>
      <w:r w:rsidRPr="006552C5">
        <w:rPr>
          <w:rStyle w:val="Refdenotaderodap"/>
          <w:rFonts w:ascii="Arial Narrow" w:hAnsi="Arial Narrow"/>
        </w:rPr>
        <w:footnoteRef/>
      </w:r>
      <w:r w:rsidRPr="006552C5">
        <w:rPr>
          <w:rFonts w:ascii="Arial Narrow" w:hAnsi="Arial Narrow"/>
          <w:lang w:val="fr-FR"/>
        </w:rPr>
        <w:t xml:space="preserve"> H. S. Chamberlain (1913) 1030.</w:t>
      </w:r>
    </w:p>
  </w:footnote>
  <w:footnote w:id="177">
    <w:p w:rsidR="00C13C71" w:rsidRPr="006552C5" w:rsidRDefault="00C13C71" w:rsidP="00A61D4E">
      <w:pPr>
        <w:pStyle w:val="Textodenotaderodap"/>
        <w:rPr>
          <w:rFonts w:ascii="Arial Narrow" w:hAnsi="Arial Narrow"/>
          <w:lang w:val="fr-FR"/>
        </w:rPr>
      </w:pPr>
      <w:r w:rsidRPr="006552C5">
        <w:rPr>
          <w:rStyle w:val="Refdenotaderodap"/>
          <w:rFonts w:ascii="Arial Narrow" w:hAnsi="Arial Narrow"/>
        </w:rPr>
        <w:footnoteRef/>
      </w:r>
      <w:r w:rsidRPr="006552C5">
        <w:rPr>
          <w:rFonts w:ascii="Arial Narrow" w:hAnsi="Arial Narrow"/>
          <w:lang w:val="fr-FR"/>
        </w:rPr>
        <w:t xml:space="preserve"> B. Miller-Lane (1973) 242-243.</w:t>
      </w:r>
      <w:r>
        <w:rPr>
          <w:rFonts w:ascii="Arial Narrow" w:hAnsi="Arial Narrow"/>
          <w:lang w:val="fr-FR"/>
        </w:rPr>
        <w:t xml:space="preserve"> Ver também </w:t>
      </w:r>
      <w:r w:rsidRPr="00F570EA">
        <w:rPr>
          <w:rFonts w:ascii="Arial Narrow" w:hAnsi="Arial Narrow"/>
        </w:rPr>
        <w:t>W. Lepenies (2006) 90-92.</w:t>
      </w:r>
    </w:p>
  </w:footnote>
  <w:footnote w:id="178">
    <w:p w:rsidR="00C13C71" w:rsidRPr="00126918" w:rsidRDefault="00C13C71" w:rsidP="00A61D4E">
      <w:pPr>
        <w:pStyle w:val="Textodenotaderodap"/>
        <w:rPr>
          <w:rFonts w:ascii="Arial Narrow" w:hAnsi="Arial Narrow"/>
          <w:lang w:val="de-DE"/>
        </w:rPr>
      </w:pPr>
      <w:r w:rsidRPr="006552C5">
        <w:rPr>
          <w:rStyle w:val="Refdenotaderodap"/>
          <w:rFonts w:ascii="Arial Narrow" w:hAnsi="Arial Narrow"/>
        </w:rPr>
        <w:footnoteRef/>
      </w:r>
      <w:r w:rsidRPr="007A7960">
        <w:rPr>
          <w:rFonts w:ascii="Arial Narrow" w:hAnsi="Arial Narrow"/>
          <w:lang w:val="de-DE"/>
        </w:rPr>
        <w:t xml:space="preserve"> </w:t>
      </w:r>
      <w:r>
        <w:rPr>
          <w:rFonts w:ascii="Arial Narrow" w:hAnsi="Arial Narrow"/>
          <w:lang w:val="de-DE"/>
        </w:rPr>
        <w:t>A. Rosenberg (1986) 402; id. [s. d. 2] 306. Mais tarde Rosenberg pretendeu que fora a partir desta ideia que ele desenvolvera uma teoria da arte inteiramente nova. Ver</w:t>
      </w:r>
      <w:r w:rsidRPr="00553C8F">
        <w:rPr>
          <w:rFonts w:ascii="Arial Narrow" w:hAnsi="Arial Narrow"/>
          <w:lang w:val="de-DE"/>
        </w:rPr>
        <w:t xml:space="preserve"> A. Rosenberg [s. d. 1] </w:t>
      </w:r>
      <w:r>
        <w:rPr>
          <w:rFonts w:ascii="Arial Narrow" w:hAnsi="Arial Narrow"/>
          <w:lang w:val="en-US"/>
        </w:rPr>
        <w:t>46.</w:t>
      </w:r>
    </w:p>
  </w:footnote>
  <w:footnote w:id="179">
    <w:p w:rsidR="00C13C71" w:rsidRPr="00126918" w:rsidRDefault="00C13C71" w:rsidP="00A61D4E">
      <w:pPr>
        <w:pStyle w:val="Textodenotaderodap"/>
        <w:rPr>
          <w:rFonts w:ascii="Arial Narrow" w:hAnsi="Arial Narrow"/>
          <w:lang w:val="de-DE"/>
        </w:rPr>
      </w:pPr>
      <w:r w:rsidRPr="006552C5">
        <w:rPr>
          <w:rStyle w:val="Refdenotaderodap"/>
          <w:rFonts w:ascii="Arial Narrow" w:hAnsi="Arial Narrow"/>
        </w:rPr>
        <w:footnoteRef/>
      </w:r>
      <w:r w:rsidRPr="00126918">
        <w:rPr>
          <w:rFonts w:ascii="Arial Narrow" w:hAnsi="Arial Narrow"/>
          <w:lang w:val="de-DE"/>
        </w:rPr>
        <w:t xml:space="preserve"> F. Neumann (1943) 484.</w:t>
      </w:r>
    </w:p>
  </w:footnote>
  <w:footnote w:id="180">
    <w:p w:rsidR="00C13C71" w:rsidRPr="005A3F07" w:rsidRDefault="00C13C71" w:rsidP="00F63E2D">
      <w:pPr>
        <w:pStyle w:val="Textodenotaderodap"/>
        <w:rPr>
          <w:rFonts w:ascii="Arial Narrow" w:hAnsi="Arial Narrow"/>
          <w:lang w:val="en-US"/>
        </w:rPr>
      </w:pPr>
      <w:r w:rsidRPr="00E34115">
        <w:rPr>
          <w:rStyle w:val="Refdenotaderodap"/>
          <w:rFonts w:ascii="Arial Narrow" w:hAnsi="Arial Narrow"/>
        </w:rPr>
        <w:footnoteRef/>
      </w:r>
      <w:r w:rsidRPr="00E34115">
        <w:rPr>
          <w:rFonts w:ascii="Arial Narrow" w:hAnsi="Arial Narrow"/>
          <w:lang w:val="en-US"/>
        </w:rPr>
        <w:t xml:space="preserve"> </w:t>
      </w:r>
      <w:r>
        <w:rPr>
          <w:rFonts w:ascii="Arial Narrow" w:hAnsi="Arial Narrow"/>
          <w:lang w:val="en-US"/>
        </w:rPr>
        <w:t xml:space="preserve">A. Rosenberg </w:t>
      </w:r>
      <w:r w:rsidRPr="00E34115">
        <w:rPr>
          <w:rFonts w:ascii="Arial Narrow" w:hAnsi="Arial Narrow"/>
          <w:lang w:val="en-US"/>
        </w:rPr>
        <w:t>(1986) 413, 415, 416; id. [s. d.</w:t>
      </w:r>
      <w:r>
        <w:rPr>
          <w:rFonts w:ascii="Arial Narrow" w:hAnsi="Arial Narrow"/>
          <w:lang w:val="en-US"/>
        </w:rPr>
        <w:t xml:space="preserve"> 2</w:t>
      </w:r>
      <w:r w:rsidRPr="00E34115">
        <w:rPr>
          <w:rFonts w:ascii="Arial Narrow" w:hAnsi="Arial Narrow"/>
          <w:lang w:val="en-US"/>
        </w:rPr>
        <w:t>] 313, 315</w:t>
      </w:r>
      <w:r w:rsidRPr="005A3F07">
        <w:rPr>
          <w:rFonts w:ascii="Arial Narrow" w:hAnsi="Arial Narrow"/>
          <w:lang w:val="en-US"/>
        </w:rPr>
        <w:t>.</w:t>
      </w:r>
    </w:p>
  </w:footnote>
  <w:footnote w:id="181">
    <w:p w:rsidR="00C13C71" w:rsidRPr="005A3F07" w:rsidRDefault="00C13C71" w:rsidP="00912068">
      <w:pPr>
        <w:pStyle w:val="Textodenotaderodap"/>
        <w:rPr>
          <w:rFonts w:ascii="Arial Narrow" w:hAnsi="Arial Narrow"/>
          <w:lang w:val="en-US"/>
        </w:rPr>
      </w:pPr>
      <w:r w:rsidRPr="005A3F07">
        <w:rPr>
          <w:rStyle w:val="Refdenotaderodap"/>
          <w:rFonts w:ascii="Arial Narrow" w:hAnsi="Arial Narrow"/>
        </w:rPr>
        <w:footnoteRef/>
      </w:r>
      <w:r w:rsidRPr="005A3F07">
        <w:rPr>
          <w:rFonts w:ascii="Arial Narrow" w:hAnsi="Arial Narrow"/>
          <w:lang w:val="en-US"/>
        </w:rPr>
        <w:t xml:space="preserve"> Id. (1986) 491; id. [s. d.</w:t>
      </w:r>
      <w:r>
        <w:rPr>
          <w:rFonts w:ascii="Arial Narrow" w:hAnsi="Arial Narrow"/>
          <w:lang w:val="en-US"/>
        </w:rPr>
        <w:t xml:space="preserve"> 2</w:t>
      </w:r>
      <w:r w:rsidRPr="005A3F07">
        <w:rPr>
          <w:rFonts w:ascii="Arial Narrow" w:hAnsi="Arial Narrow"/>
          <w:lang w:val="en-US"/>
        </w:rPr>
        <w:t>] 359.</w:t>
      </w:r>
    </w:p>
  </w:footnote>
  <w:footnote w:id="182">
    <w:p w:rsidR="00C13C71" w:rsidRPr="00DB1DAF" w:rsidRDefault="00C13C71" w:rsidP="00912068">
      <w:pPr>
        <w:pStyle w:val="Textodenotaderodap"/>
        <w:rPr>
          <w:rFonts w:ascii="Arial Narrow" w:hAnsi="Arial Narrow"/>
        </w:rPr>
      </w:pPr>
      <w:r w:rsidRPr="00DB1DAF">
        <w:rPr>
          <w:rStyle w:val="Refdenotaderodap"/>
          <w:rFonts w:ascii="Arial Narrow" w:hAnsi="Arial Narrow"/>
        </w:rPr>
        <w:footnoteRef/>
      </w:r>
      <w:r w:rsidRPr="00DB1DAF">
        <w:rPr>
          <w:rFonts w:ascii="Arial Narrow" w:hAnsi="Arial Narrow"/>
          <w:lang w:val="en-US"/>
        </w:rPr>
        <w:t xml:space="preserve"> Id. (1986) 631-633; id. </w:t>
      </w:r>
      <w:r w:rsidRPr="00DB1DAF">
        <w:rPr>
          <w:rFonts w:ascii="Arial Narrow" w:hAnsi="Arial Narrow"/>
        </w:rPr>
        <w:t>[s. d.</w:t>
      </w:r>
      <w:r>
        <w:rPr>
          <w:rFonts w:ascii="Arial Narrow" w:hAnsi="Arial Narrow"/>
        </w:rPr>
        <w:t xml:space="preserve"> 2</w:t>
      </w:r>
      <w:r w:rsidRPr="00DB1DAF">
        <w:rPr>
          <w:rFonts w:ascii="Arial Narrow" w:hAnsi="Arial Narrow"/>
        </w:rPr>
        <w:t>] 456-457.</w:t>
      </w:r>
    </w:p>
  </w:footnote>
  <w:footnote w:id="183">
    <w:p w:rsidR="00C13C71" w:rsidRPr="000E2E04" w:rsidRDefault="00C13C71" w:rsidP="00912068">
      <w:pPr>
        <w:pStyle w:val="Textodenotaderodap"/>
        <w:rPr>
          <w:rFonts w:ascii="Arial Narrow" w:hAnsi="Arial Narrow"/>
        </w:rPr>
      </w:pPr>
      <w:r w:rsidRPr="000E2E04">
        <w:rPr>
          <w:rStyle w:val="Refdenotaderodap"/>
          <w:rFonts w:ascii="Arial Narrow" w:hAnsi="Arial Narrow"/>
        </w:rPr>
        <w:footnoteRef/>
      </w:r>
      <w:r w:rsidRPr="000E2E04">
        <w:rPr>
          <w:rFonts w:ascii="Arial Narrow" w:hAnsi="Arial Narrow"/>
        </w:rPr>
        <w:t xml:space="preserve"> Sigo a versão de id. [s. d.</w:t>
      </w:r>
      <w:r>
        <w:rPr>
          <w:rFonts w:ascii="Arial Narrow" w:hAnsi="Arial Narrow"/>
        </w:rPr>
        <w:t xml:space="preserve"> 2</w:t>
      </w:r>
      <w:r w:rsidRPr="000E2E04">
        <w:rPr>
          <w:rFonts w:ascii="Arial Narrow" w:hAnsi="Arial Narrow"/>
        </w:rPr>
        <w:t>] 457, diferente de id. (1986) 633.</w:t>
      </w:r>
    </w:p>
  </w:footnote>
  <w:footnote w:id="184">
    <w:p w:rsidR="00C13C71" w:rsidRPr="008643EB" w:rsidRDefault="00C13C71" w:rsidP="00912068">
      <w:pPr>
        <w:pStyle w:val="Textodenotaderodap"/>
        <w:rPr>
          <w:rFonts w:ascii="Arial Narrow" w:hAnsi="Arial Narrow"/>
        </w:rPr>
      </w:pPr>
      <w:r w:rsidRPr="00736075">
        <w:rPr>
          <w:rStyle w:val="Refdenotaderodap"/>
          <w:rFonts w:ascii="Arial Narrow" w:hAnsi="Arial Narrow"/>
        </w:rPr>
        <w:footnoteRef/>
      </w:r>
      <w:r w:rsidRPr="00736075">
        <w:rPr>
          <w:rFonts w:ascii="Arial Narrow" w:hAnsi="Arial Narrow"/>
        </w:rPr>
        <w:t xml:space="preserve"> </w:t>
      </w:r>
      <w:r>
        <w:rPr>
          <w:rFonts w:ascii="Arial Narrow" w:hAnsi="Arial Narrow"/>
        </w:rPr>
        <w:t xml:space="preserve">Novamente </w:t>
      </w:r>
      <w:r w:rsidRPr="00736075">
        <w:rPr>
          <w:rFonts w:ascii="Arial Narrow" w:hAnsi="Arial Narrow"/>
        </w:rPr>
        <w:t>sigo a versão de id. [s. d.</w:t>
      </w:r>
      <w:r>
        <w:rPr>
          <w:rFonts w:ascii="Arial Narrow" w:hAnsi="Arial Narrow"/>
        </w:rPr>
        <w:t xml:space="preserve"> 2</w:t>
      </w:r>
      <w:r w:rsidRPr="00736075">
        <w:rPr>
          <w:rFonts w:ascii="Arial Narrow" w:hAnsi="Arial Narrow"/>
        </w:rPr>
        <w:t xml:space="preserve">] 201, diferente de id. </w:t>
      </w:r>
      <w:r w:rsidRPr="008643EB">
        <w:rPr>
          <w:rFonts w:ascii="Arial Narrow" w:hAnsi="Arial Narrow"/>
        </w:rPr>
        <w:t>(1986) 227.</w:t>
      </w:r>
    </w:p>
  </w:footnote>
  <w:footnote w:id="185">
    <w:p w:rsidR="00C13C71" w:rsidRPr="008643EB" w:rsidRDefault="00C13C71" w:rsidP="00912068">
      <w:pPr>
        <w:pStyle w:val="Textodenotaderodap"/>
        <w:rPr>
          <w:rFonts w:ascii="Arial Narrow" w:hAnsi="Arial Narrow"/>
        </w:rPr>
      </w:pPr>
      <w:r w:rsidRPr="000E4D6D">
        <w:rPr>
          <w:rStyle w:val="Refdenotaderodap"/>
          <w:rFonts w:ascii="Arial Narrow" w:hAnsi="Arial Narrow"/>
        </w:rPr>
        <w:footnoteRef/>
      </w:r>
      <w:r w:rsidRPr="008643EB">
        <w:rPr>
          <w:rFonts w:ascii="Arial Narrow" w:hAnsi="Arial Narrow"/>
        </w:rPr>
        <w:t xml:space="preserve"> Id. (1986) 105; id. [s. d. 2] 113.</w:t>
      </w:r>
    </w:p>
  </w:footnote>
  <w:footnote w:id="186">
    <w:p w:rsidR="00C13C71" w:rsidRPr="008643EB" w:rsidRDefault="00C13C71" w:rsidP="00912068">
      <w:pPr>
        <w:pStyle w:val="Textodenotaderodap"/>
        <w:rPr>
          <w:rFonts w:ascii="Arial Narrow" w:hAnsi="Arial Narrow"/>
        </w:rPr>
      </w:pPr>
      <w:r w:rsidRPr="00F94118">
        <w:rPr>
          <w:rStyle w:val="Refdenotaderodap"/>
          <w:rFonts w:ascii="Arial Narrow" w:hAnsi="Arial Narrow"/>
        </w:rPr>
        <w:footnoteRef/>
      </w:r>
      <w:r w:rsidRPr="008643EB">
        <w:rPr>
          <w:rFonts w:ascii="Arial Narrow" w:hAnsi="Arial Narrow"/>
        </w:rPr>
        <w:t xml:space="preserve"> Id. (1986) 651; id. [s. d. s] 469.</w:t>
      </w:r>
    </w:p>
  </w:footnote>
  <w:footnote w:id="187">
    <w:p w:rsidR="00C13C71" w:rsidRPr="008643EB" w:rsidRDefault="00C13C71" w:rsidP="00DE71C4">
      <w:pPr>
        <w:pStyle w:val="Textodenotaderodap"/>
        <w:rPr>
          <w:rFonts w:ascii="Arial Narrow" w:hAnsi="Arial Narrow"/>
        </w:rPr>
      </w:pPr>
      <w:r w:rsidRPr="006616B0">
        <w:rPr>
          <w:rStyle w:val="Refdenotaderodap"/>
          <w:rFonts w:ascii="Arial Narrow" w:hAnsi="Arial Narrow"/>
        </w:rPr>
        <w:footnoteRef/>
      </w:r>
      <w:r w:rsidRPr="008643EB">
        <w:rPr>
          <w:rFonts w:ascii="Arial Narrow" w:hAnsi="Arial Narrow"/>
        </w:rPr>
        <w:t xml:space="preserve"> Id. (1986) 434-435; id. [s. d. 2] 320. Nas suas </w:t>
      </w:r>
      <w:r w:rsidRPr="008643EB">
        <w:rPr>
          <w:rFonts w:ascii="Arial Narrow" w:hAnsi="Arial Narrow"/>
          <w:i/>
        </w:rPr>
        <w:t>Memórias</w:t>
      </w:r>
      <w:r w:rsidRPr="008643EB">
        <w:rPr>
          <w:rFonts w:ascii="Arial Narrow" w:hAnsi="Arial Narrow"/>
        </w:rPr>
        <w:t xml:space="preserve"> Rosenberg contou que antes da guerra «comecei a trabalhar num livro de escopo vasto, provisoriamente intitulado </w:t>
      </w:r>
      <w:r w:rsidRPr="008643EB">
        <w:rPr>
          <w:rFonts w:ascii="Arial Narrow" w:hAnsi="Arial Narrow"/>
          <w:i/>
        </w:rPr>
        <w:t>O Poder da Forma</w:t>
      </w:r>
      <w:r w:rsidRPr="008643EB">
        <w:rPr>
          <w:rFonts w:ascii="Arial Narrow" w:hAnsi="Arial Narrow"/>
        </w:rPr>
        <w:t>. O tema dominante era o de que em qualquer situação histórica dada são as ideias que fazem triunfar as revoluções. As organizações são formas variáveis de utilitarismo. Só podem perpetuar uma revolução quando se tornam formas, isto é, hábitos naturais, atitudes psicológicas comuns, reacções gerais ao mundo em redor e, eventualmente, disciplinas espirituais». Ver A. Rosenberg [s. d. 1] 109.</w:t>
      </w:r>
    </w:p>
  </w:footnote>
  <w:footnote w:id="188">
    <w:p w:rsidR="00C13C71" w:rsidRPr="001200C1" w:rsidRDefault="00C13C71" w:rsidP="00912068">
      <w:pPr>
        <w:pStyle w:val="Textodenotaderodap"/>
        <w:rPr>
          <w:rFonts w:ascii="Arial Narrow" w:hAnsi="Arial Narrow"/>
          <w:lang w:val="en-US"/>
        </w:rPr>
      </w:pPr>
      <w:r w:rsidRPr="00772094">
        <w:rPr>
          <w:rStyle w:val="Refdenotaderodap"/>
          <w:rFonts w:ascii="Arial Narrow" w:hAnsi="Arial Narrow"/>
        </w:rPr>
        <w:footnoteRef/>
      </w:r>
      <w:r w:rsidRPr="008643EB">
        <w:rPr>
          <w:rFonts w:ascii="Arial Narrow" w:hAnsi="Arial Narrow"/>
        </w:rPr>
        <w:t xml:space="preserve"> Id. (1986) 500; id. </w:t>
      </w:r>
      <w:r w:rsidRPr="00772094">
        <w:rPr>
          <w:rFonts w:ascii="Arial Narrow" w:hAnsi="Arial Narrow"/>
        </w:rPr>
        <w:t>[s. d.</w:t>
      </w:r>
      <w:r>
        <w:rPr>
          <w:rFonts w:ascii="Arial Narrow" w:hAnsi="Arial Narrow"/>
        </w:rPr>
        <w:t xml:space="preserve"> 2</w:t>
      </w:r>
      <w:r w:rsidRPr="00772094">
        <w:rPr>
          <w:rFonts w:ascii="Arial Narrow" w:hAnsi="Arial Narrow"/>
        </w:rPr>
        <w:t xml:space="preserve">] 365. «[...] vivenciar um Mito e criar um tipo», lemos em id. </w:t>
      </w:r>
      <w:r w:rsidRPr="001200C1">
        <w:rPr>
          <w:rFonts w:ascii="Arial Narrow" w:hAnsi="Arial Narrow"/>
          <w:lang w:val="en-US"/>
        </w:rPr>
        <w:t>(1986) 453 e id. [s. d.</w:t>
      </w:r>
      <w:r>
        <w:rPr>
          <w:rFonts w:ascii="Arial Narrow" w:hAnsi="Arial Narrow"/>
          <w:lang w:val="en-US"/>
        </w:rPr>
        <w:t xml:space="preserve"> 2</w:t>
      </w:r>
      <w:r w:rsidRPr="001200C1">
        <w:rPr>
          <w:rFonts w:ascii="Arial Narrow" w:hAnsi="Arial Narrow"/>
          <w:lang w:val="en-US"/>
        </w:rPr>
        <w:t>] 333.</w:t>
      </w:r>
    </w:p>
  </w:footnote>
  <w:footnote w:id="189">
    <w:p w:rsidR="00C13C71" w:rsidRPr="00075626" w:rsidRDefault="00C13C71" w:rsidP="00912068">
      <w:pPr>
        <w:pStyle w:val="Textodenotaderodap"/>
        <w:rPr>
          <w:rFonts w:ascii="Arial Narrow" w:hAnsi="Arial Narrow"/>
          <w:lang w:val="en-US"/>
        </w:rPr>
      </w:pPr>
      <w:r w:rsidRPr="00075626">
        <w:rPr>
          <w:rStyle w:val="Refdenotaderodap"/>
          <w:rFonts w:ascii="Arial Narrow" w:hAnsi="Arial Narrow"/>
        </w:rPr>
        <w:footnoteRef/>
      </w:r>
      <w:r w:rsidRPr="00075626">
        <w:rPr>
          <w:rFonts w:ascii="Arial Narrow" w:hAnsi="Arial Narrow"/>
          <w:lang w:val="en-US"/>
        </w:rPr>
        <w:t xml:space="preserve"> Id. (1986) 429; id. [s. d.</w:t>
      </w:r>
      <w:r>
        <w:rPr>
          <w:rFonts w:ascii="Arial Narrow" w:hAnsi="Arial Narrow"/>
          <w:lang w:val="en-US"/>
        </w:rPr>
        <w:t xml:space="preserve"> 2</w:t>
      </w:r>
      <w:r w:rsidRPr="00075626">
        <w:rPr>
          <w:rFonts w:ascii="Arial Narrow" w:hAnsi="Arial Narrow"/>
          <w:lang w:val="en-US"/>
        </w:rPr>
        <w:t>] 316.</w:t>
      </w:r>
    </w:p>
  </w:footnote>
  <w:footnote w:id="190">
    <w:p w:rsidR="00C13C71" w:rsidRPr="00126918" w:rsidRDefault="00C13C71" w:rsidP="00A61D4E">
      <w:pPr>
        <w:pStyle w:val="Textodenotaderodap"/>
        <w:rPr>
          <w:rFonts w:ascii="Arial Narrow" w:hAnsi="Arial Narrow"/>
          <w:lang w:val="de-DE"/>
        </w:rPr>
      </w:pPr>
      <w:r w:rsidRPr="006552C5">
        <w:rPr>
          <w:rStyle w:val="Refdenotaderodap"/>
          <w:rFonts w:ascii="Arial Narrow" w:hAnsi="Arial Narrow"/>
        </w:rPr>
        <w:footnoteRef/>
      </w:r>
      <w:r w:rsidRPr="00126918">
        <w:rPr>
          <w:rFonts w:ascii="Arial Narrow" w:hAnsi="Arial Narrow"/>
          <w:lang w:val="de-DE"/>
        </w:rPr>
        <w:t xml:space="preserve"> A. Hitler (1995) 8-9, 15, 16, 18-20, 32, 113-114, 184.</w:t>
      </w:r>
    </w:p>
  </w:footnote>
  <w:footnote w:id="191">
    <w:p w:rsidR="00C13C71" w:rsidRPr="00126918" w:rsidRDefault="00C13C71" w:rsidP="00A61D4E">
      <w:pPr>
        <w:pStyle w:val="Textodenotaderodap"/>
        <w:rPr>
          <w:rFonts w:ascii="Arial Narrow" w:hAnsi="Arial Narrow"/>
          <w:lang w:val="de-DE"/>
        </w:rPr>
      </w:pPr>
      <w:r w:rsidRPr="006552C5">
        <w:rPr>
          <w:rStyle w:val="Refdenotaderodap"/>
          <w:rFonts w:ascii="Arial Narrow" w:hAnsi="Arial Narrow"/>
        </w:rPr>
        <w:footnoteRef/>
      </w:r>
      <w:r w:rsidRPr="00126918">
        <w:rPr>
          <w:rFonts w:ascii="Arial Narrow" w:hAnsi="Arial Narrow"/>
          <w:lang w:val="de-DE"/>
        </w:rPr>
        <w:t xml:space="preserve"> A. Bullock (1972) 35, 386; </w:t>
      </w:r>
      <w:r>
        <w:rPr>
          <w:rFonts w:ascii="Arial Narrow" w:hAnsi="Arial Narrow"/>
          <w:lang w:val="de-DE"/>
        </w:rPr>
        <w:t xml:space="preserve">S. Haffner (2011) 6; </w:t>
      </w:r>
      <w:r w:rsidRPr="00126918">
        <w:rPr>
          <w:rFonts w:ascii="Arial Narrow" w:hAnsi="Arial Narrow"/>
          <w:lang w:val="de-DE"/>
        </w:rPr>
        <w:t xml:space="preserve">K. Heiden (1934) 113; </w:t>
      </w:r>
      <w:r>
        <w:rPr>
          <w:rFonts w:ascii="Arial Narrow" w:hAnsi="Arial Narrow"/>
          <w:lang w:val="de-DE"/>
        </w:rPr>
        <w:t xml:space="preserve">J. Noakes et al. (orgs. 2008-2010) IV 9-11; H. Rauschning (1939) 288; </w:t>
      </w:r>
      <w:r w:rsidRPr="00553C8F">
        <w:rPr>
          <w:rFonts w:ascii="Arial Narrow" w:hAnsi="Arial Narrow"/>
          <w:lang w:val="en-US"/>
        </w:rPr>
        <w:t>A. Rosenberg [s. d. 1]</w:t>
      </w:r>
      <w:r>
        <w:rPr>
          <w:rFonts w:ascii="Arial Narrow" w:hAnsi="Arial Narrow"/>
          <w:i/>
          <w:lang w:val="en-US"/>
        </w:rPr>
        <w:t xml:space="preserve"> </w:t>
      </w:r>
      <w:r>
        <w:rPr>
          <w:rFonts w:ascii="Arial Narrow" w:hAnsi="Arial Narrow"/>
          <w:lang w:val="de-DE"/>
        </w:rPr>
        <w:t>89.</w:t>
      </w:r>
    </w:p>
  </w:footnote>
  <w:footnote w:id="192">
    <w:p w:rsidR="00C13C71" w:rsidRPr="00EC229B" w:rsidRDefault="00C13C71">
      <w:pPr>
        <w:pStyle w:val="Textodenotaderodap"/>
        <w:rPr>
          <w:rFonts w:ascii="Arial Narrow" w:hAnsi="Arial Narrow"/>
          <w:lang w:val="en-US"/>
        </w:rPr>
      </w:pPr>
      <w:r w:rsidRPr="00323612">
        <w:rPr>
          <w:rStyle w:val="Refdenotaderodap"/>
          <w:rFonts w:ascii="Arial Narrow" w:hAnsi="Arial Narrow"/>
        </w:rPr>
        <w:footnoteRef/>
      </w:r>
      <w:r w:rsidRPr="00EC229B">
        <w:rPr>
          <w:rFonts w:ascii="Arial Narrow" w:hAnsi="Arial Narrow"/>
          <w:lang w:val="en-US"/>
        </w:rPr>
        <w:t xml:space="preserve"> Herman Burte evocado por P. Watson (2011) 634.</w:t>
      </w:r>
    </w:p>
  </w:footnote>
  <w:footnote w:id="193">
    <w:p w:rsidR="00C13C71" w:rsidRPr="00E40F8D" w:rsidRDefault="00C13C71">
      <w:pPr>
        <w:pStyle w:val="Textodenotaderodap"/>
        <w:rPr>
          <w:rFonts w:ascii="Arial Narrow" w:hAnsi="Arial Narrow"/>
        </w:rPr>
      </w:pPr>
      <w:r w:rsidRPr="00E40F8D">
        <w:rPr>
          <w:rStyle w:val="Refdenotaderodap"/>
          <w:rFonts w:ascii="Arial Narrow" w:hAnsi="Arial Narrow"/>
        </w:rPr>
        <w:footnoteRef/>
      </w:r>
      <w:r w:rsidRPr="00E40F8D">
        <w:rPr>
          <w:rFonts w:ascii="Arial Narrow" w:hAnsi="Arial Narrow"/>
        </w:rPr>
        <w:t xml:space="preserve"> Léon Degrelle em </w:t>
      </w:r>
      <w:r w:rsidRPr="00E40F8D">
        <w:rPr>
          <w:rFonts w:ascii="Arial Narrow" w:hAnsi="Arial Narrow"/>
          <w:i/>
        </w:rPr>
        <w:t>Le Pays Réel,</w:t>
      </w:r>
      <w:r>
        <w:rPr>
          <w:rFonts w:ascii="Arial Narrow" w:hAnsi="Arial Narrow"/>
        </w:rPr>
        <w:t xml:space="preserve"> </w:t>
      </w:r>
      <w:r w:rsidRPr="00E40F8D">
        <w:rPr>
          <w:rFonts w:ascii="Arial Narrow" w:hAnsi="Arial Narrow"/>
        </w:rPr>
        <w:t xml:space="preserve">1 de Janeiro de 1941, </w:t>
      </w:r>
      <w:r>
        <w:rPr>
          <w:rFonts w:ascii="Arial Narrow" w:hAnsi="Arial Narrow"/>
        </w:rPr>
        <w:t>citado em Saint-Loup (1987) 72.</w:t>
      </w:r>
    </w:p>
  </w:footnote>
  <w:footnote w:id="194">
    <w:p w:rsidR="00C13C71" w:rsidRPr="00126918" w:rsidRDefault="00C13C71" w:rsidP="00201B01">
      <w:pPr>
        <w:pStyle w:val="Textodenotaderodap"/>
        <w:rPr>
          <w:rFonts w:ascii="Arial Narrow" w:hAnsi="Arial Narrow"/>
          <w:lang w:val="de-DE"/>
        </w:rPr>
      </w:pPr>
      <w:r w:rsidRPr="006552C5">
        <w:rPr>
          <w:rStyle w:val="Refdenotaderodap"/>
          <w:rFonts w:ascii="Arial Narrow" w:hAnsi="Arial Narrow"/>
        </w:rPr>
        <w:footnoteRef/>
      </w:r>
      <w:r w:rsidRPr="00126918">
        <w:rPr>
          <w:rFonts w:ascii="Arial Narrow" w:hAnsi="Arial Narrow"/>
          <w:lang w:val="de-DE"/>
        </w:rPr>
        <w:t xml:space="preserve"> </w:t>
      </w:r>
      <w:r w:rsidRPr="00DA7E88">
        <w:rPr>
          <w:rFonts w:ascii="Arial Narrow" w:hAnsi="Arial Narrow"/>
        </w:rPr>
        <w:t xml:space="preserve">A. Speer (1979) </w:t>
      </w:r>
      <w:r w:rsidRPr="00126918">
        <w:rPr>
          <w:rFonts w:ascii="Arial Narrow" w:hAnsi="Arial Narrow"/>
          <w:lang w:val="de-DE"/>
        </w:rPr>
        <w:t>121.</w:t>
      </w:r>
    </w:p>
  </w:footnote>
  <w:footnote w:id="195">
    <w:p w:rsidR="00C13C71" w:rsidRPr="0032748E" w:rsidRDefault="00C13C71">
      <w:pPr>
        <w:pStyle w:val="Textodenotaderodap"/>
        <w:rPr>
          <w:rFonts w:ascii="Arial Narrow" w:hAnsi="Arial Narrow"/>
        </w:rPr>
      </w:pPr>
      <w:r w:rsidRPr="00C46E8C">
        <w:rPr>
          <w:rStyle w:val="Refdenotaderodap"/>
          <w:rFonts w:ascii="Arial Narrow" w:hAnsi="Arial Narrow"/>
        </w:rPr>
        <w:footnoteRef/>
      </w:r>
      <w:r w:rsidRPr="00446AC9">
        <w:rPr>
          <w:rFonts w:ascii="Arial Narrow" w:hAnsi="Arial Narrow"/>
        </w:rPr>
        <w:t xml:space="preserve"> Na noite de </w:t>
      </w:r>
      <w:r w:rsidRPr="00446AC9">
        <w:rPr>
          <w:rFonts w:ascii="Arial Narrow" w:hAnsi="Arial Narrow"/>
          <w:iCs/>
        </w:rPr>
        <w:t>13 para 14 de Outubro de 1941</w:t>
      </w:r>
      <w:r>
        <w:rPr>
          <w:rFonts w:ascii="Arial Narrow" w:hAnsi="Arial Narrow"/>
          <w:iCs/>
        </w:rPr>
        <w:t xml:space="preserve"> e </w:t>
      </w:r>
      <w:r w:rsidRPr="004A0A32">
        <w:rPr>
          <w:rFonts w:ascii="Arial Narrow" w:hAnsi="Arial Narrow"/>
          <w:iCs/>
        </w:rPr>
        <w:t>em Fevereiro de 1942</w:t>
      </w:r>
      <w:r w:rsidRPr="00446AC9">
        <w:rPr>
          <w:rFonts w:ascii="Arial Narrow" w:hAnsi="Arial Narrow"/>
          <w:iCs/>
        </w:rPr>
        <w:t xml:space="preserve">, em </w:t>
      </w:r>
      <w:r w:rsidRPr="00446AC9">
        <w:rPr>
          <w:rFonts w:ascii="Arial Narrow" w:hAnsi="Arial Narrow"/>
          <w:bCs/>
          <w:i/>
          <w:iCs/>
        </w:rPr>
        <w:t>Hitler’s Table Talk</w:t>
      </w:r>
      <w:r w:rsidRPr="00446AC9">
        <w:rPr>
          <w:rFonts w:ascii="Arial Narrow" w:hAnsi="Arial Narrow"/>
          <w:iCs/>
        </w:rPr>
        <w:t>..., 57</w:t>
      </w:r>
      <w:r>
        <w:rPr>
          <w:rFonts w:ascii="Arial Narrow" w:hAnsi="Arial Narrow"/>
          <w:iCs/>
        </w:rPr>
        <w:t xml:space="preserve">, </w:t>
      </w:r>
      <w:r w:rsidRPr="0032748E">
        <w:rPr>
          <w:rFonts w:ascii="Arial Narrow" w:hAnsi="Arial Narrow"/>
          <w:iCs/>
        </w:rPr>
        <w:t>340.</w:t>
      </w:r>
    </w:p>
  </w:footnote>
  <w:footnote w:id="196">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w:t>
      </w:r>
      <w:r>
        <w:rPr>
          <w:rFonts w:ascii="Arial Narrow" w:hAnsi="Arial Narrow"/>
        </w:rPr>
        <w:t xml:space="preserve">Rosenberg, que não era propriamente ousado nas suas preferências, recordou que «no que dizia respeito à pintura, o gosto de Hitler era estritamente o da baixa classe média, muitas vezes não indo além da pintura </w:t>
      </w:r>
      <w:r w:rsidRPr="00DB1166">
        <w:rPr>
          <w:rFonts w:ascii="Arial Narrow" w:hAnsi="Arial Narrow"/>
          <w:i/>
        </w:rPr>
        <w:t>de genre</w:t>
      </w:r>
      <w:r>
        <w:rPr>
          <w:rFonts w:ascii="Arial Narrow" w:hAnsi="Arial Narrow"/>
        </w:rPr>
        <w:t xml:space="preserve">». Ver A. Rosenberg [s. d. 1] 85. </w:t>
      </w:r>
      <w:r w:rsidRPr="006552C5">
        <w:rPr>
          <w:rFonts w:ascii="Arial Narrow" w:hAnsi="Arial Narrow"/>
        </w:rPr>
        <w:t>Mesmo um dos mais apaixonados hitlerianos de Paris se sentiu na obrigação de confessar, em plena ocupação, que pelo serviço de ter salvo a civilização ocidental e a raça ariana «podemos perdoar ao Führer, que é bom melómano, o facto de não ser um grande conhecedor em pintura...». Ver L. Rebatet (1942) 608.</w:t>
      </w:r>
      <w:r>
        <w:rPr>
          <w:rFonts w:ascii="Arial Narrow" w:hAnsi="Arial Narrow"/>
        </w:rPr>
        <w:t xml:space="preserve"> No entanto, </w:t>
      </w:r>
      <w:r w:rsidRPr="00AC69DD">
        <w:rPr>
          <w:rFonts w:ascii="Arial Narrow" w:hAnsi="Arial Narrow"/>
        </w:rPr>
        <w:t xml:space="preserve">J. C. Fest (1974) </w:t>
      </w:r>
      <w:r>
        <w:rPr>
          <w:rFonts w:ascii="Arial Narrow" w:hAnsi="Arial Narrow"/>
        </w:rPr>
        <w:t xml:space="preserve">890-891 procedeu a uma interessante análise do significado que a música tinha para Hitler. Quanto à miséria daqueles anos, </w:t>
      </w:r>
      <w:r w:rsidRPr="00AC69DD">
        <w:rPr>
          <w:rFonts w:ascii="Arial Narrow" w:hAnsi="Arial Narrow"/>
        </w:rPr>
        <w:t>Joachim Fest,</w:t>
      </w:r>
      <w:r>
        <w:rPr>
          <w:rFonts w:ascii="Arial Narrow" w:hAnsi="Arial Narrow"/>
        </w:rPr>
        <w:t xml:space="preserve"> op. cit.,</w:t>
      </w:r>
      <w:r w:rsidRPr="00AC69DD">
        <w:rPr>
          <w:rFonts w:ascii="Arial Narrow" w:hAnsi="Arial Narrow"/>
        </w:rPr>
        <w:t xml:space="preserve"> </w:t>
      </w:r>
      <w:r w:rsidRPr="00E866D9">
        <w:rPr>
          <w:rFonts w:ascii="Arial Narrow" w:hAnsi="Arial Narrow"/>
        </w:rPr>
        <w:t xml:space="preserve">49, 53, 67 e 75 pretendeu que inicialmente o jovem Hitler dispunha de alguns rendimentos e só a partir de 1908 foi caindo na </w:t>
      </w:r>
      <w:r>
        <w:rPr>
          <w:rFonts w:ascii="Arial Narrow" w:hAnsi="Arial Narrow"/>
        </w:rPr>
        <w:t>indigência</w:t>
      </w:r>
      <w:r w:rsidRPr="00E866D9">
        <w:rPr>
          <w:rFonts w:ascii="Arial Narrow" w:hAnsi="Arial Narrow"/>
        </w:rPr>
        <w:t>.</w:t>
      </w:r>
    </w:p>
  </w:footnote>
  <w:footnote w:id="197">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W. L. Shirer (1995) I 21, 602. Ver igualmente H. Rauschning (1939) 206, 228, 237 e H.-R. Trevor-Roper </w:t>
      </w:r>
      <w:r w:rsidRPr="00D47577">
        <w:rPr>
          <w:rFonts w:ascii="Arial Narrow" w:hAnsi="Arial Narrow"/>
        </w:rPr>
        <w:t>(1947) 72.</w:t>
      </w:r>
    </w:p>
  </w:footnote>
  <w:footnote w:id="198">
    <w:p w:rsidR="00C13C71" w:rsidRPr="00AE5BD4" w:rsidRDefault="00C13C71">
      <w:pPr>
        <w:pStyle w:val="Textodenotaderodap"/>
        <w:rPr>
          <w:rFonts w:ascii="Arial Narrow" w:hAnsi="Arial Narrow"/>
          <w:lang w:val="en-US"/>
        </w:rPr>
      </w:pPr>
      <w:r w:rsidRPr="00AE5BD4">
        <w:rPr>
          <w:rStyle w:val="Refdenotaderodap"/>
          <w:rFonts w:ascii="Arial Narrow" w:hAnsi="Arial Narrow"/>
        </w:rPr>
        <w:footnoteRef/>
      </w:r>
      <w:r w:rsidRPr="00AE5BD4">
        <w:rPr>
          <w:rFonts w:ascii="Arial Narrow" w:hAnsi="Arial Narrow"/>
          <w:lang w:val="en-US"/>
        </w:rPr>
        <w:t xml:space="preserve"> J. C. Fest (1974)</w:t>
      </w:r>
      <w:r>
        <w:rPr>
          <w:rFonts w:ascii="Arial Narrow" w:hAnsi="Arial Narrow"/>
          <w:lang w:val="en-US"/>
        </w:rPr>
        <w:t xml:space="preserve"> 201.</w:t>
      </w:r>
    </w:p>
  </w:footnote>
  <w:footnote w:id="199">
    <w:p w:rsidR="00C13C71" w:rsidRPr="006552C5" w:rsidRDefault="00C13C71" w:rsidP="00A61D4E">
      <w:pPr>
        <w:pStyle w:val="Textodenotaderodap"/>
        <w:rPr>
          <w:rFonts w:ascii="Arial Narrow" w:hAnsi="Arial Narrow"/>
          <w:lang w:val="es-ES"/>
        </w:rPr>
      </w:pPr>
      <w:r w:rsidRPr="006552C5">
        <w:rPr>
          <w:rStyle w:val="Refdenotaderodap"/>
          <w:rFonts w:ascii="Arial Narrow" w:hAnsi="Arial Narrow"/>
        </w:rPr>
        <w:footnoteRef/>
      </w:r>
      <w:r w:rsidRPr="006552C5">
        <w:rPr>
          <w:rFonts w:ascii="Arial Narrow" w:hAnsi="Arial Narrow"/>
          <w:lang w:val="es-ES"/>
        </w:rPr>
        <w:t xml:space="preserve"> P. Cadars et al. (1972) 11.</w:t>
      </w:r>
    </w:p>
  </w:footnote>
  <w:footnote w:id="200">
    <w:p w:rsidR="00C13C71" w:rsidRPr="006552C5" w:rsidRDefault="00C13C71" w:rsidP="00A61D4E">
      <w:pPr>
        <w:pStyle w:val="Textodenotaderodap"/>
        <w:rPr>
          <w:rFonts w:ascii="Arial Narrow" w:hAnsi="Arial Narrow"/>
          <w:lang w:val="es-ES"/>
        </w:rPr>
      </w:pPr>
      <w:r w:rsidRPr="006552C5">
        <w:rPr>
          <w:rStyle w:val="Refdenotaderodap"/>
          <w:rFonts w:ascii="Arial Narrow" w:hAnsi="Arial Narrow"/>
        </w:rPr>
        <w:footnoteRef/>
      </w:r>
      <w:r w:rsidRPr="006552C5">
        <w:rPr>
          <w:rFonts w:ascii="Arial Narrow" w:hAnsi="Arial Narrow"/>
          <w:lang w:val="es-ES"/>
        </w:rPr>
        <w:t xml:space="preserve"> A. Hitler (1995) 54-55.</w:t>
      </w:r>
    </w:p>
  </w:footnote>
  <w:footnote w:id="201">
    <w:p w:rsidR="00C13C71" w:rsidRPr="006552C5" w:rsidRDefault="00C13C71" w:rsidP="00A61D4E">
      <w:pPr>
        <w:pStyle w:val="Textodenotaderodap"/>
        <w:rPr>
          <w:rFonts w:ascii="Arial Narrow" w:hAnsi="Arial Narrow"/>
          <w:lang w:val="es-ES"/>
        </w:rPr>
      </w:pPr>
      <w:r w:rsidRPr="006552C5">
        <w:rPr>
          <w:rStyle w:val="Refdenotaderodap"/>
          <w:rFonts w:ascii="Arial Narrow" w:hAnsi="Arial Narrow"/>
        </w:rPr>
        <w:footnoteRef/>
      </w:r>
      <w:r w:rsidRPr="006552C5">
        <w:rPr>
          <w:rFonts w:ascii="Arial Narrow" w:hAnsi="Arial Narrow"/>
          <w:lang w:val="es-ES"/>
        </w:rPr>
        <w:t xml:space="preserve"> </w:t>
      </w:r>
      <w:r w:rsidRPr="000A2197">
        <w:rPr>
          <w:rFonts w:ascii="Arial Narrow" w:hAnsi="Arial Narrow"/>
          <w:lang w:val="en-US"/>
        </w:rPr>
        <w:t xml:space="preserve">A. Quinchon-Caudal (2013) </w:t>
      </w:r>
      <w:r>
        <w:rPr>
          <w:rFonts w:ascii="Arial Narrow" w:hAnsi="Arial Narrow"/>
          <w:lang w:val="en-US"/>
        </w:rPr>
        <w:t xml:space="preserve">106; </w:t>
      </w:r>
      <w:r w:rsidRPr="006552C5">
        <w:rPr>
          <w:rFonts w:ascii="Arial Narrow" w:hAnsi="Arial Narrow"/>
          <w:lang w:val="es-ES"/>
        </w:rPr>
        <w:t>D. Reed (1944) 96-97</w:t>
      </w:r>
      <w:r>
        <w:rPr>
          <w:rFonts w:ascii="Arial Narrow" w:hAnsi="Arial Narrow"/>
          <w:lang w:val="es-ES"/>
        </w:rPr>
        <w:t xml:space="preserve">; </w:t>
      </w:r>
      <w:r w:rsidRPr="001232D8">
        <w:rPr>
          <w:rFonts w:ascii="Arial Narrow" w:hAnsi="Arial Narrow"/>
          <w:lang w:val="en-US"/>
        </w:rPr>
        <w:t>O. Strasser (1940) 102-103</w:t>
      </w:r>
      <w:r w:rsidRPr="006552C5">
        <w:rPr>
          <w:rFonts w:ascii="Arial Narrow" w:hAnsi="Arial Narrow"/>
          <w:lang w:val="es-ES"/>
        </w:rPr>
        <w:t>. Ver igualmente A. Bullock (1972) 157</w:t>
      </w:r>
      <w:r>
        <w:rPr>
          <w:rFonts w:ascii="Arial Narrow" w:hAnsi="Arial Narrow"/>
          <w:lang w:val="es-ES"/>
        </w:rPr>
        <w:t xml:space="preserve"> e </w:t>
      </w:r>
      <w:r w:rsidRPr="00674E08">
        <w:rPr>
          <w:rFonts w:ascii="Arial Narrow" w:hAnsi="Arial Narrow"/>
        </w:rPr>
        <w:t>J. C. Fest (1974) 473</w:t>
      </w:r>
      <w:r w:rsidRPr="006552C5">
        <w:rPr>
          <w:rFonts w:ascii="Arial Narrow" w:hAnsi="Arial Narrow"/>
          <w:lang w:val="es-ES"/>
        </w:rPr>
        <w:t>.</w:t>
      </w:r>
    </w:p>
  </w:footnote>
  <w:footnote w:id="202">
    <w:p w:rsidR="00C13C71" w:rsidRPr="00126918" w:rsidRDefault="00C13C71" w:rsidP="00A61D4E">
      <w:pPr>
        <w:pStyle w:val="Textodenotaderodap"/>
        <w:rPr>
          <w:rFonts w:ascii="Arial Narrow" w:hAnsi="Arial Narrow"/>
          <w:lang w:val="de-DE"/>
        </w:rPr>
      </w:pPr>
      <w:r w:rsidRPr="006552C5">
        <w:rPr>
          <w:rStyle w:val="Refdenotaderodap"/>
          <w:rFonts w:ascii="Arial Narrow" w:hAnsi="Arial Narrow"/>
        </w:rPr>
        <w:footnoteRef/>
      </w:r>
      <w:r w:rsidRPr="006552C5">
        <w:rPr>
          <w:rFonts w:ascii="Arial Narrow" w:hAnsi="Arial Narrow"/>
        </w:rPr>
        <w:t xml:space="preserve"> A. Speer (1979) </w:t>
      </w:r>
      <w:r w:rsidRPr="008503BF">
        <w:rPr>
          <w:rFonts w:ascii="Arial Narrow" w:hAnsi="Arial Narrow"/>
          <w:i/>
        </w:rPr>
        <w:t>passim,</w:t>
      </w:r>
      <w:r>
        <w:rPr>
          <w:rFonts w:ascii="Arial Narrow" w:hAnsi="Arial Narrow"/>
        </w:rPr>
        <w:t xml:space="preserve"> </w:t>
      </w:r>
      <w:r w:rsidRPr="006552C5">
        <w:rPr>
          <w:rFonts w:ascii="Arial Narrow" w:hAnsi="Arial Narrow"/>
        </w:rPr>
        <w:t xml:space="preserve">em especial as págs. </w:t>
      </w:r>
      <w:r w:rsidRPr="00126918">
        <w:rPr>
          <w:rFonts w:ascii="Arial Narrow" w:hAnsi="Arial Narrow"/>
          <w:lang w:val="de-DE"/>
        </w:rPr>
        <w:t>56, 58, 61, 71, 78, 104, 110, 118-119 e 193.</w:t>
      </w:r>
      <w:r>
        <w:rPr>
          <w:rFonts w:ascii="Arial Narrow" w:hAnsi="Arial Narrow"/>
          <w:lang w:val="de-DE"/>
        </w:rPr>
        <w:t xml:space="preserve"> Ver ainda A. Rosenberg [s. d. 1] 85 e ver outros testemunhos em </w:t>
      </w:r>
      <w:r w:rsidRPr="001C3263">
        <w:rPr>
          <w:rFonts w:ascii="Arial Narrow" w:hAnsi="Arial Narrow"/>
        </w:rPr>
        <w:t xml:space="preserve">Y. Gorlizki et al. </w:t>
      </w:r>
      <w:r w:rsidRPr="00B40086">
        <w:rPr>
          <w:rFonts w:ascii="Arial Narrow" w:hAnsi="Arial Narrow"/>
        </w:rPr>
        <w:t>(2009) 65. «Quanto mais seguro do poder Hitler se sentia, mais se salientavam as suas velhas características boémias», observou J. C. Fest (1974) 761.</w:t>
      </w:r>
    </w:p>
  </w:footnote>
  <w:footnote w:id="203">
    <w:p w:rsidR="00C13C71" w:rsidRPr="00105413" w:rsidRDefault="00C13C71">
      <w:pPr>
        <w:pStyle w:val="Textodenotaderodap"/>
        <w:rPr>
          <w:rFonts w:ascii="Arial Narrow" w:hAnsi="Arial Narrow"/>
          <w:lang w:val="en-US"/>
        </w:rPr>
      </w:pPr>
      <w:r w:rsidRPr="00105413">
        <w:rPr>
          <w:rStyle w:val="Refdenotaderodap"/>
          <w:rFonts w:ascii="Arial Narrow" w:hAnsi="Arial Narrow"/>
        </w:rPr>
        <w:footnoteRef/>
      </w:r>
      <w:r w:rsidRPr="00105413">
        <w:rPr>
          <w:rFonts w:ascii="Arial Narrow" w:hAnsi="Arial Narrow"/>
          <w:lang w:val="en-US"/>
        </w:rPr>
        <w:t xml:space="preserve"> J. C. Fest (1974)</w:t>
      </w:r>
      <w:r>
        <w:rPr>
          <w:rFonts w:ascii="Arial Narrow" w:hAnsi="Arial Narrow"/>
          <w:lang w:val="en-US"/>
        </w:rPr>
        <w:t xml:space="preserve"> 449.</w:t>
      </w:r>
    </w:p>
  </w:footnote>
  <w:footnote w:id="204">
    <w:p w:rsidR="00C13C71" w:rsidRPr="001D6775" w:rsidRDefault="00C13C71">
      <w:pPr>
        <w:pStyle w:val="Textodenotaderodap"/>
        <w:rPr>
          <w:rFonts w:ascii="Arial Narrow" w:hAnsi="Arial Narrow"/>
          <w:lang w:val="en-US"/>
        </w:rPr>
      </w:pPr>
      <w:r w:rsidRPr="001D6775">
        <w:rPr>
          <w:rStyle w:val="Refdenotaderodap"/>
          <w:rFonts w:ascii="Arial Narrow" w:hAnsi="Arial Narrow"/>
        </w:rPr>
        <w:footnoteRef/>
      </w:r>
      <w:r w:rsidRPr="001D6775">
        <w:rPr>
          <w:rFonts w:ascii="Arial Narrow" w:hAnsi="Arial Narrow"/>
          <w:lang w:val="en-US"/>
        </w:rPr>
        <w:t xml:space="preserve"> </w:t>
      </w:r>
      <w:r>
        <w:rPr>
          <w:rFonts w:ascii="Arial Narrow" w:hAnsi="Arial Narrow"/>
          <w:lang w:val="en-US"/>
        </w:rPr>
        <w:t>Id., ibid., 540.</w:t>
      </w:r>
    </w:p>
  </w:footnote>
  <w:footnote w:id="205">
    <w:p w:rsidR="00C13C71" w:rsidRPr="00126918" w:rsidRDefault="00C13C71" w:rsidP="00A61D4E">
      <w:pPr>
        <w:pStyle w:val="Textodenotaderodap"/>
        <w:rPr>
          <w:rFonts w:ascii="Arial Narrow" w:hAnsi="Arial Narrow"/>
          <w:lang w:val="de-DE"/>
        </w:rPr>
      </w:pPr>
      <w:r w:rsidRPr="006552C5">
        <w:rPr>
          <w:rStyle w:val="Refdenotaderodap"/>
          <w:rFonts w:ascii="Arial Narrow" w:hAnsi="Arial Narrow"/>
        </w:rPr>
        <w:footnoteRef/>
      </w:r>
      <w:r w:rsidRPr="00126918">
        <w:rPr>
          <w:rFonts w:ascii="Arial Narrow" w:hAnsi="Arial Narrow"/>
          <w:lang w:val="de-DE"/>
        </w:rPr>
        <w:t xml:space="preserve"> </w:t>
      </w:r>
      <w:r>
        <w:rPr>
          <w:rFonts w:ascii="Arial Narrow" w:hAnsi="Arial Narrow"/>
          <w:lang w:val="de-DE"/>
        </w:rPr>
        <w:t xml:space="preserve">Id., ibid., </w:t>
      </w:r>
      <w:r>
        <w:rPr>
          <w:rFonts w:ascii="Arial Narrow" w:hAnsi="Arial Narrow"/>
          <w:lang w:val="en-US"/>
        </w:rPr>
        <w:t xml:space="preserve">413; </w:t>
      </w:r>
      <w:r w:rsidRPr="00126918">
        <w:rPr>
          <w:rFonts w:ascii="Arial Narrow" w:hAnsi="Arial Narrow"/>
          <w:lang w:val="de-DE"/>
        </w:rPr>
        <w:t>K. Heiden (1934) 79-80; A. Hitler (1995) 451-453; W. L. Shirer (1995) I 47-48.</w:t>
      </w:r>
    </w:p>
  </w:footnote>
  <w:footnote w:id="206">
    <w:p w:rsidR="00C13C71" w:rsidRPr="004A1DD8" w:rsidRDefault="00C13C71" w:rsidP="00A61D4E">
      <w:pPr>
        <w:pStyle w:val="Textodenotaderodap"/>
        <w:rPr>
          <w:rFonts w:ascii="Arial Narrow" w:hAnsi="Arial Narrow"/>
          <w:lang w:val="en-US"/>
        </w:rPr>
      </w:pPr>
      <w:r w:rsidRPr="006552C5">
        <w:rPr>
          <w:rStyle w:val="Refdenotaderodap"/>
          <w:rFonts w:ascii="Arial Narrow" w:hAnsi="Arial Narrow"/>
        </w:rPr>
        <w:footnoteRef/>
      </w:r>
      <w:r w:rsidRPr="004A1DD8">
        <w:rPr>
          <w:rFonts w:ascii="Arial Narrow" w:hAnsi="Arial Narrow"/>
          <w:lang w:val="en-US"/>
        </w:rPr>
        <w:t xml:space="preserve"> </w:t>
      </w:r>
      <w:r w:rsidRPr="00535402">
        <w:rPr>
          <w:rFonts w:ascii="Arial Narrow" w:hAnsi="Arial Narrow"/>
          <w:lang w:val="en-US"/>
        </w:rPr>
        <w:t xml:space="preserve">H. Eberle et al. (org. 2005) 309; </w:t>
      </w:r>
      <w:r w:rsidRPr="004A1DD8">
        <w:rPr>
          <w:rFonts w:ascii="Arial Narrow" w:hAnsi="Arial Narrow"/>
          <w:lang w:val="en-US"/>
        </w:rPr>
        <w:t>A. Speer (1979) 118.</w:t>
      </w:r>
    </w:p>
  </w:footnote>
  <w:footnote w:id="207">
    <w:p w:rsidR="00C13C71" w:rsidRPr="001F3DB9" w:rsidRDefault="00C13C71">
      <w:pPr>
        <w:pStyle w:val="Textodenotaderodap"/>
        <w:rPr>
          <w:rFonts w:ascii="Arial Narrow" w:hAnsi="Arial Narrow"/>
          <w:lang w:val="en-US"/>
        </w:rPr>
      </w:pPr>
      <w:r w:rsidRPr="001F3DB9">
        <w:rPr>
          <w:rStyle w:val="Refdenotaderodap"/>
          <w:rFonts w:ascii="Arial Narrow" w:hAnsi="Arial Narrow"/>
        </w:rPr>
        <w:footnoteRef/>
      </w:r>
      <w:r w:rsidRPr="001F3DB9">
        <w:rPr>
          <w:rFonts w:ascii="Arial Narrow" w:hAnsi="Arial Narrow"/>
          <w:lang w:val="en-US"/>
        </w:rPr>
        <w:t xml:space="preserve"> J. C. Fest (1974)</w:t>
      </w:r>
      <w:r>
        <w:rPr>
          <w:rFonts w:ascii="Arial Narrow" w:hAnsi="Arial Narrow"/>
          <w:lang w:val="en-US"/>
        </w:rPr>
        <w:t xml:space="preserve"> 902.</w:t>
      </w:r>
    </w:p>
  </w:footnote>
  <w:footnote w:id="208">
    <w:p w:rsidR="00C13C71" w:rsidRPr="00535402" w:rsidRDefault="00C13C71" w:rsidP="00A61D4E">
      <w:pPr>
        <w:pStyle w:val="Textodenotaderodap"/>
        <w:rPr>
          <w:rFonts w:ascii="Arial Narrow" w:hAnsi="Arial Narrow"/>
          <w:lang w:val="en-US"/>
        </w:rPr>
      </w:pPr>
      <w:r w:rsidRPr="00D85BC9">
        <w:rPr>
          <w:rStyle w:val="Refdenotaderodap"/>
          <w:rFonts w:ascii="Arial Narrow" w:hAnsi="Arial Narrow"/>
        </w:rPr>
        <w:footnoteRef/>
      </w:r>
      <w:r w:rsidRPr="00535402">
        <w:rPr>
          <w:rFonts w:ascii="Arial Narrow" w:hAnsi="Arial Narrow"/>
          <w:lang w:val="en-US"/>
        </w:rPr>
        <w:t xml:space="preserve"> H. G. Dahms (1968) I 44.</w:t>
      </w:r>
    </w:p>
  </w:footnote>
  <w:footnote w:id="209">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Citado em Benoist-Méchin (1964-1966) VI 375.</w:t>
      </w:r>
      <w:r>
        <w:rPr>
          <w:rFonts w:ascii="Arial Narrow" w:hAnsi="Arial Narrow"/>
        </w:rPr>
        <w:t xml:space="preserve"> Ver também </w:t>
      </w:r>
      <w:r w:rsidRPr="00D3797F">
        <w:rPr>
          <w:rFonts w:ascii="Arial Narrow" w:hAnsi="Arial Narrow"/>
        </w:rPr>
        <w:t xml:space="preserve">J. C. Fest (1974) 1029. </w:t>
      </w:r>
      <w:r>
        <w:rPr>
          <w:rFonts w:ascii="Arial Narrow" w:hAnsi="Arial Narrow"/>
        </w:rPr>
        <w:t xml:space="preserve">Foi decerto enquanto artista e não enquanto político que Hitler confidenciou a alguns íntimos que quando as tropas do Reich invadissem a Grã-Bretanha ele mandaria encerrar Churchill numa fortaleza confortável e aí o deixaria pintar à vontade. Ver </w:t>
      </w:r>
      <w:r w:rsidRPr="00F91525">
        <w:rPr>
          <w:rFonts w:ascii="Arial Narrow" w:hAnsi="Arial Narrow"/>
        </w:rPr>
        <w:t>W. Lepenies (2006) 62.</w:t>
      </w:r>
    </w:p>
  </w:footnote>
  <w:footnote w:id="210">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Ver em A. Speer (1979) uma das ilustrações inseridas entre as págs. 606 e 607.</w:t>
      </w:r>
    </w:p>
  </w:footnote>
  <w:footnote w:id="211">
    <w:p w:rsidR="00C13C71" w:rsidRPr="005F6886" w:rsidRDefault="00C13C71">
      <w:pPr>
        <w:pStyle w:val="Textodenotaderodap"/>
        <w:rPr>
          <w:rFonts w:ascii="Arial Narrow" w:hAnsi="Arial Narrow"/>
        </w:rPr>
      </w:pPr>
      <w:r w:rsidRPr="005F6886">
        <w:rPr>
          <w:rStyle w:val="Refdenotaderodap"/>
          <w:rFonts w:ascii="Arial Narrow" w:hAnsi="Arial Narrow"/>
        </w:rPr>
        <w:footnoteRef/>
      </w:r>
      <w:r w:rsidRPr="005F6886">
        <w:rPr>
          <w:rFonts w:ascii="Arial Narrow" w:hAnsi="Arial Narrow"/>
        </w:rPr>
        <w:t xml:space="preserve"> </w:t>
      </w:r>
      <w:r w:rsidRPr="000228AF">
        <w:rPr>
          <w:rFonts w:ascii="Arial Narrow" w:hAnsi="Arial Narrow"/>
        </w:rPr>
        <w:t>J. C. Fest (1974) 652.</w:t>
      </w:r>
    </w:p>
  </w:footnote>
  <w:footnote w:id="212">
    <w:p w:rsidR="00C13C71" w:rsidRPr="006552C5" w:rsidRDefault="00C13C71" w:rsidP="00EC229B">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Ver esta passagem do diário de Victor Klemperer, referente aos dias 20 e 21 de Abril de 1941, em M. Chalmers (org. 2006 a) 441.</w:t>
      </w:r>
    </w:p>
  </w:footnote>
  <w:footnote w:id="213">
    <w:p w:rsidR="00C13C71" w:rsidRPr="006552C5" w:rsidRDefault="00C13C71" w:rsidP="00AF4C24">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Citado em A. Speer (1979) 210.</w:t>
      </w:r>
      <w:r>
        <w:rPr>
          <w:rFonts w:ascii="Arial Narrow" w:hAnsi="Arial Narrow"/>
        </w:rPr>
        <w:t xml:space="preserve"> Segundo </w:t>
      </w:r>
      <w:r w:rsidRPr="005F6886">
        <w:rPr>
          <w:rFonts w:ascii="Arial Narrow" w:hAnsi="Arial Narrow"/>
        </w:rPr>
        <w:t>J. C. Fest (1974) 633, ainda não tinham passado vinte e quatro horas sobre a sua nomeação para a Chancelaria e já Hitler dizia que a primeira coisa a fazer era construir um novo edifício.</w:t>
      </w:r>
      <w:r>
        <w:rPr>
          <w:rFonts w:ascii="Arial Narrow" w:hAnsi="Arial Narrow"/>
        </w:rPr>
        <w:t xml:space="preserve"> Acerca da obsessão de Hitler por bater records de tamanho ou de velocidade ver </w:t>
      </w:r>
      <w:r w:rsidRPr="00D3797F">
        <w:rPr>
          <w:rFonts w:ascii="Arial Narrow" w:hAnsi="Arial Narrow"/>
        </w:rPr>
        <w:t>Joachim Fest, op. cit., 902-905, 908-909 e 911.</w:t>
      </w:r>
    </w:p>
  </w:footnote>
  <w:footnote w:id="214">
    <w:p w:rsidR="00C13C71" w:rsidRPr="00480FB4" w:rsidRDefault="00C13C71">
      <w:pPr>
        <w:pStyle w:val="Textodenotaderodap"/>
        <w:rPr>
          <w:rFonts w:ascii="Arial Narrow" w:hAnsi="Arial Narrow"/>
        </w:rPr>
      </w:pPr>
      <w:r w:rsidRPr="00240379">
        <w:rPr>
          <w:rStyle w:val="Refdenotaderodap"/>
          <w:rFonts w:ascii="Arial Narrow" w:hAnsi="Arial Narrow"/>
        </w:rPr>
        <w:footnoteRef/>
      </w:r>
      <w:r w:rsidRPr="00480FB4">
        <w:rPr>
          <w:rFonts w:ascii="Arial Narrow" w:hAnsi="Arial Narrow"/>
        </w:rPr>
        <w:t xml:space="preserve"> Na noite de 21</w:t>
      </w:r>
      <w:r>
        <w:rPr>
          <w:rFonts w:ascii="Arial Narrow" w:hAnsi="Arial Narrow"/>
        </w:rPr>
        <w:t xml:space="preserve"> para </w:t>
      </w:r>
      <w:r w:rsidRPr="00480FB4">
        <w:rPr>
          <w:rFonts w:ascii="Arial Narrow" w:hAnsi="Arial Narrow"/>
        </w:rPr>
        <w:t>22 de Julho de 1941</w:t>
      </w:r>
      <w:r>
        <w:rPr>
          <w:rFonts w:ascii="Arial Narrow" w:hAnsi="Arial Narrow"/>
        </w:rPr>
        <w:t xml:space="preserve">, em </w:t>
      </w:r>
      <w:r w:rsidRPr="00480FB4">
        <w:rPr>
          <w:rFonts w:ascii="Arial Narrow" w:hAnsi="Arial Narrow"/>
          <w:bCs/>
          <w:i/>
          <w:iCs/>
        </w:rPr>
        <w:t>Hitler’s Table Talk</w:t>
      </w:r>
      <w:r w:rsidRPr="00480FB4">
        <w:rPr>
          <w:rFonts w:ascii="Arial Narrow" w:hAnsi="Arial Narrow"/>
          <w:iCs/>
        </w:rPr>
        <w:t>...,</w:t>
      </w:r>
      <w:r>
        <w:rPr>
          <w:rFonts w:ascii="Arial Narrow" w:hAnsi="Arial Narrow"/>
          <w:iCs/>
        </w:rPr>
        <w:t xml:space="preserve"> 11.</w:t>
      </w:r>
    </w:p>
  </w:footnote>
  <w:footnote w:id="215">
    <w:p w:rsidR="00C13C71" w:rsidRPr="0032748E" w:rsidRDefault="00C13C71" w:rsidP="00A61D4E">
      <w:pPr>
        <w:pStyle w:val="Textodenotaderodap"/>
        <w:rPr>
          <w:rFonts w:ascii="Arial Narrow" w:hAnsi="Arial Narrow"/>
        </w:rPr>
      </w:pPr>
      <w:r w:rsidRPr="0035394E">
        <w:rPr>
          <w:rStyle w:val="Refdenotaderodap"/>
          <w:rFonts w:ascii="Arial Narrow" w:hAnsi="Arial Narrow"/>
        </w:rPr>
        <w:footnoteRef/>
      </w:r>
      <w:r w:rsidRPr="0032748E">
        <w:rPr>
          <w:rFonts w:ascii="Arial Narrow" w:hAnsi="Arial Narrow"/>
        </w:rPr>
        <w:t xml:space="preserve"> M. Gilbert (2011 b) I 377.</w:t>
      </w:r>
    </w:p>
  </w:footnote>
  <w:footnote w:id="216">
    <w:p w:rsidR="00C13C71" w:rsidRPr="006552C5" w:rsidRDefault="00C13C71" w:rsidP="00C211D2">
      <w:pPr>
        <w:pStyle w:val="Textodenotaderodap"/>
        <w:rPr>
          <w:rFonts w:ascii="Arial Narrow" w:hAnsi="Arial Narrow"/>
          <w:lang w:val="es-ES"/>
        </w:rPr>
      </w:pPr>
      <w:r w:rsidRPr="006552C5">
        <w:rPr>
          <w:rStyle w:val="Refdenotaderodap"/>
          <w:rFonts w:ascii="Arial Narrow" w:hAnsi="Arial Narrow"/>
        </w:rPr>
        <w:footnoteRef/>
      </w:r>
      <w:r w:rsidRPr="006552C5">
        <w:rPr>
          <w:rFonts w:ascii="Arial Narrow" w:hAnsi="Arial Narrow"/>
        </w:rPr>
        <w:t xml:space="preserve"> Citado em W. L. Shirer (1995) II 425. </w:t>
      </w:r>
      <w:r w:rsidRPr="006552C5">
        <w:rPr>
          <w:rFonts w:ascii="Arial Narrow" w:hAnsi="Arial Narrow"/>
          <w:lang w:val="es-ES"/>
        </w:rPr>
        <w:t>Ver também A. Bullock (1972) 721.</w:t>
      </w:r>
      <w:r>
        <w:rPr>
          <w:rFonts w:ascii="Arial Narrow" w:hAnsi="Arial Narrow"/>
          <w:lang w:val="es-ES"/>
        </w:rPr>
        <w:t xml:space="preserve"> Uma passagem semelhante, referente a 10 de Maio de 1943, encontra-se em </w:t>
      </w:r>
      <w:r w:rsidRPr="00F91525">
        <w:rPr>
          <w:rFonts w:ascii="Arial Narrow" w:hAnsi="Arial Narrow"/>
        </w:rPr>
        <w:t>W. Lepenies (2006) 64.</w:t>
      </w:r>
    </w:p>
  </w:footnote>
  <w:footnote w:id="217">
    <w:p w:rsidR="00C13C71" w:rsidRPr="002B0D7A" w:rsidRDefault="00C13C71">
      <w:pPr>
        <w:pStyle w:val="Textodenotaderodap"/>
        <w:rPr>
          <w:rFonts w:ascii="Arial Narrow" w:hAnsi="Arial Narrow"/>
          <w:lang w:val="en-US"/>
        </w:rPr>
      </w:pPr>
      <w:r w:rsidRPr="002B0D7A">
        <w:rPr>
          <w:rStyle w:val="Refdenotaderodap"/>
          <w:rFonts w:ascii="Arial Narrow" w:hAnsi="Arial Narrow"/>
        </w:rPr>
        <w:footnoteRef/>
      </w:r>
      <w:r w:rsidRPr="002B0D7A">
        <w:rPr>
          <w:rFonts w:ascii="Arial Narrow" w:hAnsi="Arial Narrow"/>
          <w:lang w:val="en-US"/>
        </w:rPr>
        <w:t xml:space="preserve"> W. Lepenies (2006)</w:t>
      </w:r>
      <w:r>
        <w:rPr>
          <w:rFonts w:ascii="Arial Narrow" w:hAnsi="Arial Narrow"/>
          <w:lang w:val="en-US"/>
        </w:rPr>
        <w:t xml:space="preserve"> 14.</w:t>
      </w:r>
    </w:p>
  </w:footnote>
  <w:footnote w:id="218">
    <w:p w:rsidR="00C13C71" w:rsidRPr="002B0D7A" w:rsidRDefault="00C13C71">
      <w:pPr>
        <w:pStyle w:val="Textodenotaderodap"/>
        <w:rPr>
          <w:rFonts w:ascii="Arial Narrow" w:hAnsi="Arial Narrow"/>
          <w:lang w:val="en-US"/>
        </w:rPr>
      </w:pPr>
      <w:r w:rsidRPr="00D801E8">
        <w:rPr>
          <w:rStyle w:val="Refdenotaderodap"/>
          <w:rFonts w:ascii="Arial Narrow" w:hAnsi="Arial Narrow"/>
        </w:rPr>
        <w:footnoteRef/>
      </w:r>
      <w:r w:rsidRPr="002B0D7A">
        <w:rPr>
          <w:rFonts w:ascii="Arial Narrow" w:hAnsi="Arial Narrow"/>
          <w:lang w:val="en-US"/>
        </w:rPr>
        <w:t xml:space="preserve"> M. Gilbert (2011 b) II 742.</w:t>
      </w:r>
    </w:p>
  </w:footnote>
  <w:footnote w:id="219">
    <w:p w:rsidR="00C13C71" w:rsidRPr="00126918" w:rsidRDefault="00C13C71" w:rsidP="00A61D4E">
      <w:pPr>
        <w:pStyle w:val="Textodenotaderodap"/>
        <w:rPr>
          <w:rFonts w:ascii="Arial Narrow" w:hAnsi="Arial Narrow"/>
        </w:rPr>
      </w:pPr>
      <w:r w:rsidRPr="00FE3B10">
        <w:rPr>
          <w:rStyle w:val="Refdenotaderodap"/>
          <w:rFonts w:ascii="Arial Narrow" w:hAnsi="Arial Narrow"/>
        </w:rPr>
        <w:footnoteRef/>
      </w:r>
      <w:r w:rsidRPr="006552C5">
        <w:rPr>
          <w:rFonts w:ascii="Arial Narrow" w:hAnsi="Arial Narrow"/>
          <w:lang w:val="es-ES"/>
        </w:rPr>
        <w:t xml:space="preserve"> P. Cadars et al. </w:t>
      </w:r>
      <w:r w:rsidRPr="00126918">
        <w:rPr>
          <w:rFonts w:ascii="Arial Narrow" w:hAnsi="Arial Narrow"/>
        </w:rPr>
        <w:t>(1972) 11.</w:t>
      </w:r>
    </w:p>
  </w:footnote>
  <w:footnote w:id="220">
    <w:p w:rsidR="00C13C71" w:rsidRPr="00F91525" w:rsidRDefault="00C13C71">
      <w:pPr>
        <w:pStyle w:val="Textodenotaderodap"/>
        <w:rPr>
          <w:rFonts w:ascii="Arial Narrow" w:hAnsi="Arial Narrow"/>
        </w:rPr>
      </w:pPr>
      <w:r w:rsidRPr="00C819BA">
        <w:rPr>
          <w:rStyle w:val="Refdenotaderodap"/>
          <w:rFonts w:ascii="Arial Narrow" w:hAnsi="Arial Narrow"/>
        </w:rPr>
        <w:footnoteRef/>
      </w:r>
      <w:r w:rsidRPr="00C819BA">
        <w:rPr>
          <w:rFonts w:ascii="Arial Narrow" w:hAnsi="Arial Narrow"/>
        </w:rPr>
        <w:t xml:space="preserve"> </w:t>
      </w:r>
      <w:r>
        <w:rPr>
          <w:rFonts w:ascii="Arial Narrow" w:hAnsi="Arial Narrow"/>
        </w:rPr>
        <w:t xml:space="preserve">Citado em J. Noakes et al. </w:t>
      </w:r>
      <w:r w:rsidRPr="00F91525">
        <w:rPr>
          <w:rFonts w:ascii="Arial Narrow" w:hAnsi="Arial Narrow"/>
        </w:rPr>
        <w:t>(orgs. 2008-2010) II 214. Ver também W. Lepenies (2006) 68-69.</w:t>
      </w:r>
    </w:p>
  </w:footnote>
  <w:footnote w:id="221">
    <w:p w:rsidR="00C13C71" w:rsidRPr="00605BF7" w:rsidRDefault="00C13C71" w:rsidP="00233F32">
      <w:pPr>
        <w:pStyle w:val="Textodenotaderodap"/>
        <w:rPr>
          <w:rFonts w:ascii="Arial Narrow" w:hAnsi="Arial Narrow"/>
          <w:lang w:val="en-US"/>
        </w:rPr>
      </w:pPr>
      <w:r w:rsidRPr="00233F32">
        <w:rPr>
          <w:rStyle w:val="Refdenotaderodap"/>
          <w:rFonts w:ascii="Arial Narrow" w:hAnsi="Arial Narrow"/>
        </w:rPr>
        <w:footnoteRef/>
      </w:r>
      <w:r w:rsidRPr="00233F32">
        <w:rPr>
          <w:rFonts w:ascii="Arial Narrow" w:hAnsi="Arial Narrow"/>
          <w:lang w:val="en-US"/>
        </w:rPr>
        <w:t xml:space="preserve"> A. Rosenberg (1986) 376; </w:t>
      </w:r>
      <w:r w:rsidRPr="00605BF7">
        <w:rPr>
          <w:rFonts w:ascii="Arial Narrow" w:hAnsi="Arial Narrow"/>
          <w:lang w:val="en-US"/>
        </w:rPr>
        <w:t>id. [s. d.</w:t>
      </w:r>
      <w:r>
        <w:rPr>
          <w:rFonts w:ascii="Arial Narrow" w:hAnsi="Arial Narrow"/>
          <w:lang w:val="en-US"/>
        </w:rPr>
        <w:t xml:space="preserve"> 2</w:t>
      </w:r>
      <w:r w:rsidRPr="00605BF7">
        <w:rPr>
          <w:rFonts w:ascii="Arial Narrow" w:hAnsi="Arial Narrow"/>
          <w:lang w:val="en-US"/>
        </w:rPr>
        <w:t>] 289.</w:t>
      </w:r>
    </w:p>
  </w:footnote>
  <w:footnote w:id="222">
    <w:p w:rsidR="00C13C71" w:rsidRPr="00605BF7" w:rsidRDefault="00C13C71" w:rsidP="00233F32">
      <w:pPr>
        <w:pStyle w:val="Textodenotaderodap"/>
        <w:rPr>
          <w:rFonts w:ascii="Arial Narrow" w:hAnsi="Arial Narrow"/>
          <w:lang w:val="en-US"/>
        </w:rPr>
      </w:pPr>
      <w:r w:rsidRPr="00233F32">
        <w:rPr>
          <w:rStyle w:val="Refdenotaderodap"/>
          <w:rFonts w:ascii="Arial Narrow" w:hAnsi="Arial Narrow"/>
        </w:rPr>
        <w:footnoteRef/>
      </w:r>
      <w:r w:rsidRPr="00233F32">
        <w:rPr>
          <w:rFonts w:ascii="Arial Narrow" w:hAnsi="Arial Narrow"/>
          <w:lang w:val="en-US"/>
        </w:rPr>
        <w:t xml:space="preserve"> Id. (1986) 537; </w:t>
      </w:r>
      <w:r w:rsidRPr="00605BF7">
        <w:rPr>
          <w:rFonts w:ascii="Arial Narrow" w:hAnsi="Arial Narrow"/>
          <w:lang w:val="en-US"/>
        </w:rPr>
        <w:t>id. [s. d.</w:t>
      </w:r>
      <w:r>
        <w:rPr>
          <w:rFonts w:ascii="Arial Narrow" w:hAnsi="Arial Narrow"/>
          <w:lang w:val="en-US"/>
        </w:rPr>
        <w:t xml:space="preserve"> 2</w:t>
      </w:r>
      <w:r w:rsidRPr="00605BF7">
        <w:rPr>
          <w:rFonts w:ascii="Arial Narrow" w:hAnsi="Arial Narrow"/>
          <w:lang w:val="en-US"/>
        </w:rPr>
        <w:t>] 389.</w:t>
      </w:r>
    </w:p>
  </w:footnote>
  <w:footnote w:id="223">
    <w:p w:rsidR="00C05486" w:rsidRPr="00CC11D2" w:rsidRDefault="00C05486" w:rsidP="00C05486">
      <w:pPr>
        <w:pStyle w:val="Textodenotaderodap"/>
        <w:rPr>
          <w:rFonts w:ascii="Arial Narrow" w:hAnsi="Arial Narrow"/>
          <w:lang w:val="en-US"/>
        </w:rPr>
      </w:pPr>
      <w:r w:rsidRPr="00CC11D2">
        <w:rPr>
          <w:rStyle w:val="Refdenotaderodap"/>
          <w:rFonts w:ascii="Arial Narrow" w:hAnsi="Arial Narrow"/>
        </w:rPr>
        <w:footnoteRef/>
      </w:r>
      <w:r w:rsidRPr="00CC11D2">
        <w:rPr>
          <w:rFonts w:ascii="Arial Narrow" w:hAnsi="Arial Narrow"/>
          <w:lang w:val="en-US"/>
        </w:rPr>
        <w:t xml:space="preserve"> </w:t>
      </w:r>
      <w:r>
        <w:rPr>
          <w:rFonts w:ascii="Arial Narrow" w:hAnsi="Arial Narrow"/>
          <w:lang w:val="en-US"/>
        </w:rPr>
        <w:t xml:space="preserve">Id. </w:t>
      </w:r>
      <w:r w:rsidRPr="00553C8F">
        <w:rPr>
          <w:rFonts w:ascii="Arial Narrow" w:hAnsi="Arial Narrow"/>
          <w:lang w:val="en-US"/>
        </w:rPr>
        <w:t>[s. d. 1]</w:t>
      </w:r>
      <w:r>
        <w:rPr>
          <w:rFonts w:ascii="Arial Narrow" w:hAnsi="Arial Narrow"/>
          <w:i/>
          <w:lang w:val="en-US"/>
        </w:rPr>
        <w:t xml:space="preserve"> </w:t>
      </w:r>
      <w:r>
        <w:rPr>
          <w:rFonts w:ascii="Arial Narrow" w:hAnsi="Arial Narrow"/>
          <w:lang w:val="en-US"/>
        </w:rPr>
        <w:t>46.</w:t>
      </w:r>
    </w:p>
  </w:footnote>
  <w:footnote w:id="224">
    <w:p w:rsidR="00C13C71" w:rsidRPr="006552C5" w:rsidRDefault="00C13C71" w:rsidP="00A61D4E">
      <w:pPr>
        <w:pStyle w:val="Textodenotaderodap"/>
        <w:rPr>
          <w:rFonts w:ascii="Arial Narrow" w:hAnsi="Arial Narrow"/>
          <w:lang w:val="en-GB"/>
        </w:rPr>
      </w:pPr>
      <w:r w:rsidRPr="006552C5">
        <w:rPr>
          <w:rStyle w:val="Refdenotaderodap"/>
          <w:rFonts w:ascii="Arial Narrow" w:hAnsi="Arial Narrow"/>
        </w:rPr>
        <w:footnoteRef/>
      </w:r>
      <w:r w:rsidRPr="00B116E8">
        <w:rPr>
          <w:rFonts w:ascii="Arial Narrow" w:hAnsi="Arial Narrow"/>
          <w:lang w:val="en-US"/>
        </w:rPr>
        <w:t xml:space="preserve"> P. Cadars et al. </w:t>
      </w:r>
      <w:r w:rsidRPr="006552C5">
        <w:rPr>
          <w:rFonts w:ascii="Arial Narrow" w:hAnsi="Arial Narrow"/>
          <w:lang w:val="en-GB"/>
        </w:rPr>
        <w:t>(1972) 11.</w:t>
      </w:r>
    </w:p>
  </w:footnote>
  <w:footnote w:id="225">
    <w:p w:rsidR="00C13C71" w:rsidRPr="006552C5" w:rsidRDefault="00C13C71" w:rsidP="00A61D4E">
      <w:pPr>
        <w:pStyle w:val="Textodenotaderodap"/>
        <w:rPr>
          <w:rFonts w:ascii="Arial Narrow" w:hAnsi="Arial Narrow"/>
          <w:lang w:val="en-GB"/>
        </w:rPr>
      </w:pPr>
      <w:r w:rsidRPr="006552C5">
        <w:rPr>
          <w:rStyle w:val="Refdenotaderodap"/>
          <w:rFonts w:ascii="Arial Narrow" w:hAnsi="Arial Narrow"/>
        </w:rPr>
        <w:footnoteRef/>
      </w:r>
      <w:r w:rsidRPr="006552C5">
        <w:rPr>
          <w:rFonts w:ascii="Arial Narrow" w:hAnsi="Arial Narrow"/>
          <w:lang w:val="en-GB"/>
        </w:rPr>
        <w:t xml:space="preserve"> R. Cecil (1973) 36.</w:t>
      </w:r>
    </w:p>
  </w:footnote>
  <w:footnote w:id="226">
    <w:p w:rsidR="00C13C71" w:rsidRPr="007E1C5B" w:rsidRDefault="00C13C71">
      <w:pPr>
        <w:pStyle w:val="Textodenotaderodap"/>
        <w:rPr>
          <w:rFonts w:ascii="Arial Narrow" w:hAnsi="Arial Narrow"/>
          <w:lang w:val="en-US"/>
        </w:rPr>
      </w:pPr>
      <w:r w:rsidRPr="00165DAD">
        <w:rPr>
          <w:rStyle w:val="Refdenotaderodap"/>
          <w:rFonts w:ascii="Arial Narrow" w:hAnsi="Arial Narrow"/>
        </w:rPr>
        <w:footnoteRef/>
      </w:r>
      <w:r w:rsidRPr="007E1C5B">
        <w:rPr>
          <w:rFonts w:ascii="Arial Narrow" w:hAnsi="Arial Narrow"/>
          <w:lang w:val="en-US"/>
        </w:rPr>
        <w:t xml:space="preserve"> </w:t>
      </w:r>
      <w:r w:rsidR="00C05486" w:rsidRPr="00553C8F">
        <w:rPr>
          <w:rFonts w:ascii="Arial Narrow" w:hAnsi="Arial Narrow"/>
          <w:lang w:val="en-US"/>
        </w:rPr>
        <w:t>A. Rosenberg [s. d. 1]</w:t>
      </w:r>
      <w:r w:rsidR="00C05486">
        <w:rPr>
          <w:rFonts w:ascii="Arial Narrow" w:hAnsi="Arial Narrow"/>
          <w:i/>
          <w:lang w:val="en-US"/>
        </w:rPr>
        <w:t xml:space="preserve"> </w:t>
      </w:r>
      <w:r w:rsidRPr="007E1C5B">
        <w:rPr>
          <w:rFonts w:ascii="Arial Narrow" w:hAnsi="Arial Narrow"/>
          <w:lang w:val="en-US"/>
        </w:rPr>
        <w:t>87.</w:t>
      </w:r>
    </w:p>
  </w:footnote>
  <w:footnote w:id="227">
    <w:p w:rsidR="00C13C71" w:rsidRPr="004232A1" w:rsidRDefault="00C13C71" w:rsidP="00A61D4E">
      <w:pPr>
        <w:pStyle w:val="Textodenotaderodap"/>
        <w:rPr>
          <w:rFonts w:ascii="Arial Narrow" w:hAnsi="Arial Narrow"/>
        </w:rPr>
      </w:pPr>
      <w:r w:rsidRPr="006552C5">
        <w:rPr>
          <w:rStyle w:val="Refdenotaderodap"/>
          <w:rFonts w:ascii="Arial Narrow" w:hAnsi="Arial Narrow"/>
        </w:rPr>
        <w:footnoteRef/>
      </w:r>
      <w:r w:rsidRPr="004232A1">
        <w:rPr>
          <w:rFonts w:ascii="Arial Narrow" w:hAnsi="Arial Narrow"/>
        </w:rPr>
        <w:t xml:space="preserve"> A. Speer (1979) 186. «Uma opinião “incorrecta” sobre arte ou arquitectura podia ser tão devastadora para uma carreira como um erro de avaliação em questões de reforma constitucional», escreveu D. Orlow (2010) 386.</w:t>
      </w:r>
    </w:p>
  </w:footnote>
  <w:footnote w:id="228">
    <w:p w:rsidR="00C13C71" w:rsidRPr="000228AF" w:rsidRDefault="00C13C71">
      <w:pPr>
        <w:pStyle w:val="Textodenotaderodap"/>
        <w:rPr>
          <w:rFonts w:ascii="Arial Narrow" w:hAnsi="Arial Narrow"/>
          <w:lang w:val="en-US"/>
        </w:rPr>
      </w:pPr>
      <w:r w:rsidRPr="000228AF">
        <w:rPr>
          <w:rStyle w:val="Refdenotaderodap"/>
          <w:rFonts w:ascii="Arial Narrow" w:hAnsi="Arial Narrow"/>
        </w:rPr>
        <w:footnoteRef/>
      </w:r>
      <w:r w:rsidRPr="000228AF">
        <w:rPr>
          <w:rFonts w:ascii="Arial Narrow" w:hAnsi="Arial Narrow"/>
          <w:lang w:val="en-US"/>
        </w:rPr>
        <w:t xml:space="preserve"> J. C. Fest (1974)</w:t>
      </w:r>
      <w:r>
        <w:rPr>
          <w:rFonts w:ascii="Arial Narrow" w:hAnsi="Arial Narrow"/>
          <w:lang w:val="en-US"/>
        </w:rPr>
        <w:t xml:space="preserve"> 651-652.</w:t>
      </w:r>
    </w:p>
  </w:footnote>
  <w:footnote w:id="229">
    <w:p w:rsidR="00C13C71" w:rsidRPr="008643EB" w:rsidRDefault="00C13C71" w:rsidP="00A61D4E">
      <w:pPr>
        <w:pStyle w:val="Textodenotaderodap"/>
        <w:rPr>
          <w:rFonts w:ascii="Arial Narrow" w:hAnsi="Arial Narrow"/>
          <w:lang w:val="en-US"/>
        </w:rPr>
      </w:pPr>
      <w:r w:rsidRPr="006552C5">
        <w:rPr>
          <w:rStyle w:val="Refdenotaderodap"/>
          <w:rFonts w:ascii="Arial Narrow" w:hAnsi="Arial Narrow"/>
        </w:rPr>
        <w:footnoteRef/>
      </w:r>
      <w:r w:rsidRPr="006552C5">
        <w:rPr>
          <w:rFonts w:ascii="Arial Narrow" w:hAnsi="Arial Narrow"/>
          <w:lang w:val="en-GB"/>
        </w:rPr>
        <w:t xml:space="preserve"> A. Speer (1979) 369-370.</w:t>
      </w:r>
    </w:p>
  </w:footnote>
  <w:footnote w:id="230">
    <w:p w:rsidR="00C13C71" w:rsidRPr="006552C5" w:rsidRDefault="00C13C71" w:rsidP="00A61D4E">
      <w:pPr>
        <w:pStyle w:val="Textodenotaderodap"/>
        <w:rPr>
          <w:rFonts w:ascii="Arial Narrow" w:hAnsi="Arial Narrow"/>
          <w:lang w:val="en-GB"/>
        </w:rPr>
      </w:pPr>
      <w:r w:rsidRPr="006552C5">
        <w:rPr>
          <w:rStyle w:val="Refdenotaderodap"/>
          <w:rFonts w:ascii="Arial Narrow" w:hAnsi="Arial Narrow"/>
        </w:rPr>
        <w:footnoteRef/>
      </w:r>
      <w:r w:rsidRPr="006552C5">
        <w:rPr>
          <w:rFonts w:ascii="Arial Narrow" w:hAnsi="Arial Narrow"/>
          <w:lang w:val="en-GB"/>
        </w:rPr>
        <w:t xml:space="preserve"> A. Bullock (1972) 769; </w:t>
      </w:r>
      <w:r w:rsidRPr="00212C78">
        <w:rPr>
          <w:rFonts w:ascii="Arial Narrow" w:hAnsi="Arial Narrow"/>
          <w:lang w:val="en-US"/>
        </w:rPr>
        <w:t xml:space="preserve">J. C. Fest (1974) </w:t>
      </w:r>
      <w:r>
        <w:rPr>
          <w:rFonts w:ascii="Arial Narrow" w:hAnsi="Arial Narrow"/>
          <w:lang w:val="en-US"/>
        </w:rPr>
        <w:t xml:space="preserve">1250; </w:t>
      </w:r>
      <w:r w:rsidRPr="00410533">
        <w:rPr>
          <w:rFonts w:ascii="Arial Narrow" w:hAnsi="Arial Narrow"/>
          <w:lang w:val="en-US"/>
        </w:rPr>
        <w:t>A. Rosenberg [s. d. 1] 92.</w:t>
      </w:r>
      <w:r>
        <w:rPr>
          <w:rFonts w:ascii="Arial Narrow" w:hAnsi="Arial Narrow"/>
          <w:lang w:val="en-US"/>
        </w:rPr>
        <w:t xml:space="preserve">; </w:t>
      </w:r>
      <w:r w:rsidRPr="006552C5">
        <w:rPr>
          <w:rFonts w:ascii="Arial Narrow" w:hAnsi="Arial Narrow"/>
          <w:lang w:val="en-GB"/>
        </w:rPr>
        <w:t>W. L. Shirer (1995) II 531; H.-R. Trevor-Roper (1947) 118.</w:t>
      </w:r>
    </w:p>
  </w:footnote>
  <w:footnote w:id="231">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G. L. Mosse (1991) </w:t>
      </w:r>
      <w:r w:rsidRPr="006552C5">
        <w:rPr>
          <w:rFonts w:ascii="Arial Narrow" w:hAnsi="Arial Narrow"/>
          <w:i/>
        </w:rPr>
        <w:t>passim</w:t>
      </w:r>
      <w:r w:rsidRPr="006552C5">
        <w:rPr>
          <w:rFonts w:ascii="Arial Narrow" w:hAnsi="Arial Narrow"/>
        </w:rPr>
        <w:t>.</w:t>
      </w:r>
      <w:r>
        <w:rPr>
          <w:rFonts w:ascii="Arial Narrow" w:hAnsi="Arial Narrow"/>
        </w:rPr>
        <w:t xml:space="preserve"> «A concepção alemã de política esteve sempre infestada pela estética, e o nazismo deu a esta característica um lugar central», leio em </w:t>
      </w:r>
      <w:r w:rsidRPr="005F6886">
        <w:rPr>
          <w:rFonts w:ascii="Arial Narrow" w:hAnsi="Arial Narrow"/>
        </w:rPr>
        <w:t>J. C. Fest (1974) 651</w:t>
      </w:r>
      <w:r>
        <w:rPr>
          <w:rFonts w:ascii="Arial Narrow" w:hAnsi="Arial Narrow"/>
        </w:rPr>
        <w:t xml:space="preserve">. «Foi mais pelo ritual do que pela convicção que o fascismo alemão conseguiu irradiar um poderoso encanto estético», observou </w:t>
      </w:r>
      <w:r w:rsidRPr="00F91525">
        <w:rPr>
          <w:rFonts w:ascii="Arial Narrow" w:hAnsi="Arial Narrow"/>
        </w:rPr>
        <w:t>W. Lepenies (2006) 70-71.</w:t>
      </w:r>
    </w:p>
  </w:footnote>
  <w:footnote w:id="232">
    <w:p w:rsidR="00C13C71" w:rsidRPr="005F6886" w:rsidRDefault="00C13C71">
      <w:pPr>
        <w:pStyle w:val="Textodenotaderodap"/>
        <w:rPr>
          <w:rFonts w:ascii="Arial Narrow" w:hAnsi="Arial Narrow"/>
          <w:lang w:val="en-US"/>
        </w:rPr>
      </w:pPr>
      <w:r w:rsidRPr="001232D8">
        <w:rPr>
          <w:rStyle w:val="Refdenotaderodap"/>
          <w:rFonts w:ascii="Arial Narrow" w:hAnsi="Arial Narrow"/>
        </w:rPr>
        <w:footnoteRef/>
      </w:r>
      <w:r w:rsidRPr="00886269">
        <w:rPr>
          <w:rFonts w:ascii="Arial Narrow" w:hAnsi="Arial Narrow"/>
        </w:rPr>
        <w:t xml:space="preserve"> J. C. Fest (1974) 252-253. Ver a</w:t>
      </w:r>
      <w:r>
        <w:rPr>
          <w:rFonts w:ascii="Arial Narrow" w:hAnsi="Arial Narrow"/>
        </w:rPr>
        <w:t xml:space="preserve">inda as págs. </w:t>
      </w:r>
      <w:r w:rsidRPr="005F6886">
        <w:rPr>
          <w:rFonts w:ascii="Arial Narrow" w:hAnsi="Arial Narrow"/>
          <w:lang w:val="en-US"/>
        </w:rPr>
        <w:t>553-559.</w:t>
      </w:r>
    </w:p>
  </w:footnote>
  <w:footnote w:id="233">
    <w:p w:rsidR="00C13C71" w:rsidRPr="00030075" w:rsidRDefault="00C13C71">
      <w:pPr>
        <w:pStyle w:val="Textodenotaderodap"/>
        <w:rPr>
          <w:rFonts w:ascii="Arial Narrow" w:hAnsi="Arial Narrow"/>
        </w:rPr>
      </w:pPr>
      <w:r w:rsidRPr="00030075">
        <w:rPr>
          <w:rStyle w:val="Refdenotaderodap"/>
          <w:rFonts w:ascii="Arial Narrow" w:hAnsi="Arial Narrow"/>
        </w:rPr>
        <w:footnoteRef/>
      </w:r>
      <w:r w:rsidRPr="00F91525">
        <w:rPr>
          <w:rFonts w:ascii="Arial Narrow" w:hAnsi="Arial Narrow"/>
          <w:lang w:val="en-US"/>
        </w:rPr>
        <w:t xml:space="preserve"> J. Noakes et al. </w:t>
      </w:r>
      <w:r w:rsidRPr="005F6886">
        <w:rPr>
          <w:rFonts w:ascii="Arial Narrow" w:hAnsi="Arial Narrow"/>
          <w:lang w:val="en-US"/>
        </w:rPr>
        <w:t xml:space="preserve">(orgs. </w:t>
      </w:r>
      <w:r>
        <w:rPr>
          <w:rFonts w:ascii="Arial Narrow" w:hAnsi="Arial Narrow"/>
        </w:rPr>
        <w:t>2008-2010) II 189.</w:t>
      </w:r>
    </w:p>
  </w:footnote>
  <w:footnote w:id="234">
    <w:p w:rsidR="00C13C71" w:rsidRPr="002D26DC" w:rsidRDefault="00C13C71">
      <w:pPr>
        <w:pStyle w:val="Textodenotaderodap"/>
        <w:rPr>
          <w:rFonts w:ascii="Arial Narrow" w:hAnsi="Arial Narrow"/>
        </w:rPr>
      </w:pPr>
      <w:r w:rsidRPr="00B40086">
        <w:rPr>
          <w:rStyle w:val="Refdenotaderodap"/>
          <w:rFonts w:ascii="Arial Narrow" w:hAnsi="Arial Narrow"/>
        </w:rPr>
        <w:footnoteRef/>
      </w:r>
      <w:r w:rsidRPr="002D26DC">
        <w:rPr>
          <w:rFonts w:ascii="Arial Narrow" w:hAnsi="Arial Narrow"/>
        </w:rPr>
        <w:t xml:space="preserve"> J. C. Fest (1974) 877 e segs.</w:t>
      </w:r>
    </w:p>
  </w:footnote>
  <w:footnote w:id="235">
    <w:p w:rsidR="00C13C71" w:rsidRPr="001F3DB9" w:rsidRDefault="00C13C71">
      <w:pPr>
        <w:pStyle w:val="Textodenotaderodap"/>
        <w:rPr>
          <w:rFonts w:ascii="Arial Narrow" w:hAnsi="Arial Narrow"/>
        </w:rPr>
      </w:pPr>
      <w:r w:rsidRPr="00512FCA">
        <w:rPr>
          <w:rStyle w:val="Refdenotaderodap"/>
          <w:rFonts w:ascii="Arial Narrow" w:hAnsi="Arial Narrow"/>
        </w:rPr>
        <w:footnoteRef/>
      </w:r>
      <w:r w:rsidRPr="001F3DB9">
        <w:rPr>
          <w:rFonts w:ascii="Arial Narrow" w:hAnsi="Arial Narrow"/>
        </w:rPr>
        <w:t xml:space="preserve"> Id., ibid., 886. Ver ainda as págs. 891-892.</w:t>
      </w:r>
    </w:p>
  </w:footnote>
  <w:footnote w:id="236">
    <w:p w:rsidR="00C13C71" w:rsidRPr="001F3DB9" w:rsidRDefault="00C13C71">
      <w:pPr>
        <w:pStyle w:val="Textodenotaderodap"/>
        <w:rPr>
          <w:rFonts w:ascii="Arial Narrow" w:hAnsi="Arial Narrow"/>
        </w:rPr>
      </w:pPr>
      <w:r w:rsidRPr="001C3263">
        <w:rPr>
          <w:rStyle w:val="Refdenotaderodap"/>
          <w:rFonts w:ascii="Arial Narrow" w:hAnsi="Arial Narrow"/>
        </w:rPr>
        <w:footnoteRef/>
      </w:r>
      <w:r w:rsidRPr="001F3DB9">
        <w:rPr>
          <w:rFonts w:ascii="Arial Narrow" w:hAnsi="Arial Narrow"/>
        </w:rPr>
        <w:t xml:space="preserve"> D. Welch (2002) 43.</w:t>
      </w:r>
    </w:p>
  </w:footnote>
  <w:footnote w:id="237">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Citado em H. Rauschning (1939) 238.</w:t>
      </w:r>
    </w:p>
  </w:footnote>
  <w:footnote w:id="238">
    <w:p w:rsidR="00C13C71" w:rsidRPr="00126918" w:rsidRDefault="00C13C71" w:rsidP="00A61D4E">
      <w:pPr>
        <w:pStyle w:val="Textodenotaderodap"/>
        <w:rPr>
          <w:rFonts w:ascii="Arial Narrow" w:hAnsi="Arial Narrow"/>
          <w:lang w:val="de-DE"/>
        </w:rPr>
      </w:pPr>
      <w:r w:rsidRPr="006552C5">
        <w:rPr>
          <w:rStyle w:val="Refdenotaderodap"/>
          <w:rFonts w:ascii="Arial Narrow" w:hAnsi="Arial Narrow"/>
        </w:rPr>
        <w:footnoteRef/>
      </w:r>
      <w:r w:rsidRPr="00126918">
        <w:rPr>
          <w:rFonts w:ascii="Arial Narrow" w:hAnsi="Arial Narrow"/>
          <w:lang w:val="de-DE"/>
        </w:rPr>
        <w:t xml:space="preserve"> F. Neumann (1943) 483-484.</w:t>
      </w:r>
    </w:p>
  </w:footnote>
  <w:footnote w:id="239">
    <w:p w:rsidR="00C13C71" w:rsidRPr="008A4842" w:rsidRDefault="00C13C71">
      <w:pPr>
        <w:pStyle w:val="Textodenotaderodap"/>
        <w:rPr>
          <w:rFonts w:ascii="Arial Narrow" w:hAnsi="Arial Narrow"/>
        </w:rPr>
      </w:pPr>
      <w:r w:rsidRPr="00FF0413">
        <w:rPr>
          <w:rStyle w:val="Refdenotaderodap"/>
          <w:rFonts w:ascii="Arial Narrow" w:hAnsi="Arial Narrow"/>
        </w:rPr>
        <w:footnoteRef/>
      </w:r>
      <w:r w:rsidRPr="008A4842">
        <w:rPr>
          <w:rFonts w:ascii="Arial Narrow" w:hAnsi="Arial Narrow"/>
          <w:lang w:val="en-US"/>
        </w:rPr>
        <w:t xml:space="preserve"> A. Rosenberg [s. d. 1] 86-87. </w:t>
      </w:r>
      <w:r w:rsidRPr="008A4842">
        <w:rPr>
          <w:rFonts w:ascii="Arial Narrow" w:hAnsi="Arial Narrow"/>
        </w:rPr>
        <w:t>A «teatrocracia» está mencionada n</w:t>
      </w:r>
      <w:r>
        <w:rPr>
          <w:rFonts w:ascii="Arial Narrow" w:hAnsi="Arial Narrow"/>
        </w:rPr>
        <w:t>a pag. 84. Ver ainda a pág. 88.</w:t>
      </w:r>
    </w:p>
  </w:footnote>
  <w:footnote w:id="240">
    <w:p w:rsidR="00C13C71" w:rsidRPr="00126918" w:rsidRDefault="00C13C71" w:rsidP="00A61D4E">
      <w:pPr>
        <w:pStyle w:val="Textodenotaderodap"/>
        <w:rPr>
          <w:rFonts w:ascii="Arial Narrow" w:hAnsi="Arial Narrow"/>
          <w:lang w:val="de-DE"/>
        </w:rPr>
      </w:pPr>
      <w:r w:rsidRPr="006552C5">
        <w:rPr>
          <w:rStyle w:val="Refdenotaderodap"/>
          <w:rFonts w:ascii="Arial Narrow" w:hAnsi="Arial Narrow"/>
        </w:rPr>
        <w:footnoteRef/>
      </w:r>
      <w:r w:rsidRPr="00126918">
        <w:rPr>
          <w:rFonts w:ascii="Arial Narrow" w:hAnsi="Arial Narrow"/>
          <w:lang w:val="de-DE"/>
        </w:rPr>
        <w:t xml:space="preserve"> G. L. Mosse (1991) 31.</w:t>
      </w:r>
    </w:p>
  </w:footnote>
  <w:footnote w:id="241">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B. Hinz (1980) 199.</w:t>
      </w:r>
      <w:r>
        <w:rPr>
          <w:rFonts w:ascii="Arial Narrow" w:hAnsi="Arial Narrow"/>
        </w:rPr>
        <w:t xml:space="preserve"> Acerca do peso da encenação na política de Hitler ver também </w:t>
      </w:r>
      <w:r w:rsidRPr="00B40086">
        <w:rPr>
          <w:rFonts w:ascii="Arial Narrow" w:hAnsi="Arial Narrow"/>
        </w:rPr>
        <w:t xml:space="preserve">J. C. Fest (1974) 876 e segs. </w:t>
      </w:r>
      <w:r>
        <w:rPr>
          <w:rFonts w:ascii="Arial Narrow" w:hAnsi="Arial Narrow"/>
        </w:rPr>
        <w:t xml:space="preserve">A noção de </w:t>
      </w:r>
      <w:r w:rsidRPr="00F47FBA">
        <w:rPr>
          <w:rFonts w:ascii="Arial Narrow" w:hAnsi="Arial Narrow"/>
          <w:i/>
        </w:rPr>
        <w:t>kitsch</w:t>
      </w:r>
      <w:r>
        <w:rPr>
          <w:rFonts w:ascii="Arial Narrow" w:hAnsi="Arial Narrow"/>
        </w:rPr>
        <w:t xml:space="preserve"> varia consoante o espectador e, a crer em </w:t>
      </w:r>
      <w:r w:rsidRPr="00F91525">
        <w:rPr>
          <w:rFonts w:ascii="Arial Narrow" w:hAnsi="Arial Narrow"/>
        </w:rPr>
        <w:t xml:space="preserve">W. Lepenies (2006) 71 e </w:t>
      </w:r>
      <w:r w:rsidRPr="001C3263">
        <w:rPr>
          <w:rFonts w:ascii="Arial Narrow" w:hAnsi="Arial Narrow"/>
        </w:rPr>
        <w:t>D. Orlow (2009) 80,</w:t>
      </w:r>
      <w:r>
        <w:rPr>
          <w:rFonts w:ascii="Arial Narrow" w:hAnsi="Arial Narrow"/>
        </w:rPr>
        <w:t xml:space="preserve"> Drieu La Rochelle comparou a coreografia dos desfiles dos SS à dos Ballets Russes; sir Nevile Henderson, o embaixador britânico em Berlim, foi da mesma opinião, mas comparando-a </w:t>
      </w:r>
      <w:r w:rsidR="00DC6906">
        <w:rPr>
          <w:rFonts w:ascii="Arial Narrow" w:hAnsi="Arial Narrow"/>
        </w:rPr>
        <w:t>ao</w:t>
      </w:r>
      <w:r>
        <w:rPr>
          <w:rFonts w:ascii="Arial Narrow" w:hAnsi="Arial Narrow"/>
        </w:rPr>
        <w:t xml:space="preserve"> ballet de São Petesburgo antes da guerra, como leio em </w:t>
      </w:r>
      <w:r w:rsidRPr="00B40086">
        <w:rPr>
          <w:rFonts w:ascii="Arial Narrow" w:hAnsi="Arial Narrow"/>
        </w:rPr>
        <w:t>J. C. Fest (1974) 877.</w:t>
      </w:r>
    </w:p>
  </w:footnote>
  <w:footnote w:id="242">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Citado em A. Speer (1979) 234.</w:t>
      </w:r>
    </w:p>
  </w:footnote>
  <w:footnote w:id="243">
    <w:p w:rsidR="00C13C71" w:rsidRPr="006552C5" w:rsidRDefault="00C13C71" w:rsidP="00A61D4E">
      <w:pPr>
        <w:pStyle w:val="Textodenotaderodap"/>
        <w:rPr>
          <w:rFonts w:ascii="Arial Narrow" w:hAnsi="Arial Narrow"/>
          <w:lang w:val="fr-FR"/>
        </w:rPr>
      </w:pPr>
      <w:r w:rsidRPr="006552C5">
        <w:rPr>
          <w:rStyle w:val="Refdenotaderodap"/>
          <w:rFonts w:ascii="Arial Narrow" w:hAnsi="Arial Narrow"/>
        </w:rPr>
        <w:footnoteRef/>
      </w:r>
      <w:r w:rsidRPr="006552C5">
        <w:rPr>
          <w:rFonts w:ascii="Arial Narrow" w:hAnsi="Arial Narrow"/>
          <w:lang w:val="fr-FR"/>
        </w:rPr>
        <w:t xml:space="preserve"> H. J. Syberberg (1980) 378.</w:t>
      </w:r>
      <w:r>
        <w:rPr>
          <w:rFonts w:ascii="Arial Narrow" w:hAnsi="Arial Narrow"/>
          <w:lang w:val="fr-FR"/>
        </w:rPr>
        <w:t xml:space="preserve"> Ver ainda J. Noakes et al. (orgs. 2008-2010) II 163.</w:t>
      </w:r>
    </w:p>
  </w:footnote>
  <w:footnote w:id="244">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Citado em J. Biehl et al. (1995) 21.</w:t>
      </w:r>
    </w:p>
  </w:footnote>
  <w:footnote w:id="245">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w:t>
      </w:r>
      <w:r>
        <w:rPr>
          <w:rFonts w:ascii="Arial Narrow" w:hAnsi="Arial Narrow"/>
        </w:rPr>
        <w:t xml:space="preserve">Em </w:t>
      </w:r>
      <w:r w:rsidRPr="00577478">
        <w:rPr>
          <w:rFonts w:ascii="Arial Narrow" w:hAnsi="Arial Narrow"/>
          <w:iCs/>
        </w:rPr>
        <w:t>Abril de 1942,</w:t>
      </w:r>
      <w:r>
        <w:rPr>
          <w:rFonts w:ascii="Arial Narrow" w:hAnsi="Arial Narrow"/>
          <w:iCs/>
        </w:rPr>
        <w:t xml:space="preserve"> em </w:t>
      </w:r>
      <w:r w:rsidRPr="00577478">
        <w:rPr>
          <w:rFonts w:ascii="Arial Narrow" w:hAnsi="Arial Narrow"/>
          <w:bCs/>
          <w:i/>
          <w:iCs/>
        </w:rPr>
        <w:t>Hitler’s Table Talk</w:t>
      </w:r>
      <w:r w:rsidRPr="00577478">
        <w:rPr>
          <w:rFonts w:ascii="Arial Narrow" w:hAnsi="Arial Narrow"/>
          <w:iCs/>
        </w:rPr>
        <w:t xml:space="preserve">..., </w:t>
      </w:r>
      <w:r>
        <w:rPr>
          <w:rFonts w:ascii="Arial Narrow" w:hAnsi="Arial Narrow"/>
          <w:iCs/>
        </w:rPr>
        <w:t xml:space="preserve">447. Ver também </w:t>
      </w:r>
      <w:r w:rsidRPr="006552C5">
        <w:rPr>
          <w:rFonts w:ascii="Arial Narrow" w:hAnsi="Arial Narrow"/>
        </w:rPr>
        <w:t>Benoist-Méchin (1964-1966) IV 290.</w:t>
      </w:r>
    </w:p>
  </w:footnote>
  <w:footnote w:id="246">
    <w:p w:rsidR="00C13C71" w:rsidRPr="006552C5" w:rsidRDefault="00C13C71" w:rsidP="00481A2A">
      <w:pPr>
        <w:pStyle w:val="Textodenotaderodap"/>
        <w:rPr>
          <w:rFonts w:ascii="Arial Narrow" w:hAnsi="Arial Narrow"/>
          <w:lang w:val="fr-FR"/>
        </w:rPr>
      </w:pPr>
      <w:r w:rsidRPr="006552C5">
        <w:rPr>
          <w:rStyle w:val="Refdenotaderodap"/>
          <w:rFonts w:ascii="Arial Narrow" w:hAnsi="Arial Narrow"/>
        </w:rPr>
        <w:footnoteRef/>
      </w:r>
      <w:r w:rsidRPr="006552C5">
        <w:rPr>
          <w:rFonts w:ascii="Arial Narrow" w:hAnsi="Arial Narrow"/>
          <w:lang w:val="fr-FR"/>
        </w:rPr>
        <w:t xml:space="preserve"> </w:t>
      </w:r>
      <w:r w:rsidRPr="00190607">
        <w:rPr>
          <w:rFonts w:ascii="Arial Narrow" w:hAnsi="Arial Narrow"/>
          <w:lang w:val="en-US"/>
        </w:rPr>
        <w:t xml:space="preserve">J. C. Fest (1974) </w:t>
      </w:r>
      <w:r>
        <w:rPr>
          <w:rFonts w:ascii="Arial Narrow" w:hAnsi="Arial Narrow"/>
          <w:lang w:val="en-US"/>
        </w:rPr>
        <w:t xml:space="preserve">894; </w:t>
      </w:r>
      <w:r w:rsidRPr="006552C5">
        <w:rPr>
          <w:rFonts w:ascii="Arial Narrow" w:hAnsi="Arial Narrow"/>
          <w:lang w:val="fr-FR"/>
        </w:rPr>
        <w:t>G. L. Mosse (1991) 186.</w:t>
      </w:r>
    </w:p>
  </w:footnote>
  <w:footnote w:id="247">
    <w:p w:rsidR="00C13C71" w:rsidRPr="0032748E" w:rsidRDefault="00C13C71" w:rsidP="00A61D4E">
      <w:pPr>
        <w:pStyle w:val="Textodenotaderodap"/>
        <w:rPr>
          <w:rFonts w:ascii="Arial Narrow" w:hAnsi="Arial Narrow"/>
          <w:lang w:val="en-US"/>
        </w:rPr>
      </w:pPr>
      <w:r w:rsidRPr="006552C5">
        <w:rPr>
          <w:rStyle w:val="Refdenotaderodap"/>
          <w:rFonts w:ascii="Arial Narrow" w:hAnsi="Arial Narrow"/>
        </w:rPr>
        <w:footnoteRef/>
      </w:r>
      <w:r w:rsidRPr="0032748E">
        <w:rPr>
          <w:rFonts w:ascii="Arial Narrow" w:hAnsi="Arial Narrow"/>
          <w:lang w:val="en-US"/>
        </w:rPr>
        <w:t xml:space="preserve"> H.-E. Mittig (1980) 358.</w:t>
      </w:r>
    </w:p>
  </w:footnote>
  <w:footnote w:id="248">
    <w:p w:rsidR="00C13C71" w:rsidRPr="004A1DD8" w:rsidRDefault="00C13C71" w:rsidP="00A61D4E">
      <w:pPr>
        <w:pStyle w:val="Textodenotaderodap"/>
        <w:rPr>
          <w:rFonts w:ascii="Arial Narrow" w:hAnsi="Arial Narrow"/>
          <w:lang w:val="en-US"/>
        </w:rPr>
      </w:pPr>
      <w:r w:rsidRPr="006552C5">
        <w:rPr>
          <w:rStyle w:val="Refdenotaderodap"/>
          <w:rFonts w:ascii="Arial Narrow" w:hAnsi="Arial Narrow"/>
        </w:rPr>
        <w:footnoteRef/>
      </w:r>
      <w:r w:rsidRPr="004A1DD8">
        <w:rPr>
          <w:rFonts w:ascii="Arial Narrow" w:hAnsi="Arial Narrow"/>
          <w:lang w:val="en-US"/>
        </w:rPr>
        <w:t xml:space="preserve"> Id., ibid., 358.</w:t>
      </w:r>
    </w:p>
  </w:footnote>
  <w:footnote w:id="249">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1F3DB9">
        <w:rPr>
          <w:rFonts w:ascii="Arial Narrow" w:hAnsi="Arial Narrow"/>
          <w:lang w:val="en-US"/>
        </w:rPr>
        <w:t xml:space="preserve"> B. Miller-Lane (1973) 256-257. </w:t>
      </w:r>
      <w:r w:rsidRPr="006552C5">
        <w:rPr>
          <w:rFonts w:ascii="Arial Narrow" w:hAnsi="Arial Narrow"/>
        </w:rPr>
        <w:t>Ver igualmente B. Hinz (1980) 182-183.</w:t>
      </w:r>
    </w:p>
  </w:footnote>
  <w:footnote w:id="250">
    <w:p w:rsidR="00C13C71" w:rsidRPr="00126918" w:rsidRDefault="00C13C71" w:rsidP="00A61D4E">
      <w:pPr>
        <w:pStyle w:val="Textodenotaderodap"/>
        <w:rPr>
          <w:rFonts w:ascii="Arial Narrow" w:hAnsi="Arial Narrow"/>
          <w:lang w:val="de-DE"/>
        </w:rPr>
      </w:pPr>
      <w:r w:rsidRPr="006552C5">
        <w:rPr>
          <w:rStyle w:val="Refdenotaderodap"/>
          <w:rFonts w:ascii="Arial Narrow" w:hAnsi="Arial Narrow"/>
        </w:rPr>
        <w:footnoteRef/>
      </w:r>
      <w:r w:rsidRPr="006552C5">
        <w:rPr>
          <w:rFonts w:ascii="Arial Narrow" w:hAnsi="Arial Narrow"/>
        </w:rPr>
        <w:t xml:space="preserve"> Citado em W. L. Shirer (1995) II 516. </w:t>
      </w:r>
      <w:r w:rsidRPr="00126918">
        <w:rPr>
          <w:rFonts w:ascii="Arial Narrow" w:hAnsi="Arial Narrow"/>
          <w:lang w:val="de-DE"/>
        </w:rPr>
        <w:t>Ver ainda A. Bullock (1972) 763</w:t>
      </w:r>
      <w:r>
        <w:rPr>
          <w:rFonts w:ascii="Arial Narrow" w:hAnsi="Arial Narrow"/>
          <w:lang w:val="de-DE"/>
        </w:rPr>
        <w:t xml:space="preserve"> e </w:t>
      </w:r>
      <w:r w:rsidRPr="00535402">
        <w:rPr>
          <w:rFonts w:ascii="Arial Narrow" w:hAnsi="Arial Narrow"/>
        </w:rPr>
        <w:t>J. C. Fest (1974) 1240</w:t>
      </w:r>
      <w:r w:rsidRPr="00126918">
        <w:rPr>
          <w:rFonts w:ascii="Arial Narrow" w:hAnsi="Arial Narrow"/>
          <w:lang w:val="de-DE"/>
        </w:rPr>
        <w:t>.</w:t>
      </w:r>
    </w:p>
  </w:footnote>
  <w:footnote w:id="251">
    <w:p w:rsidR="00C13C71" w:rsidRPr="007E1C5B" w:rsidRDefault="00C13C71">
      <w:pPr>
        <w:pStyle w:val="Textodenotaderodap"/>
        <w:rPr>
          <w:rFonts w:ascii="Arial Narrow" w:hAnsi="Arial Narrow"/>
        </w:rPr>
      </w:pPr>
      <w:r w:rsidRPr="009757C2">
        <w:rPr>
          <w:rStyle w:val="Refdenotaderodap"/>
          <w:rFonts w:ascii="Arial Narrow" w:hAnsi="Arial Narrow"/>
        </w:rPr>
        <w:footnoteRef/>
      </w:r>
      <w:r w:rsidRPr="007E1C5B">
        <w:rPr>
          <w:rFonts w:ascii="Arial Narrow" w:hAnsi="Arial Narrow"/>
        </w:rPr>
        <w:t xml:space="preserve"> A. Rosenberg [s. d. 1] 92-93.</w:t>
      </w:r>
    </w:p>
  </w:footnote>
  <w:footnote w:id="252">
    <w:p w:rsidR="00434ECC" w:rsidRPr="006552C5" w:rsidRDefault="00434ECC" w:rsidP="00434ECC">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Citado em A. Bullock (1972) 775.</w:t>
      </w:r>
    </w:p>
  </w:footnote>
  <w:footnote w:id="253">
    <w:p w:rsidR="00C13C71" w:rsidRPr="00F04F4E" w:rsidRDefault="00C13C71">
      <w:pPr>
        <w:pStyle w:val="Textodenotaderodap"/>
        <w:rPr>
          <w:rFonts w:ascii="Arial Narrow" w:hAnsi="Arial Narrow"/>
          <w:lang w:val="en-US"/>
        </w:rPr>
      </w:pPr>
      <w:r w:rsidRPr="00F04F4E">
        <w:rPr>
          <w:rStyle w:val="Refdenotaderodap"/>
          <w:rFonts w:ascii="Arial Narrow" w:hAnsi="Arial Narrow"/>
        </w:rPr>
        <w:footnoteRef/>
      </w:r>
      <w:r w:rsidRPr="00F04F4E">
        <w:rPr>
          <w:rFonts w:ascii="Arial Narrow" w:hAnsi="Arial Narrow"/>
          <w:lang w:val="en-US"/>
        </w:rPr>
        <w:t xml:space="preserve"> </w:t>
      </w:r>
      <w:r w:rsidRPr="00F04F4E">
        <w:rPr>
          <w:rFonts w:ascii="Arial Narrow" w:hAnsi="Arial Narrow"/>
          <w:bCs/>
          <w:lang w:val="en-US"/>
        </w:rPr>
        <w:t>O. Mosley (2006)</w:t>
      </w:r>
      <w:r>
        <w:rPr>
          <w:rFonts w:ascii="Arial Narrow" w:hAnsi="Arial Narrow"/>
          <w:bCs/>
          <w:lang w:val="en-US"/>
        </w:rPr>
        <w:t xml:space="preserve"> 311.</w:t>
      </w:r>
    </w:p>
  </w:footnote>
  <w:footnote w:id="254">
    <w:p w:rsidR="00C13C71" w:rsidRPr="005B271F" w:rsidRDefault="00C13C71">
      <w:pPr>
        <w:pStyle w:val="Textodenotaderodap"/>
        <w:rPr>
          <w:rFonts w:ascii="Arial Narrow" w:hAnsi="Arial Narrow"/>
          <w:lang w:val="en-US"/>
        </w:rPr>
      </w:pPr>
      <w:r w:rsidRPr="005B271F">
        <w:rPr>
          <w:rStyle w:val="Refdenotaderodap"/>
          <w:rFonts w:ascii="Arial Narrow" w:hAnsi="Arial Narrow"/>
        </w:rPr>
        <w:footnoteRef/>
      </w:r>
      <w:r w:rsidRPr="005B271F">
        <w:rPr>
          <w:rFonts w:ascii="Arial Narrow" w:hAnsi="Arial Narrow"/>
          <w:lang w:val="en-US"/>
        </w:rPr>
        <w:t xml:space="preserve"> </w:t>
      </w:r>
      <w:r w:rsidRPr="00F57265">
        <w:rPr>
          <w:rFonts w:ascii="Arial Narrow" w:hAnsi="Arial Narrow"/>
          <w:lang w:val="en-US"/>
        </w:rPr>
        <w:t>O. Strasser (1940) 67, 98.</w:t>
      </w:r>
    </w:p>
  </w:footnote>
  <w:footnote w:id="255">
    <w:p w:rsidR="00C13C71" w:rsidRPr="00126918" w:rsidRDefault="00C13C71" w:rsidP="00A61D4E">
      <w:pPr>
        <w:pStyle w:val="Textodenotaderodap"/>
        <w:rPr>
          <w:rFonts w:ascii="Arial Narrow" w:hAnsi="Arial Narrow"/>
          <w:lang w:val="de-DE"/>
        </w:rPr>
      </w:pPr>
      <w:r w:rsidRPr="006552C5">
        <w:rPr>
          <w:rStyle w:val="Refdenotaderodap"/>
          <w:rFonts w:ascii="Arial Narrow" w:hAnsi="Arial Narrow"/>
        </w:rPr>
        <w:footnoteRef/>
      </w:r>
      <w:r w:rsidRPr="00126918">
        <w:rPr>
          <w:rFonts w:ascii="Arial Narrow" w:hAnsi="Arial Narrow"/>
          <w:lang w:val="de-DE"/>
        </w:rPr>
        <w:t xml:space="preserve"> H. J. Syberberg (1980) 378.</w:t>
      </w:r>
    </w:p>
  </w:footnote>
  <w:footnote w:id="256">
    <w:p w:rsidR="00C13C71" w:rsidRPr="004232A1"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Citado em J. P. Faye (1980) 555.</w:t>
      </w:r>
      <w:r>
        <w:rPr>
          <w:rFonts w:ascii="Arial Narrow" w:hAnsi="Arial Narrow"/>
        </w:rPr>
        <w:t xml:space="preserve"> Num discurso de 1932, mencionado em </w:t>
      </w:r>
      <w:r w:rsidRPr="004232A1">
        <w:rPr>
          <w:rFonts w:ascii="Arial Narrow" w:hAnsi="Arial Narrow"/>
        </w:rPr>
        <w:t xml:space="preserve">J. Herf (1986) 195, </w:t>
      </w:r>
      <w:r>
        <w:rPr>
          <w:rFonts w:ascii="Arial Narrow" w:hAnsi="Arial Narrow"/>
        </w:rPr>
        <w:t xml:space="preserve">Goebbels afirmou que o verdadeiro político era um artista que dava forma à «matéria-prima» das massas, e recordo que, segundo </w:t>
      </w:r>
      <w:r w:rsidRPr="004232A1">
        <w:rPr>
          <w:rFonts w:ascii="Arial Narrow" w:hAnsi="Arial Narrow"/>
        </w:rPr>
        <w:t xml:space="preserve">J. Noakes et al. (orgs. 2008-2010) II 214, </w:t>
      </w:r>
      <w:r>
        <w:rPr>
          <w:rFonts w:ascii="Arial Narrow" w:hAnsi="Arial Narrow"/>
        </w:rPr>
        <w:t>numa carta de Abril de 1933 ele referiu também a «</w:t>
      </w:r>
      <w:r w:rsidRPr="001A6472">
        <w:rPr>
          <w:rFonts w:ascii="Arial Narrow" w:hAnsi="Arial Narrow"/>
        </w:rPr>
        <w:t>matéria-prima das massas</w:t>
      </w:r>
      <w:r>
        <w:rPr>
          <w:rFonts w:ascii="Arial Narrow" w:hAnsi="Arial Narrow"/>
        </w:rPr>
        <w:t>».</w:t>
      </w:r>
    </w:p>
  </w:footnote>
  <w:footnote w:id="257">
    <w:p w:rsidR="00C13C71" w:rsidRPr="00656672" w:rsidRDefault="00C13C71" w:rsidP="00A61D4E">
      <w:pPr>
        <w:pStyle w:val="Textodenotaderodap"/>
        <w:rPr>
          <w:rFonts w:ascii="Arial Narrow" w:hAnsi="Arial Narrow"/>
          <w:lang w:val="en-US"/>
        </w:rPr>
      </w:pPr>
      <w:r w:rsidRPr="006552C5">
        <w:rPr>
          <w:rStyle w:val="Refdenotaderodap"/>
          <w:rFonts w:ascii="Arial Narrow" w:hAnsi="Arial Narrow"/>
        </w:rPr>
        <w:footnoteRef/>
      </w:r>
      <w:r w:rsidRPr="00656672">
        <w:rPr>
          <w:rFonts w:ascii="Arial Narrow" w:hAnsi="Arial Narrow"/>
          <w:lang w:val="en-US"/>
        </w:rPr>
        <w:t xml:space="preserve"> K. Heiden (1934) 381.</w:t>
      </w:r>
    </w:p>
  </w:footnote>
  <w:footnote w:id="258">
    <w:p w:rsidR="00C13C71" w:rsidRPr="004D175F" w:rsidRDefault="00C13C71">
      <w:pPr>
        <w:pStyle w:val="Textodenotaderodap"/>
        <w:rPr>
          <w:rFonts w:ascii="Arial Narrow" w:hAnsi="Arial Narrow"/>
        </w:rPr>
      </w:pPr>
      <w:r w:rsidRPr="004D175F">
        <w:rPr>
          <w:rStyle w:val="Refdenotaderodap"/>
          <w:rFonts w:ascii="Arial Narrow" w:hAnsi="Arial Narrow"/>
        </w:rPr>
        <w:footnoteRef/>
      </w:r>
      <w:r w:rsidRPr="00656672">
        <w:rPr>
          <w:rFonts w:ascii="Arial Narrow" w:hAnsi="Arial Narrow"/>
          <w:lang w:val="en-US"/>
        </w:rPr>
        <w:t xml:space="preserve"> L. Rebatet et al. </w:t>
      </w:r>
      <w:r>
        <w:rPr>
          <w:rFonts w:ascii="Arial Narrow" w:hAnsi="Arial Narrow"/>
        </w:rPr>
        <w:t xml:space="preserve">(1999) 62, 63. </w:t>
      </w:r>
      <w:r w:rsidRPr="00F570EA">
        <w:rPr>
          <w:rFonts w:ascii="Arial Narrow" w:hAnsi="Arial Narrow"/>
        </w:rPr>
        <w:t>W. Lepenies (2006) 80 olhou só para uma parte do palco quando escreveu que alguns literatos que até então haviam seguido Hitler se afastaram porque ficaram «esteticamente decepcionados» com aquela repressão.</w:t>
      </w:r>
    </w:p>
  </w:footnote>
  <w:footnote w:id="259">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C. Malaparte (1946) 98-99, 177-178, 209-211. A passagem citada encontra-se nas págs. 172-173. </w:t>
      </w:r>
      <w:r>
        <w:rPr>
          <w:rFonts w:ascii="Arial Narrow" w:hAnsi="Arial Narrow"/>
        </w:rPr>
        <w:t xml:space="preserve">O </w:t>
      </w:r>
      <w:r w:rsidRPr="00CE20D8">
        <w:rPr>
          <w:rFonts w:ascii="Arial Narrow" w:hAnsi="Arial Narrow"/>
        </w:rPr>
        <w:t xml:space="preserve">Governo-Geral </w:t>
      </w:r>
      <w:r>
        <w:rPr>
          <w:rFonts w:ascii="Arial Narrow" w:hAnsi="Arial Narrow"/>
        </w:rPr>
        <w:t xml:space="preserve">era a parte da Polónia que não fora anexada ao Reich. </w:t>
      </w:r>
      <w:r w:rsidRPr="006552C5">
        <w:rPr>
          <w:rFonts w:ascii="Arial Narrow" w:hAnsi="Arial Narrow"/>
        </w:rPr>
        <w:t>Nas suas anotações a E. Ringelblum (1964) 125, Jacob Sloan explic</w:t>
      </w:r>
      <w:r>
        <w:rPr>
          <w:rFonts w:ascii="Arial Narrow" w:hAnsi="Arial Narrow"/>
        </w:rPr>
        <w:t>ou</w:t>
      </w:r>
      <w:r w:rsidRPr="006552C5">
        <w:rPr>
          <w:rFonts w:ascii="Arial Narrow" w:hAnsi="Arial Narrow"/>
        </w:rPr>
        <w:t xml:space="preserve"> que no </w:t>
      </w:r>
      <w:r w:rsidRPr="006552C5">
        <w:rPr>
          <w:rFonts w:ascii="Arial Narrow" w:hAnsi="Arial Narrow"/>
          <w:i/>
        </w:rPr>
        <w:t>ghetto</w:t>
      </w:r>
      <w:r w:rsidRPr="006552C5">
        <w:rPr>
          <w:rFonts w:ascii="Arial Narrow" w:hAnsi="Arial Narrow"/>
        </w:rPr>
        <w:t xml:space="preserve"> de Varsóvia «os contrabandistas eram de todas as idades, tamanhos e tipos» e mencion</w:t>
      </w:r>
      <w:r>
        <w:rPr>
          <w:rFonts w:ascii="Arial Narrow" w:hAnsi="Arial Narrow"/>
        </w:rPr>
        <w:t>ou</w:t>
      </w:r>
      <w:r w:rsidRPr="006552C5">
        <w:rPr>
          <w:rFonts w:ascii="Arial Narrow" w:hAnsi="Arial Narrow"/>
        </w:rPr>
        <w:t xml:space="preserve"> entre eles «crianças que rastejavam através dos esgotos ou buracos do Muro». E Emmanuel Ringelblum</w:t>
      </w:r>
      <w:r>
        <w:rPr>
          <w:rFonts w:ascii="Arial Narrow" w:hAnsi="Arial Narrow"/>
        </w:rPr>
        <w:t>,</w:t>
      </w:r>
      <w:r w:rsidRPr="006552C5">
        <w:rPr>
          <w:rFonts w:ascii="Arial Narrow" w:hAnsi="Arial Narrow"/>
        </w:rPr>
        <w:t xml:space="preserve"> </w:t>
      </w:r>
      <w:r w:rsidRPr="00195DC2">
        <w:rPr>
          <w:rFonts w:ascii="Arial Narrow" w:hAnsi="Arial Narrow"/>
        </w:rPr>
        <w:t>op. cit.,</w:t>
      </w:r>
      <w:r w:rsidRPr="006552C5">
        <w:rPr>
          <w:rFonts w:ascii="Arial Narrow" w:hAnsi="Arial Narrow"/>
        </w:rPr>
        <w:t xml:space="preserve"> 198 regist</w:t>
      </w:r>
      <w:r>
        <w:rPr>
          <w:rFonts w:ascii="Arial Narrow" w:hAnsi="Arial Narrow"/>
        </w:rPr>
        <w:t>ou</w:t>
      </w:r>
      <w:r w:rsidRPr="006552C5">
        <w:rPr>
          <w:rFonts w:ascii="Arial Narrow" w:hAnsi="Arial Narrow"/>
        </w:rPr>
        <w:t xml:space="preserve"> em Maio de 1941 que «crianças esqueléticas de três a quatro anos passam por [...] valas e vão buscar mercadorias ao Lado Ariano».</w:t>
      </w:r>
      <w:r>
        <w:rPr>
          <w:rFonts w:ascii="Arial Narrow" w:hAnsi="Arial Narrow"/>
        </w:rPr>
        <w:t xml:space="preserve"> Aliás, aquela caçada macabra estava protegida pela lei, pois Frank decretara a pena de morte para os judeus que saíssem do </w:t>
      </w:r>
      <w:r w:rsidRPr="00813D01">
        <w:rPr>
          <w:rFonts w:ascii="Arial Narrow" w:hAnsi="Arial Narrow"/>
          <w:i/>
        </w:rPr>
        <w:t>ghetto</w:t>
      </w:r>
      <w:r>
        <w:rPr>
          <w:rFonts w:ascii="Arial Narrow" w:hAnsi="Arial Narrow"/>
        </w:rPr>
        <w:t>, como se lê em J. Noakes et al. (orgs. 2008-2010) III 463-464. Outro esteta menos conhecido, o SS</w:t>
      </w:r>
      <w:r w:rsidR="001E287A">
        <w:rPr>
          <w:rFonts w:ascii="Arial Narrow" w:hAnsi="Arial Narrow"/>
        </w:rPr>
        <w:t>-</w:t>
      </w:r>
      <w:r>
        <w:rPr>
          <w:rFonts w:ascii="Arial Narrow" w:hAnsi="Arial Narrow"/>
        </w:rPr>
        <w:t xml:space="preserve">Hauptscharführer Felix Landau, coordenador das questões judaicas em Drohobycz, se por um lado se divertia a fazer tiro ao alvo nos judeus que passavam na rua, por outro lado encomendou várias pinturas murais a Bruno Schulz, o que lhe permitiu manter-se em vida até que outro SS, por rivalidade com Landau, o matou. Ver </w:t>
      </w:r>
      <w:r w:rsidRPr="005B271F">
        <w:rPr>
          <w:rFonts w:ascii="Arial Narrow" w:hAnsi="Arial Narrow"/>
        </w:rPr>
        <w:t>S. Friedländer (2008) 379 e 649.</w:t>
      </w:r>
    </w:p>
  </w:footnote>
  <w:footnote w:id="260">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E. Kogon (2002) 265.</w:t>
      </w:r>
    </w:p>
  </w:footnote>
  <w:footnote w:id="261">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G. Lukács (1980) 209.</w:t>
      </w:r>
    </w:p>
  </w:footnote>
  <w:footnote w:id="262">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Citado em P. Milza (1999) 673.</w:t>
      </w:r>
      <w:r w:rsidRPr="0004114F">
        <w:rPr>
          <w:rFonts w:ascii="Arial Narrow" w:hAnsi="Arial Narrow"/>
        </w:rPr>
        <w:t xml:space="preserve"> </w:t>
      </w:r>
      <w:r>
        <w:rPr>
          <w:rFonts w:ascii="Arial Narrow" w:hAnsi="Arial Narrow"/>
        </w:rPr>
        <w:t xml:space="preserve">Ver também </w:t>
      </w:r>
      <w:r w:rsidRPr="00B40086">
        <w:rPr>
          <w:rFonts w:ascii="Arial Narrow" w:hAnsi="Arial Narrow"/>
        </w:rPr>
        <w:t xml:space="preserve">J. C. Fest (1974) 846. </w:t>
      </w:r>
      <w:r w:rsidRPr="006552C5">
        <w:rPr>
          <w:rFonts w:ascii="Arial Narrow" w:hAnsi="Arial Narrow"/>
        </w:rPr>
        <w:t>O exército etíope possuía 50 canhões comuns e 192 aviões antiquados, tendo perdido este material logo nos primeiros dias da guerra, consoante afirm</w:t>
      </w:r>
      <w:r>
        <w:rPr>
          <w:rFonts w:ascii="Arial Narrow" w:hAnsi="Arial Narrow"/>
        </w:rPr>
        <w:t>ou</w:t>
      </w:r>
      <w:r w:rsidRPr="006552C5">
        <w:rPr>
          <w:rFonts w:ascii="Arial Narrow" w:hAnsi="Arial Narrow"/>
        </w:rPr>
        <w:t xml:space="preserve"> Benoist-Méchin (1964-1966) IV 133 n. 3. Por seu lado, as tropas invasoras dispunham de 450 aviões, indic</w:t>
      </w:r>
      <w:r>
        <w:rPr>
          <w:rFonts w:ascii="Arial Narrow" w:hAnsi="Arial Narrow"/>
        </w:rPr>
        <w:t>ou</w:t>
      </w:r>
      <w:r w:rsidRPr="006552C5">
        <w:rPr>
          <w:rFonts w:ascii="Arial Narrow" w:hAnsi="Arial Narrow"/>
        </w:rPr>
        <w:t xml:space="preserve"> G. Rochat, «Mussolini as War Leader», em I. C. B. Dear et al. (orgs. 1995) 768.</w:t>
      </w:r>
    </w:p>
  </w:footnote>
  <w:footnote w:id="263">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E. Santarelli (1981) I 265.</w:t>
      </w:r>
    </w:p>
  </w:footnote>
  <w:footnote w:id="264">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F. L. Carsten (1967) 51.</w:t>
      </w:r>
    </w:p>
  </w:footnote>
  <w:footnote w:id="265">
    <w:p w:rsidR="00C13C71" w:rsidRPr="006552C5" w:rsidRDefault="00C13C71" w:rsidP="00A61D4E">
      <w:pPr>
        <w:pStyle w:val="Textodenotaderodap"/>
        <w:ind w:firstLine="708"/>
        <w:rPr>
          <w:rFonts w:ascii="Arial Narrow" w:hAnsi="Arial Narrow"/>
        </w:rPr>
      </w:pPr>
      <w:r w:rsidRPr="006552C5">
        <w:rPr>
          <w:rStyle w:val="Refdenotaderodap"/>
          <w:rFonts w:ascii="Arial Narrow" w:hAnsi="Arial Narrow"/>
        </w:rPr>
        <w:footnoteRef/>
      </w:r>
      <w:r w:rsidRPr="006552C5">
        <w:rPr>
          <w:rFonts w:ascii="Arial Narrow" w:hAnsi="Arial Narrow"/>
        </w:rPr>
        <w:t xml:space="preserve"> J. Billig (2000) 129, 209. No entanto, toda a capa do número de 14 de Novembro de 1936 do periódico de Barcelona </w:t>
      </w:r>
      <w:r w:rsidRPr="006552C5">
        <w:rPr>
          <w:rFonts w:ascii="Arial Narrow" w:hAnsi="Arial Narrow"/>
          <w:i/>
        </w:rPr>
        <w:t>La Vanguardia</w:t>
      </w:r>
      <w:r w:rsidRPr="006552C5">
        <w:rPr>
          <w:rFonts w:ascii="Arial Narrow" w:hAnsi="Arial Narrow"/>
        </w:rPr>
        <w:t xml:space="preserve"> era preenchida pela fotografia de </w:t>
      </w:r>
      <w:r w:rsidRPr="006552C5">
        <w:rPr>
          <w:rFonts w:ascii="Arial Narrow" w:hAnsi="Arial Narrow"/>
          <w:i/>
        </w:rPr>
        <w:t>«una bella miliciana»</w:t>
      </w:r>
      <w:r w:rsidRPr="006552C5">
        <w:rPr>
          <w:rFonts w:ascii="Arial Narrow" w:hAnsi="Arial Narrow"/>
        </w:rPr>
        <w:t xml:space="preserve"> que ostentava no capacete, desenhadas por mão inexperiente, a caveira com as tíbias cruzadas. Ver J. Mendelson (2007) 31. Parecem inesgotáveis os ecos das referências múltiplas e os labirintos ideológicos que assim se formam.</w:t>
      </w:r>
    </w:p>
  </w:footnote>
  <w:footnote w:id="266">
    <w:p w:rsidR="00C13C71" w:rsidRPr="006552C5" w:rsidRDefault="00C13C71" w:rsidP="00A61D4E">
      <w:pPr>
        <w:pStyle w:val="Textodenotaderodap"/>
        <w:rPr>
          <w:rFonts w:ascii="Arial Narrow" w:hAnsi="Arial Narrow"/>
          <w:lang w:val="es-ES"/>
        </w:rPr>
      </w:pPr>
      <w:r w:rsidRPr="006552C5">
        <w:rPr>
          <w:rStyle w:val="Refdenotaderodap"/>
          <w:rFonts w:ascii="Arial Narrow" w:hAnsi="Arial Narrow"/>
        </w:rPr>
        <w:footnoteRef/>
      </w:r>
      <w:r w:rsidRPr="006552C5">
        <w:rPr>
          <w:rFonts w:ascii="Arial Narrow" w:hAnsi="Arial Narrow"/>
          <w:lang w:val="es-ES"/>
        </w:rPr>
        <w:t xml:space="preserve"> M. García Venero (1967) 263; S. G. Payne (1961) 49 n., 104.</w:t>
      </w:r>
    </w:p>
  </w:footnote>
  <w:footnote w:id="267">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G. Bortolotto (1938) 34-35. Segundo M.-A. Macciocchi (1976 a) II 26, fora D’Annunzio quem criara a divisa </w:t>
      </w:r>
      <w:r w:rsidRPr="006552C5">
        <w:rPr>
          <w:rFonts w:ascii="Arial Narrow" w:hAnsi="Arial Narrow"/>
          <w:i/>
        </w:rPr>
        <w:t>«me ne frego»,</w:t>
      </w:r>
      <w:r w:rsidRPr="006552C5">
        <w:rPr>
          <w:rFonts w:ascii="Arial Narrow" w:hAnsi="Arial Narrow"/>
        </w:rPr>
        <w:t xml:space="preserve"> mas esta informação encontra-se num capítulo recheado de tantas imprecisões e tantos erros que pouco crédito lhe atribuo.</w:t>
      </w:r>
      <w:r>
        <w:rPr>
          <w:rFonts w:ascii="Arial Narrow" w:hAnsi="Arial Narrow"/>
        </w:rPr>
        <w:t xml:space="preserve"> Também G. Seldes (1935) 75 e 135 considerou que o lema </w:t>
      </w:r>
      <w:r w:rsidRPr="00EB5E3A">
        <w:rPr>
          <w:rFonts w:ascii="Arial Narrow" w:hAnsi="Arial Narrow"/>
          <w:i/>
        </w:rPr>
        <w:t>«me ne frego»</w:t>
      </w:r>
      <w:r>
        <w:rPr>
          <w:rFonts w:ascii="Arial Narrow" w:hAnsi="Arial Narrow"/>
        </w:rPr>
        <w:t xml:space="preserve"> era originário da </w:t>
      </w:r>
      <w:r w:rsidRPr="001F54CA">
        <w:rPr>
          <w:rFonts w:ascii="Arial Narrow" w:hAnsi="Arial Narrow"/>
        </w:rPr>
        <w:t>aventura dannunziana</w:t>
      </w:r>
      <w:r>
        <w:rPr>
          <w:rFonts w:ascii="Arial Narrow" w:hAnsi="Arial Narrow"/>
        </w:rPr>
        <w:t xml:space="preserve"> em Fiume, mas este livro é igualmente pouco preciso. </w:t>
      </w:r>
      <w:r w:rsidRPr="005B271F">
        <w:rPr>
          <w:rFonts w:ascii="Arial Narrow" w:hAnsi="Arial Narrow"/>
          <w:bCs/>
          <w:iCs/>
        </w:rPr>
        <w:t xml:space="preserve">R. Eatwell </w:t>
      </w:r>
      <w:r w:rsidRPr="005B271F">
        <w:rPr>
          <w:rFonts w:ascii="Arial Narrow" w:hAnsi="Arial Narrow"/>
        </w:rPr>
        <w:t xml:space="preserve">(2011) 176 indicou que o lema provinha dos </w:t>
      </w:r>
      <w:r w:rsidRPr="005B271F">
        <w:rPr>
          <w:rFonts w:ascii="Arial Narrow" w:hAnsi="Arial Narrow"/>
          <w:i/>
        </w:rPr>
        <w:t>arditi</w:t>
      </w:r>
      <w:r w:rsidRPr="005B271F">
        <w:rPr>
          <w:rFonts w:ascii="Arial Narrow" w:hAnsi="Arial Narrow"/>
        </w:rPr>
        <w:t>.</w:t>
      </w:r>
    </w:p>
  </w:footnote>
  <w:footnote w:id="268">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B. Mussolini (1935) 23</w:t>
      </w:r>
      <w:r>
        <w:rPr>
          <w:rFonts w:ascii="Arial Narrow" w:hAnsi="Arial Narrow"/>
        </w:rPr>
        <w:t>.</w:t>
      </w:r>
      <w:r w:rsidRPr="006552C5">
        <w:rPr>
          <w:rFonts w:ascii="Arial Narrow" w:hAnsi="Arial Narrow"/>
        </w:rPr>
        <w:t xml:space="preserve"> Ver igualmente Ch. F. Delzell (org. 1971) 99</w:t>
      </w:r>
      <w:r>
        <w:rPr>
          <w:rFonts w:ascii="Arial Narrow" w:hAnsi="Arial Narrow"/>
        </w:rPr>
        <w:t xml:space="preserve"> e </w:t>
      </w:r>
      <w:r w:rsidRPr="006552C5">
        <w:rPr>
          <w:rFonts w:ascii="Arial Narrow" w:hAnsi="Arial Narrow"/>
        </w:rPr>
        <w:t>G. S. Spinetti (org. 1938) 248.</w:t>
      </w:r>
    </w:p>
  </w:footnote>
  <w:footnote w:id="269">
    <w:p w:rsidR="00C13C71" w:rsidRPr="006552C5" w:rsidRDefault="00C13C71" w:rsidP="00A61D4E">
      <w:pPr>
        <w:pStyle w:val="Textodenotaderodap"/>
        <w:rPr>
          <w:rFonts w:ascii="Arial Narrow" w:hAnsi="Arial Narrow"/>
        </w:rPr>
      </w:pPr>
      <w:r w:rsidRPr="006552C5">
        <w:rPr>
          <w:rStyle w:val="Refdenotaderodap"/>
          <w:rFonts w:ascii="Arial Narrow" w:hAnsi="Arial Narrow"/>
        </w:rPr>
        <w:footnoteRef/>
      </w:r>
      <w:r w:rsidRPr="006552C5">
        <w:rPr>
          <w:rFonts w:ascii="Arial Narrow" w:hAnsi="Arial Narrow"/>
        </w:rPr>
        <w:t xml:space="preserve"> Antologiado em G. S. Spinetti (org. 1938) 67. </w:t>
      </w:r>
      <w:r>
        <w:rPr>
          <w:rFonts w:ascii="Arial Narrow" w:hAnsi="Arial Narrow"/>
        </w:rPr>
        <w:t xml:space="preserve">Ver igualmente J. Ploncard d’Assac (1971) 133-134. </w:t>
      </w:r>
      <w:r w:rsidRPr="006552C5">
        <w:rPr>
          <w:rFonts w:ascii="Arial Narrow" w:hAnsi="Arial Narrow"/>
        </w:rPr>
        <w:t xml:space="preserve">No seu célebre discurso de 3 de Janeiro de 1925 Mussolini recordou: «Eu sempre disse [...] que a violência, para ser eficaz, tem de ser cirúrgica, inteligente e cavalheiresca». Ver Ch. F. Delzell (org. 1971) 57-58. Segundo A. Lyttelton (1982) 455, os mesmos termos, «cavalheiresca» e «cirúrgica», aparecem nas notas que o Duce tomou para a sua intervenção na reunião do Grande Conselho em 5 de Outubro de 1925, quando pretendeu refrear a truculência da Milícia. </w:t>
      </w:r>
      <w:r>
        <w:rPr>
          <w:rFonts w:ascii="Arial Narrow" w:hAnsi="Arial Narrow"/>
        </w:rPr>
        <w:t xml:space="preserve">Depois disso não têm faltado oportunidades para outros exércitos indicarem </w:t>
      </w:r>
      <w:r w:rsidRPr="006552C5">
        <w:rPr>
          <w:rFonts w:ascii="Arial Narrow" w:hAnsi="Arial Narrow"/>
        </w:rPr>
        <w:t xml:space="preserve">nos comunicados de imprensa que também os seus bombardeamentos de populações civis </w:t>
      </w:r>
      <w:r>
        <w:rPr>
          <w:rFonts w:ascii="Arial Narrow" w:hAnsi="Arial Narrow"/>
        </w:rPr>
        <w:t>são</w:t>
      </w:r>
      <w:r w:rsidRPr="006552C5">
        <w:rPr>
          <w:rFonts w:ascii="Arial Narrow" w:hAnsi="Arial Narrow"/>
        </w:rPr>
        <w:t xml:space="preserve"> de carácter «cirúrgico».</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1"/>
    <w:footnote w:id="0"/>
  </w:footnotePr>
  <w:endnotePr>
    <w:endnote w:id="-1"/>
    <w:endnote w:id="0"/>
  </w:endnotePr>
  <w:compat/>
  <w:rsids>
    <w:rsidRoot w:val="00A61D4E"/>
    <w:rsid w:val="000029DE"/>
    <w:rsid w:val="000033FC"/>
    <w:rsid w:val="00003FF9"/>
    <w:rsid w:val="0001469F"/>
    <w:rsid w:val="00015D01"/>
    <w:rsid w:val="00017FCF"/>
    <w:rsid w:val="000225FA"/>
    <w:rsid w:val="000228AF"/>
    <w:rsid w:val="0002577E"/>
    <w:rsid w:val="00025D42"/>
    <w:rsid w:val="00027C01"/>
    <w:rsid w:val="00030075"/>
    <w:rsid w:val="00033EC4"/>
    <w:rsid w:val="0003641A"/>
    <w:rsid w:val="0004172A"/>
    <w:rsid w:val="00043434"/>
    <w:rsid w:val="000452AE"/>
    <w:rsid w:val="000461D9"/>
    <w:rsid w:val="0004758C"/>
    <w:rsid w:val="000479D2"/>
    <w:rsid w:val="00050EE2"/>
    <w:rsid w:val="000633FA"/>
    <w:rsid w:val="00063AC4"/>
    <w:rsid w:val="00063F11"/>
    <w:rsid w:val="00065645"/>
    <w:rsid w:val="00066B5E"/>
    <w:rsid w:val="00071FB9"/>
    <w:rsid w:val="0007265C"/>
    <w:rsid w:val="0007395E"/>
    <w:rsid w:val="00073D4C"/>
    <w:rsid w:val="00075626"/>
    <w:rsid w:val="00075F48"/>
    <w:rsid w:val="00076B21"/>
    <w:rsid w:val="00080716"/>
    <w:rsid w:val="000873BF"/>
    <w:rsid w:val="00093D95"/>
    <w:rsid w:val="000970E1"/>
    <w:rsid w:val="000A0169"/>
    <w:rsid w:val="000A0268"/>
    <w:rsid w:val="000A2197"/>
    <w:rsid w:val="000B0532"/>
    <w:rsid w:val="000B3A40"/>
    <w:rsid w:val="000C05F4"/>
    <w:rsid w:val="000C1AAA"/>
    <w:rsid w:val="000C317E"/>
    <w:rsid w:val="000C5612"/>
    <w:rsid w:val="000C635F"/>
    <w:rsid w:val="000D09BF"/>
    <w:rsid w:val="000E2E04"/>
    <w:rsid w:val="000E4D6D"/>
    <w:rsid w:val="000F185B"/>
    <w:rsid w:val="000F4E7B"/>
    <w:rsid w:val="000F4FB9"/>
    <w:rsid w:val="000F6C7D"/>
    <w:rsid w:val="000F6E04"/>
    <w:rsid w:val="001000BB"/>
    <w:rsid w:val="00103FBA"/>
    <w:rsid w:val="00105413"/>
    <w:rsid w:val="0010725B"/>
    <w:rsid w:val="00107705"/>
    <w:rsid w:val="00113487"/>
    <w:rsid w:val="00114151"/>
    <w:rsid w:val="00114FA3"/>
    <w:rsid w:val="001200C1"/>
    <w:rsid w:val="00120C50"/>
    <w:rsid w:val="00122693"/>
    <w:rsid w:val="001232D8"/>
    <w:rsid w:val="00123E77"/>
    <w:rsid w:val="00125B1B"/>
    <w:rsid w:val="0013304A"/>
    <w:rsid w:val="001341C0"/>
    <w:rsid w:val="00134B33"/>
    <w:rsid w:val="001369BC"/>
    <w:rsid w:val="00136E2B"/>
    <w:rsid w:val="00141AF8"/>
    <w:rsid w:val="00143BAF"/>
    <w:rsid w:val="001440D5"/>
    <w:rsid w:val="00146DFB"/>
    <w:rsid w:val="00147599"/>
    <w:rsid w:val="00147D13"/>
    <w:rsid w:val="00150A82"/>
    <w:rsid w:val="00151C62"/>
    <w:rsid w:val="0015322E"/>
    <w:rsid w:val="001564DD"/>
    <w:rsid w:val="00165CCA"/>
    <w:rsid w:val="00165DAD"/>
    <w:rsid w:val="001663AE"/>
    <w:rsid w:val="0017361A"/>
    <w:rsid w:val="00174683"/>
    <w:rsid w:val="001804AC"/>
    <w:rsid w:val="00181C8E"/>
    <w:rsid w:val="0018276C"/>
    <w:rsid w:val="00183665"/>
    <w:rsid w:val="00183D3E"/>
    <w:rsid w:val="00190607"/>
    <w:rsid w:val="00192247"/>
    <w:rsid w:val="00195DC2"/>
    <w:rsid w:val="00195E15"/>
    <w:rsid w:val="001979A2"/>
    <w:rsid w:val="001A13C6"/>
    <w:rsid w:val="001A2A3B"/>
    <w:rsid w:val="001A2C8F"/>
    <w:rsid w:val="001A4142"/>
    <w:rsid w:val="001A46F6"/>
    <w:rsid w:val="001A53C2"/>
    <w:rsid w:val="001A5D07"/>
    <w:rsid w:val="001A6472"/>
    <w:rsid w:val="001A7446"/>
    <w:rsid w:val="001A7C15"/>
    <w:rsid w:val="001A7DF2"/>
    <w:rsid w:val="001B1226"/>
    <w:rsid w:val="001B21B5"/>
    <w:rsid w:val="001B2B06"/>
    <w:rsid w:val="001B2D7B"/>
    <w:rsid w:val="001C1953"/>
    <w:rsid w:val="001C274E"/>
    <w:rsid w:val="001C3263"/>
    <w:rsid w:val="001C3FE6"/>
    <w:rsid w:val="001D16B8"/>
    <w:rsid w:val="001D52CD"/>
    <w:rsid w:val="001D5A5E"/>
    <w:rsid w:val="001D5A6D"/>
    <w:rsid w:val="001D6775"/>
    <w:rsid w:val="001D7B77"/>
    <w:rsid w:val="001E07FF"/>
    <w:rsid w:val="001E287A"/>
    <w:rsid w:val="001E5483"/>
    <w:rsid w:val="001F0838"/>
    <w:rsid w:val="001F3038"/>
    <w:rsid w:val="001F3DB9"/>
    <w:rsid w:val="001F4A10"/>
    <w:rsid w:val="00200FD9"/>
    <w:rsid w:val="00201B01"/>
    <w:rsid w:val="00203249"/>
    <w:rsid w:val="0020484F"/>
    <w:rsid w:val="0020566B"/>
    <w:rsid w:val="002056CE"/>
    <w:rsid w:val="00205C05"/>
    <w:rsid w:val="002064C9"/>
    <w:rsid w:val="00210754"/>
    <w:rsid w:val="002120EC"/>
    <w:rsid w:val="00212C78"/>
    <w:rsid w:val="002157DA"/>
    <w:rsid w:val="002174E9"/>
    <w:rsid w:val="00217C57"/>
    <w:rsid w:val="00225964"/>
    <w:rsid w:val="00225E2B"/>
    <w:rsid w:val="0022653E"/>
    <w:rsid w:val="00233F32"/>
    <w:rsid w:val="00237A25"/>
    <w:rsid w:val="00240379"/>
    <w:rsid w:val="002421C2"/>
    <w:rsid w:val="002425C5"/>
    <w:rsid w:val="002437F0"/>
    <w:rsid w:val="00244DD7"/>
    <w:rsid w:val="00245A3C"/>
    <w:rsid w:val="00246F43"/>
    <w:rsid w:val="00250ADE"/>
    <w:rsid w:val="00253FE0"/>
    <w:rsid w:val="002543D5"/>
    <w:rsid w:val="002551E9"/>
    <w:rsid w:val="00262A40"/>
    <w:rsid w:val="00264223"/>
    <w:rsid w:val="00271258"/>
    <w:rsid w:val="00271D19"/>
    <w:rsid w:val="00272701"/>
    <w:rsid w:val="002732BB"/>
    <w:rsid w:val="002737E5"/>
    <w:rsid w:val="002751A8"/>
    <w:rsid w:val="002757AE"/>
    <w:rsid w:val="00275EC4"/>
    <w:rsid w:val="00284903"/>
    <w:rsid w:val="0028552F"/>
    <w:rsid w:val="00286C67"/>
    <w:rsid w:val="002912D9"/>
    <w:rsid w:val="0029245C"/>
    <w:rsid w:val="00297292"/>
    <w:rsid w:val="002A0580"/>
    <w:rsid w:val="002A3756"/>
    <w:rsid w:val="002A7333"/>
    <w:rsid w:val="002A7DB7"/>
    <w:rsid w:val="002A7FA7"/>
    <w:rsid w:val="002B0D7A"/>
    <w:rsid w:val="002B5432"/>
    <w:rsid w:val="002B5574"/>
    <w:rsid w:val="002B56BD"/>
    <w:rsid w:val="002B6526"/>
    <w:rsid w:val="002C1A52"/>
    <w:rsid w:val="002C32C3"/>
    <w:rsid w:val="002C40CB"/>
    <w:rsid w:val="002C7B8A"/>
    <w:rsid w:val="002D05C3"/>
    <w:rsid w:val="002D23BA"/>
    <w:rsid w:val="002D26DC"/>
    <w:rsid w:val="002D2710"/>
    <w:rsid w:val="002D5108"/>
    <w:rsid w:val="002D5B06"/>
    <w:rsid w:val="002D7892"/>
    <w:rsid w:val="002E1C5A"/>
    <w:rsid w:val="002E2E5F"/>
    <w:rsid w:val="002E4883"/>
    <w:rsid w:val="002E683A"/>
    <w:rsid w:val="002E6FCC"/>
    <w:rsid w:val="002F0864"/>
    <w:rsid w:val="002F0CED"/>
    <w:rsid w:val="002F2723"/>
    <w:rsid w:val="002F4084"/>
    <w:rsid w:val="002F4A8C"/>
    <w:rsid w:val="00302A8C"/>
    <w:rsid w:val="00303387"/>
    <w:rsid w:val="00303F61"/>
    <w:rsid w:val="00304806"/>
    <w:rsid w:val="003075E7"/>
    <w:rsid w:val="0031254F"/>
    <w:rsid w:val="00313A8C"/>
    <w:rsid w:val="003143A5"/>
    <w:rsid w:val="00320D04"/>
    <w:rsid w:val="00321430"/>
    <w:rsid w:val="00323612"/>
    <w:rsid w:val="0032368C"/>
    <w:rsid w:val="0032748E"/>
    <w:rsid w:val="00336611"/>
    <w:rsid w:val="003368BD"/>
    <w:rsid w:val="00343712"/>
    <w:rsid w:val="00345697"/>
    <w:rsid w:val="00346422"/>
    <w:rsid w:val="00346489"/>
    <w:rsid w:val="00346E4A"/>
    <w:rsid w:val="00347F0D"/>
    <w:rsid w:val="003510D6"/>
    <w:rsid w:val="003511EF"/>
    <w:rsid w:val="003565A3"/>
    <w:rsid w:val="00360118"/>
    <w:rsid w:val="00360355"/>
    <w:rsid w:val="00360E6F"/>
    <w:rsid w:val="00363FA4"/>
    <w:rsid w:val="003703A2"/>
    <w:rsid w:val="00370FAF"/>
    <w:rsid w:val="00372673"/>
    <w:rsid w:val="00374115"/>
    <w:rsid w:val="003760A2"/>
    <w:rsid w:val="00376377"/>
    <w:rsid w:val="00380965"/>
    <w:rsid w:val="0038139A"/>
    <w:rsid w:val="003835F0"/>
    <w:rsid w:val="00383CAB"/>
    <w:rsid w:val="003846DB"/>
    <w:rsid w:val="00384909"/>
    <w:rsid w:val="00392082"/>
    <w:rsid w:val="003957DA"/>
    <w:rsid w:val="003964C1"/>
    <w:rsid w:val="003967D0"/>
    <w:rsid w:val="00396D06"/>
    <w:rsid w:val="003A2289"/>
    <w:rsid w:val="003A22D8"/>
    <w:rsid w:val="003A30AA"/>
    <w:rsid w:val="003A45B7"/>
    <w:rsid w:val="003A6777"/>
    <w:rsid w:val="003A6807"/>
    <w:rsid w:val="003A7068"/>
    <w:rsid w:val="003A75F3"/>
    <w:rsid w:val="003B1F99"/>
    <w:rsid w:val="003B66D6"/>
    <w:rsid w:val="003B6ABE"/>
    <w:rsid w:val="003C00C2"/>
    <w:rsid w:val="003C1116"/>
    <w:rsid w:val="003C3778"/>
    <w:rsid w:val="003C3D7E"/>
    <w:rsid w:val="003C492D"/>
    <w:rsid w:val="003C4DDD"/>
    <w:rsid w:val="003C5D60"/>
    <w:rsid w:val="003C602B"/>
    <w:rsid w:val="003C6BF4"/>
    <w:rsid w:val="003D58BF"/>
    <w:rsid w:val="003E1DD3"/>
    <w:rsid w:val="003E2815"/>
    <w:rsid w:val="003E2919"/>
    <w:rsid w:val="003E45E9"/>
    <w:rsid w:val="003E52C2"/>
    <w:rsid w:val="003E7B26"/>
    <w:rsid w:val="003F02EB"/>
    <w:rsid w:val="003F242D"/>
    <w:rsid w:val="003F2C4A"/>
    <w:rsid w:val="003F3513"/>
    <w:rsid w:val="003F5F01"/>
    <w:rsid w:val="003F5FCE"/>
    <w:rsid w:val="00401D91"/>
    <w:rsid w:val="004029E3"/>
    <w:rsid w:val="00407330"/>
    <w:rsid w:val="00410533"/>
    <w:rsid w:val="004106EF"/>
    <w:rsid w:val="00412729"/>
    <w:rsid w:val="00413928"/>
    <w:rsid w:val="00414046"/>
    <w:rsid w:val="004142A0"/>
    <w:rsid w:val="0041579F"/>
    <w:rsid w:val="00415D1C"/>
    <w:rsid w:val="004200F4"/>
    <w:rsid w:val="004214AC"/>
    <w:rsid w:val="004219D3"/>
    <w:rsid w:val="004232A1"/>
    <w:rsid w:val="00425B61"/>
    <w:rsid w:val="0042698F"/>
    <w:rsid w:val="004311F8"/>
    <w:rsid w:val="00434ECC"/>
    <w:rsid w:val="00435655"/>
    <w:rsid w:val="0043568A"/>
    <w:rsid w:val="00435E78"/>
    <w:rsid w:val="00435F44"/>
    <w:rsid w:val="004407DC"/>
    <w:rsid w:val="004412C6"/>
    <w:rsid w:val="00446AC9"/>
    <w:rsid w:val="00450B1D"/>
    <w:rsid w:val="004524FB"/>
    <w:rsid w:val="00452ADB"/>
    <w:rsid w:val="00453D01"/>
    <w:rsid w:val="00455DC4"/>
    <w:rsid w:val="00455F64"/>
    <w:rsid w:val="004576C1"/>
    <w:rsid w:val="00462252"/>
    <w:rsid w:val="00462A22"/>
    <w:rsid w:val="00470B19"/>
    <w:rsid w:val="0047269F"/>
    <w:rsid w:val="00473DB7"/>
    <w:rsid w:val="00477810"/>
    <w:rsid w:val="0048053D"/>
    <w:rsid w:val="00480FB4"/>
    <w:rsid w:val="00481A2A"/>
    <w:rsid w:val="00481B43"/>
    <w:rsid w:val="00482B21"/>
    <w:rsid w:val="00482C6C"/>
    <w:rsid w:val="004832AC"/>
    <w:rsid w:val="004846E7"/>
    <w:rsid w:val="00484DCB"/>
    <w:rsid w:val="00486B58"/>
    <w:rsid w:val="004968C5"/>
    <w:rsid w:val="004A0A32"/>
    <w:rsid w:val="004A2BE5"/>
    <w:rsid w:val="004A4CB2"/>
    <w:rsid w:val="004A7B20"/>
    <w:rsid w:val="004B05FB"/>
    <w:rsid w:val="004B4E9E"/>
    <w:rsid w:val="004B59A6"/>
    <w:rsid w:val="004B67E7"/>
    <w:rsid w:val="004C41ED"/>
    <w:rsid w:val="004D0B17"/>
    <w:rsid w:val="004D1124"/>
    <w:rsid w:val="004D175F"/>
    <w:rsid w:val="004D76E0"/>
    <w:rsid w:val="004E1205"/>
    <w:rsid w:val="004E15F4"/>
    <w:rsid w:val="004E469D"/>
    <w:rsid w:val="004E604E"/>
    <w:rsid w:val="004F16F5"/>
    <w:rsid w:val="004F2C44"/>
    <w:rsid w:val="004F335F"/>
    <w:rsid w:val="004F429F"/>
    <w:rsid w:val="004F5E92"/>
    <w:rsid w:val="004F7F40"/>
    <w:rsid w:val="005003AF"/>
    <w:rsid w:val="00500DEE"/>
    <w:rsid w:val="00501AB1"/>
    <w:rsid w:val="00504D27"/>
    <w:rsid w:val="0050513A"/>
    <w:rsid w:val="00510978"/>
    <w:rsid w:val="00510A3F"/>
    <w:rsid w:val="00511217"/>
    <w:rsid w:val="005126C3"/>
    <w:rsid w:val="00512FCA"/>
    <w:rsid w:val="00514726"/>
    <w:rsid w:val="0052003F"/>
    <w:rsid w:val="00524E14"/>
    <w:rsid w:val="00527397"/>
    <w:rsid w:val="00535402"/>
    <w:rsid w:val="00541BC3"/>
    <w:rsid w:val="00542961"/>
    <w:rsid w:val="00543CAB"/>
    <w:rsid w:val="00544D01"/>
    <w:rsid w:val="00550284"/>
    <w:rsid w:val="005526E1"/>
    <w:rsid w:val="00552A77"/>
    <w:rsid w:val="00552F71"/>
    <w:rsid w:val="00553C8F"/>
    <w:rsid w:val="0055633C"/>
    <w:rsid w:val="00561304"/>
    <w:rsid w:val="005624E6"/>
    <w:rsid w:val="005637C4"/>
    <w:rsid w:val="00571D29"/>
    <w:rsid w:val="00574745"/>
    <w:rsid w:val="00574917"/>
    <w:rsid w:val="0057639D"/>
    <w:rsid w:val="00576D0F"/>
    <w:rsid w:val="00577478"/>
    <w:rsid w:val="00577515"/>
    <w:rsid w:val="0058167D"/>
    <w:rsid w:val="005818EE"/>
    <w:rsid w:val="005819E5"/>
    <w:rsid w:val="00582E0C"/>
    <w:rsid w:val="00585178"/>
    <w:rsid w:val="005853D6"/>
    <w:rsid w:val="00591C06"/>
    <w:rsid w:val="00594846"/>
    <w:rsid w:val="00595FE4"/>
    <w:rsid w:val="00596832"/>
    <w:rsid w:val="005A0595"/>
    <w:rsid w:val="005A1582"/>
    <w:rsid w:val="005A3F07"/>
    <w:rsid w:val="005A44BF"/>
    <w:rsid w:val="005A7838"/>
    <w:rsid w:val="005B09C2"/>
    <w:rsid w:val="005B247F"/>
    <w:rsid w:val="005B271F"/>
    <w:rsid w:val="005B5563"/>
    <w:rsid w:val="005C25AB"/>
    <w:rsid w:val="005C334B"/>
    <w:rsid w:val="005C474C"/>
    <w:rsid w:val="005C50FF"/>
    <w:rsid w:val="005C617E"/>
    <w:rsid w:val="005D1D93"/>
    <w:rsid w:val="005D3852"/>
    <w:rsid w:val="005D403A"/>
    <w:rsid w:val="005E1D7B"/>
    <w:rsid w:val="005E464E"/>
    <w:rsid w:val="005E5583"/>
    <w:rsid w:val="005F325A"/>
    <w:rsid w:val="005F33BD"/>
    <w:rsid w:val="005F3D37"/>
    <w:rsid w:val="005F5E2A"/>
    <w:rsid w:val="005F5E92"/>
    <w:rsid w:val="005F6886"/>
    <w:rsid w:val="006005B1"/>
    <w:rsid w:val="0060312B"/>
    <w:rsid w:val="0060319D"/>
    <w:rsid w:val="00603E91"/>
    <w:rsid w:val="00603EB0"/>
    <w:rsid w:val="00605BF7"/>
    <w:rsid w:val="0061023D"/>
    <w:rsid w:val="00617348"/>
    <w:rsid w:val="006214C8"/>
    <w:rsid w:val="006232FB"/>
    <w:rsid w:val="00623548"/>
    <w:rsid w:val="006260B1"/>
    <w:rsid w:val="00627E95"/>
    <w:rsid w:val="0063025B"/>
    <w:rsid w:val="006326C7"/>
    <w:rsid w:val="006335DE"/>
    <w:rsid w:val="00633C3C"/>
    <w:rsid w:val="00635C35"/>
    <w:rsid w:val="00637AFE"/>
    <w:rsid w:val="0064058E"/>
    <w:rsid w:val="00640A74"/>
    <w:rsid w:val="006444DE"/>
    <w:rsid w:val="00650629"/>
    <w:rsid w:val="00650A36"/>
    <w:rsid w:val="00651BD3"/>
    <w:rsid w:val="006531D0"/>
    <w:rsid w:val="00655387"/>
    <w:rsid w:val="00656672"/>
    <w:rsid w:val="00657A1E"/>
    <w:rsid w:val="006616B0"/>
    <w:rsid w:val="006659AD"/>
    <w:rsid w:val="0066603C"/>
    <w:rsid w:val="006667E2"/>
    <w:rsid w:val="00672D77"/>
    <w:rsid w:val="0067424A"/>
    <w:rsid w:val="00674E08"/>
    <w:rsid w:val="0067624B"/>
    <w:rsid w:val="006770EE"/>
    <w:rsid w:val="00680764"/>
    <w:rsid w:val="00681579"/>
    <w:rsid w:val="006828CD"/>
    <w:rsid w:val="0068389A"/>
    <w:rsid w:val="00697FE3"/>
    <w:rsid w:val="006B0F8D"/>
    <w:rsid w:val="006B2476"/>
    <w:rsid w:val="006B293F"/>
    <w:rsid w:val="006B32B6"/>
    <w:rsid w:val="006B53A4"/>
    <w:rsid w:val="006B6F28"/>
    <w:rsid w:val="006C19F7"/>
    <w:rsid w:val="006C716F"/>
    <w:rsid w:val="006D27F0"/>
    <w:rsid w:val="006D7D7E"/>
    <w:rsid w:val="006E014F"/>
    <w:rsid w:val="006E0F6D"/>
    <w:rsid w:val="006E18ED"/>
    <w:rsid w:val="006E19AB"/>
    <w:rsid w:val="006E1D46"/>
    <w:rsid w:val="006E3D2D"/>
    <w:rsid w:val="006E497E"/>
    <w:rsid w:val="006E5B0E"/>
    <w:rsid w:val="006E65E7"/>
    <w:rsid w:val="006F0FF9"/>
    <w:rsid w:val="006F5B71"/>
    <w:rsid w:val="007002F7"/>
    <w:rsid w:val="00701AB8"/>
    <w:rsid w:val="00704E96"/>
    <w:rsid w:val="00707579"/>
    <w:rsid w:val="00712842"/>
    <w:rsid w:val="00712DB7"/>
    <w:rsid w:val="00713584"/>
    <w:rsid w:val="00713C4D"/>
    <w:rsid w:val="007148AF"/>
    <w:rsid w:val="00715F2D"/>
    <w:rsid w:val="007215D1"/>
    <w:rsid w:val="00723835"/>
    <w:rsid w:val="00731175"/>
    <w:rsid w:val="00731FE5"/>
    <w:rsid w:val="007334B1"/>
    <w:rsid w:val="00736075"/>
    <w:rsid w:val="0074260B"/>
    <w:rsid w:val="007443D3"/>
    <w:rsid w:val="00745541"/>
    <w:rsid w:val="00747410"/>
    <w:rsid w:val="00750D39"/>
    <w:rsid w:val="00755588"/>
    <w:rsid w:val="00755AAD"/>
    <w:rsid w:val="00756328"/>
    <w:rsid w:val="00757DDC"/>
    <w:rsid w:val="00760CA1"/>
    <w:rsid w:val="00763620"/>
    <w:rsid w:val="007708AD"/>
    <w:rsid w:val="0077170B"/>
    <w:rsid w:val="00772094"/>
    <w:rsid w:val="007721F5"/>
    <w:rsid w:val="00774211"/>
    <w:rsid w:val="00774D72"/>
    <w:rsid w:val="00775F99"/>
    <w:rsid w:val="00775FE0"/>
    <w:rsid w:val="0077729D"/>
    <w:rsid w:val="007836E0"/>
    <w:rsid w:val="0078620F"/>
    <w:rsid w:val="00790273"/>
    <w:rsid w:val="007A08EE"/>
    <w:rsid w:val="007A0C63"/>
    <w:rsid w:val="007A394D"/>
    <w:rsid w:val="007A3E9D"/>
    <w:rsid w:val="007A630B"/>
    <w:rsid w:val="007A6AE5"/>
    <w:rsid w:val="007A72E0"/>
    <w:rsid w:val="007B31FD"/>
    <w:rsid w:val="007B327D"/>
    <w:rsid w:val="007B34DB"/>
    <w:rsid w:val="007B388F"/>
    <w:rsid w:val="007C1070"/>
    <w:rsid w:val="007C25A4"/>
    <w:rsid w:val="007C2B59"/>
    <w:rsid w:val="007C3386"/>
    <w:rsid w:val="007C41EF"/>
    <w:rsid w:val="007C60CB"/>
    <w:rsid w:val="007D1553"/>
    <w:rsid w:val="007D29EE"/>
    <w:rsid w:val="007D3629"/>
    <w:rsid w:val="007D4661"/>
    <w:rsid w:val="007D5AB5"/>
    <w:rsid w:val="007E0032"/>
    <w:rsid w:val="007E07EC"/>
    <w:rsid w:val="007E0C98"/>
    <w:rsid w:val="007E0F36"/>
    <w:rsid w:val="007E1C5B"/>
    <w:rsid w:val="007E3A67"/>
    <w:rsid w:val="007F0673"/>
    <w:rsid w:val="007F1A04"/>
    <w:rsid w:val="007F1AA1"/>
    <w:rsid w:val="007F21DD"/>
    <w:rsid w:val="007F2290"/>
    <w:rsid w:val="007F5249"/>
    <w:rsid w:val="007F5441"/>
    <w:rsid w:val="007F6EC0"/>
    <w:rsid w:val="007F7421"/>
    <w:rsid w:val="00801A39"/>
    <w:rsid w:val="008025C0"/>
    <w:rsid w:val="008041E1"/>
    <w:rsid w:val="00806B24"/>
    <w:rsid w:val="008121B9"/>
    <w:rsid w:val="00813D01"/>
    <w:rsid w:val="00814613"/>
    <w:rsid w:val="0081571B"/>
    <w:rsid w:val="00816119"/>
    <w:rsid w:val="008216F5"/>
    <w:rsid w:val="00822620"/>
    <w:rsid w:val="00823A73"/>
    <w:rsid w:val="00824904"/>
    <w:rsid w:val="00825084"/>
    <w:rsid w:val="00826159"/>
    <w:rsid w:val="0083110B"/>
    <w:rsid w:val="008376A5"/>
    <w:rsid w:val="0084028C"/>
    <w:rsid w:val="00844C8C"/>
    <w:rsid w:val="008455BA"/>
    <w:rsid w:val="00846569"/>
    <w:rsid w:val="008501A3"/>
    <w:rsid w:val="00851B83"/>
    <w:rsid w:val="008553BF"/>
    <w:rsid w:val="00860496"/>
    <w:rsid w:val="008611F8"/>
    <w:rsid w:val="0086129A"/>
    <w:rsid w:val="00861690"/>
    <w:rsid w:val="008643EB"/>
    <w:rsid w:val="00864E67"/>
    <w:rsid w:val="008702A8"/>
    <w:rsid w:val="008708DF"/>
    <w:rsid w:val="00871106"/>
    <w:rsid w:val="00871DF9"/>
    <w:rsid w:val="00872516"/>
    <w:rsid w:val="00874162"/>
    <w:rsid w:val="00874188"/>
    <w:rsid w:val="00874C62"/>
    <w:rsid w:val="008767FC"/>
    <w:rsid w:val="00876BA5"/>
    <w:rsid w:val="00882990"/>
    <w:rsid w:val="0088376D"/>
    <w:rsid w:val="00886269"/>
    <w:rsid w:val="00890070"/>
    <w:rsid w:val="008916E5"/>
    <w:rsid w:val="00892A53"/>
    <w:rsid w:val="0089429B"/>
    <w:rsid w:val="0089482D"/>
    <w:rsid w:val="008A00D8"/>
    <w:rsid w:val="008A1233"/>
    <w:rsid w:val="008A3979"/>
    <w:rsid w:val="008A4842"/>
    <w:rsid w:val="008A492F"/>
    <w:rsid w:val="008B03B9"/>
    <w:rsid w:val="008B3CC0"/>
    <w:rsid w:val="008B3F04"/>
    <w:rsid w:val="008B5128"/>
    <w:rsid w:val="008B6C3E"/>
    <w:rsid w:val="008C1007"/>
    <w:rsid w:val="008C3D91"/>
    <w:rsid w:val="008C6B20"/>
    <w:rsid w:val="008D199B"/>
    <w:rsid w:val="008D2039"/>
    <w:rsid w:val="008E14A9"/>
    <w:rsid w:val="008E1B0E"/>
    <w:rsid w:val="008E3078"/>
    <w:rsid w:val="008E4B40"/>
    <w:rsid w:val="008E66DD"/>
    <w:rsid w:val="008F001C"/>
    <w:rsid w:val="008F14BE"/>
    <w:rsid w:val="008F664E"/>
    <w:rsid w:val="008F7ED8"/>
    <w:rsid w:val="009004ED"/>
    <w:rsid w:val="009010F2"/>
    <w:rsid w:val="009016A9"/>
    <w:rsid w:val="009038FA"/>
    <w:rsid w:val="00906A76"/>
    <w:rsid w:val="00906D4E"/>
    <w:rsid w:val="00910B8C"/>
    <w:rsid w:val="00910DB8"/>
    <w:rsid w:val="00910FF4"/>
    <w:rsid w:val="009116C5"/>
    <w:rsid w:val="00912068"/>
    <w:rsid w:val="00912393"/>
    <w:rsid w:val="00914663"/>
    <w:rsid w:val="00914795"/>
    <w:rsid w:val="009202B9"/>
    <w:rsid w:val="0092082E"/>
    <w:rsid w:val="00922822"/>
    <w:rsid w:val="009238C8"/>
    <w:rsid w:val="00923A44"/>
    <w:rsid w:val="00924BF0"/>
    <w:rsid w:val="00927B93"/>
    <w:rsid w:val="009305BB"/>
    <w:rsid w:val="009313DC"/>
    <w:rsid w:val="009331E6"/>
    <w:rsid w:val="00934B9E"/>
    <w:rsid w:val="00937A97"/>
    <w:rsid w:val="00941386"/>
    <w:rsid w:val="0094344A"/>
    <w:rsid w:val="009437A1"/>
    <w:rsid w:val="0094409C"/>
    <w:rsid w:val="00947593"/>
    <w:rsid w:val="00951845"/>
    <w:rsid w:val="0095305A"/>
    <w:rsid w:val="00954987"/>
    <w:rsid w:val="009561F6"/>
    <w:rsid w:val="00957F62"/>
    <w:rsid w:val="00963904"/>
    <w:rsid w:val="009649C0"/>
    <w:rsid w:val="00964F68"/>
    <w:rsid w:val="009678FE"/>
    <w:rsid w:val="00971761"/>
    <w:rsid w:val="009742A1"/>
    <w:rsid w:val="009757C2"/>
    <w:rsid w:val="009778AC"/>
    <w:rsid w:val="009819B2"/>
    <w:rsid w:val="009823BA"/>
    <w:rsid w:val="0098549D"/>
    <w:rsid w:val="00987F0C"/>
    <w:rsid w:val="00994835"/>
    <w:rsid w:val="0099513D"/>
    <w:rsid w:val="009A3764"/>
    <w:rsid w:val="009A3922"/>
    <w:rsid w:val="009A7044"/>
    <w:rsid w:val="009A78D2"/>
    <w:rsid w:val="009A7942"/>
    <w:rsid w:val="009B15BF"/>
    <w:rsid w:val="009B273A"/>
    <w:rsid w:val="009B28B1"/>
    <w:rsid w:val="009B41DC"/>
    <w:rsid w:val="009B5683"/>
    <w:rsid w:val="009C0672"/>
    <w:rsid w:val="009C2ACC"/>
    <w:rsid w:val="009C4223"/>
    <w:rsid w:val="009C4411"/>
    <w:rsid w:val="009C6CD5"/>
    <w:rsid w:val="009D471F"/>
    <w:rsid w:val="009D59D8"/>
    <w:rsid w:val="009D694D"/>
    <w:rsid w:val="009E1379"/>
    <w:rsid w:val="009E1650"/>
    <w:rsid w:val="009E22CA"/>
    <w:rsid w:val="009E3ED2"/>
    <w:rsid w:val="009E4DB2"/>
    <w:rsid w:val="009E4FDA"/>
    <w:rsid w:val="009F23F4"/>
    <w:rsid w:val="009F3BC0"/>
    <w:rsid w:val="009F5E03"/>
    <w:rsid w:val="00A01271"/>
    <w:rsid w:val="00A019B5"/>
    <w:rsid w:val="00A117AD"/>
    <w:rsid w:val="00A13151"/>
    <w:rsid w:val="00A13E28"/>
    <w:rsid w:val="00A17094"/>
    <w:rsid w:val="00A17BF3"/>
    <w:rsid w:val="00A20877"/>
    <w:rsid w:val="00A20A1D"/>
    <w:rsid w:val="00A20EF5"/>
    <w:rsid w:val="00A275C0"/>
    <w:rsid w:val="00A31FD5"/>
    <w:rsid w:val="00A35D12"/>
    <w:rsid w:val="00A36818"/>
    <w:rsid w:val="00A36BF6"/>
    <w:rsid w:val="00A3743D"/>
    <w:rsid w:val="00A375AF"/>
    <w:rsid w:val="00A45AF2"/>
    <w:rsid w:val="00A535BD"/>
    <w:rsid w:val="00A53C08"/>
    <w:rsid w:val="00A55531"/>
    <w:rsid w:val="00A567BA"/>
    <w:rsid w:val="00A60287"/>
    <w:rsid w:val="00A61D4E"/>
    <w:rsid w:val="00A65AAD"/>
    <w:rsid w:val="00A6665F"/>
    <w:rsid w:val="00A70019"/>
    <w:rsid w:val="00A75036"/>
    <w:rsid w:val="00A75639"/>
    <w:rsid w:val="00A7612D"/>
    <w:rsid w:val="00A82525"/>
    <w:rsid w:val="00A82E18"/>
    <w:rsid w:val="00A85A0D"/>
    <w:rsid w:val="00A864B6"/>
    <w:rsid w:val="00A933BC"/>
    <w:rsid w:val="00AA2170"/>
    <w:rsid w:val="00AA41BD"/>
    <w:rsid w:val="00AA42F7"/>
    <w:rsid w:val="00AA6034"/>
    <w:rsid w:val="00AB542B"/>
    <w:rsid w:val="00AC1141"/>
    <w:rsid w:val="00AC69DD"/>
    <w:rsid w:val="00AD0202"/>
    <w:rsid w:val="00AD4143"/>
    <w:rsid w:val="00AD54BA"/>
    <w:rsid w:val="00AD5D08"/>
    <w:rsid w:val="00AD6929"/>
    <w:rsid w:val="00AE4535"/>
    <w:rsid w:val="00AE529A"/>
    <w:rsid w:val="00AE5966"/>
    <w:rsid w:val="00AE5AA7"/>
    <w:rsid w:val="00AE5AFC"/>
    <w:rsid w:val="00AE5BD4"/>
    <w:rsid w:val="00AE5E67"/>
    <w:rsid w:val="00AE7CFC"/>
    <w:rsid w:val="00AF139D"/>
    <w:rsid w:val="00AF4931"/>
    <w:rsid w:val="00AF4C24"/>
    <w:rsid w:val="00B00476"/>
    <w:rsid w:val="00B01C7B"/>
    <w:rsid w:val="00B026FF"/>
    <w:rsid w:val="00B075CB"/>
    <w:rsid w:val="00B1099D"/>
    <w:rsid w:val="00B10A5D"/>
    <w:rsid w:val="00B116E8"/>
    <w:rsid w:val="00B12613"/>
    <w:rsid w:val="00B130E6"/>
    <w:rsid w:val="00B14D15"/>
    <w:rsid w:val="00B14F96"/>
    <w:rsid w:val="00B15EC8"/>
    <w:rsid w:val="00B20B4C"/>
    <w:rsid w:val="00B235E2"/>
    <w:rsid w:val="00B2392F"/>
    <w:rsid w:val="00B24005"/>
    <w:rsid w:val="00B2618D"/>
    <w:rsid w:val="00B2646D"/>
    <w:rsid w:val="00B272CC"/>
    <w:rsid w:val="00B272E6"/>
    <w:rsid w:val="00B30A03"/>
    <w:rsid w:val="00B37ED3"/>
    <w:rsid w:val="00B40086"/>
    <w:rsid w:val="00B412C3"/>
    <w:rsid w:val="00B4359B"/>
    <w:rsid w:val="00B43ECC"/>
    <w:rsid w:val="00B52252"/>
    <w:rsid w:val="00B5386E"/>
    <w:rsid w:val="00B562D9"/>
    <w:rsid w:val="00B62253"/>
    <w:rsid w:val="00B674BE"/>
    <w:rsid w:val="00B717C0"/>
    <w:rsid w:val="00B72508"/>
    <w:rsid w:val="00B730DC"/>
    <w:rsid w:val="00B739D0"/>
    <w:rsid w:val="00B8065A"/>
    <w:rsid w:val="00B823DF"/>
    <w:rsid w:val="00B84D29"/>
    <w:rsid w:val="00B85844"/>
    <w:rsid w:val="00B86EDD"/>
    <w:rsid w:val="00B90B84"/>
    <w:rsid w:val="00B92759"/>
    <w:rsid w:val="00B9560E"/>
    <w:rsid w:val="00B9777B"/>
    <w:rsid w:val="00BA0188"/>
    <w:rsid w:val="00BA1ACD"/>
    <w:rsid w:val="00BA3AFC"/>
    <w:rsid w:val="00BB3D0F"/>
    <w:rsid w:val="00BB5D3E"/>
    <w:rsid w:val="00BC0939"/>
    <w:rsid w:val="00BC4A9E"/>
    <w:rsid w:val="00BD0980"/>
    <w:rsid w:val="00BD386D"/>
    <w:rsid w:val="00BD48AD"/>
    <w:rsid w:val="00BD4B52"/>
    <w:rsid w:val="00BE2C8B"/>
    <w:rsid w:val="00BE53F9"/>
    <w:rsid w:val="00BE62A8"/>
    <w:rsid w:val="00BF25D3"/>
    <w:rsid w:val="00BF4425"/>
    <w:rsid w:val="00BF5780"/>
    <w:rsid w:val="00BF73CD"/>
    <w:rsid w:val="00C017E9"/>
    <w:rsid w:val="00C01AC3"/>
    <w:rsid w:val="00C05486"/>
    <w:rsid w:val="00C10A9E"/>
    <w:rsid w:val="00C11C00"/>
    <w:rsid w:val="00C12A26"/>
    <w:rsid w:val="00C13C71"/>
    <w:rsid w:val="00C13DCB"/>
    <w:rsid w:val="00C20AAE"/>
    <w:rsid w:val="00C211D2"/>
    <w:rsid w:val="00C225BF"/>
    <w:rsid w:val="00C267E0"/>
    <w:rsid w:val="00C30AA5"/>
    <w:rsid w:val="00C30DE1"/>
    <w:rsid w:val="00C32A5D"/>
    <w:rsid w:val="00C3798F"/>
    <w:rsid w:val="00C37B5F"/>
    <w:rsid w:val="00C4256F"/>
    <w:rsid w:val="00C43620"/>
    <w:rsid w:val="00C45D55"/>
    <w:rsid w:val="00C46D0C"/>
    <w:rsid w:val="00C46E8C"/>
    <w:rsid w:val="00C51265"/>
    <w:rsid w:val="00C5463E"/>
    <w:rsid w:val="00C55ABE"/>
    <w:rsid w:val="00C56333"/>
    <w:rsid w:val="00C569C7"/>
    <w:rsid w:val="00C61E80"/>
    <w:rsid w:val="00C62CE2"/>
    <w:rsid w:val="00C65F14"/>
    <w:rsid w:val="00C70033"/>
    <w:rsid w:val="00C73AB2"/>
    <w:rsid w:val="00C75811"/>
    <w:rsid w:val="00C759AA"/>
    <w:rsid w:val="00C766DE"/>
    <w:rsid w:val="00C80D0A"/>
    <w:rsid w:val="00C819BA"/>
    <w:rsid w:val="00C81FFE"/>
    <w:rsid w:val="00C86D5F"/>
    <w:rsid w:val="00C86E90"/>
    <w:rsid w:val="00C903C2"/>
    <w:rsid w:val="00C9076D"/>
    <w:rsid w:val="00C91221"/>
    <w:rsid w:val="00C92019"/>
    <w:rsid w:val="00CA3726"/>
    <w:rsid w:val="00CA38D3"/>
    <w:rsid w:val="00CA480A"/>
    <w:rsid w:val="00CA49BB"/>
    <w:rsid w:val="00CA5B53"/>
    <w:rsid w:val="00CA7DDD"/>
    <w:rsid w:val="00CB22BA"/>
    <w:rsid w:val="00CB3586"/>
    <w:rsid w:val="00CB4AB9"/>
    <w:rsid w:val="00CB6AE3"/>
    <w:rsid w:val="00CB7B2E"/>
    <w:rsid w:val="00CC11D2"/>
    <w:rsid w:val="00CC1CDF"/>
    <w:rsid w:val="00CD0F11"/>
    <w:rsid w:val="00CD1513"/>
    <w:rsid w:val="00CD3C12"/>
    <w:rsid w:val="00CD4AE9"/>
    <w:rsid w:val="00CD5C4E"/>
    <w:rsid w:val="00CE1851"/>
    <w:rsid w:val="00CE20D8"/>
    <w:rsid w:val="00CE22D1"/>
    <w:rsid w:val="00CE2B09"/>
    <w:rsid w:val="00CE2D9C"/>
    <w:rsid w:val="00CE3904"/>
    <w:rsid w:val="00CE4E6B"/>
    <w:rsid w:val="00CE608D"/>
    <w:rsid w:val="00CF10C2"/>
    <w:rsid w:val="00CF323E"/>
    <w:rsid w:val="00D0143D"/>
    <w:rsid w:val="00D039C1"/>
    <w:rsid w:val="00D052C3"/>
    <w:rsid w:val="00D06EA4"/>
    <w:rsid w:val="00D07FD6"/>
    <w:rsid w:val="00D117B1"/>
    <w:rsid w:val="00D13D0D"/>
    <w:rsid w:val="00D147C4"/>
    <w:rsid w:val="00D17FF0"/>
    <w:rsid w:val="00D20F8B"/>
    <w:rsid w:val="00D23AF7"/>
    <w:rsid w:val="00D24331"/>
    <w:rsid w:val="00D24E18"/>
    <w:rsid w:val="00D26C74"/>
    <w:rsid w:val="00D27398"/>
    <w:rsid w:val="00D3310C"/>
    <w:rsid w:val="00D3797F"/>
    <w:rsid w:val="00D402F7"/>
    <w:rsid w:val="00D41BE2"/>
    <w:rsid w:val="00D4219A"/>
    <w:rsid w:val="00D445C1"/>
    <w:rsid w:val="00D46590"/>
    <w:rsid w:val="00D469D5"/>
    <w:rsid w:val="00D47577"/>
    <w:rsid w:val="00D542AD"/>
    <w:rsid w:val="00D56993"/>
    <w:rsid w:val="00D6733F"/>
    <w:rsid w:val="00D70447"/>
    <w:rsid w:val="00D70AD3"/>
    <w:rsid w:val="00D7142A"/>
    <w:rsid w:val="00D7288B"/>
    <w:rsid w:val="00D74163"/>
    <w:rsid w:val="00D7710B"/>
    <w:rsid w:val="00D801E8"/>
    <w:rsid w:val="00D818B5"/>
    <w:rsid w:val="00D82BEF"/>
    <w:rsid w:val="00D85AA4"/>
    <w:rsid w:val="00D9067A"/>
    <w:rsid w:val="00D92862"/>
    <w:rsid w:val="00D92ED1"/>
    <w:rsid w:val="00D93455"/>
    <w:rsid w:val="00D9493C"/>
    <w:rsid w:val="00D966E5"/>
    <w:rsid w:val="00DA1008"/>
    <w:rsid w:val="00DA3635"/>
    <w:rsid w:val="00DA3826"/>
    <w:rsid w:val="00DA45C4"/>
    <w:rsid w:val="00DA56C2"/>
    <w:rsid w:val="00DA6872"/>
    <w:rsid w:val="00DA7A55"/>
    <w:rsid w:val="00DA7E88"/>
    <w:rsid w:val="00DB00B1"/>
    <w:rsid w:val="00DB1166"/>
    <w:rsid w:val="00DB1DAF"/>
    <w:rsid w:val="00DC094C"/>
    <w:rsid w:val="00DC1B4E"/>
    <w:rsid w:val="00DC240F"/>
    <w:rsid w:val="00DC64E4"/>
    <w:rsid w:val="00DC6906"/>
    <w:rsid w:val="00DC6B4A"/>
    <w:rsid w:val="00DD1028"/>
    <w:rsid w:val="00DD2D1E"/>
    <w:rsid w:val="00DD2FA8"/>
    <w:rsid w:val="00DD3FB4"/>
    <w:rsid w:val="00DD46EB"/>
    <w:rsid w:val="00DD5404"/>
    <w:rsid w:val="00DD5EEF"/>
    <w:rsid w:val="00DD5F45"/>
    <w:rsid w:val="00DD7627"/>
    <w:rsid w:val="00DD7976"/>
    <w:rsid w:val="00DE2061"/>
    <w:rsid w:val="00DE4123"/>
    <w:rsid w:val="00DE4C1B"/>
    <w:rsid w:val="00DE71C4"/>
    <w:rsid w:val="00DF3628"/>
    <w:rsid w:val="00DF5D51"/>
    <w:rsid w:val="00DF7B7F"/>
    <w:rsid w:val="00E0552D"/>
    <w:rsid w:val="00E10485"/>
    <w:rsid w:val="00E1069C"/>
    <w:rsid w:val="00E11CE9"/>
    <w:rsid w:val="00E15BDA"/>
    <w:rsid w:val="00E21074"/>
    <w:rsid w:val="00E23FE7"/>
    <w:rsid w:val="00E265AA"/>
    <w:rsid w:val="00E2732D"/>
    <w:rsid w:val="00E279AF"/>
    <w:rsid w:val="00E30812"/>
    <w:rsid w:val="00E31CA0"/>
    <w:rsid w:val="00E3243B"/>
    <w:rsid w:val="00E34115"/>
    <w:rsid w:val="00E342EF"/>
    <w:rsid w:val="00E36A62"/>
    <w:rsid w:val="00E36DDD"/>
    <w:rsid w:val="00E40F8D"/>
    <w:rsid w:val="00E4786C"/>
    <w:rsid w:val="00E47CCD"/>
    <w:rsid w:val="00E50375"/>
    <w:rsid w:val="00E51477"/>
    <w:rsid w:val="00E5483C"/>
    <w:rsid w:val="00E54AFA"/>
    <w:rsid w:val="00E5684C"/>
    <w:rsid w:val="00E574D7"/>
    <w:rsid w:val="00E57BF3"/>
    <w:rsid w:val="00E63FB1"/>
    <w:rsid w:val="00E6638F"/>
    <w:rsid w:val="00E73A8A"/>
    <w:rsid w:val="00E8290F"/>
    <w:rsid w:val="00E838D4"/>
    <w:rsid w:val="00E8446F"/>
    <w:rsid w:val="00E84BA6"/>
    <w:rsid w:val="00E866D9"/>
    <w:rsid w:val="00E869B3"/>
    <w:rsid w:val="00E87F28"/>
    <w:rsid w:val="00E90909"/>
    <w:rsid w:val="00E90A6F"/>
    <w:rsid w:val="00E90CA4"/>
    <w:rsid w:val="00E96141"/>
    <w:rsid w:val="00E97A5E"/>
    <w:rsid w:val="00EA09CE"/>
    <w:rsid w:val="00EA3501"/>
    <w:rsid w:val="00EA4228"/>
    <w:rsid w:val="00EA6D71"/>
    <w:rsid w:val="00EA7A25"/>
    <w:rsid w:val="00EB19A6"/>
    <w:rsid w:val="00EB5505"/>
    <w:rsid w:val="00EB57F8"/>
    <w:rsid w:val="00EB5E3A"/>
    <w:rsid w:val="00EB5F91"/>
    <w:rsid w:val="00EC229B"/>
    <w:rsid w:val="00EC63EC"/>
    <w:rsid w:val="00EC7662"/>
    <w:rsid w:val="00ED26A7"/>
    <w:rsid w:val="00ED7940"/>
    <w:rsid w:val="00EE2426"/>
    <w:rsid w:val="00EE3FB9"/>
    <w:rsid w:val="00EE40E2"/>
    <w:rsid w:val="00EE790E"/>
    <w:rsid w:val="00EE7E70"/>
    <w:rsid w:val="00EF21B3"/>
    <w:rsid w:val="00EF6072"/>
    <w:rsid w:val="00EF6836"/>
    <w:rsid w:val="00EF7680"/>
    <w:rsid w:val="00EF7F64"/>
    <w:rsid w:val="00F003BF"/>
    <w:rsid w:val="00F00493"/>
    <w:rsid w:val="00F02F93"/>
    <w:rsid w:val="00F02FBC"/>
    <w:rsid w:val="00F03878"/>
    <w:rsid w:val="00F044C9"/>
    <w:rsid w:val="00F049AD"/>
    <w:rsid w:val="00F04F4E"/>
    <w:rsid w:val="00F05F90"/>
    <w:rsid w:val="00F06889"/>
    <w:rsid w:val="00F10AD0"/>
    <w:rsid w:val="00F1178A"/>
    <w:rsid w:val="00F118E4"/>
    <w:rsid w:val="00F123D4"/>
    <w:rsid w:val="00F1523B"/>
    <w:rsid w:val="00F15D3D"/>
    <w:rsid w:val="00F1792D"/>
    <w:rsid w:val="00F2140A"/>
    <w:rsid w:val="00F21840"/>
    <w:rsid w:val="00F21ACA"/>
    <w:rsid w:val="00F229DA"/>
    <w:rsid w:val="00F22BD9"/>
    <w:rsid w:val="00F25EAD"/>
    <w:rsid w:val="00F30B2C"/>
    <w:rsid w:val="00F341CB"/>
    <w:rsid w:val="00F3508D"/>
    <w:rsid w:val="00F35F1C"/>
    <w:rsid w:val="00F40C33"/>
    <w:rsid w:val="00F415A2"/>
    <w:rsid w:val="00F44E4E"/>
    <w:rsid w:val="00F46FCA"/>
    <w:rsid w:val="00F47CA8"/>
    <w:rsid w:val="00F47FBA"/>
    <w:rsid w:val="00F50396"/>
    <w:rsid w:val="00F521DB"/>
    <w:rsid w:val="00F52608"/>
    <w:rsid w:val="00F570EA"/>
    <w:rsid w:val="00F57265"/>
    <w:rsid w:val="00F633D0"/>
    <w:rsid w:val="00F63E2D"/>
    <w:rsid w:val="00F6575D"/>
    <w:rsid w:val="00F6594A"/>
    <w:rsid w:val="00F66BFD"/>
    <w:rsid w:val="00F674FA"/>
    <w:rsid w:val="00F675B9"/>
    <w:rsid w:val="00F725B2"/>
    <w:rsid w:val="00F74379"/>
    <w:rsid w:val="00F80A75"/>
    <w:rsid w:val="00F80B1A"/>
    <w:rsid w:val="00F8109C"/>
    <w:rsid w:val="00F82428"/>
    <w:rsid w:val="00F82892"/>
    <w:rsid w:val="00F83796"/>
    <w:rsid w:val="00F83D8E"/>
    <w:rsid w:val="00F8469E"/>
    <w:rsid w:val="00F851F8"/>
    <w:rsid w:val="00F86F5D"/>
    <w:rsid w:val="00F91525"/>
    <w:rsid w:val="00F9189A"/>
    <w:rsid w:val="00F94118"/>
    <w:rsid w:val="00F94C16"/>
    <w:rsid w:val="00F956FE"/>
    <w:rsid w:val="00F9705D"/>
    <w:rsid w:val="00FA171F"/>
    <w:rsid w:val="00FA173B"/>
    <w:rsid w:val="00FA1B62"/>
    <w:rsid w:val="00FA2583"/>
    <w:rsid w:val="00FA4402"/>
    <w:rsid w:val="00FA4C1C"/>
    <w:rsid w:val="00FA6EE8"/>
    <w:rsid w:val="00FA7120"/>
    <w:rsid w:val="00FA796E"/>
    <w:rsid w:val="00FB14FA"/>
    <w:rsid w:val="00FB2A16"/>
    <w:rsid w:val="00FB6A2A"/>
    <w:rsid w:val="00FC2393"/>
    <w:rsid w:val="00FC3EF3"/>
    <w:rsid w:val="00FC4442"/>
    <w:rsid w:val="00FC4691"/>
    <w:rsid w:val="00FC4D3D"/>
    <w:rsid w:val="00FC523C"/>
    <w:rsid w:val="00FD07BA"/>
    <w:rsid w:val="00FD2DAA"/>
    <w:rsid w:val="00FD36F2"/>
    <w:rsid w:val="00FD6BAB"/>
    <w:rsid w:val="00FE0445"/>
    <w:rsid w:val="00FE0511"/>
    <w:rsid w:val="00FE08F8"/>
    <w:rsid w:val="00FE13FB"/>
    <w:rsid w:val="00FE15B3"/>
    <w:rsid w:val="00FE31C0"/>
    <w:rsid w:val="00FE3B10"/>
    <w:rsid w:val="00FE4E39"/>
    <w:rsid w:val="00FE7F67"/>
    <w:rsid w:val="00FF0413"/>
    <w:rsid w:val="00FF0521"/>
    <w:rsid w:val="00FF272C"/>
    <w:rsid w:val="00FF53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87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pPr>
        <w:spacing w:line="360"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A61D4E"/>
    <w:rPr>
      <w:rFonts w:ascii="Arial Narrow" w:hAnsi="Arial Narrow"/>
      <w:noProof/>
      <w:sz w:val="24"/>
      <w:szCs w:val="24"/>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semiHidden/>
    <w:rsid w:val="00A61D4E"/>
    <w:pPr>
      <w:spacing w:line="240" w:lineRule="auto"/>
    </w:pPr>
    <w:rPr>
      <w:rFonts w:ascii="Times New Roman" w:hAnsi="Times New Roman"/>
      <w:noProof w:val="0"/>
      <w:sz w:val="20"/>
      <w:szCs w:val="20"/>
      <w:lang w:eastAsia="zh-CN"/>
    </w:rPr>
  </w:style>
  <w:style w:type="character" w:customStyle="1" w:styleId="TextodenotaderodapChar">
    <w:name w:val="Texto de nota de rodapé Char"/>
    <w:basedOn w:val="Fontepargpadro"/>
    <w:link w:val="Textodenotaderodap"/>
    <w:semiHidden/>
    <w:rsid w:val="00A61D4E"/>
    <w:rPr>
      <w:lang w:val="pt-PT" w:eastAsia="zh-CN"/>
    </w:rPr>
  </w:style>
  <w:style w:type="paragraph" w:styleId="Rodap">
    <w:name w:val="footer"/>
    <w:basedOn w:val="Normal"/>
    <w:link w:val="RodapChar"/>
    <w:uiPriority w:val="99"/>
    <w:rsid w:val="00A61D4E"/>
    <w:pPr>
      <w:tabs>
        <w:tab w:val="center" w:pos="4320"/>
        <w:tab w:val="right" w:pos="8640"/>
      </w:tabs>
    </w:pPr>
    <w:rPr>
      <w:rFonts w:ascii="Times New Roman" w:hAnsi="Times New Roman"/>
      <w:noProof w:val="0"/>
      <w:lang w:eastAsia="zh-CN"/>
    </w:rPr>
  </w:style>
  <w:style w:type="character" w:customStyle="1" w:styleId="RodapChar">
    <w:name w:val="Rodapé Char"/>
    <w:basedOn w:val="Fontepargpadro"/>
    <w:link w:val="Rodap"/>
    <w:uiPriority w:val="99"/>
    <w:rsid w:val="00A61D4E"/>
    <w:rPr>
      <w:sz w:val="24"/>
      <w:szCs w:val="24"/>
      <w:lang w:val="pt-PT" w:eastAsia="zh-CN"/>
    </w:rPr>
  </w:style>
  <w:style w:type="paragraph" w:styleId="Ttulo">
    <w:name w:val="Title"/>
    <w:basedOn w:val="Normal"/>
    <w:link w:val="TtuloChar"/>
    <w:qFormat/>
    <w:rsid w:val="00A61D4E"/>
    <w:pPr>
      <w:spacing w:before="240" w:after="60"/>
      <w:ind w:firstLine="0"/>
      <w:jc w:val="center"/>
      <w:outlineLvl w:val="0"/>
    </w:pPr>
    <w:rPr>
      <w:rFonts w:ascii="Times New Roman" w:hAnsi="Times New Roman"/>
      <w:b/>
      <w:bCs/>
      <w:noProof w:val="0"/>
      <w:kern w:val="28"/>
      <w:sz w:val="32"/>
      <w:szCs w:val="32"/>
      <w:lang w:eastAsia="zh-CN"/>
    </w:rPr>
  </w:style>
  <w:style w:type="character" w:customStyle="1" w:styleId="TtuloChar">
    <w:name w:val="Título Char"/>
    <w:basedOn w:val="Fontepargpadro"/>
    <w:link w:val="Ttulo"/>
    <w:rsid w:val="00A61D4E"/>
    <w:rPr>
      <w:b/>
      <w:bCs/>
      <w:kern w:val="28"/>
      <w:sz w:val="32"/>
      <w:szCs w:val="32"/>
      <w:lang w:val="pt-PT" w:eastAsia="zh-CN"/>
    </w:rPr>
  </w:style>
  <w:style w:type="paragraph" w:styleId="Corpodetexto2">
    <w:name w:val="Body Text 2"/>
    <w:basedOn w:val="Normal"/>
    <w:link w:val="Corpodetexto2Char"/>
    <w:rsid w:val="00A61D4E"/>
    <w:pPr>
      <w:keepNext/>
      <w:spacing w:before="720" w:after="360"/>
      <w:ind w:firstLine="0"/>
    </w:pPr>
    <w:rPr>
      <w:rFonts w:ascii="Times New Roman" w:hAnsi="Times New Roman"/>
      <w:b/>
      <w:bCs/>
      <w:noProof w:val="0"/>
      <w:sz w:val="28"/>
      <w:szCs w:val="28"/>
      <w:lang w:eastAsia="zh-CN"/>
    </w:rPr>
  </w:style>
  <w:style w:type="character" w:customStyle="1" w:styleId="Corpodetexto2Char">
    <w:name w:val="Corpo de texto 2 Char"/>
    <w:basedOn w:val="Fontepargpadro"/>
    <w:link w:val="Corpodetexto2"/>
    <w:rsid w:val="00A61D4E"/>
    <w:rPr>
      <w:b/>
      <w:bCs/>
      <w:sz w:val="28"/>
      <w:szCs w:val="28"/>
      <w:lang w:val="pt-PT" w:eastAsia="zh-CN"/>
    </w:rPr>
  </w:style>
  <w:style w:type="character" w:styleId="Refdenotaderodap">
    <w:name w:val="footnote reference"/>
    <w:basedOn w:val="Fontepargpadro"/>
    <w:uiPriority w:val="99"/>
    <w:semiHidden/>
    <w:rsid w:val="00A61D4E"/>
    <w:rPr>
      <w:vertAlign w:val="superscript"/>
    </w:rPr>
  </w:style>
  <w:style w:type="character" w:styleId="Nmerodepgina">
    <w:name w:val="page number"/>
    <w:basedOn w:val="Fontepargpadro"/>
    <w:rsid w:val="00A61D4E"/>
  </w:style>
  <w:style w:type="paragraph" w:styleId="Recuodecorpodetexto">
    <w:name w:val="Body Text Indent"/>
    <w:basedOn w:val="Normal"/>
    <w:link w:val="RecuodecorpodetextoChar"/>
    <w:rsid w:val="00A61D4E"/>
    <w:pPr>
      <w:keepNext/>
      <w:spacing w:before="720" w:after="360"/>
    </w:pPr>
    <w:rPr>
      <w:rFonts w:ascii="Times New Roman" w:hAnsi="Times New Roman"/>
      <w:b/>
      <w:bCs/>
      <w:noProof w:val="0"/>
      <w:sz w:val="28"/>
      <w:szCs w:val="28"/>
      <w:lang w:eastAsia="zh-CN"/>
    </w:rPr>
  </w:style>
  <w:style w:type="character" w:customStyle="1" w:styleId="RecuodecorpodetextoChar">
    <w:name w:val="Recuo de corpo de texto Char"/>
    <w:basedOn w:val="Fontepargpadro"/>
    <w:link w:val="Recuodecorpodetexto"/>
    <w:rsid w:val="00A61D4E"/>
    <w:rPr>
      <w:b/>
      <w:bCs/>
      <w:sz w:val="28"/>
      <w:szCs w:val="28"/>
      <w:lang w:val="pt-PT" w:eastAsia="zh-CN"/>
    </w:rPr>
  </w:style>
  <w:style w:type="paragraph" w:styleId="Cabealho">
    <w:name w:val="header"/>
    <w:basedOn w:val="Normal"/>
    <w:link w:val="CabealhoChar"/>
    <w:uiPriority w:val="99"/>
    <w:semiHidden/>
    <w:unhideWhenUsed/>
    <w:rsid w:val="00A61D4E"/>
    <w:pPr>
      <w:tabs>
        <w:tab w:val="center" w:pos="4419"/>
        <w:tab w:val="right" w:pos="8838"/>
      </w:tabs>
      <w:spacing w:line="240" w:lineRule="auto"/>
    </w:pPr>
  </w:style>
  <w:style w:type="character" w:customStyle="1" w:styleId="CabealhoChar">
    <w:name w:val="Cabeçalho Char"/>
    <w:basedOn w:val="Fontepargpadro"/>
    <w:link w:val="Cabealho"/>
    <w:uiPriority w:val="99"/>
    <w:semiHidden/>
    <w:rsid w:val="00A61D4E"/>
    <w:rPr>
      <w:rFonts w:ascii="Arial Narrow" w:hAnsi="Arial Narrow"/>
      <w:noProof/>
      <w:sz w:val="24"/>
      <w:szCs w:val="24"/>
      <w:lang w:val="pt-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0F242-D071-4C76-A78E-EE630752B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4417</TotalTime>
  <Pages>55</Pages>
  <Words>19720</Words>
  <Characters>112409</Characters>
  <Application>Microsoft Office Word</Application>
  <DocSecurity>0</DocSecurity>
  <Lines>936</Lines>
  <Paragraphs>263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759</cp:revision>
  <dcterms:created xsi:type="dcterms:W3CDTF">2011-08-25T16:51:00Z</dcterms:created>
  <dcterms:modified xsi:type="dcterms:W3CDTF">2015-05-28T13:46:00Z</dcterms:modified>
</cp:coreProperties>
</file>