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D5C" w:rsidRPr="00341472" w:rsidRDefault="00837D5C" w:rsidP="00837D5C">
      <w:pPr>
        <w:pStyle w:val="Ttulo"/>
        <w:spacing w:before="0" w:after="960"/>
        <w:rPr>
          <w:rFonts w:ascii="Arial Narrow" w:hAnsi="Arial Narrow"/>
        </w:rPr>
      </w:pPr>
      <w:r w:rsidRPr="00341472">
        <w:rPr>
          <w:rFonts w:ascii="Arial Narrow" w:hAnsi="Arial Narrow"/>
        </w:rPr>
        <w:t>Capítulo 2</w:t>
      </w:r>
      <w:r w:rsidRPr="00341472">
        <w:rPr>
          <w:rFonts w:ascii="Arial Narrow" w:hAnsi="Arial Narrow"/>
        </w:rPr>
        <w:br/>
        <w:t>O FASCÍNIO DA MORTE</w:t>
      </w:r>
    </w:p>
    <w:p w:rsidR="00837D5C" w:rsidRPr="00341472" w:rsidRDefault="00837D5C" w:rsidP="00311B4F">
      <w:pPr>
        <w:keepNext/>
        <w:tabs>
          <w:tab w:val="left" w:pos="720"/>
          <w:tab w:val="left" w:pos="3312"/>
        </w:tabs>
        <w:spacing w:after="360"/>
        <w:ind w:firstLine="0"/>
        <w:jc w:val="center"/>
        <w:rPr>
          <w:b/>
          <w:sz w:val="28"/>
        </w:rPr>
      </w:pPr>
      <w:r w:rsidRPr="00341472">
        <w:rPr>
          <w:b/>
          <w:sz w:val="28"/>
        </w:rPr>
        <w:t>1. O sublime</w:t>
      </w:r>
    </w:p>
    <w:p w:rsidR="00837D5C" w:rsidRPr="00341472" w:rsidRDefault="00837D5C" w:rsidP="00837D5C">
      <w:r w:rsidRPr="00341472">
        <w:t xml:space="preserve">A arte da sociedade burguesa foi obcecada pelo tema da solidão perante a natureza. Não é </w:t>
      </w:r>
      <w:r w:rsidR="00184416">
        <w:t>espantoso</w:t>
      </w:r>
      <w:r w:rsidRPr="00341472">
        <w:t xml:space="preserve"> que, no próprio momento em que a técnica passou a permitir o controlo dos fenómenos naturais, as obras de arte exprimissem a precari</w:t>
      </w:r>
      <w:r>
        <w:t>e</w:t>
      </w:r>
      <w:r w:rsidRPr="00341472">
        <w:t>dade de um ser humano vítima da fúria dos elementos? Nunca a catástrofe ocupou um lugar tão importante enquanto referência estética como naquela época, precisamente quando começara a poder evitar-se. Na representação da catástrofe estavam subentendidos os perigos a que se expunha quem convertesse a negação ideológica da civilização industrial numa renúncia material. Era no conforto de edifícios solidamente construídos e sob a protecção de técnicas seguras que se desfrutavam as imagens do cataclismo. Esta atitude ambígua foi primordial na percepção do público da época, dando outro sentido à noção de Sublime, que marcou a transição do classissismo para o romantismo. A nova codificação operou-se na Grã-Bretanha, onde ocorrera</w:t>
      </w:r>
      <w:r w:rsidR="00184416">
        <w:t>,</w:t>
      </w:r>
      <w:r w:rsidRPr="00341472">
        <w:t xml:space="preserve"> </w:t>
      </w:r>
      <w:r w:rsidR="00184416">
        <w:t xml:space="preserve">depois dos Países Baixos, </w:t>
      </w:r>
      <w:r w:rsidRPr="00341472">
        <w:t xml:space="preserve">a </w:t>
      </w:r>
      <w:r w:rsidR="00184416">
        <w:t xml:space="preserve">segunda </w:t>
      </w:r>
      <w:r w:rsidRPr="00341472">
        <w:t xml:space="preserve">revolução burguesa e onde a economia capitalista mais profundamente alterara a sociedade aristocrática, reduzindo-a afinal à forma de um novo conteúdo, ou seja, a uma mascarada. </w:t>
      </w:r>
    </w:p>
    <w:p w:rsidR="00837D5C" w:rsidRPr="00341472" w:rsidRDefault="00837D5C" w:rsidP="00837D5C">
      <w:pPr>
        <w:tabs>
          <w:tab w:val="left" w:pos="720"/>
          <w:tab w:val="left" w:pos="3312"/>
        </w:tabs>
      </w:pPr>
      <w:r w:rsidRPr="00341472">
        <w:t xml:space="preserve">«Tudo o que for de qualquer modo capaz de estimular as ideias de dor e perigo, quer dizer, tudo o que for de qualquer modo terrível [...] provoca o </w:t>
      </w:r>
      <w:r w:rsidRPr="00341472">
        <w:rPr>
          <w:i/>
        </w:rPr>
        <w:t>sublime</w:t>
      </w:r>
      <w:r w:rsidRPr="00341472">
        <w:t>», escrev</w:t>
      </w:r>
      <w:r>
        <w:t>eu</w:t>
      </w:r>
      <w:r w:rsidRPr="00341472">
        <w:t xml:space="preserve"> Edmund Burke em 1759, prevenindo em seguida: «Se o perigo ou a dor ameaçarem de demasiado perto serão simplesmente terríveis e incapazes de dar prazer, mas a uma certa distância, e com certas alterações, podem dar prazer, e dão-no [...]»</w:t>
      </w:r>
      <w:r w:rsidRPr="00341472">
        <w:rPr>
          <w:rStyle w:val="Refdenotaderodap"/>
        </w:rPr>
        <w:footnoteReference w:id="1"/>
      </w:r>
      <w:r w:rsidRPr="00341472">
        <w:t>. Na ampliação da sensação de terror até preencher toda a noção de sublime, considerada a emoção superior e mais forte, residiu a contribuição de Burke para a doutrina estética. O sublime supunha a ideia da dor e do perigo quando o espectador não era, nem podia ser, incomodado por perigos e dores reais. O jovem Nietzsche haveria bastante mais tarde de definir o sublime como «a domesticação do horrível pela arte»</w:t>
      </w:r>
      <w:r w:rsidRPr="00341472">
        <w:rPr>
          <w:rStyle w:val="Refdenotaderodap"/>
        </w:rPr>
        <w:footnoteReference w:id="2"/>
      </w:r>
      <w:r w:rsidRPr="00341472">
        <w:t xml:space="preserve">, o que, se mostra a persistência desta noção, não deixa igualmente de revelar o carácter antiquado de boa parte do pensamento de Nietzsche, e precisamente onde ele </w:t>
      </w:r>
      <w:r w:rsidRPr="00341472">
        <w:lastRenderedPageBreak/>
        <w:t>pretendera inovar. O espírito dion</w:t>
      </w:r>
      <w:r>
        <w:t>i</w:t>
      </w:r>
      <w:r w:rsidRPr="00341472">
        <w:t>s</w:t>
      </w:r>
      <w:r>
        <w:t>í</w:t>
      </w:r>
      <w:r w:rsidRPr="00341472">
        <w:t>aco tal como Nietzsche o concebeu, que nos leva a «mergulhar o olhar nos terrores da existência individual, sem que por isso o terror nos imobilize»</w:t>
      </w:r>
      <w:r w:rsidRPr="00341472">
        <w:rPr>
          <w:rStyle w:val="Refdenotaderodap"/>
        </w:rPr>
        <w:footnoteReference w:id="3"/>
      </w:r>
      <w:r w:rsidRPr="00341472">
        <w:t xml:space="preserve">, pertence menos à estética da Grécia clássica do que a uma estética burguesa que </w:t>
      </w:r>
      <w:r w:rsidR="00FF3CB3">
        <w:t>era</w:t>
      </w:r>
      <w:r w:rsidRPr="00341472">
        <w:t xml:space="preserve"> já </w:t>
      </w:r>
      <w:r w:rsidR="00184416">
        <w:t xml:space="preserve">nessa época </w:t>
      </w:r>
      <w:r w:rsidRPr="00341472">
        <w:t>um tanto serôdia. Hoje esta categoria das sensações ficou relegada para filmes de série B, mas na passagem do século XVIII para o século XIX atingiu os píncaros na pintura e na literatura, e a sua adequação é facilmente demonstrada pela rapidez com que se propagou. No próprio ano em que Burke definiu a noção de sublime Moses Mendelssohn introduziu-a na área da cultura germânica, ligando o sentimento estético à faculdade de sentir prazer e dor</w:t>
      </w:r>
      <w:r w:rsidRPr="00341472">
        <w:rPr>
          <w:rStyle w:val="Refdenotaderodap"/>
        </w:rPr>
        <w:footnoteReference w:id="4"/>
      </w:r>
      <w:r w:rsidRPr="00341472">
        <w:t>, e Kant adoptou não só este tema como algumas das principais formulações de Burke. Entretanto Diderot pretend</w:t>
      </w:r>
      <w:r>
        <w:t>eu</w:t>
      </w:r>
      <w:r w:rsidRPr="00341472">
        <w:t xml:space="preserve"> também que «tudo o que imprime um sentimento de terror leva ao sublime»</w:t>
      </w:r>
      <w:r w:rsidRPr="00341472">
        <w:rPr>
          <w:rStyle w:val="Refdenotaderodap"/>
        </w:rPr>
        <w:footnoteReference w:id="5"/>
      </w:r>
      <w:r w:rsidRPr="00341472">
        <w:t>. Mas tomemos um exemplo de sabor doméstico. Mrs. Thrale nascera em Inglaterra, em 1741, numa família da pequena fidalguia empobrecida e casara vinte e dois anos mais tarde na burguesia abastada. Viúva, mais do que o dinheiro do marido ela possuía uma independência de juízo capaz de a fazer contrair tardiamente um segundo matrimónio assaz escandaloso, com o professor de canto da filha. Para fugir aos zunzuns, talvez também para desfrutar a abastança de que gozava, foi viajar com o músico para o continente e escreveu então, narrando a descida pelo lado italiano dos Alpes, que «os perigos reais ou imaginários que encontramos pelo caminho instigam o terror no grau exactamente necessário para se combinar com o prazer e nos proporcionar a plenitude do sublime»</w:t>
      </w:r>
      <w:r w:rsidRPr="00341472">
        <w:rPr>
          <w:rStyle w:val="Refdenotaderodap"/>
        </w:rPr>
        <w:footnoteReference w:id="6"/>
      </w:r>
      <w:r w:rsidRPr="00341472">
        <w:t>. Balzac poria numa fórmula lapidar: «O perigo torna interessante»</w:t>
      </w:r>
      <w:r w:rsidRPr="00341472">
        <w:rPr>
          <w:rStyle w:val="Refdenotaderodap"/>
        </w:rPr>
        <w:footnoteReference w:id="7"/>
      </w:r>
      <w:r w:rsidR="00184416">
        <w:t>.</w:t>
      </w:r>
      <w:r w:rsidRPr="00341472">
        <w:t xml:space="preserve"> </w:t>
      </w:r>
      <w:r w:rsidR="00184416" w:rsidRPr="00341472">
        <w:t xml:space="preserve">E </w:t>
      </w:r>
      <w:r w:rsidRPr="00341472">
        <w:t xml:space="preserve">prosseguindo interminavelmente nos seus exemplares pessoais a fúria de correcções que o singularizava, riscou </w:t>
      </w:r>
      <w:r w:rsidR="00FF3CB3">
        <w:t>n</w:t>
      </w:r>
      <w:r w:rsidRPr="00341472">
        <w:t>um</w:t>
      </w:r>
      <w:r w:rsidR="00FF3CB3">
        <w:t>a</w:t>
      </w:r>
      <w:r w:rsidRPr="00341472">
        <w:t xml:space="preserve"> </w:t>
      </w:r>
      <w:r w:rsidR="00FF3CB3">
        <w:t xml:space="preserve">página </w:t>
      </w:r>
      <w:r w:rsidRPr="00341472">
        <w:t>«o horrível» para escrever, numa formulação que se lhe afigurava mais exacta, «o sublime»</w:t>
      </w:r>
      <w:r w:rsidRPr="00341472">
        <w:rPr>
          <w:rStyle w:val="Refdenotaderodap"/>
        </w:rPr>
        <w:footnoteReference w:id="8"/>
      </w:r>
      <w:r w:rsidRPr="00341472">
        <w:t xml:space="preserve">. </w:t>
      </w:r>
    </w:p>
    <w:p w:rsidR="00837D5C" w:rsidRPr="00341472" w:rsidRDefault="00837D5C" w:rsidP="00837D5C">
      <w:pPr>
        <w:tabs>
          <w:tab w:val="left" w:pos="720"/>
          <w:tab w:val="left" w:pos="3312"/>
        </w:tabs>
      </w:pPr>
      <w:r w:rsidRPr="00341472">
        <w:t xml:space="preserve">O sublime consistia na indissociabilidade do terror e do prazer. Mas para conjugar estes opostos era necessário que o pavor, sentido como verdadeiro, fosse fictício. Senão seria mortal e o prazer ficava abolido. Começou nesta época a atribuir-se uma função decisiva à imaginação, que a racionalidade clássica havia limitado a um papel subsidiário, e ela passou a servir para nos enganarmos a nós próprios quanto ao verdadeiro carácter da ameaça, para aumentarmos ilusoriamente os riscos até atingir, na sua fruição estética, o auge do sublime. Imaginar era imaginar horrores, perigos se vistos dinamicamente e, quando estáticos, desproporções. No </w:t>
      </w:r>
      <w:r w:rsidRPr="00341472">
        <w:lastRenderedPageBreak/>
        <w:t>espaço e no tempo reinava a assimetria. Mesmo nas cenas bucólicas podia figurar, como presságio, uma árvore decepada por um raio, recordando que nenhuma tranquilidade estava imune à tragédia. Entre precipícios e anões disformes, Quasimodos e cavernas de bandidos, deleitou-se a classe dominante daquela sociedade que, na prática, foi tão ponderada. Para a burguesia imaginar era, acima de tudo, iludir, e da maneira mais grave, aquela que se pratica sobre o próprio. Com esta capacidade, tão bem adquirida, de se enganar a si mesmo nasceu o interesse pelo subconsciente, um nível da actividade mental que tinha de ser explorado para atingir o que a viajante inglesa tão astuciosamente denomin</w:t>
      </w:r>
      <w:r>
        <w:t>ou</w:t>
      </w:r>
      <w:r w:rsidRPr="00341472">
        <w:t xml:space="preserve"> «perigos reais ou imaginários». </w:t>
      </w:r>
    </w:p>
    <w:p w:rsidR="00837D5C" w:rsidRPr="00341472" w:rsidRDefault="00837D5C" w:rsidP="00837D5C">
      <w:pPr>
        <w:tabs>
          <w:tab w:val="left" w:pos="720"/>
          <w:tab w:val="left" w:pos="3312"/>
        </w:tabs>
      </w:pPr>
      <w:r w:rsidRPr="00341472">
        <w:t>Foi para alguns, os que não se satisfizeram com as artimanhas do subconsciente, um jogo arriscado. Procuraram nas drogas exóticas um incentivo para a imaginação, que a fizesse ir além na dramatização da banalidade. Estímulos de intensidade crescente, para obterem efeitos mais breves e, afinal, embotados. Restava o repto à verdadeira morte, a vida aventurosa, a guerra. Mas como gara</w:t>
      </w:r>
      <w:r w:rsidR="00CD11B4">
        <w:t>ntir que o desafio permanecesse</w:t>
      </w:r>
      <w:r w:rsidRPr="00341472">
        <w:t xml:space="preserve"> sem ser repentinamente abolido por uma bala ou, prosaicamente, pelo rodado de uma carroça de munições, como sentir o máximo terror e continuar vivo para lhe apreciar a sublimidade, como combater sem morrer? A estética do sublime não residia no objectivo, mas no processo. A aventura fatal era somenos. </w:t>
      </w:r>
      <w:r w:rsidR="00CD11B4">
        <w:t>Só</w:t>
      </w:r>
      <w:r w:rsidRPr="00341472">
        <w:t xml:space="preserve"> importava a vida aventurosa, a vida sentida como a possibilidade sempre iminente da morte. </w:t>
      </w:r>
    </w:p>
    <w:p w:rsidR="00837D5C" w:rsidRPr="00341472" w:rsidRDefault="00837D5C" w:rsidP="00837D5C">
      <w:pPr>
        <w:tabs>
          <w:tab w:val="left" w:pos="720"/>
          <w:tab w:val="left" w:pos="3312"/>
        </w:tabs>
      </w:pPr>
      <w:r w:rsidRPr="00341472">
        <w:t>Compreende-se a frequência relativa do tema do desastre nas poucas obras de arte que representaram então a actividade industrial. «Sempre que a força for apenas útil e aplicada para nosso proveito ou nosso prazer ela nunca atingirá o sublime», anunci</w:t>
      </w:r>
      <w:r>
        <w:t>ou</w:t>
      </w:r>
      <w:r w:rsidRPr="00341472">
        <w:t xml:space="preserve"> Burke</w:t>
      </w:r>
      <w:r w:rsidRPr="00341472">
        <w:rPr>
          <w:rStyle w:val="Refdenotaderodap"/>
        </w:rPr>
        <w:footnoteReference w:id="9"/>
      </w:r>
      <w:r w:rsidRPr="00341472">
        <w:t xml:space="preserve">. Neste universo estético a energia das máquinas só se tornava sublime ao manifestar-se como catástrofe. Todavia, numa sociedade que usava a arte para ocultar as suas condições de existência não cabia representar os desastres próprios da indústria. Goya foi o único que alguma vez deu a um quadro o tema de um verdadeiro acidente de trabalho. O seu projecto de tapeçaria </w:t>
      </w:r>
      <w:r w:rsidRPr="00341472">
        <w:rPr>
          <w:i/>
        </w:rPr>
        <w:t>El albañil herido</w:t>
      </w:r>
      <w:r w:rsidRPr="00341472">
        <w:t xml:space="preserve"> mostra a vulgaridade trágica do acontecimento, o pedreiro sustentado por dois companheiros perante a impassível geometria dos andaimes de onde acabara de cair. Bastaria isto, se não houvesse tudo o mais, para conferir a Goya um lugar singular. Os outros artistas evitavam revelar o avesso das novas técnicas, e os acidentes fabris eram pintados do mesmo modo que os cataclismos mitológicos ou as punições bíblicas. Remetidas no tempo, pelo revivalismo, à era pré-industrial, as explosões de caldeiras não se distinguiam dos vulcões que tanto interessaram os viajantes ingleses em Itália e tanto ocuparam os pintores que lhes executavam as encomendas. O desastre, para aqueles artistas e aquele público, situava-se no plano da natureza. O processo foi duplo. Escamoteando a civilização fabril, a representação das </w:t>
      </w:r>
      <w:r w:rsidRPr="00341472">
        <w:lastRenderedPageBreak/>
        <w:t xml:space="preserve">catástrofes dissimulou esteticamente a realidade económica do capitalismo, enquanto serviu para lembrar os horrores que ameaçavam a sociedade burguesa se a sua infra-estrutura desaparecesse. A obsessão do cataclismo era a vertigem em que se imaginava a conversão de uma negação estética em negação material, atingindo-se assim a fruição. Este delírio encontrou um tema apropriado na solidão do ser humano perante a natureza. </w:t>
      </w:r>
      <w:r w:rsidR="00C56B8A">
        <w:t xml:space="preserve">Se </w:t>
      </w:r>
      <w:r w:rsidRPr="00341472">
        <w:t>noutras épocas os artistas haviam figurado no paraíso o primeiro casal, difundiu-se então a moda de invocarem, no tempo da derradeira catástrofe, visões do último homem, da última mulher. A solidão definitiva, proclamara Burke, era o mais pavoroso dos terrores e atingia por isso o auge do sublime</w:t>
      </w:r>
      <w:r w:rsidRPr="00341472">
        <w:rPr>
          <w:rStyle w:val="Refdenotaderodap"/>
        </w:rPr>
        <w:footnoteReference w:id="10"/>
      </w:r>
      <w:r w:rsidRPr="00341472">
        <w:t xml:space="preserve">. </w:t>
      </w:r>
    </w:p>
    <w:p w:rsidR="00837D5C" w:rsidRPr="00341472" w:rsidRDefault="00837D5C" w:rsidP="00837D5C">
      <w:pPr>
        <w:tabs>
          <w:tab w:val="left" w:pos="720"/>
          <w:tab w:val="left" w:pos="3312"/>
        </w:tabs>
      </w:pPr>
      <w:r w:rsidRPr="00341472">
        <w:t xml:space="preserve">A estética do ocultamento do mundo fabril começou no próprio gesto artístico, e embora proliferasse a invenção de aparelhos destinados a suplementar a mão do pintor </w:t>
      </w:r>
      <w:r>
        <w:t>e</w:t>
      </w:r>
      <w:r w:rsidRPr="00341472">
        <w:t xml:space="preserve"> do escultor ou a guiar-lhes o olhar, a obra realizada escondia qualquer traço de intervenção mecânica. Mas foi na arquitectura que a dissimulação das novas técnicas atingiu a expressão mais elaborada. Ao mesmo tempo que a siderurgia assinalava o desenvolvimento do capitalismo industrial, o emprego do ferro na estrutura dos edifícios ficava cuidadosamente encoberto por revestimentos de pedra, e quando não havia maneira de disfarçar o metal, como sucedia nas pontes, ele sobrecarregava-se com formas plásticas imitadas de outros materiais, de </w:t>
      </w:r>
      <w:r>
        <w:t xml:space="preserve">modo </w:t>
      </w:r>
      <w:r w:rsidRPr="00341472">
        <w:t xml:space="preserve">a aparentar, ou pelo menos sugerir, aquilo que não era. Este denegrimento do artigo que melhor simbolizava a revolução fabril confirma a finalidade exclusiva da arte burguesa, mascarar os seus próprios fundamentos. Só ao longo da segunda metade do século XIX, e de início de maneira muito tímida, começou a afirmar-se uma estética do ferro visível, correspondendo à ascensão social de gestores caracterizados por uma mentalidade coerentemente moderna. Antes disso, os raros edifícios em que a depuração dos novos materiais atingiu o equilíbrio necessário para fundar um estilo </w:t>
      </w:r>
      <w:r w:rsidR="00C56B8A">
        <w:t>—</w:t>
      </w:r>
      <w:r w:rsidRPr="00341472">
        <w:t xml:space="preserve"> todos eles ligados à actividade económica, instalações fabris ou armazéns </w:t>
      </w:r>
      <w:r w:rsidR="00C56B8A">
        <w:t>—</w:t>
      </w:r>
      <w:r w:rsidRPr="00341472">
        <w:t xml:space="preserve"> permaneceram invisíveis ao olhar estético e só muito mais tarde, já em plena vigência do funcionalismo, foram descobertos como objectos estéticos por alguns historiadores da arte. Enquanto a cultura burguesa manteve a hegemonia, a estética era considerada tanto mais eficaz quanto servi</w:t>
      </w:r>
      <w:r w:rsidR="00C56B8A">
        <w:t>sse</w:t>
      </w:r>
      <w:r w:rsidRPr="00341472">
        <w:t xml:space="preserve"> para obnubilar a técnica, e para fazê-lo qualquer meio era legítimo. </w:t>
      </w:r>
    </w:p>
    <w:p w:rsidR="00837D5C" w:rsidRPr="00341472" w:rsidRDefault="00837D5C" w:rsidP="00837D5C">
      <w:pPr>
        <w:tabs>
          <w:tab w:val="left" w:pos="720"/>
          <w:tab w:val="left" w:pos="3312"/>
        </w:tabs>
      </w:pPr>
      <w:r w:rsidRPr="00341472">
        <w:t xml:space="preserve">Essa sociedade sem estilo podia tê-los todos, consagrando-os pelo facto de imitarem outras épocas ou outros lugares. Pois não é elucidativo que enquanto Kant, um dos fundadores da filosofia burguesa, definia o tempo e o espaço como as duas condições </w:t>
      </w:r>
      <w:r w:rsidRPr="00341472">
        <w:rPr>
          <w:i/>
        </w:rPr>
        <w:t>a priori</w:t>
      </w:r>
      <w:r w:rsidRPr="00341472">
        <w:t xml:space="preserve"> do conhecimento racional, a estética irracionalista da burguesia se tivesse revelado incapaz de admitir outro tempo e outro espaço senão os projectados no revivalismo e no exotismo? Era comum pintar personagens em que os mantos e as túnicas romanas se associavam aos </w:t>
      </w:r>
      <w:r w:rsidRPr="00341472">
        <w:lastRenderedPageBreak/>
        <w:t>turbantes orientais, o que não deixava de ser lógico, porque o objectivo único consistia em esconder, ou esquecer, o lugar e o tempo em que viviam o artista e o público. Delacroix encontrou nos árabes seus contemporâneos o modelo dos gregos e dos romanos da antiguidade clássica. «Roma já não está em Roma», escrev</w:t>
      </w:r>
      <w:r>
        <w:t>eu</w:t>
      </w:r>
      <w:r w:rsidRPr="00341472">
        <w:t xml:space="preserve"> ele em 1832 numa carta a um amigo</w:t>
      </w:r>
      <w:r w:rsidRPr="00341472">
        <w:rPr>
          <w:rStyle w:val="Refdenotaderodap"/>
        </w:rPr>
        <w:footnoteReference w:id="11"/>
      </w:r>
      <w:r w:rsidRPr="00341472">
        <w:t xml:space="preserve">. Possuindo funções idênticas, nada impedia que o revivalismo e o exotismo se conjugassem nos mesmos quadros e nos mesmos edifícios, reforçando-se ambos. O eclectismo foi a maneira de ser própria da estética burguesa. </w:t>
      </w:r>
    </w:p>
    <w:p w:rsidR="00837D5C" w:rsidRPr="00341472" w:rsidRDefault="00837D5C" w:rsidP="00837D5C">
      <w:r w:rsidRPr="00341472">
        <w:t>«O homem do século XIX», observou Balzac com a argúcia habitual, «essa criatura soberanamente inteligente», «gastou os recursos do seu génio a disfarçar o mecanismo da sua existência»</w:t>
      </w:r>
      <w:r w:rsidRPr="00341472">
        <w:rPr>
          <w:rStyle w:val="Refdenotaderodap"/>
        </w:rPr>
        <w:footnoteReference w:id="12"/>
      </w:r>
      <w:r w:rsidRPr="00341472">
        <w:t xml:space="preserve">. Não se restringiu ao plano estético a má consciência com que aquela cultura enfrentou o mundo fabril que ela própria acabara de criar e lidou com as ciências a que dera um desenvolvimento sem precedentes. Tratou-se de uma atitude generalizada e os mesmos meios sociais, por vezes até as mesmas pessoas, que sustentavam o pensamento positivo e </w:t>
      </w:r>
      <w:r>
        <w:t>faziam fortuna</w:t>
      </w:r>
      <w:r w:rsidRPr="00341472">
        <w:t xml:space="preserve"> com a aplicação produtiva das descobertas técnicas interessavam-se também pelas novas modalidades do ocultismo, pelas novas religiões esotéricas, pelo hipnotismo e pelas experiências fantasiosas de magnetismo animal. As máquinas e as mesas de pé de galo </w:t>
      </w:r>
      <w:r>
        <w:t xml:space="preserve">pertenceram a </w:t>
      </w:r>
      <w:r w:rsidRPr="00341472">
        <w:t>uma só civilização, exercendo funções complementares. As formas de magia em voga animavam alguns ócios da burguesia e eram praticadas na esfera doméstica pela esposa e pelos protegidos da casa ou, uma vez por semana, perante os frequentadores do salão. Se a história das ciências fosse refeita nesta perspectiva veríamos que até na obra dos cientistas nem sempre foi clara a distinção entre o raciocínio positivo e as lucubrações cabalísticas. Um exemplo flagrante é o de Newton, influenciado pelo misticismo de Jakob Bœhme</w:t>
      </w:r>
      <w:r w:rsidRPr="00341472">
        <w:rPr>
          <w:rStyle w:val="Refdenotaderodap"/>
        </w:rPr>
        <w:footnoteReference w:id="13"/>
      </w:r>
      <w:r w:rsidRPr="00341472">
        <w:t>, e que gastou tanto ou talvez mais tempo e mais páginas ao estudo da alquimia e do hermetismo e ao desenvolvimento de uma matemática que lhe permitisse desvendar o segredo dos livros sagrados do que dedicou a estabelecer as novas leis da astronomia</w:t>
      </w:r>
      <w:r w:rsidRPr="00341472">
        <w:rPr>
          <w:rStyle w:val="Refdenotaderodap"/>
        </w:rPr>
        <w:footnoteReference w:id="14"/>
      </w:r>
      <w:r w:rsidRPr="00341472">
        <w:t xml:space="preserve">. Este caso está longe de ser único. Até Auguste Comte, a quem se deve a formulação da metodologia científica positivista, foi fundador e sumo sacerdote de uma nova religião, com os seus rituais e mistérios. Reciprocamente, os inventores das magias em moda imitavam os termos e o estilo do discurso científico. </w:t>
      </w:r>
      <w:r w:rsidR="00C65F06" w:rsidRPr="00C65F06">
        <w:t xml:space="preserve">Mesmer estava a meio entre a ciência, o misticismo e a </w:t>
      </w:r>
      <w:r w:rsidR="00836309">
        <w:t>burla</w:t>
      </w:r>
      <w:r w:rsidR="00C65F06">
        <w:t>,</w:t>
      </w:r>
      <w:r w:rsidR="00C65F06" w:rsidRPr="00C65F06">
        <w:t xml:space="preserve"> </w:t>
      </w:r>
      <w:r w:rsidR="00C65F06">
        <w:t xml:space="preserve">por isso ocupou o centro das preocupações daquela época, quando nenhum critério rigoroso poderia distinguir entre a </w:t>
      </w:r>
      <w:r w:rsidR="00C65F06">
        <w:lastRenderedPageBreak/>
        <w:t xml:space="preserve">estética do sublime e a fraude. </w:t>
      </w:r>
      <w:r w:rsidR="00836309" w:rsidRPr="00341472">
        <w:t xml:space="preserve">Só </w:t>
      </w:r>
      <w:r w:rsidRPr="00341472">
        <w:t xml:space="preserve">recorrendo ao carnaval iniciático da maçonaria, ao mesmo tempo pinturesco e revivalista pelos acessórios de que se rodeava, os sensatos burgueses foram capazes de estabelecer a teia de relações </w:t>
      </w:r>
      <w:r w:rsidR="005C44A4">
        <w:t>sociais</w:t>
      </w:r>
      <w:r w:rsidRPr="00341472">
        <w:t xml:space="preserve"> indispensável para lhes sustentar os negócios. </w:t>
      </w:r>
      <w:r w:rsidR="00C65F06">
        <w:t xml:space="preserve">E </w:t>
      </w:r>
      <w:r w:rsidR="00C65F06" w:rsidRPr="00341472">
        <w:t xml:space="preserve">o </w:t>
      </w:r>
      <w:r w:rsidRPr="00341472">
        <w:t>mais curioso nas formalidades adoptadas pela burguesia na sua vida política não é o facto de terem preservado condecorações, títulos e ordens de cavalaria a que noutras épocas a nobreza havia dado um conteúdo real. Verdadeiramente estranho é ter-se atribuído à maçonaria falsas tradições milenárias, como se não bastasse ocultar a realidade económica por detrás de formas alheias e tivessem de se inventar outras formas, enquanto se fazia crer que elas existiam desde há muito. A nova magia serviu para esconder a máquina e para esquec</w:t>
      </w:r>
      <w:r w:rsidR="005C44A4">
        <w:t>ê-la</w:t>
      </w:r>
      <w:r w:rsidRPr="00341472">
        <w:t xml:space="preserve">, ainda que recorresse frequentemente aos resultados técnicos do pensamento científico. E a arte, ao ver-se investida das mesmas funções, recebeu uma aura igualmente mágica, passando o artista a ser visto como um inspirado. Todo o labor paciente e metódico </w:t>
      </w:r>
      <w:r w:rsidR="005C44A4">
        <w:t xml:space="preserve">exigido pelo trabalho da tela ou do mármore </w:t>
      </w:r>
      <w:r w:rsidRPr="00341472">
        <w:t xml:space="preserve">sumiu-se sob a máscara do génio em transe. </w:t>
      </w:r>
    </w:p>
    <w:p w:rsidR="006733B1" w:rsidRPr="00341472" w:rsidRDefault="00837D5C" w:rsidP="004507D7">
      <w:pPr>
        <w:tabs>
          <w:tab w:val="left" w:pos="720"/>
          <w:tab w:val="left" w:pos="3312"/>
        </w:tabs>
      </w:pPr>
      <w:r w:rsidRPr="00341472">
        <w:t xml:space="preserve">A obra de Turner, especialmente as telas da maturidade, constitui o exemplo mais perfeito daquela anulação do mundo industrial, um dos raros casos em que a dissimulação não resulta de transposições simbólicas ou alusões temáticas, ocorrendo de maneira directamente plástica. Turner subsumiu </w:t>
      </w:r>
      <w:r w:rsidR="00905CFB">
        <w:t xml:space="preserve">às </w:t>
      </w:r>
      <w:r w:rsidR="00905CFB" w:rsidRPr="00341472">
        <w:t xml:space="preserve">forças da natureza </w:t>
      </w:r>
      <w:r w:rsidRPr="00341472">
        <w:t xml:space="preserve">as manifestações evidentes da civilização mecânica. Vejamos </w:t>
      </w:r>
      <w:r w:rsidRPr="00341472">
        <w:rPr>
          <w:i/>
        </w:rPr>
        <w:t>Rain, steam, and speed: The Great Western Railway,</w:t>
      </w:r>
      <w:r w:rsidRPr="00341472">
        <w:t xml:space="preserve"> apresentado pela primeira vez ao público em 1844. Nada há de específico no comboio relativamente à tempestade, e a natureza é o objecto de contemplação único. Os torvelinhos de luz roubaram ao homem o fogo da técnica, e um Prometeu solitário vê vindo dos céus a chama que ele dera à humanidade. Na obra de Turner a modernidade industrial é negada, porque assimilada à natureza nos seus efeitos estéticos. Por isso, de todos os pintores da época foi ele o único a atingir plenamente os objectivos últimos do revivalismo e do exotismo sem precisar de vestir os personagens com roupa de outras eras nem de invocar folclores de outros lugares nem de imitar o estilo de mestres do passado. Como sucede com os grandes artistas plásticos, Turner não se exprimiu através do aparente conteúdo, mas directamente pela forma. Para além do espaço, os seus quadros finais ultrapassaram todos os exotismos e foram mais longe, alcançaram-lhe o próprio fundamento. Para além do tempo, ultrapassaram os revivalismos e desvendaram o que estes só metaforicamente representavam. Foi o tratamento inovador da luz que permitiu a Turner projectar o mundo contemporâneo para o ponto em que a história era negada pela eternidade de uma natureza omnipresente. Nos remoinhos da tempestade ou da catástrofe, tanto como na placidez tranquila, foi sempre a luz o agente dessa dissolução da especificidade do tempo e do espaço. Por isso, se Turner pôde, quanto a certos aspectos da sua técnica pictórica, ser </w:t>
      </w:r>
      <w:r w:rsidRPr="00341472">
        <w:lastRenderedPageBreak/>
        <w:t xml:space="preserve">considerado um precursor dos impressionistas, os fundamentos e os objectivos da sua estética foram radicalmente distintos do impressionismo. </w:t>
      </w:r>
      <w:r w:rsidR="004507D7">
        <w:t xml:space="preserve">Aliás, </w:t>
      </w:r>
      <w:r w:rsidR="006733B1">
        <w:t xml:space="preserve">Goya </w:t>
      </w:r>
      <w:r w:rsidR="00D156AA">
        <w:t>convergiu</w:t>
      </w:r>
      <w:r w:rsidR="006733B1">
        <w:t xml:space="preserve"> com Turner no culminar da sua obra, naquele dos frescos da </w:t>
      </w:r>
      <w:r w:rsidR="004507D7">
        <w:t>Quinta</w:t>
      </w:r>
      <w:r w:rsidR="006733B1">
        <w:t xml:space="preserve"> del Sordo que me parece o seu testamento, o cão que se afoga no pântano. Tal como em Turner, é a luz ali o elemento único, </w:t>
      </w:r>
      <w:r w:rsidR="00D156AA">
        <w:t xml:space="preserve">fundindo terra e céu numa massa pictórica, simultaneamente com </w:t>
      </w:r>
      <w:r w:rsidR="0006300C">
        <w:t xml:space="preserve">espessura </w:t>
      </w:r>
      <w:r w:rsidR="00D156AA">
        <w:t>e</w:t>
      </w:r>
      <w:r w:rsidR="0006300C" w:rsidRPr="0006300C">
        <w:t xml:space="preserve"> </w:t>
      </w:r>
      <w:r w:rsidR="0006300C">
        <w:t>leveza</w:t>
      </w:r>
      <w:r w:rsidR="00D156AA">
        <w:t xml:space="preserve">. </w:t>
      </w:r>
    </w:p>
    <w:p w:rsidR="00837D5C" w:rsidRPr="00341472" w:rsidRDefault="00837D5C" w:rsidP="00837D5C">
      <w:pPr>
        <w:tabs>
          <w:tab w:val="left" w:pos="720"/>
          <w:tab w:val="left" w:pos="3312"/>
        </w:tabs>
      </w:pPr>
      <w:r w:rsidRPr="00341472">
        <w:t xml:space="preserve">Mas </w:t>
      </w:r>
      <w:r>
        <w:t>no</w:t>
      </w:r>
      <w:r w:rsidRPr="00341472">
        <w:t xml:space="preserve"> começo Turner limitara-se a ser uma espécie de Salvator Rosa inglês, quero dizer, com menos terra e mais mar. O barroco chegara ao fim com os luminosos frescos de Tiepolo, que empregou os recursos do dramatismo para servir um mero jogo gracioso. Maulbertsch traçou o arco que nos permite passar de Tiepolo a Turner e compreender a coerência que levou o barroco a desenvolver-se em romantismo. Com uma grande candura nos meios usados, porém, já que Maulbertsch fez pintura </w:t>
      </w:r>
      <w:r w:rsidRPr="00341472">
        <w:rPr>
          <w:i/>
        </w:rPr>
        <w:t>gótica</w:t>
      </w:r>
      <w:r w:rsidRPr="00341472">
        <w:t xml:space="preserve"> em encenações neoclássicas. De início Turner não se destacou dos demais e os seus quadros não ultrapassaram o pinturesco. Apenas o detalhe lhes conferiu um pseudodramatismo, e enquanto a descrição somar detalhes não existe drama, só a ilustração de uma suposta narrativa. Restam-nos de então os esboços como a sua melhor realização, porque tendo a narração um lugar meramente acessório na obra acabada, os pormenores eram tratados em último lugar e a eles ficava imune o esboço, que podia assim ir direito ao mais profundo. Que diferença entre as paisagens iniciais de Turner e os seus interiores pintados no final da década de 1820 e no começo da década seguinte, em que as figuras humanas são elementos de fusão e expressão da luz, e o detalhe é inexistente! Já em 1798, em </w:t>
      </w:r>
      <w:r w:rsidRPr="00341472">
        <w:rPr>
          <w:i/>
        </w:rPr>
        <w:t>Morning amongst the Coniston Fells, Cumberland</w:t>
      </w:r>
      <w:r w:rsidRPr="00341472">
        <w:t xml:space="preserve">, Turner estabeleceu uma continuidade entre o céu e a água, o rio neste caso, que seria depois a mais apreciável constante da sua obra. Por enquanto tratou-se só de uma fusão de dois elementos, líquido e aéreo, originariamente distintos. Mais tarde foi um elemento único, a luz, a realizar-se em modalidades próprias no céu, na terra, no mar. Uma etapa muito significativa neste percurso ocorreu em 1812 com </w:t>
      </w:r>
      <w:r w:rsidRPr="00341472">
        <w:rPr>
          <w:i/>
        </w:rPr>
        <w:t>Snow storm: Hannibal and his army crossing the Alps</w:t>
      </w:r>
      <w:r w:rsidRPr="00341472">
        <w:t xml:space="preserve">. O que vemos naquela vertigem de luz é muito mais do que uma tempestade de neve, é a materialização do ser em rajadas de vontade, e o esforço do exército em marcha é o mesmo que o do céu em fúria. O tempo suspende-se na permanência do eterno </w:t>
      </w:r>
      <w:r w:rsidR="0006300C">
        <w:t>—</w:t>
      </w:r>
      <w:r w:rsidRPr="00341472">
        <w:t xml:space="preserve"> é este, sem </w:t>
      </w:r>
      <w:r w:rsidR="0006300C">
        <w:t>nenhum</w:t>
      </w:r>
      <w:r w:rsidRPr="00341472">
        <w:t xml:space="preserve"> detalhe, o único conteúdo das obras de maturidade de Turner. </w:t>
      </w:r>
      <w:r w:rsidR="0006300C" w:rsidRPr="00341472">
        <w:t xml:space="preserve">Por </w:t>
      </w:r>
      <w:r w:rsidRPr="00341472">
        <w:t xml:space="preserve">isso a forma estética extravasou os limites materiais. Tudo continua para além da moldura, subitamente arbitrária, dos seus quadros. </w:t>
      </w:r>
    </w:p>
    <w:p w:rsidR="00837D5C" w:rsidRPr="00341472" w:rsidRDefault="00837D5C" w:rsidP="00837D5C">
      <w:pPr>
        <w:tabs>
          <w:tab w:val="left" w:pos="720"/>
          <w:tab w:val="left" w:pos="3312"/>
        </w:tabs>
      </w:pPr>
      <w:r w:rsidRPr="00341472">
        <w:t xml:space="preserve">Nada mais paradoxal do que as imagens, elaboradas com a ajuda de meios técnicos modernos e reproduzidas </w:t>
      </w:r>
      <w:r w:rsidR="00347540">
        <w:t>massiv</w:t>
      </w:r>
      <w:r w:rsidRPr="00341472">
        <w:t xml:space="preserve">amente graças às inovações mecânicas, que mostravam, face a uma natureza inacessível, um ser humano desprovido de qualquer recurso eficaz. A gravura constituiu uma notável fonte de rendimentos para os artistas daquela época, e boa parte da </w:t>
      </w:r>
      <w:r w:rsidRPr="00341472">
        <w:lastRenderedPageBreak/>
        <w:t>fortuna de Turner proveio da venda de novecentas séries de reproduções de desenhos e quadros seus, algumas com uma tiragem de milhares de exemplares</w:t>
      </w:r>
      <w:r w:rsidR="005F01F8">
        <w:rPr>
          <w:rStyle w:val="Refdenotaderodap"/>
        </w:rPr>
        <w:footnoteReference w:id="15"/>
      </w:r>
      <w:r w:rsidRPr="00341472">
        <w:t>. Não é sugestivo que a primeira tela de Turner a ser difundida na forma de gravura representasse um naufrágio</w:t>
      </w:r>
      <w:r w:rsidR="005F01F8">
        <w:rPr>
          <w:rStyle w:val="Refdenotaderodap"/>
        </w:rPr>
        <w:footnoteReference w:id="16"/>
      </w:r>
      <w:r w:rsidRPr="00341472">
        <w:t xml:space="preserve">? Graças às novas técnicas de reprodução, um vastíssimo público podia desfrutar domesticamente o pavor da catástrofe e atingir as delícias do sublime com o conforto e a segurança garantidos pela civilização fabril. Era um terror de pantufas. </w:t>
      </w:r>
    </w:p>
    <w:p w:rsidR="00837D5C" w:rsidRPr="00341472" w:rsidRDefault="00837D5C" w:rsidP="00196D16">
      <w:pPr>
        <w:keepNext/>
        <w:tabs>
          <w:tab w:val="left" w:pos="720"/>
          <w:tab w:val="left" w:pos="3312"/>
        </w:tabs>
        <w:spacing w:before="720" w:after="360"/>
        <w:ind w:firstLine="0"/>
        <w:jc w:val="center"/>
        <w:rPr>
          <w:b/>
          <w:sz w:val="28"/>
        </w:rPr>
      </w:pPr>
      <w:r w:rsidRPr="00341472">
        <w:rPr>
          <w:b/>
          <w:sz w:val="28"/>
        </w:rPr>
        <w:t>2. O jardim inglês</w:t>
      </w:r>
    </w:p>
    <w:p w:rsidR="00837D5C" w:rsidRPr="00341472" w:rsidRDefault="00837D5C" w:rsidP="00837D5C">
      <w:pPr>
        <w:tabs>
          <w:tab w:val="left" w:pos="720"/>
          <w:tab w:val="left" w:pos="3312"/>
        </w:tabs>
      </w:pPr>
      <w:r w:rsidRPr="00341472">
        <w:t xml:space="preserve">O Jardim Inglês foi a expressão extrema da anulação da aparência da técnica mediante o recurso aos instrumentos da técnica. Na Europa do </w:t>
      </w:r>
      <w:r w:rsidRPr="00341472">
        <w:rPr>
          <w:i/>
        </w:rPr>
        <w:t>Ancien Régime</w:t>
      </w:r>
      <w:r w:rsidRPr="00341472">
        <w:t xml:space="preserve"> os jardins haviam obedecido à concepção francesa, codificada por Le Nôtre, e manifestavam o triunfo da razão sobre as forças elementares. De um e outro lado de alamedas traçadas meticulosamente com régua e compasso, as árvores, as sebes, os arbustos talhavam-se em formas geométricas e dispunham-se segundo desenhos igualmente regulares, subjugando aos arquétipos a aleatoriedade da natureza e impondo-lhe a simetria humana. E os repuxos, cujas bacias sucessivas repartiam o jacto de água originário e informe em fios de líquido cada vez mais estreitos e bem controlados, que caíam em geometrias sempre mais rigorosas, testemunhavam a arrogância da razão. Nada podia exibir melhor a submissão da natureza do que o jardim de tipo francês </w:t>
      </w:r>
      <w:r w:rsidR="002E1DC4">
        <w:t>—</w:t>
      </w:r>
      <w:r w:rsidRPr="00341472">
        <w:t xml:space="preserve"> numa época, porém, em que mal ainda se esboçavam as aplicações mais efectivas da maquinaria às forças elementares. </w:t>
      </w:r>
    </w:p>
    <w:p w:rsidR="00837D5C" w:rsidRPr="00341472" w:rsidRDefault="00837D5C" w:rsidP="00837D5C">
      <w:pPr>
        <w:tabs>
          <w:tab w:val="left" w:pos="720"/>
          <w:tab w:val="left" w:pos="3312"/>
        </w:tabs>
      </w:pPr>
      <w:r w:rsidRPr="00341472">
        <w:t xml:space="preserve">Não foi por acaso que, contra a aristocracia da razão, surgiu em Inglaterra a nova arquitectura dos jardins. Aí se completara, antes de qualquer outro país, a transformação capitalista da pecuária e da agricultura, levando-se mais longe as inovações na tecnologia agrária, e aí se iniciou a revolução industrial e se começaram a desenvolver sistematicamente as técnicas fabris. A natureza encontrava-se, na Grã-Bretanha, duplamente dominada, técnica e economicamente, o que portanto a identificava com o universo fabril. Numa estética da ilusão, em que a nova tecnologia e os novos materiais eram dissimulados mediante a evocação dos elementos naturais, tornava-se indispensável esquecer que até a natureza havia deixado de ser natural. As técnicas usadas para controlar os processos naturais foram empregues também para encenar a natureza, erguendo montes, transportando penhascos, traçando caminhos sinuosos, </w:t>
      </w:r>
      <w:r w:rsidRPr="00341472">
        <w:lastRenderedPageBreak/>
        <w:t>escavando o leito de riachos, distribuindo arbustos e maciços de árvores, rasgando panoramas onde antes existiam bosques ou destruindo vegetação e convertendo certas áreas em desertos. Era mesmo possível simular pequenas catástrofes, desde que continuasse a respeitar-se a regra de que os artifícios técnicos deviam permanecer escondidos sob os seus resultados, como se estes fossem espontâneos e não se devessem à acção humana. E assim uma máquina hidráulica oculta num rochedo aspirava a água de um lago artificial para precipitá-la numa cascata abrupta, ou a pirotecnia dava aparências de vulcão a um monte meio oco que fora mandado erguer num parque. Os capitalistas rurais, de origem nobre ou plebeia, e os capitalistas industriais com residência no campo começaram a encomendar jardins onde a natureza era reconstruída como mais natural do que ela própria. «As belezas da natureza», preveni</w:t>
      </w:r>
      <w:r>
        <w:t>u</w:t>
      </w:r>
      <w:r w:rsidRPr="00341472">
        <w:t xml:space="preserve"> um especialista da época, «devem ocultar cuidadosamente a arte que as produziu»</w:t>
      </w:r>
      <w:r w:rsidRPr="00341472">
        <w:rPr>
          <w:rStyle w:val="Refdenotaderodap"/>
        </w:rPr>
        <w:footnoteReference w:id="17"/>
      </w:r>
      <w:r w:rsidRPr="00341472">
        <w:t>. Mas a presença de tal engenho não corria decerto grande risco de se denunciar porque, como escreveu pouco depois outro apreciador do estilo inglês, «esta arte disfarça-se com tanta autenticidade que até a natureza se iludiria»</w:t>
      </w:r>
      <w:r w:rsidRPr="00341472">
        <w:rPr>
          <w:rStyle w:val="Refdenotaderodap"/>
        </w:rPr>
        <w:footnoteReference w:id="18"/>
      </w:r>
      <w:r w:rsidRPr="00341472">
        <w:t xml:space="preserve">. </w:t>
      </w:r>
    </w:p>
    <w:p w:rsidR="00837D5C" w:rsidRPr="00341472" w:rsidRDefault="00837D5C" w:rsidP="00837D5C">
      <w:pPr>
        <w:tabs>
          <w:tab w:val="left" w:pos="720"/>
          <w:tab w:val="left" w:pos="3312"/>
        </w:tabs>
      </w:pPr>
      <w:r w:rsidRPr="00341472">
        <w:t>Foi William Kent quem, na primeira metade do século XVIII, iniciou o desenho destes jardins assimétricos e irregulares, onde a sinuosidade orientava a disposição dos elementos. Enquanto arquitecto, Kent demonstrara um gosto ecléctico, ligando o paladianismo ao revivalismo gótico, e do mesmo modo propôs a edificação tanto de construções neogóticas como de pequenos templos neoclássicos nos parques que se encarregou de decorar. Desde o seu início, portanto, o jardim de tipo inglês situou-se entre os dois pólos dominantes do revivalismo, o medieval e o greco-romano, que de então em diante continuaram a orientar-lhe as alternativas estilísticas. A versão predominantemente neoclássica, que teve em «Capability» Brown o seu melhor representante, procurava reconstruir a natureza em formas suaves e calmas, ornamentadas aqui e ali por imitações de templos gregos, embora sem desdenhar também as evocações de ruínas góticas, e nessas paredes de encomenda gravavam-se muitas vezes versos, exortações, talvez para despertar sentimentos elevados em quem não tinha nenhuns. Não se destinando só ao prazer da visão, os jardins ofereciam-se como uma metáfora, e percorrê-los era decifrar a paisagem. «Um passeio», ironizava Alexandre de Laborde em 1808, «trazia à lembrança todos os deveres e todos os sentimentos»</w:t>
      </w:r>
      <w:r w:rsidRPr="00341472">
        <w:rPr>
          <w:rStyle w:val="Refdenotaderodap"/>
        </w:rPr>
        <w:footnoteReference w:id="19"/>
      </w:r>
      <w:r w:rsidRPr="00341472">
        <w:t xml:space="preserve">. Entretanto surgiu uma corrente francamente neogótica, ilustrada por Uvedale Price, Richard Payne Knight e William Gilpin, que </w:t>
      </w:r>
      <w:r w:rsidRPr="00341472">
        <w:lastRenderedPageBreak/>
        <w:t xml:space="preserve">postulava uma arquitectura mais dramática da natureza, aumentando-lhe os contrastes. As sinuosidades acentuavam-se em curvas e contracurvas, os penhascos elevavam-se e tornavam-se mais inclinados os declives, faziam-se passar ribeiros entre rochas abruptas e enfeitava-se o conjunto com uma série de artifícios pinturescos. Nos seus exemplos extremos estes jardins eram povoados de construções exóticas e todo um variado </w:t>
      </w:r>
      <w:r w:rsidRPr="00341472">
        <w:rPr>
          <w:i/>
        </w:rPr>
        <w:t>bric-à-brac,</w:t>
      </w:r>
      <w:r w:rsidRPr="00341472">
        <w:t xml:space="preserve"> para surpresa dos visitantes que podiam ver árvores girar devido à acção de máquinas e de operários escondidos num subterrâneo ou ver uma choupana brotar do chão por efeito de qualquer maquinismo oculto. Nada podia ser mais mecânico do que os parques que se fingiam naturais. </w:t>
      </w:r>
    </w:p>
    <w:p w:rsidR="00837D5C" w:rsidRPr="00341472" w:rsidRDefault="00837D5C" w:rsidP="00837D5C">
      <w:pPr>
        <w:tabs>
          <w:tab w:val="left" w:pos="720"/>
          <w:tab w:val="left" w:pos="3312"/>
        </w:tabs>
      </w:pPr>
      <w:r w:rsidRPr="00341472">
        <w:t xml:space="preserve">No último terço do século XVIII o estilo inglês começou a difundir-se em França e encontrou admiradores </w:t>
      </w:r>
      <w:r w:rsidR="003A54C8">
        <w:t>noutros</w:t>
      </w:r>
      <w:r w:rsidRPr="00341472">
        <w:t xml:space="preserve"> países do continente europeu. Ao publicar </w:t>
      </w:r>
      <w:r w:rsidRPr="00341472">
        <w:rPr>
          <w:i/>
        </w:rPr>
        <w:t>La Nouvelle Héloïse,</w:t>
      </w:r>
      <w:r w:rsidRPr="00341472">
        <w:t xml:space="preserve"> em 1761, Jean-Jacques Rousseau estimulou entre os seus compatriotas de adopção o apreço por um tipo de paisagem que tinha no jardim inglês a forma exemplar. «Este lugar é decerto encantador, mas agreste e abandonado. Nada aqui revela o trabalho humano», fez exclamar Rousseau a Saint-Preux, e Julie logo esclareceu: «É verdade, disse ela, que foi a natureza a fazer tudo, mas sob a minha direcção [...]». Mais adiante, Saint-Preux insistiu: «não vejo em lugar </w:t>
      </w:r>
      <w:r w:rsidR="00274AB7">
        <w:t>nenhum</w:t>
      </w:r>
      <w:r w:rsidRPr="00341472">
        <w:t xml:space="preserve"> quaisquer sinais de cultivo [...] Ah!, disse o senhor de Wolmar, é porque os apagámos com todo o cuidado»</w:t>
      </w:r>
      <w:r w:rsidRPr="00341472">
        <w:rPr>
          <w:rStyle w:val="Refdenotaderodap"/>
        </w:rPr>
        <w:footnoteReference w:id="20"/>
      </w:r>
      <w:r w:rsidRPr="00341472">
        <w:t xml:space="preserve">. Se o gosto pelo novo género de parques se deveu em boa medida às influências provenientes do lado de lá da Mancha, ele não deixou também de ter origens locais, e já na primeira metade do século alguns pintores franceses haviam apresentado no </w:t>
      </w:r>
      <w:r w:rsidRPr="00341472">
        <w:rPr>
          <w:i/>
        </w:rPr>
        <w:t>Salon</w:t>
      </w:r>
      <w:r w:rsidRPr="00341472">
        <w:t xml:space="preserve"> paisagens inventadas que mais parecem projectos de jardins irregulares e ornamentados </w:t>
      </w:r>
      <w:r w:rsidR="00727EED">
        <w:t>com</w:t>
      </w:r>
      <w:r w:rsidRPr="00341472">
        <w:t xml:space="preserve"> ruínas. Por isso numerosos adeptos do gosto inglês defendiam que os parques assimétricos existiam antes de tudo como pinturas ideais, materializando</w:t>
      </w:r>
      <w:r w:rsidR="00274AB7">
        <w:t>-as</w:t>
      </w:r>
      <w:r w:rsidRPr="00341472">
        <w:t xml:space="preserve"> depois</w:t>
      </w:r>
      <w:r w:rsidRPr="00341472">
        <w:rPr>
          <w:rStyle w:val="Refdenotaderodap"/>
        </w:rPr>
        <w:footnoteReference w:id="21"/>
      </w:r>
      <w:r w:rsidRPr="00341472">
        <w:t>. «Um jardim, a meus olhos, é um vasto quadro», proclam</w:t>
      </w:r>
      <w:r>
        <w:t>ou</w:t>
      </w:r>
      <w:r w:rsidRPr="00341472">
        <w:t xml:space="preserve"> em verso o abade Delille</w:t>
      </w:r>
      <w:r w:rsidRPr="00341472">
        <w:rPr>
          <w:rStyle w:val="Refdenotaderodap"/>
        </w:rPr>
        <w:footnoteReference w:id="22"/>
      </w:r>
      <w:r w:rsidRPr="00341472">
        <w:t>. Aliás, foi a um pintor especializado nas paisagens com ruínas, Hubert Robert, que Maria Antonieta confiou em 1778 a remodelação dos jardins reais. Alguns anos antes, no outro extremo do continente, a imperatriz Catarina da Rússia confidenciara em carta a Voltaire que «agora estou loucamente apaixonada pelos jardins à inglesa»</w:t>
      </w:r>
      <w:r w:rsidRPr="00341472">
        <w:rPr>
          <w:rStyle w:val="Refdenotaderodap"/>
        </w:rPr>
        <w:footnoteReference w:id="23"/>
      </w:r>
      <w:r w:rsidRPr="00341472">
        <w:t xml:space="preserve">. </w:t>
      </w:r>
    </w:p>
    <w:p w:rsidR="00837D5C" w:rsidRPr="00341472" w:rsidRDefault="00837D5C" w:rsidP="00837D5C">
      <w:pPr>
        <w:tabs>
          <w:tab w:val="left" w:pos="720"/>
          <w:tab w:val="left" w:pos="3312"/>
        </w:tabs>
      </w:pPr>
      <w:r w:rsidRPr="00341472">
        <w:t xml:space="preserve">Na vasta conspiração do medo que a imaginação literária de Graham Greene teceu durante a segunda guerra mundial em torno do Tamisa, um sinistro alfarrabista ajuda a enredar na teia a vítima ocasional e obstinada. E de que falam eles, naquela capital bombardeada e em </w:t>
      </w:r>
      <w:r w:rsidRPr="00341472">
        <w:lastRenderedPageBreak/>
        <w:t xml:space="preserve">escombros? Precisamente de outras ruínas, não menos artificiais e com aparência igualmente trágica, mas de que a verdadeira tragédia humana denunciava o ridículo: </w:t>
      </w:r>
    </w:p>
    <w:p w:rsidR="00837D5C" w:rsidRPr="00341472" w:rsidRDefault="00837D5C" w:rsidP="00837D5C">
      <w:pPr>
        <w:tabs>
          <w:tab w:val="left" w:pos="720"/>
          <w:tab w:val="left" w:pos="3312"/>
        </w:tabs>
      </w:pPr>
      <w:r w:rsidRPr="00341472">
        <w:t xml:space="preserve">«“[...] É uma arte extinta, sabe? Há coisas muito mais importantes do que as flores. É tudo o que hoje querem nos jardins”, disse ele com desprezo, “flores”. </w:t>
      </w:r>
    </w:p>
    <w:p w:rsidR="00837D5C" w:rsidRPr="00341472" w:rsidRDefault="00837D5C" w:rsidP="00837D5C">
      <w:pPr>
        <w:tabs>
          <w:tab w:val="left" w:pos="720"/>
          <w:tab w:val="left" w:pos="3312"/>
        </w:tabs>
      </w:pPr>
      <w:r w:rsidRPr="00341472">
        <w:t xml:space="preserve">“O senhor não gosta de flores?” </w:t>
      </w:r>
    </w:p>
    <w:p w:rsidR="00837D5C" w:rsidRPr="00341472" w:rsidRDefault="00837D5C" w:rsidP="00837D5C">
      <w:pPr>
        <w:tabs>
          <w:tab w:val="left" w:pos="720"/>
          <w:tab w:val="left" w:pos="3312"/>
        </w:tabs>
      </w:pPr>
      <w:r w:rsidRPr="00341472">
        <w:t xml:space="preserve">“Bem, flores”, disse o livreiro, “por que não? Tem de haver flores”. </w:t>
      </w:r>
    </w:p>
    <w:p w:rsidR="00837D5C" w:rsidRPr="00341472" w:rsidRDefault="00837D5C" w:rsidP="00837D5C">
      <w:pPr>
        <w:tabs>
          <w:tab w:val="left" w:pos="720"/>
          <w:tab w:val="left" w:pos="3312"/>
        </w:tabs>
      </w:pPr>
      <w:r w:rsidRPr="00341472">
        <w:t xml:space="preserve">“Na verdade”, disse Rowe, “pouco sei de jardinagem... excepto flores”. </w:t>
      </w:r>
    </w:p>
    <w:p w:rsidR="00837D5C" w:rsidRPr="00341472" w:rsidRDefault="00837D5C" w:rsidP="00837D5C">
      <w:pPr>
        <w:tabs>
          <w:tab w:val="left" w:pos="720"/>
          <w:tab w:val="left" w:pos="3312"/>
        </w:tabs>
      </w:pPr>
      <w:r w:rsidRPr="00341472">
        <w:t xml:space="preserve">“Era as partidas que pregavam”. Os olhos mortiços animaram-se com um entusiasmo malicioso. “As máquinas”. </w:t>
      </w:r>
    </w:p>
    <w:p w:rsidR="00837D5C" w:rsidRPr="00341472" w:rsidRDefault="00837D5C" w:rsidP="00837D5C">
      <w:pPr>
        <w:tabs>
          <w:tab w:val="left" w:pos="720"/>
          <w:tab w:val="left" w:pos="3312"/>
        </w:tabs>
      </w:pPr>
      <w:r w:rsidRPr="00341472">
        <w:t xml:space="preserve">“Máquinas?” </w:t>
      </w:r>
    </w:p>
    <w:p w:rsidR="00837D5C" w:rsidRPr="00341472" w:rsidRDefault="00837D5C" w:rsidP="00837D5C">
      <w:pPr>
        <w:tabs>
          <w:tab w:val="left" w:pos="720"/>
          <w:tab w:val="left" w:pos="3312"/>
        </w:tabs>
      </w:pPr>
      <w:r w:rsidRPr="00341472">
        <w:t xml:space="preserve">“Tinham estátuas que esguichavam água para cima de quem passava. E as grutas artificiais! As coisas que eles se lembravam de pôr nas grutas! Olhe, num bom jardim não se estava sossegado em lado nenhum”. </w:t>
      </w:r>
    </w:p>
    <w:p w:rsidR="00837D5C" w:rsidRPr="00341472" w:rsidRDefault="00837D5C" w:rsidP="00837D5C">
      <w:pPr>
        <w:tabs>
          <w:tab w:val="left" w:pos="720"/>
          <w:tab w:val="left" w:pos="3312"/>
        </w:tabs>
      </w:pPr>
      <w:r w:rsidRPr="00341472">
        <w:t xml:space="preserve">“Julgava que os jardins eram feitos para estar sossegado”. </w:t>
      </w:r>
    </w:p>
    <w:p w:rsidR="00837D5C" w:rsidRPr="00341472" w:rsidRDefault="00837D5C" w:rsidP="00837D5C">
      <w:pPr>
        <w:tabs>
          <w:tab w:val="left" w:pos="720"/>
          <w:tab w:val="left" w:pos="3312"/>
        </w:tabs>
      </w:pPr>
      <w:r w:rsidRPr="00341472">
        <w:t xml:space="preserve">“É, mas eles tinham outra opinião”, disse o livreiro [...] </w:t>
      </w:r>
    </w:p>
    <w:p w:rsidR="00837D5C" w:rsidRPr="00341472" w:rsidRDefault="00837D5C" w:rsidP="00837D5C">
      <w:pPr>
        <w:tabs>
          <w:tab w:val="left" w:pos="720"/>
          <w:tab w:val="left" w:pos="3312"/>
        </w:tabs>
      </w:pPr>
      <w:r w:rsidRPr="00341472">
        <w:t xml:space="preserve">“Além disso”, disse o livreiro, “havia os túmulos”. </w:t>
      </w:r>
    </w:p>
    <w:p w:rsidR="00837D5C" w:rsidRPr="00341472" w:rsidRDefault="00837D5C" w:rsidP="00837D5C">
      <w:pPr>
        <w:tabs>
          <w:tab w:val="left" w:pos="720"/>
          <w:tab w:val="left" w:pos="3312"/>
        </w:tabs>
      </w:pPr>
      <w:r w:rsidRPr="00341472">
        <w:t xml:space="preserve">“Também esguichavam água?” </w:t>
      </w:r>
    </w:p>
    <w:p w:rsidR="00837D5C" w:rsidRPr="00341472" w:rsidRDefault="00837D5C" w:rsidP="00837D5C">
      <w:pPr>
        <w:tabs>
          <w:tab w:val="left" w:pos="720"/>
          <w:tab w:val="left" w:pos="3312"/>
        </w:tabs>
      </w:pPr>
      <w:r w:rsidRPr="00341472">
        <w:t xml:space="preserve">“Ah, não. Mas davam um retoque de solenidade, o </w:t>
      </w:r>
      <w:r w:rsidRPr="00341472">
        <w:rPr>
          <w:i/>
        </w:rPr>
        <w:t>memento mori</w:t>
      </w:r>
      <w:r w:rsidRPr="00341472">
        <w:t>”»</w:t>
      </w:r>
      <w:r w:rsidRPr="00341472">
        <w:rPr>
          <w:rStyle w:val="Refdenotaderodap"/>
        </w:rPr>
        <w:footnoteReference w:id="24"/>
      </w:r>
      <w:r w:rsidRPr="00341472">
        <w:t xml:space="preserve">. </w:t>
      </w:r>
    </w:p>
    <w:p w:rsidR="00837D5C" w:rsidRPr="00341472" w:rsidRDefault="00837D5C" w:rsidP="00837D5C">
      <w:pPr>
        <w:tabs>
          <w:tab w:val="left" w:pos="720"/>
          <w:tab w:val="left" w:pos="3312"/>
        </w:tabs>
      </w:pPr>
      <w:r w:rsidRPr="00341472">
        <w:t xml:space="preserve">Naqueles cenários de cataclismo carnavalesco, as estátuas que lançavam água eram a réplica jocosa das inundações e dilúvios cuja ficção exaltava até ao sublime e que se reproduziam em miniatura nos riachos tortuosos do parque. E as grutas, essas ruínas da natureza, onde se juntava a inspiração do revivalismo ao tema do exotismo, confundindo num símbolo único a passagem do tempo e a distância dos lugares a que não chegara a civilização industrial </w:t>
      </w:r>
      <w:r w:rsidR="003510EF">
        <w:t>—</w:t>
      </w:r>
      <w:r w:rsidRPr="00341472">
        <w:t xml:space="preserve"> as grutas não eram menos artificiais nem menos artificiosas, e por detrás da sua encenação de pedra e heras escondiam sabe-se lá que outras folias mecânicas. A tal ponto se chegara nos jogos da simulação, que ao mesmo tempo que ela era levada a sério desvendava-se como ironia, para logo se ocultar de novo com a visão dos túmulos </w:t>
      </w:r>
      <w:r w:rsidR="003510EF">
        <w:t>—</w:t>
      </w:r>
      <w:r w:rsidRPr="00341472">
        <w:t xml:space="preserve"> </w:t>
      </w:r>
      <w:r w:rsidR="003510EF" w:rsidRPr="00341472">
        <w:t xml:space="preserve">falsos </w:t>
      </w:r>
      <w:r w:rsidRPr="00341472">
        <w:t xml:space="preserve">na grande maioria dos casos, pedras recentemente talhadas como se fossem antigas, sem ninguém lá dentro, cenário de um passado fabricado, ou obeliscos erguidos em memória de algum parente querido ou notável, ou monumentos funerários celebrando qualquer cachorro de estimação, porque nem toda a gente se podia dar ao luxo, como fizera o marquês de Girardin, de enterrar no seu parque um personagem tão ilustre como Rousseau ou tão interessante como um forasteiro incógnito que se suicidara por amor. </w:t>
      </w:r>
    </w:p>
    <w:p w:rsidR="00837D5C" w:rsidRPr="00341472" w:rsidRDefault="00837D5C" w:rsidP="00837D5C">
      <w:pPr>
        <w:tabs>
          <w:tab w:val="left" w:pos="720"/>
          <w:tab w:val="left" w:pos="3312"/>
        </w:tabs>
      </w:pPr>
      <w:r w:rsidRPr="00341472">
        <w:lastRenderedPageBreak/>
        <w:t>Não se tratou só de mistificar a técnica sob a aparência da natureza, mas de produzir, graças aos recursos técnicos, o absoluto paradoxo de uma natureza artificial. A simulação da técnica passou a vigorar na forma redobrada de simulação da natureza, e a obra de arte enquanto cópia de um padrão exterior manifestou-se na elaboração desse padrão como um padrão vazio. Se a técnica era ocultada sob uma simulação da natureza, a natureza apresentava-se como simulacro dela própria. Foi por estar já perdida qualquer noção de limite entre a natureza originária e a artificial que Balzac, descrevendo a Bretanha selvagem, pôde evocar com inteira seriedade «uma imensa pradaria desenhada como um jardim inglês»</w:t>
      </w:r>
      <w:r w:rsidRPr="00341472">
        <w:rPr>
          <w:rStyle w:val="Refdenotaderodap"/>
        </w:rPr>
        <w:footnoteReference w:id="25"/>
      </w:r>
      <w:r w:rsidRPr="00341472">
        <w:t xml:space="preserve">, e à mesma inspiração obedeceu um dos mais celebrados personagens de </w:t>
      </w:r>
      <w:r w:rsidRPr="00341472">
        <w:rPr>
          <w:i/>
        </w:rPr>
        <w:t>La Comédie Humaine</w:t>
      </w:r>
      <w:r w:rsidRPr="00341472">
        <w:t xml:space="preserve"> ao convidar: «Detenha-se um pouco para contemplar o nosso belo vale, [...] não é um jardim inglês?»</w:t>
      </w:r>
      <w:r w:rsidRPr="00341472">
        <w:rPr>
          <w:rStyle w:val="Refdenotaderodap"/>
        </w:rPr>
        <w:footnoteReference w:id="26"/>
      </w:r>
      <w:r w:rsidRPr="00341472">
        <w:t xml:space="preserve">. A encenação cobriu todos os horizontes geográficos da sociedade burguesa, desde o revivalismo da arquitectura urbana até aos parques a que se reduziam os passeios campestres. A simulação serviu à sociedade burguesa para não reconhecer a civilização industrial, e os cenários de que se rodeou forneceram-lhe ao mesmo tempo a caução aparentemente objectiva de tal atitude. Nesta completa encenação o delírio garantiu a si mesmo a justificação. </w:t>
      </w:r>
    </w:p>
    <w:p w:rsidR="00837D5C" w:rsidRPr="00341472" w:rsidRDefault="00837D5C" w:rsidP="00837D5C">
      <w:r w:rsidRPr="00341472">
        <w:t>Mas não era ainda a justificação máxima. A realização cabal do delírio não exigia só a simulação no espaço, mas no tempo</w:t>
      </w:r>
      <w:r w:rsidR="00451465" w:rsidRPr="00451465">
        <w:t xml:space="preserve"> </w:t>
      </w:r>
      <w:r w:rsidR="00451465" w:rsidRPr="00341472">
        <w:t>também</w:t>
      </w:r>
      <w:r w:rsidRPr="00341472">
        <w:t>. Em Budapeste, no Szépmüvészeti Múzeum, pude ver um quadro de um obscuro pintor seiscentista, Jan Baptist Weenix, de péssima qualidade, tanto estética como técnica, figurando as ruínas de um qualquer templo de Vespasiano, e no topo do peristilo, onde deveriam estar os vestígios do frontão, apresenta-se um rochedo, inteiramente absurdo, sobre as colunas do que resta do pórtico. Mas as inépcias em matéria de estilo são frequentemente elucidativas, porque não mascaram as convenções com a individualidade do génio. Este quadro mostra que o universo das ruínas é o mesmo que o das rochas e grutas, apesar de aparentemente umas serem obra do homem e as outras se deverem à natureza. O recíproco existi</w:t>
      </w:r>
      <w:r w:rsidR="00F75B15">
        <w:t>u</w:t>
      </w:r>
      <w:r w:rsidRPr="00341472">
        <w:t xml:space="preserve"> também. Durante uma viagem aos países escandinavos, Luís Filipe, duque de Orléans e depois rei dos Franceses, encomendou a Peder Balke uma série de estudos de paisagens da Dinamarca e da Noruega, </w:t>
      </w:r>
      <w:r w:rsidR="0081356C">
        <w:t xml:space="preserve">com </w:t>
      </w:r>
      <w:r w:rsidRPr="00341472">
        <w:t xml:space="preserve">que </w:t>
      </w:r>
      <w:r w:rsidR="0081356C">
        <w:t xml:space="preserve">deparei </w:t>
      </w:r>
      <w:r w:rsidRPr="00341472">
        <w:t xml:space="preserve">num recôndito do Louvre. Numa dessas pequenas pinturas o penhasco arruinado que se ergue em contra-luz e se assemelha à torre meio destruída de uma catedral gótica é o inverso do quadro de Weenix, assimilando aos vestígios da obra humana as rochas batidas pelas intempéries. Não restauraria o tempo, com as suas catástrofes, a supremacia do natural e não seria a ruína uma confissão da derrota das civilizações? </w:t>
      </w:r>
    </w:p>
    <w:p w:rsidR="00837D5C" w:rsidRPr="00341472" w:rsidRDefault="00837D5C" w:rsidP="00837D5C">
      <w:pPr>
        <w:tabs>
          <w:tab w:val="left" w:pos="720"/>
          <w:tab w:val="left" w:pos="3312"/>
        </w:tabs>
      </w:pPr>
      <w:r w:rsidRPr="00341472">
        <w:lastRenderedPageBreak/>
        <w:t>E quantas das grutas que povoaram a paisagem dos citadinos não se deveram ao engenho e às máquinas? O proprietário de umas minas de carvão mandou desenhar um parque que as incluísse e ao mesmo tempo as dissimulasse</w:t>
      </w:r>
      <w:r w:rsidRPr="00341472">
        <w:rPr>
          <w:rStyle w:val="Refdenotaderodap"/>
        </w:rPr>
        <w:footnoteReference w:id="27"/>
      </w:r>
      <w:r w:rsidRPr="00341472">
        <w:t>, de maneira que a presença incómoda de galerias escavadas pelo esforço de homens sempre expostos a terríveis explosões subterrâneas ficou convertida na ameaça difusa de outras tantas grutas. Nem todos recorreram a soluções tão drásticas, nem era necessário. Gilpin destacava na gramática do pinturesco «torres arruinadas, arcos góticos, restos de castelos e de abadias», que considerava «os legados artísticos de maior valor, consagrados pelo tempo». Consagrados pelo tempo, mesmo quando eram novos e feitos de propósito, e ele explicava que só artífices especialmente hábeis conseguiam fabricar ruínas, enquanto a edificação de uma casa estava ao alcance de qualquer pedreiro comum</w:t>
      </w:r>
      <w:r w:rsidRPr="00341472">
        <w:rPr>
          <w:rStyle w:val="Refdenotaderodap"/>
        </w:rPr>
        <w:footnoteReference w:id="28"/>
      </w:r>
      <w:r w:rsidRPr="00341472">
        <w:t xml:space="preserve">. Houve ricos diletantes a investir os rendimentos dos seus negócios, das suas indústrias, das suas explorações agrícolas, das suas plantações coloniais na construção de jardins povoados de pontes arruinadas e de colunas gregas truncadas emparelhando com escombros de capelas góticas e vestígios de templos hindus ou pagodes chineses ou mesquitas, tão recentes umas como os outros, tudo feito por encomenda e à medida. As transformações sofridas pela arquitectura de jardins desde o século XVIII confirmam que as ruínas e as grutas se integravam no mesmo universo, resultante da confusão entre uma técnica destroçada pela natureza e uma natureza encenada pela técnica. Não bastava fabricar a natureza, era necessário fabricar o tempo também, fabricando ruínas. </w:t>
      </w:r>
    </w:p>
    <w:p w:rsidR="00837D5C" w:rsidRPr="00341472" w:rsidRDefault="00837D5C" w:rsidP="00CE11E5">
      <w:pPr>
        <w:keepNext/>
        <w:tabs>
          <w:tab w:val="left" w:pos="720"/>
          <w:tab w:val="left" w:pos="3312"/>
        </w:tabs>
        <w:spacing w:before="720" w:after="360"/>
        <w:ind w:firstLine="0"/>
        <w:jc w:val="center"/>
        <w:rPr>
          <w:b/>
          <w:sz w:val="28"/>
        </w:rPr>
      </w:pPr>
      <w:r w:rsidRPr="00341472">
        <w:rPr>
          <w:b/>
          <w:sz w:val="28"/>
        </w:rPr>
        <w:t>3. As ruínas</w:t>
      </w:r>
    </w:p>
    <w:p w:rsidR="00837D5C" w:rsidRPr="00341472" w:rsidRDefault="00837D5C" w:rsidP="00837D5C">
      <w:pPr>
        <w:tabs>
          <w:tab w:val="left" w:pos="720"/>
          <w:tab w:val="left" w:pos="3312"/>
        </w:tabs>
      </w:pPr>
      <w:r w:rsidRPr="00341472">
        <w:t xml:space="preserve">Por que razão a paisagem, deliberadamente representada como tal, só surgiu na época barroca, quando se </w:t>
      </w:r>
      <w:r w:rsidR="00D82743">
        <w:t xml:space="preserve">generalizou </w:t>
      </w:r>
      <w:r w:rsidRPr="00341472">
        <w:t xml:space="preserve">uma urbanização consciente e planificada? Até então a paisagem limitara-se à decoração de narrativas, que eram o assunto principal das telas, mas emancipou-se durante o barroco, e mesmo que a história ou a anedota continuassem presentes, </w:t>
      </w:r>
      <w:r w:rsidRPr="00341472">
        <w:lastRenderedPageBreak/>
        <w:t>haviam passado a ser meramente um pretexto. A paisagem é o campo visto com o olhar das pessoas da cidade. Na sua autobiografia escreveu Trotsky: «Nasci e fui criado no campo, mas só em Paris me aproximei da natureza. Foi lá também que deparei com a verdadeira arte»</w:t>
      </w:r>
      <w:r w:rsidRPr="00341472">
        <w:rPr>
          <w:rStyle w:val="Refdenotaderodap"/>
        </w:rPr>
        <w:footnoteReference w:id="29"/>
      </w:r>
      <w:r w:rsidRPr="00341472">
        <w:t xml:space="preserve">. A associação de ideias é flagrante. É a arte que leva o habitante da cidade a olhar para a natureza. A paisagem não é o domínio dos valores rurais, é a sua nostalgia, e neste ambiente melancólico a ruína romântica encontrou a referência temporal mais conveniente e o lugar geográfico adequado, porque com o romantismo as ruínas foram integradas no mesmo tipo de estética a que até então obedecera a representação das grutas. </w:t>
      </w:r>
    </w:p>
    <w:p w:rsidR="00837D5C" w:rsidRPr="00341472" w:rsidRDefault="00837D5C" w:rsidP="00837D5C">
      <w:pPr>
        <w:tabs>
          <w:tab w:val="left" w:pos="720"/>
          <w:tab w:val="left" w:pos="3312"/>
        </w:tabs>
      </w:pPr>
      <w:r w:rsidRPr="00341472">
        <w:t xml:space="preserve">Na pintura da renascença as ruínas pretendiam atingir a fidelidade descritiva, sem estarem investidas de </w:t>
      </w:r>
      <w:r w:rsidR="00E648D7">
        <w:t>nenhuma</w:t>
      </w:r>
      <w:r w:rsidRPr="00341472">
        <w:t xml:space="preserve"> carga estética ou moral que lhes fosse própria. Por isso surgiam com a mesma nitidez, precisão e ordenamento das construções novas. «Velhos muros, novos porém para espíritos modernos», chamou-lhes Boccaccio</w:t>
      </w:r>
      <w:r w:rsidRPr="00341472">
        <w:rPr>
          <w:rStyle w:val="Refdenotaderodap"/>
        </w:rPr>
        <w:footnoteReference w:id="30"/>
      </w:r>
      <w:r w:rsidRPr="00341472">
        <w:t xml:space="preserve">. Figuradas pelos pintores renascentistas, as ruínas negavam a passagem do tempo e serviam de testemunhas da perenidade daquele mundo antigo que se apresentava como exemplo vivo a ser imitado pelo presente. Tudo mudou no barroco, nos alvores da civilização burguesa, quando a ruína passou a ser um dos elementos do bizarro e se tornou inseparável da definição do pinturesco. É na arte </w:t>
      </w:r>
      <w:r w:rsidR="005A1246">
        <w:t>dos Países Baixos</w:t>
      </w:r>
      <w:r w:rsidRPr="00341472">
        <w:t xml:space="preserve"> </w:t>
      </w:r>
      <w:r w:rsidR="00C660A7" w:rsidRPr="00341472">
        <w:t>que melhor se pode apreciar a evolução</w:t>
      </w:r>
      <w:r w:rsidR="00C660A7">
        <w:t xml:space="preserve">. </w:t>
      </w:r>
      <w:r w:rsidR="006E019A">
        <w:t xml:space="preserve">Conheço de </w:t>
      </w:r>
      <w:r w:rsidR="005A1246">
        <w:t xml:space="preserve">Joos de Momper, </w:t>
      </w:r>
      <w:r w:rsidR="001F3BDA">
        <w:t>activo na</w:t>
      </w:r>
      <w:r w:rsidR="006E019A">
        <w:t>s</w:t>
      </w:r>
      <w:r w:rsidR="001F3BDA">
        <w:t xml:space="preserve"> </w:t>
      </w:r>
      <w:r w:rsidR="006E019A">
        <w:t xml:space="preserve">duas últimas décadas </w:t>
      </w:r>
      <w:r w:rsidR="001F3BDA">
        <w:t xml:space="preserve">do século XVI </w:t>
      </w:r>
      <w:r w:rsidR="006E019A">
        <w:t xml:space="preserve">e no primeiro terço do </w:t>
      </w:r>
      <w:r w:rsidR="001F3BDA">
        <w:t>século XVII</w:t>
      </w:r>
      <w:r w:rsidR="006E019A">
        <w:t>,</w:t>
      </w:r>
      <w:r w:rsidR="001F3BDA">
        <w:t xml:space="preserve"> </w:t>
      </w:r>
      <w:r w:rsidR="006E019A">
        <w:t xml:space="preserve">pontes e arcos </w:t>
      </w:r>
      <w:r w:rsidR="00C56A82">
        <w:t xml:space="preserve">ou rochedos em forma de arco, </w:t>
      </w:r>
      <w:r w:rsidR="00990E9A">
        <w:t xml:space="preserve">com árvores que os enquadram ou contornam, </w:t>
      </w:r>
      <w:r w:rsidR="00317382">
        <w:t xml:space="preserve">numa das primeiras </w:t>
      </w:r>
      <w:r w:rsidR="00C660A7">
        <w:t xml:space="preserve">grandes </w:t>
      </w:r>
      <w:r w:rsidR="00317382">
        <w:t xml:space="preserve">antecipações do romantismo. </w:t>
      </w:r>
      <w:r w:rsidR="00C660A7">
        <w:t xml:space="preserve">Destaco-lhe o nome porque me parece ter sido um precursor, mas se ao longo do </w:t>
      </w:r>
      <w:r w:rsidRPr="00341472">
        <w:t xml:space="preserve">século XVII muitos pintores </w:t>
      </w:r>
      <w:r w:rsidR="00C660A7">
        <w:t>holandeses continua</w:t>
      </w:r>
      <w:r w:rsidR="00944E63">
        <w:t>v</w:t>
      </w:r>
      <w:r w:rsidR="00C660A7">
        <w:t xml:space="preserve">am </w:t>
      </w:r>
      <w:r w:rsidR="00C660A7" w:rsidRPr="00341472">
        <w:t xml:space="preserve">ainda </w:t>
      </w:r>
      <w:r w:rsidRPr="00341472">
        <w:t>a apresentar as ruínas à maneira renascentista</w:t>
      </w:r>
      <w:r w:rsidR="00C660A7">
        <w:t>,</w:t>
      </w:r>
      <w:r w:rsidRPr="00341472">
        <w:t xml:space="preserve"> outros </w:t>
      </w:r>
      <w:r w:rsidR="00C660A7">
        <w:t>anunciaram</w:t>
      </w:r>
      <w:r w:rsidRPr="00341472">
        <w:t xml:space="preserve"> as ruínas românticas</w:t>
      </w:r>
      <w:r w:rsidR="00C660A7">
        <w:t>.</w:t>
      </w:r>
      <w:r w:rsidRPr="00341472">
        <w:t xml:space="preserve"> Fora nos Países Baixos que a burguesia primeiro esboçara uma tentativa séria de hegemonia cultural, e a veneração das ruínas </w:t>
      </w:r>
      <w:r w:rsidR="00C660A7">
        <w:t xml:space="preserve">enquanto </w:t>
      </w:r>
      <w:r w:rsidR="00C660A7" w:rsidRPr="00341472">
        <w:t xml:space="preserve">emblemas do curso do tempo </w:t>
      </w:r>
      <w:r w:rsidRPr="00341472">
        <w:t xml:space="preserve">seguiu a cronologia das revoluções burguesas, para triunfar definitivamente </w:t>
      </w:r>
      <w:r w:rsidR="00E648D7">
        <w:t>na Grã-Bretanha</w:t>
      </w:r>
      <w:r w:rsidRPr="00341472">
        <w:t xml:space="preserve">. </w:t>
      </w:r>
    </w:p>
    <w:p w:rsidR="00837D5C" w:rsidRPr="00341472" w:rsidRDefault="00837D5C" w:rsidP="00837D5C">
      <w:pPr>
        <w:tabs>
          <w:tab w:val="left" w:pos="720"/>
          <w:tab w:val="left" w:pos="3312"/>
        </w:tabs>
      </w:pPr>
      <w:r w:rsidRPr="00341472">
        <w:t xml:space="preserve">Entretanto, em França não se conseguia ultrapassar a ambiguidade estilística do </w:t>
      </w:r>
      <w:r w:rsidRPr="00341472">
        <w:rPr>
          <w:i/>
        </w:rPr>
        <w:t>rocaille,</w:t>
      </w:r>
      <w:r w:rsidRPr="00341472">
        <w:t xml:space="preserve"> que representou </w:t>
      </w:r>
      <w:r w:rsidR="00F3368F">
        <w:t xml:space="preserve">no </w:t>
      </w:r>
      <w:r w:rsidR="00F3368F" w:rsidRPr="00341472">
        <w:rPr>
          <w:i/>
        </w:rPr>
        <w:t>Ancien Régime</w:t>
      </w:r>
      <w:r w:rsidR="00F3368F" w:rsidRPr="00341472">
        <w:t xml:space="preserve"> </w:t>
      </w:r>
      <w:r w:rsidRPr="00341472">
        <w:t xml:space="preserve">a forma possível de romantismo. Com os enciclopedistas a burguesia francesa adquirira a preponderância nos meios cultos da elite e pouco faltava para que se tornassem dominantes as novas relações sociais e tecnológicas do capitalismo. Só no plano político </w:t>
      </w:r>
      <w:r w:rsidR="00F3368F">
        <w:t xml:space="preserve">se </w:t>
      </w:r>
      <w:r w:rsidRPr="00341472">
        <w:t xml:space="preserve">erguia ainda um obstáculo à cultura burguesa, por isso se desenvolveu um absurdo romantismo de corte, em que as antigas convenções eram permeadas pela nova estética e ao mesmo tempo lhe definiam limites demasiado estreitos, o que decerto </w:t>
      </w:r>
      <w:r w:rsidRPr="00341472">
        <w:lastRenderedPageBreak/>
        <w:t xml:space="preserve">explica o incómodo que hoje facilmente experimentamos perante os quadros e a decoração interior dos palácios e mansões franceses nas décadas que precederam a tomada da Bastilha. Até as catástrofes que asseguraram o enorme sucesso </w:t>
      </w:r>
      <w:r w:rsidR="005828BF">
        <w:t xml:space="preserve">dos quadros </w:t>
      </w:r>
      <w:r w:rsidRPr="00341472">
        <w:t xml:space="preserve">de Vernet, as tempestades, os barcos quebrando-se contra as rochas estavam em flagrante oposição ao estilo adoptado, com contornos demasiado precisos e pincelada minuciosa, quando </w:t>
      </w:r>
      <w:r w:rsidR="00F3368F">
        <w:t xml:space="preserve">o pintor </w:t>
      </w:r>
      <w:r w:rsidRPr="00341472">
        <w:t xml:space="preserve">devia ter recorrido a gradações de </w:t>
      </w:r>
      <w:r w:rsidRPr="00341472">
        <w:rPr>
          <w:i/>
        </w:rPr>
        <w:t>chiaroscuro</w:t>
      </w:r>
      <w:r w:rsidRPr="00341472">
        <w:t xml:space="preserve"> e a perfis difusos que ajudassem a imaginação a prolongar o terror através de um ambiente de mal esboçados perigos. E o mesmo deve dizer</w:t>
      </w:r>
      <w:r w:rsidR="005828BF">
        <w:t>-</w:t>
      </w:r>
      <w:r w:rsidR="005828BF" w:rsidRPr="00341472">
        <w:t>se</w:t>
      </w:r>
      <w:r w:rsidRPr="00341472">
        <w:t xml:space="preserve"> das ruínas em que se especializou Hubert Robert. Em ambos os casos o conteúdo temático do sublime não conseguiu encontrar a forma estética adequada, e esta contradição, que tão gravemente prejudicou dois artistas que teriam podido deveras aspirar ao romantismo na França daquela época, reproduziu-se na obra dos pintores mais ligados às convenções do </w:t>
      </w:r>
      <w:r w:rsidRPr="00341472">
        <w:rPr>
          <w:i/>
        </w:rPr>
        <w:t>rocaille</w:t>
      </w:r>
      <w:r w:rsidRPr="00341472">
        <w:t xml:space="preserve"> através </w:t>
      </w:r>
      <w:r>
        <w:t>da</w:t>
      </w:r>
      <w:r w:rsidRPr="00341472">
        <w:t xml:space="preserve"> ambiguidade do próprio conteúdo, servindo o sublime para ornamentar prazeres galantes. Mas os paradoxos estilísticos são elucidativos porque ajudam a desvendar as inovações. Se no </w:t>
      </w:r>
      <w:r w:rsidRPr="00341472">
        <w:rPr>
          <w:i/>
        </w:rPr>
        <w:t>rocaille</w:t>
      </w:r>
      <w:r w:rsidRPr="00341472">
        <w:t xml:space="preserve"> os jogos de corte encontravam um cenário inusitado nos rochedos e nos muros desfeitos, entregando-se os marqueses e as marquesas às suas futilidades amorosas entre precipícios, cascatas e ruínas, era somente nas paisagens, não nos personagens, que se prendia o novo olhar estético. A revolução francesa em breve expulsaria das telas os figurantes absurdos e colocaria em primeiro plano o que antes servira de decoração. O termo deste percurso corresponderia ao ponto de partida do melhor dos pintores franceses daquela época, Watteau, se for exacto que na maior parte dos seus quadros ele tinha primeiro concebido a paisagem e só depois, em função deste fundo, situara os grupos de personagens galantes</w:t>
      </w:r>
      <w:r w:rsidRPr="00341472">
        <w:rPr>
          <w:rStyle w:val="Refdenotaderodap"/>
        </w:rPr>
        <w:footnoteReference w:id="31"/>
      </w:r>
      <w:r w:rsidRPr="00341472">
        <w:t xml:space="preserve">. </w:t>
      </w:r>
      <w:r>
        <w:t>Por fim</w:t>
      </w:r>
      <w:r w:rsidRPr="00341472">
        <w:t xml:space="preserve">, mesmo em França a paisagem romântica ficou livre de restrições. </w:t>
      </w:r>
    </w:p>
    <w:p w:rsidR="00837D5C" w:rsidRPr="00341472" w:rsidRDefault="00837D5C" w:rsidP="00837D5C">
      <w:pPr>
        <w:tabs>
          <w:tab w:val="left" w:pos="720"/>
          <w:tab w:val="left" w:pos="3312"/>
        </w:tabs>
      </w:pPr>
      <w:r w:rsidRPr="00341472">
        <w:t xml:space="preserve">Aqueles arcos mutilados, aquelas colunas truncadas, aqueles restos de </w:t>
      </w:r>
      <w:r w:rsidR="00332A6C">
        <w:t>muros</w:t>
      </w:r>
      <w:r w:rsidRPr="00341472">
        <w:t xml:space="preserve"> cobriram-se de heras e ervas para povoar um espectáculo de contrastes. «[...] as plantas desempenham um papel fundamental na transformação da arquitectura em ruínas», observ</w:t>
      </w:r>
      <w:r>
        <w:t>ou</w:t>
      </w:r>
      <w:r w:rsidRPr="00341472">
        <w:t xml:space="preserve"> uma especialista; «acompanhando as gretas ou corroendo as formas, elas mostram a natureza a apoderar-se do monumento e a imprimir-lhe a marca da sua própria criação»</w:t>
      </w:r>
      <w:r w:rsidRPr="00341472">
        <w:rPr>
          <w:rStyle w:val="Refdenotaderodap"/>
        </w:rPr>
        <w:footnoteReference w:id="32"/>
      </w:r>
      <w:r w:rsidRPr="00341472">
        <w:t>. A fatalidade do decurso temporal</w:t>
      </w:r>
      <w:r>
        <w:t>,</w:t>
      </w:r>
      <w:r w:rsidRPr="00341472">
        <w:t xml:space="preserve"> que levava o edifício a decair e o desumanizava aproximando-o da natureza</w:t>
      </w:r>
      <w:r>
        <w:t>,</w:t>
      </w:r>
      <w:r w:rsidRPr="00341472">
        <w:t xml:space="preserve"> exprimia-se esteticamente graças ao tratamento das ruínas consoante o estilo das grutas. A ruína não valia já por aquilo que revelava, mas pelo que dela desaparecera. De vestígio clássico, havia-se transformado em demonstração e marco da passagem do tempo, ameaçadora memória dos cataclismos passados, símbolo da história como sucessão de catástrofes. No início do século </w:t>
      </w:r>
      <w:r w:rsidRPr="00341472">
        <w:lastRenderedPageBreak/>
        <w:t>XVIII o terceiro conde de Shaftesbury percebia «nas destruições visíveis e nas irreparáveis brechas da montanha devastada que o próprio mundo é uma nobre ruína cujo termo se avizinha»</w:t>
      </w:r>
      <w:r w:rsidRPr="00341472">
        <w:rPr>
          <w:rStyle w:val="Refdenotaderodap"/>
        </w:rPr>
        <w:footnoteReference w:id="33"/>
      </w:r>
      <w:r w:rsidRPr="00341472">
        <w:t xml:space="preserve">. Foi a partir de então que a ruína assumiu a função de inspiradora de sentimentos. Naquela época tratava-se de antecipar o romantismo no interior do classicismo, </w:t>
      </w:r>
      <w:r>
        <w:t xml:space="preserve">como </w:t>
      </w:r>
      <w:r w:rsidRPr="00341472">
        <w:t>tão bem revela nos seus escritos italianos William Beckford, que perante os restos de Roma se interessava não pelas simetrias e as regularidades, mas pelas sombras e os contrastes, por aquilo que o crepúsculo não deixava ver, pelo que o tempo removera, pela ruína. «As pequenas ruínas do mundo mediterrânico não são já suficientes para a ânsia de ruínas que atormenta o meu coração devastado», confess</w:t>
      </w:r>
      <w:r>
        <w:t>ou</w:t>
      </w:r>
      <w:r w:rsidRPr="00341472">
        <w:t xml:space="preserve"> Michelet ao seu diário. «Preciso das desolações, dos cataclismos do Oriente, das vastas destruições de raças, dos desertos»</w:t>
      </w:r>
      <w:r w:rsidRPr="00341472">
        <w:rPr>
          <w:rStyle w:val="Refdenotaderodap"/>
        </w:rPr>
        <w:footnoteReference w:id="34"/>
      </w:r>
      <w:r w:rsidRPr="00341472">
        <w:t xml:space="preserve">. Seria esse «coração devastado» que incitou Michelet a dedicar a vida à história, a ruína do tempo? E assim o pinturesco, onde a ruína era um elemento indispensável à bizarria das irregularidades, articulou-se com o sublime, formando os dois estilos complementares uma estética única. </w:t>
      </w:r>
    </w:p>
    <w:p w:rsidR="00837D5C" w:rsidRPr="00341472" w:rsidRDefault="00837D5C" w:rsidP="00837D5C">
      <w:pPr>
        <w:tabs>
          <w:tab w:val="left" w:pos="720"/>
          <w:tab w:val="left" w:pos="3312"/>
        </w:tabs>
      </w:pPr>
      <w:r w:rsidRPr="00341472">
        <w:t>As ruínas foram o objecto por excelência dos cultores do sublime, no duplo sentido de que era com este sentimento que as estimavam e de que só graças a ele podiam ver o que tinha ficado esteticamente despercebido a dezenas de gerações. As ruínas denotavam a inelutabilidade da passagem do tempo, que destruiria tudo aquilo que então se vivia e só deixaria a imagem digna de ser apreciada, uma imagem artística. Para que as ruínas revelassem o prazer estético fora-lhes necessário atravessar o prévio horror da morte, e era precisamente isto que conferia sublimidade aos despojos clássicos. Porque a ruína que o viajante neles procurava não era a da Grécia ou da Roma antigas, mas a dele próprio. Era esta a ruína última e única. Sentir o prazer do eu através da ameaça da morte. «As ideias que as ruínas despertam em mim são grandes. Tudo desaparece, tudo morre, tudo passa. Só o mundo permanece. Só o tempo dura», meditava Diderot. «Para onde quer que lance o olhar, os objectos que me rodeiam anunciam um fim e fazem com que me resigne àquele que me espera»</w:t>
      </w:r>
      <w:r w:rsidRPr="00341472">
        <w:rPr>
          <w:rStyle w:val="Refdenotaderodap"/>
        </w:rPr>
        <w:footnoteReference w:id="35"/>
      </w:r>
      <w:r w:rsidRPr="00341472">
        <w:t xml:space="preserve">. </w:t>
      </w:r>
    </w:p>
    <w:p w:rsidR="00837D5C" w:rsidRPr="00341472" w:rsidRDefault="00837D5C" w:rsidP="00837D5C">
      <w:pPr>
        <w:tabs>
          <w:tab w:val="left" w:pos="720"/>
          <w:tab w:val="left" w:pos="3312"/>
        </w:tabs>
      </w:pPr>
      <w:r w:rsidRPr="00341472">
        <w:t xml:space="preserve">A ruína não estava nas velhas pedras, mas nos olhos que as viam. Na Itália setecentista a sociedade local desprezava aqueles restos da antiguidade, porque permanecia inserida no </w:t>
      </w:r>
      <w:r w:rsidRPr="00341472">
        <w:rPr>
          <w:i/>
        </w:rPr>
        <w:t>Ancien Régime,</w:t>
      </w:r>
      <w:r w:rsidRPr="00341472">
        <w:t xml:space="preserve"> com outras preocupações e outros gostos. O público consumidor das ruínas italianas vinha da Inglaterra, eram os filhos da gente enriquecida pela revolução industrial ou pelo desenvolvimento do capitalismo agrário, que para perfazerem a sua educação e encerrarem a juventude percorriam a Europa no </w:t>
      </w:r>
      <w:r w:rsidRPr="00341472">
        <w:rPr>
          <w:i/>
        </w:rPr>
        <w:t>grand tour</w:t>
      </w:r>
      <w:r w:rsidRPr="00341472">
        <w:t xml:space="preserve">. Compradores abastados, quando não mesmo </w:t>
      </w:r>
      <w:r w:rsidRPr="00341472">
        <w:lastRenderedPageBreak/>
        <w:t>excentricamente perdulários, sustentavam uma verdadeira manufactura de telas, desenhos, gravuras e estátuas, que lhes recordassem, quando definitivamente regressados à ilha natal, o terror dos escombros e as ameaças do tempo. Burke, especialista no assunto, observ</w:t>
      </w:r>
      <w:r>
        <w:t>ou</w:t>
      </w:r>
      <w:r w:rsidRPr="00341472">
        <w:t xml:space="preserve"> que se Londres fosse devastada por um terramoto, tal como Lisboa acabara de o ser, acorreriam a admirar as ruínas muitos que não se tinham interessado por ir ver a cidade intacta</w:t>
      </w:r>
      <w:r w:rsidRPr="00341472">
        <w:rPr>
          <w:rStyle w:val="Refdenotaderodap"/>
        </w:rPr>
        <w:footnoteReference w:id="36"/>
      </w:r>
      <w:r w:rsidRPr="00341472">
        <w:t xml:space="preserve">. </w:t>
      </w:r>
    </w:p>
    <w:p w:rsidR="00837D5C" w:rsidRPr="00341472" w:rsidRDefault="00837D5C" w:rsidP="00837D5C">
      <w:pPr>
        <w:tabs>
          <w:tab w:val="left" w:pos="720"/>
          <w:tab w:val="left" w:pos="3312"/>
        </w:tabs>
      </w:pPr>
      <w:r w:rsidRPr="00341472">
        <w:t>Esses jogos com as marcas do tempo talvez nos surpreendam mais ainda quando eram inspirados por uma ansiedade do futuro e não pelas ruínas herdadas do passado. Ao mandar erguer no seu parque de Ermenonville um templo dedicado à filosofia, o marquês de Girardin decidiu deixá-lo inacabado para mostrar que a procura da verdade nunca teria fim, mas como a parte construída se apresentava em forma de ruína, aquele templo era simultaneamente esboço e relíquia, remetendo para o passado um ensaio de projecção no futuro</w:t>
      </w:r>
      <w:r w:rsidRPr="00341472">
        <w:rPr>
          <w:rStyle w:val="Refdenotaderodap"/>
        </w:rPr>
        <w:footnoteReference w:id="37"/>
      </w:r>
      <w:r w:rsidRPr="00341472">
        <w:t xml:space="preserve">. Foi um paradoxo corrente na época. Hubert Robert, que em vida beneficiou de notoriedade, foi nomeado em 1784 conservador do que viria depois a chamar-se Museu do Louvre. Nos anos seguintes pintou uma série de telas onde figuravam salas de exposição tal como efectivamente existiam ou, antecipando um pouco, tal como constavam dos planos que traçara ou haviam sido elaborados por indicação do superintendente dos </w:t>
      </w:r>
      <w:r w:rsidRPr="00341472">
        <w:rPr>
          <w:i/>
        </w:rPr>
        <w:t>Bâtiments du Roi</w:t>
      </w:r>
      <w:r w:rsidRPr="00341472">
        <w:t xml:space="preserve">. Um destes quadros, o </w:t>
      </w:r>
      <w:r w:rsidRPr="00341472">
        <w:rPr>
          <w:i/>
        </w:rPr>
        <w:t>Projet d’aménagement de la Grande Galerie,</w:t>
      </w:r>
      <w:r w:rsidRPr="00341472">
        <w:t xml:space="preserve"> datado de 1796, põe em destaque a sucessão de abóbadas de vidro prevista para a galeria, que lhe facultaria um sistema novo de entrada de luz. No mesmo ano Robert pintou a </w:t>
      </w:r>
      <w:r w:rsidRPr="00341472">
        <w:rPr>
          <w:i/>
        </w:rPr>
        <w:t>Vue imaginaire de la Grande Galerie en ruines,</w:t>
      </w:r>
      <w:r w:rsidRPr="00341472">
        <w:t xml:space="preserve"> onde vemos o museu devastado, as paredes a céu aberto, sem que nada restasse das abóbadas, e algumas esculturas caídas, truncadas também. Com que emoção o conservador do Louvre previa um futuro em que o seu edifício, desprovido já de qualquer função útil, podia substituir-se às obras que antes albergara e servir aos passantes de exclusivo objecto de admiração! Num plano incomparavelmente mais elevado, o genial arquitecto John Soane foi um mestre </w:t>
      </w:r>
      <w:r w:rsidR="0049779D">
        <w:t>—</w:t>
      </w:r>
      <w:r w:rsidRPr="00341472">
        <w:t xml:space="preserve"> entre outras coisas </w:t>
      </w:r>
      <w:r w:rsidR="0049779D">
        <w:t>—</w:t>
      </w:r>
      <w:r w:rsidRPr="00341472">
        <w:t xml:space="preserve"> na conjugação de lanternas e cúpulas, remodelando as técnicas de distribuição da luz no interior dos edifícios e dando assim aos volumes outra plástica. Com este fim ele não hesitou, na última década do século XVIII, em combinar o vidro com a modernidade do ferro na lanterna do departamento de </w:t>
      </w:r>
      <w:r w:rsidRPr="00341472">
        <w:rPr>
          <w:i/>
        </w:rPr>
        <w:t>consols</w:t>
      </w:r>
      <w:r w:rsidRPr="00341472">
        <w:t xml:space="preserve"> do Banco de Inglaterra. Foi uma atitude de grande ousadia ideológica, quando sabemos o ostracismo a que esteve votado até aos meados do século XIX o ferro aparente nas construções de prestígio. Pois apesar da audácia daquela cúpula, um dos artistas preferidos do grande arquitecto, Joseph Michael Gandy, desenhou e pintou </w:t>
      </w:r>
      <w:r w:rsidRPr="00341472">
        <w:rPr>
          <w:i/>
        </w:rPr>
        <w:t xml:space="preserve">Architectural ruins </w:t>
      </w:r>
      <w:r w:rsidR="0049779D">
        <w:rPr>
          <w:i/>
        </w:rPr>
        <w:t>–</w:t>
      </w:r>
      <w:r w:rsidRPr="00341472">
        <w:rPr>
          <w:i/>
        </w:rPr>
        <w:t xml:space="preserve"> a vision,</w:t>
      </w:r>
      <w:r w:rsidRPr="00341472">
        <w:t xml:space="preserve"> em que a sede do banco figura em ruínas, no tempo projectado de uma </w:t>
      </w:r>
      <w:r w:rsidRPr="00341472">
        <w:lastRenderedPageBreak/>
        <w:t xml:space="preserve">catástrofe, e sem que isto tivesse parecido contraditório a ele ou aos contemporâneos. Torna-se também especialmente significativo que na colecção de John Soane se encontre uma gravura de Fabris, </w:t>
      </w:r>
      <w:r w:rsidRPr="00341472">
        <w:rPr>
          <w:i/>
        </w:rPr>
        <w:t>Virgil’s tomb at Pozzuoli</w:t>
      </w:r>
      <w:r w:rsidRPr="00341472">
        <w:t>, representando uma cúpula arruinada no topo, com uma fenda que deixa entrar a luz de maneira a provocar um efeito de lanternim</w:t>
      </w:r>
      <w:r w:rsidR="00E040D4">
        <w:rPr>
          <w:rStyle w:val="Refdenotaderodap"/>
        </w:rPr>
        <w:footnoteReference w:id="38"/>
      </w:r>
      <w:r w:rsidRPr="00341472">
        <w:t xml:space="preserve">. Nos restos do túmulo do poeta romano veria o arquitecto inglês a caução estética definitiva dos seus arrojos? Só revestidas do passado as audácias da técnica pareciam dignas. Ou então, o que era exactamente o mesmo, projectadas para um futuro tão distante que delas já não se conservassem senão os escombros, conferindo ao presente actual a respeitabilidade de ser um passado possível dos presentes futuros. Estes construtores de cidades apenas nos cemitérios se conseguiam olhar. </w:t>
      </w:r>
    </w:p>
    <w:p w:rsidR="00837D5C" w:rsidRPr="00341472" w:rsidRDefault="00837D5C" w:rsidP="00837D5C">
      <w:pPr>
        <w:tabs>
          <w:tab w:val="left" w:pos="720"/>
          <w:tab w:val="left" w:pos="3312"/>
        </w:tabs>
      </w:pPr>
      <w:r w:rsidRPr="00341472">
        <w:t>A mesma obsessão do macabro que assimilara esteticamente as ruínas às grutas serviu em geral para remeter à natureza as obras da sociedade. Uvedale Price, teórico do pinturesco e defensor dos jardins neogóticos, excluía da paisagem artística todos os traços do labor humano, mesmo os campos cultivados, a não ser que as destruições do tempo tivessem convertido castelos e palácios, cabanas, até moinhos, em meras ruínas</w:t>
      </w:r>
      <w:r w:rsidR="00213125">
        <w:t xml:space="preserve"> e</w:t>
      </w:r>
      <w:r w:rsidRPr="00341472">
        <w:t xml:space="preserve"> que o musgo, as plantas, as manchas de humidade </w:t>
      </w:r>
      <w:r w:rsidR="00213125">
        <w:t xml:space="preserve">os houvessem </w:t>
      </w:r>
      <w:r w:rsidRPr="00341472">
        <w:t>resgatado para o domínio aceitável das disformidades da natureza. Também o crítico de arte William Gilpin, outro dos mais assinaláveis promotores dos jardins de estilo pinturesco, defendia que a indústria não devia ser representada pelos artistas</w:t>
      </w:r>
      <w:r w:rsidRPr="00341472">
        <w:rPr>
          <w:rStyle w:val="Refdenotaderodap"/>
        </w:rPr>
        <w:footnoteReference w:id="39"/>
      </w:r>
      <w:r w:rsidRPr="00341472">
        <w:t xml:space="preserve">. E aqueles que tomavam uma posição oposta e decidiam figurar a actividade fabril faziam-no em termos tais que lhe negavam qualquer identidade estética. Nesta polémica ambos os lados se situavam afinal no mesmo campo. </w:t>
      </w:r>
    </w:p>
    <w:p w:rsidR="00837D5C" w:rsidRDefault="00837D5C" w:rsidP="00837D5C">
      <w:pPr>
        <w:tabs>
          <w:tab w:val="left" w:pos="720"/>
          <w:tab w:val="left" w:pos="3312"/>
        </w:tabs>
      </w:pPr>
      <w:r w:rsidRPr="00341472">
        <w:t xml:space="preserve">Que eram </w:t>
      </w:r>
      <w:r w:rsidR="001A2F0E">
        <w:t>—</w:t>
      </w:r>
      <w:r w:rsidRPr="00341472">
        <w:t xml:space="preserve"> nos quadros e desenhos dos poucos artistas que as representavam </w:t>
      </w:r>
      <w:r w:rsidR="001A2F0E">
        <w:t>—</w:t>
      </w:r>
      <w:r w:rsidRPr="00341472">
        <w:t xml:space="preserve"> aquelas fábricas senão outras ruínas pinturescas a adicionar às muitas que povoavam as obras da época? E quem eram os operários de siderurgias que podemos observar em </w:t>
      </w:r>
      <w:r w:rsidR="000153F4">
        <w:t>telas</w:t>
      </w:r>
      <w:r w:rsidRPr="00341472">
        <w:t xml:space="preserve"> de segunda ordem, quando não de terceira, senão outros tantos ferreiros míticos a somar aos personagens de incontáveis Forjas de Vulcano? Quando um pintor hoje quase esquecido, Jean-Jacques Durameau, se interessou por uma fábrica de salitre não foram o processo de produção nem os gestos dos trabalhadores a atraí-lo, mas as nuvens espessas, </w:t>
      </w:r>
      <w:r w:rsidR="000153F4">
        <w:t>evocadoras</w:t>
      </w:r>
      <w:r w:rsidRPr="00341472">
        <w:t xml:space="preserve"> do fedor que se atribuía às paragens infernais, incluído por Burke entre os elementos do sublime. Que importava ao obscuro aguarelista Peter le Cave o número de caldeiras e a máquina Watt de que dispunha a fundição de ferro de Goscote, a maior da região, se ele a imaginou como escombros </w:t>
      </w:r>
      <w:r w:rsidRPr="00341472">
        <w:lastRenderedPageBreak/>
        <w:t xml:space="preserve">de outros séculos num ambiente bucólico e rural? Bastante mais conhecido e exercendo uma certa influência na sua época, Philippe Jacques de Loutherbourg respeitou meticulosamente o código do pinturesco ao pintar as fundições de Coalbrook Dale nos primeiros anos do século XIX. </w:t>
      </w:r>
      <w:r w:rsidR="000153F4">
        <w:t>As</w:t>
      </w:r>
      <w:r w:rsidRPr="00341472">
        <w:t xml:space="preserve"> peças de ferro abandonadas em primeiro plano são como pedras caídas de qualquer monumento e ao longe, depois da curva da estrada, as chaminés dispõem-se como torres de um castelo ou de uma catedral. Até o cavalo que puxa um trenó, curiosamente vazio e com um cão ao lado, parece entregue a uma faina bucólica. Alguém diria, ao ver este quadro, que Coalbrook Dale era um dos lugares marcantes da nova produção fabril? E no entanto Loutherbourg estava especialmente interessado pelos aspectos técnicos e mecânicos da arte, executava efeitos de cena para o teatro, criara um sistema eficaz de reprodução colorida de quadros e fora o inventor do </w:t>
      </w:r>
      <w:r w:rsidRPr="00341472">
        <w:rPr>
          <w:i/>
        </w:rPr>
        <w:t>eidophusikon,</w:t>
      </w:r>
      <w:r w:rsidRPr="00341472">
        <w:t xml:space="preserve"> complexo mecanismo precursor do cinema, que produzia ilusões ópticas através da conjugação de luzes e do movimento de telas pintadas, com acompanhamento sonoro, para regozijo de um vasto público. Nem as propensões técnicas do artista nem a vocação industrial do lugar foram capazes de inspirar qualquer modernidade estética àquela paisagem. Mas talvez is</w:t>
      </w:r>
      <w:r w:rsidR="001A2F0E">
        <w:t>t</w:t>
      </w:r>
      <w:r w:rsidRPr="00341472">
        <w:t xml:space="preserve">o não nos deva espantar quando sabemos que o principal êxito do </w:t>
      </w:r>
      <w:r w:rsidRPr="00341472">
        <w:rPr>
          <w:i/>
        </w:rPr>
        <w:t>eidophusikon</w:t>
      </w:r>
      <w:r w:rsidRPr="00341472">
        <w:t xml:space="preserve"> consistiu na representação naturalista de uma tempestade marítima. </w:t>
      </w:r>
    </w:p>
    <w:p w:rsidR="00837D5C" w:rsidRPr="00341472" w:rsidRDefault="00837D5C" w:rsidP="00837D5C">
      <w:pPr>
        <w:tabs>
          <w:tab w:val="left" w:pos="720"/>
          <w:tab w:val="left" w:pos="3312"/>
        </w:tabs>
      </w:pPr>
      <w:r w:rsidRPr="00341472">
        <w:t>Entretanto, Joseph Wright, dito Wright of Derby, dedica</w:t>
      </w:r>
      <w:r w:rsidR="00F307CE">
        <w:t>va-se</w:t>
      </w:r>
      <w:r w:rsidRPr="00341472">
        <w:t xml:space="preserve"> a um revivalismo à maneira de Caravaggio</w:t>
      </w:r>
      <w:r>
        <w:t>.</w:t>
      </w:r>
      <w:r w:rsidRPr="00341472">
        <w:t xml:space="preserve"> Outros o faziam também, mas podia presumir-se que Wright of Derby fosse diferente, porque mostrava-se muito atento às experiências científicas e às novas actividades surgidas com a revolução industrial. Nos seus quadros, porém, não conseguiu senão representar as fábricas como ruínas pinturescas e, apesar do título aparentemente objectivo, </w:t>
      </w:r>
      <w:r w:rsidRPr="00341472">
        <w:rPr>
          <w:i/>
        </w:rPr>
        <w:t>An iron forge, viewed from without,</w:t>
      </w:r>
      <w:r w:rsidRPr="00341472">
        <w:t xml:space="preserve"> pintado em 1773, parece o cenário </w:t>
      </w:r>
      <w:r w:rsidRPr="00341472">
        <w:rPr>
          <w:i/>
        </w:rPr>
        <w:t>gótico</w:t>
      </w:r>
      <w:r w:rsidRPr="00341472">
        <w:t xml:space="preserve"> de uma estapafúrdia ópera de vinganças, com ferreiros sinistros preparando não se sabe o quê a meio da noite num casebre arruinado. Em </w:t>
      </w:r>
      <w:r w:rsidRPr="00341472">
        <w:rPr>
          <w:i/>
        </w:rPr>
        <w:t>The blacksmith’s shop,</w:t>
      </w:r>
      <w:r w:rsidRPr="00341472">
        <w:t xml:space="preserve"> numa ruína clássica e já não medieval, é também de noite, à hora de todos os perigos, que os </w:t>
      </w:r>
      <w:r>
        <w:t>operários</w:t>
      </w:r>
      <w:r w:rsidRPr="00341472">
        <w:t xml:space="preserve"> batem o ferro. </w:t>
      </w:r>
      <w:r>
        <w:t xml:space="preserve">Comparemos estas obras com um quadro do sueco </w:t>
      </w:r>
      <w:r w:rsidRPr="00F86FAD">
        <w:t>Pehr Hilleström, contempor</w:t>
      </w:r>
      <w:r>
        <w:t xml:space="preserve">âneo de </w:t>
      </w:r>
      <w:r w:rsidRPr="00F86FAD">
        <w:t>Wright of Derby</w:t>
      </w:r>
      <w:r>
        <w:t xml:space="preserve">, </w:t>
      </w:r>
      <w:r w:rsidRPr="00F86FAD">
        <w:rPr>
          <w:i/>
        </w:rPr>
        <w:t>Na forja de âncoras de Söderfors. Os ferreiros em pleno trabalho</w:t>
      </w:r>
      <w:r>
        <w:rPr>
          <w:i/>
        </w:rPr>
        <w:t>,</w:t>
      </w:r>
      <w:r>
        <w:t xml:space="preserve"> que </w:t>
      </w:r>
      <w:r w:rsidR="00FA09D9">
        <w:t>vi</w:t>
      </w:r>
      <w:r>
        <w:t xml:space="preserve"> no </w:t>
      </w:r>
      <w:r w:rsidRPr="00301DA8">
        <w:t>Nationalmuseum</w:t>
      </w:r>
      <w:r>
        <w:t xml:space="preserve"> de Estocolmo. </w:t>
      </w:r>
      <w:r w:rsidRPr="00F86FAD">
        <w:t>Não há ruínas</w:t>
      </w:r>
      <w:r>
        <w:t xml:space="preserve">, </w:t>
      </w:r>
      <w:r w:rsidRPr="00F86FAD">
        <w:t xml:space="preserve">o ambiente é espaçoso </w:t>
      </w:r>
      <w:r>
        <w:t xml:space="preserve">como </w:t>
      </w:r>
      <w:r w:rsidRPr="00F86FAD">
        <w:t xml:space="preserve">uma </w:t>
      </w:r>
      <w:r>
        <w:t xml:space="preserve">verdadeira </w:t>
      </w:r>
      <w:r w:rsidRPr="00F86FAD">
        <w:t xml:space="preserve">oficina e os gestos parecem realmente ser gestos de trabalho. </w:t>
      </w:r>
      <w:r>
        <w:t>Também as</w:t>
      </w:r>
      <w:r w:rsidRPr="00F86FAD">
        <w:t xml:space="preserve"> </w:t>
      </w:r>
      <w:r>
        <w:t>figuras</w:t>
      </w:r>
      <w:r w:rsidRPr="00F86FAD">
        <w:t xml:space="preserve"> à direita, com alguém de costas que </w:t>
      </w:r>
      <w:r>
        <w:t>a</w:t>
      </w:r>
      <w:r w:rsidRPr="00F86FAD">
        <w:t xml:space="preserve">s introduz e lhes mostra </w:t>
      </w:r>
      <w:r>
        <w:t>o local</w:t>
      </w:r>
      <w:r w:rsidRPr="00F86FAD">
        <w:t xml:space="preserve">, </w:t>
      </w:r>
      <w:r>
        <w:t xml:space="preserve">em nada se assemelham aos </w:t>
      </w:r>
      <w:r w:rsidRPr="00F86FAD">
        <w:t xml:space="preserve">visitantes nocturnos </w:t>
      </w:r>
      <w:r>
        <w:t xml:space="preserve">daquela outra </w:t>
      </w:r>
      <w:r w:rsidRPr="00F86FAD">
        <w:t xml:space="preserve">forja </w:t>
      </w:r>
      <w:r w:rsidRPr="00F307CE">
        <w:rPr>
          <w:i/>
        </w:rPr>
        <w:t>gótica</w:t>
      </w:r>
      <w:r w:rsidRPr="00F86FAD">
        <w:t xml:space="preserve">. </w:t>
      </w:r>
      <w:r>
        <w:t>E no entanto não emana modernidade des</w:t>
      </w:r>
      <w:r w:rsidR="005B7502">
        <w:t>t</w:t>
      </w:r>
      <w:r>
        <w:t xml:space="preserve">a tela. </w:t>
      </w:r>
      <w:r w:rsidRPr="00F86FAD">
        <w:t xml:space="preserve">O revivalismo </w:t>
      </w:r>
      <w:r>
        <w:t>ali</w:t>
      </w:r>
      <w:r w:rsidRPr="00F86FAD">
        <w:t xml:space="preserve"> </w:t>
      </w:r>
      <w:r>
        <w:t xml:space="preserve">não provém das formas nem do ambiente mas daquilo que nos quadros de </w:t>
      </w:r>
      <w:r w:rsidRPr="00F86FAD">
        <w:t>Wright of Derby</w:t>
      </w:r>
      <w:r>
        <w:t xml:space="preserve"> é o principal factor de arcaísmo, a</w:t>
      </w:r>
      <w:r w:rsidRPr="00F86FAD">
        <w:t xml:space="preserve"> técnica carava</w:t>
      </w:r>
      <w:r>
        <w:t>g</w:t>
      </w:r>
      <w:r w:rsidRPr="00F86FAD">
        <w:t>giana usada para representar o</w:t>
      </w:r>
      <w:r>
        <w:t>s</w:t>
      </w:r>
      <w:r w:rsidRPr="00F86FAD">
        <w:t xml:space="preserve"> efeito</w:t>
      </w:r>
      <w:r>
        <w:t>s</w:t>
      </w:r>
      <w:r w:rsidRPr="00F86FAD">
        <w:t xml:space="preserve"> </w:t>
      </w:r>
      <w:r>
        <w:t>luminosos</w:t>
      </w:r>
      <w:r w:rsidRPr="00F86FAD">
        <w:t xml:space="preserve">. E como </w:t>
      </w:r>
      <w:r>
        <w:t xml:space="preserve">esteticamente </w:t>
      </w:r>
      <w:r w:rsidRPr="00F86FAD">
        <w:t xml:space="preserve">o quadro </w:t>
      </w:r>
      <w:r>
        <w:t xml:space="preserve">de </w:t>
      </w:r>
      <w:r w:rsidRPr="002807B0">
        <w:t xml:space="preserve">Hilleström </w:t>
      </w:r>
      <w:r w:rsidRPr="00F86FAD">
        <w:t xml:space="preserve">consiste todo </w:t>
      </w:r>
      <w:r>
        <w:t>ele n</w:t>
      </w:r>
      <w:r w:rsidRPr="00F86FAD">
        <w:t xml:space="preserve">uma barra de luz que </w:t>
      </w:r>
      <w:r>
        <w:t xml:space="preserve">o </w:t>
      </w:r>
      <w:r w:rsidRPr="00F86FAD">
        <w:t>atravessa de um lado ao outro</w:t>
      </w:r>
      <w:r>
        <w:t>,</w:t>
      </w:r>
      <w:r w:rsidRPr="00F86FAD">
        <w:t xml:space="preserve"> </w:t>
      </w:r>
      <w:r w:rsidRPr="00F86FAD">
        <w:lastRenderedPageBreak/>
        <w:t xml:space="preserve">pode dizer-se que </w:t>
      </w:r>
      <w:r>
        <w:t xml:space="preserve">se resume à lição de </w:t>
      </w:r>
      <w:r w:rsidRPr="002807B0">
        <w:t>Caravaggio</w:t>
      </w:r>
      <w:r w:rsidRPr="00F86FAD">
        <w:t xml:space="preserve">. </w:t>
      </w:r>
      <w:r>
        <w:t xml:space="preserve">Foi este, no melhor dos casos, o padrão estilístico a que obedeceram as raras representações pictóricas </w:t>
      </w:r>
      <w:r w:rsidR="00E967B8">
        <w:t>de</w:t>
      </w:r>
      <w:r>
        <w:t xml:space="preserve"> manufacturas,</w:t>
      </w:r>
      <w:r w:rsidRPr="00493821">
        <w:t xml:space="preserve"> </w:t>
      </w:r>
      <w:r w:rsidRPr="00C61A06">
        <w:t xml:space="preserve">fraco </w:t>
      </w:r>
      <w:r w:rsidRPr="00C61A06">
        <w:rPr>
          <w:i/>
        </w:rPr>
        <w:t>pastiche</w:t>
      </w:r>
      <w:r w:rsidRPr="00C61A06">
        <w:t xml:space="preserve"> transformando o que para o genial italiano havia sido a expressão plástica de uma concepção filosófica numa mera </w:t>
      </w:r>
      <w:r>
        <w:t>representação</w:t>
      </w:r>
      <w:r w:rsidRPr="00C61A06">
        <w:t xml:space="preserve"> naturalista </w:t>
      </w:r>
      <w:r>
        <w:t xml:space="preserve">da </w:t>
      </w:r>
      <w:r w:rsidRPr="00493821">
        <w:t>emanação e d</w:t>
      </w:r>
      <w:r>
        <w:t>a</w:t>
      </w:r>
      <w:r w:rsidRPr="00493821">
        <w:t xml:space="preserve"> concentração d</w:t>
      </w:r>
      <w:r>
        <w:t>e</w:t>
      </w:r>
      <w:r w:rsidRPr="00493821">
        <w:t xml:space="preserve"> luz</w:t>
      </w:r>
      <w:r>
        <w:t>.</w:t>
      </w:r>
      <w:r w:rsidRPr="00493821">
        <w:t xml:space="preserve"> </w:t>
      </w:r>
      <w:r>
        <w:t xml:space="preserve">Apenas na passagem da primeira para a segunda década do século XX a situação se alterou radicalmente, com a noção de dinamismo introduzida pelos futuristas. Até esse momento </w:t>
      </w:r>
      <w:r w:rsidRPr="00F86FAD">
        <w:t xml:space="preserve">a novidade da técnica </w:t>
      </w:r>
      <w:r>
        <w:t xml:space="preserve">fora </w:t>
      </w:r>
      <w:r w:rsidRPr="00F86FAD">
        <w:t>incapaz de suscitar uma estética nova</w:t>
      </w:r>
      <w:r>
        <w:t>;</w:t>
      </w:r>
      <w:r w:rsidRPr="00F86FAD">
        <w:t xml:space="preserve"> </w:t>
      </w:r>
      <w:r>
        <w:t xml:space="preserve">mais grave ainda, </w:t>
      </w:r>
      <w:r w:rsidRPr="00F86FAD">
        <w:t xml:space="preserve">a nova técnica </w:t>
      </w:r>
      <w:r>
        <w:t xml:space="preserve">servira para validar </w:t>
      </w:r>
      <w:r w:rsidRPr="00F86FAD">
        <w:t xml:space="preserve">um olhar estético </w:t>
      </w:r>
      <w:r>
        <w:t>arcaico</w:t>
      </w:r>
      <w:r w:rsidRPr="00F86FAD">
        <w:t xml:space="preserve">. </w:t>
      </w:r>
      <w:r w:rsidRPr="00341472">
        <w:t xml:space="preserve">Só remetidas a outro tempo </w:t>
      </w:r>
      <w:r w:rsidR="005B7502">
        <w:t>—</w:t>
      </w:r>
      <w:r w:rsidRPr="00341472">
        <w:t xml:space="preserve"> através do conteúdo, pela figuração de ruínas, ou através da forma, pela imitação do estilo dos mestres </w:t>
      </w:r>
      <w:r w:rsidR="005B7502">
        <w:t>—</w:t>
      </w:r>
      <w:r w:rsidRPr="00341472">
        <w:t xml:space="preserve"> as manifestações da civilização industrial adquiriam uma legitimadora dignidade para os escassos artistas que as abordavam. Eles podiam considerar a actividade fabril merecedora de se revestir das roupagens do passado, mas, contraditoriamente, </w:t>
      </w:r>
      <w:r>
        <w:t>era</w:t>
      </w:r>
      <w:r w:rsidRPr="00341472">
        <w:t xml:space="preserve"> o </w:t>
      </w:r>
      <w:r w:rsidRPr="00341472">
        <w:rPr>
          <w:i/>
        </w:rPr>
        <w:t>travesti</w:t>
      </w:r>
      <w:r w:rsidRPr="00341472">
        <w:t xml:space="preserve"> </w:t>
      </w:r>
      <w:r>
        <w:t xml:space="preserve">que </w:t>
      </w:r>
      <w:r w:rsidRPr="00341472">
        <w:t xml:space="preserve">tornava real aquela respeitabilidade. </w:t>
      </w:r>
    </w:p>
    <w:p w:rsidR="00837D5C" w:rsidRPr="00341472" w:rsidRDefault="00837D5C" w:rsidP="00837D5C">
      <w:pPr>
        <w:tabs>
          <w:tab w:val="left" w:pos="720"/>
          <w:tab w:val="left" w:pos="3312"/>
        </w:tabs>
      </w:pPr>
      <w:r w:rsidRPr="00341472">
        <w:t xml:space="preserve">O engenheiro Isambard Kingdom Brunel foi, mais do que moderno, um precursor, e apesar disto </w:t>
      </w:r>
      <w:r w:rsidR="003A0866">
        <w:t>—</w:t>
      </w:r>
      <w:r w:rsidRPr="00341472">
        <w:t xml:space="preserve"> ou quem sabe se por isto mesmo </w:t>
      </w:r>
      <w:r w:rsidR="003A0866">
        <w:t>—</w:t>
      </w:r>
      <w:r w:rsidRPr="00341472">
        <w:t xml:space="preserve"> vêmo-lo dissimular repetidamente as suas audácias técnicas com o revivalismo estético. Verdadeiramente assombroso foi ter deixado incompleta uma boca de um dos túneis do Great Western Railway, de modo a imitar uma ruína medieval, mandando ainda plantar-lhe hera, para aumentar o efeito</w:t>
      </w:r>
      <w:r w:rsidRPr="00341472">
        <w:rPr>
          <w:rStyle w:val="Refdenotaderodap"/>
        </w:rPr>
        <w:footnoteReference w:id="40"/>
      </w:r>
      <w:r w:rsidRPr="00341472">
        <w:t xml:space="preserve">. Decerto um túnel, mesmo de ferrovia, não podia deixar de ser sentido pelos contemporâneos como a evocação de uma gruta, por isso os escombros nada tinham ali de incongruentes, apesar de tão artificiais e modernos como tudo o mais. Aquelas extemporâneas ruínas assinalaram a atribuição de uma dignidade social ao novo meio de transporte. Nem pareceria ameaçador aos viajantes que a entrada num longo subterrâneo, onde tudo devia garantir a segurança, estivesse assim fantasiada. E se o parecesse, seguros da técnica como intimamente estavam, seria uma bem-vinda oportunidade para os </w:t>
      </w:r>
      <w:r w:rsidRPr="00341472">
        <w:rPr>
          <w:i/>
        </w:rPr>
        <w:t>frissons</w:t>
      </w:r>
      <w:r w:rsidRPr="00341472">
        <w:t xml:space="preserve"> do sublime. Aliás, em nada disto há qualquer razão para espanto, quando sabemos o que aconteceu em 1827, na segunda das inundações que atrasaram a construção do túnel sob o Tamisa e quase iam comprometendo a viabilidade da obra. Brunel encontrava-se no local e registou mais tarde no seu diário que «o efeito era </w:t>
      </w:r>
      <w:r w:rsidRPr="00341472">
        <w:rPr>
          <w:i/>
        </w:rPr>
        <w:t>grandioso</w:t>
      </w:r>
      <w:r w:rsidRPr="00341472">
        <w:t xml:space="preserve"> </w:t>
      </w:r>
      <w:r w:rsidR="003A0866">
        <w:t>—</w:t>
      </w:r>
      <w:r w:rsidRPr="00341472">
        <w:t xml:space="preserve"> o rugido da torrente precipitando-se a toda a velocidade na estreita passagem era grandioso, </w:t>
      </w:r>
      <w:r w:rsidRPr="00341472">
        <w:rPr>
          <w:i/>
        </w:rPr>
        <w:t>muito grandioso</w:t>
      </w:r>
      <w:r w:rsidRPr="00341472">
        <w:t xml:space="preserve">». Devia sê-lo, a tal ponto que o célebre engenheiro retardou a fuga para contemplar a violência das águas, e embora conseguisse a custo salvar-se, menos sorte tiveram seis dos operários que o acompanhavam. No entanto, como escreveu no diário, «o que pude ver e presenciar valeu bem o risco e de bom grado pagaria a minha parte [...] das despesas </w:t>
      </w:r>
      <w:r w:rsidRPr="00341472">
        <w:lastRenderedPageBreak/>
        <w:t>de um tal “espectáculo”»</w:t>
      </w:r>
      <w:r w:rsidRPr="00341472">
        <w:rPr>
          <w:rStyle w:val="Refdenotaderodap"/>
        </w:rPr>
        <w:footnoteReference w:id="41"/>
      </w:r>
      <w:r w:rsidRPr="00341472">
        <w:t>. Burke prevenira que «se o perigo ou a dor ameaçarem de demasiado perto serão [...] incapazes de dar prazer»</w:t>
      </w:r>
      <w:r w:rsidRPr="00341472">
        <w:rPr>
          <w:rStyle w:val="Refdenotaderodap"/>
        </w:rPr>
        <w:footnoteReference w:id="42"/>
      </w:r>
      <w:r w:rsidRPr="00341472">
        <w:t xml:space="preserve">, mas não deixara explicado a quantos metros de distância, ou minutos, terminava o sublime. </w:t>
      </w:r>
    </w:p>
    <w:p w:rsidR="00837D5C" w:rsidRPr="00341472" w:rsidRDefault="00837D5C" w:rsidP="00837D5C">
      <w:pPr>
        <w:tabs>
          <w:tab w:val="left" w:pos="720"/>
          <w:tab w:val="left" w:pos="3312"/>
        </w:tabs>
      </w:pPr>
      <w:r w:rsidRPr="00341472">
        <w:t>Com grutas e ruínas a cultura burguesa dissimulou o capitalismo e a produção fabril, e do mesmo modo mistificou os conflitos sociais que lhe são inerentes. Na sua função negativa o sublime ocultou o domínio da natureza pela máquina. Na sua função positiva procedeu à apologia do poder. «[...] não conheço nenhuma manifestação do sublime que não consista numa forma modificada do poder», escreveu Burke, para acrescentar na página seguinte que «todo o carácter sublime do poder lhe vem do terror de que geralmente se faz acompanhar»</w:t>
      </w:r>
      <w:r w:rsidRPr="00341472">
        <w:rPr>
          <w:rStyle w:val="Refdenotaderodap"/>
        </w:rPr>
        <w:footnoteReference w:id="43"/>
      </w:r>
      <w:r w:rsidRPr="00341472">
        <w:t xml:space="preserve">. Incluindo o terror entre os atributos </w:t>
      </w:r>
      <w:r>
        <w:t>da</w:t>
      </w:r>
      <w:r w:rsidRPr="00341472">
        <w:t xml:space="preserve"> </w:t>
      </w:r>
      <w:r>
        <w:t>autoridade</w:t>
      </w:r>
      <w:r w:rsidRPr="00341472">
        <w:t xml:space="preserve">, Burke reconheceu que era permitido a qualquer soberano apresentar-se como déspota, e ao pronunciar-se mais tarde contra a revolução francesa ele renegou os seus ideais estéticos, pois </w:t>
      </w:r>
      <w:r w:rsidR="00414C80">
        <w:t xml:space="preserve">haveria </w:t>
      </w:r>
      <w:r w:rsidRPr="00341472">
        <w:t>algo de mais sublime do que a</w:t>
      </w:r>
      <w:r w:rsidR="00EF23CB">
        <w:t xml:space="preserve"> </w:t>
      </w:r>
      <w:r w:rsidR="00414C80">
        <w:t xml:space="preserve">ameaça da </w:t>
      </w:r>
      <w:r w:rsidRPr="00341472">
        <w:t xml:space="preserve">guilhotina do Comité de Salvação Pública? </w:t>
      </w:r>
    </w:p>
    <w:p w:rsidR="00837D5C" w:rsidRPr="00341472" w:rsidRDefault="00837D5C" w:rsidP="00837D5C">
      <w:pPr>
        <w:tabs>
          <w:tab w:val="left" w:pos="720"/>
          <w:tab w:val="left" w:pos="3312"/>
        </w:tabs>
      </w:pPr>
      <w:r w:rsidRPr="00341472">
        <w:t xml:space="preserve">Porque se do lado das magestades era enquanto capacidade de arruinar que o poder atingia o sublime, tornava-se necessária uma atitude correspondente do lado dos súbditos. A literatura da época revela uma curiosa deslocação dos temores das classes dominantes. Ao mesmo tempo que era aplicado um sistema cada vez mais complexo de disciplina de empresa, que eram impedidas as coligações de operários, que eram reprimidas duramente as greves e mais ferozmente ainda os tímidos esboços de emancipação política da classe trabalhadora, eram outras as angústias sociais manifestadas nos romances, nas peças de teatro, nos folhetins de jornal que ajudavam a preencher os ócios dos proprietários e dos rentistas. Não surgia aí a imagem dos trabalhadores para perturbar a placidez da mentalidade burguesa, mas invocavam-se os </w:t>
      </w:r>
      <w:r w:rsidRPr="00341472">
        <w:rPr>
          <w:i/>
        </w:rPr>
        <w:t>bas</w:t>
      </w:r>
      <w:r w:rsidR="00EF23CB">
        <w:rPr>
          <w:i/>
        </w:rPr>
        <w:t>-</w:t>
      </w:r>
      <w:r w:rsidRPr="00341472">
        <w:rPr>
          <w:i/>
        </w:rPr>
        <w:t>fonds,</w:t>
      </w:r>
      <w:r w:rsidRPr="00341472">
        <w:t xml:space="preserve"> um mundo de marginais, ignorado, indefinível, escondido da luz do dia e agitando-se nos subterrâneos da sociedade. O mesmo processo que levou a ocultar as manifestações do capitalismo por detrás de uma encenação estética regida pelo revivalismo e pelo exotismo converteu também a classe revolucionária em «classes perigosas», o proletário em assaltante obscuro. Os antagonismos sociais, que as obras dos economistas desvendavam e esclareciam, sob a pluma dos ficcionistas ficavam convertidos em mistérios. Talvez por isto a leitura dos economistas era expurgada da sociedade de bom-tom, vedada às senhoras e circunscrita, com as demais actividades profissionais, àquela esfera de que se vivia mas </w:t>
      </w:r>
      <w:r w:rsidR="00A61DD0">
        <w:t xml:space="preserve">sobre a </w:t>
      </w:r>
      <w:r w:rsidRPr="00341472">
        <w:t xml:space="preserve">qual não se </w:t>
      </w:r>
      <w:r w:rsidR="003172E9">
        <w:t>conversava</w:t>
      </w:r>
      <w:r w:rsidRPr="00341472">
        <w:t xml:space="preserve">, ao mundo dos homens entre eles. </w:t>
      </w:r>
      <w:r w:rsidRPr="00341472">
        <w:rPr>
          <w:i/>
        </w:rPr>
        <w:t>À table, on ne parle pas boutique</w:t>
      </w:r>
      <w:r w:rsidRPr="00341472">
        <w:t xml:space="preserve">. As </w:t>
      </w:r>
      <w:r w:rsidRPr="00341472">
        <w:lastRenderedPageBreak/>
        <w:t xml:space="preserve">inquietações localizavam-se nas cloacas e esgotos das cidades, que nada mais eram afinal do que outras grutas, tão artificiais como as dos jardins. Se a voga literária das ficções </w:t>
      </w:r>
      <w:r w:rsidRPr="00341472">
        <w:rPr>
          <w:i/>
        </w:rPr>
        <w:t>góticas</w:t>
      </w:r>
      <w:r w:rsidRPr="00341472">
        <w:t xml:space="preserve"> mal ultrapassou o alvor do romantismo, elas prolongaram-se através do tema social ao longo </w:t>
      </w:r>
      <w:r>
        <w:t>do</w:t>
      </w:r>
      <w:r w:rsidRPr="00341472">
        <w:t xml:space="preserve"> século XIX. A ideia de que por baixo da sociedade legítima fervilhava um secreto mundo de perigos caracteriza os escritores românticos, os piores como os melhores. Só assim a cultura burguesa aceitou tomar consciência dos antagonismos sociais que a rasgavam, remetendo-os a outro espaço, onde os pensou portanto como exóticos, e um espaço contido entre túneis, colunas e abóbadas, misto de gruta e de ruína, e projectado portanto para outro tempo. </w:t>
      </w:r>
    </w:p>
    <w:p w:rsidR="00837D5C" w:rsidRPr="00341472" w:rsidRDefault="00837D5C" w:rsidP="00837D5C">
      <w:pPr>
        <w:tabs>
          <w:tab w:val="left" w:pos="720"/>
          <w:tab w:val="left" w:pos="3312"/>
        </w:tabs>
      </w:pPr>
      <w:r w:rsidRPr="00341472">
        <w:t xml:space="preserve">Enquanto definia o sublime, género maior da estética, nos termos de uma vertigem, como o fascínio exercido pelo terror sobre alguém que pisa um terreno seguro, Burke apresentava o belo como um género menor, o reino da ternura afectuosa, dos prazeres ténues, dos pequenos volumes, das formas contínuas, dos coloridos delicados, das superfícies acetinadas. Para compreendermos a ligação que Burke estabelecia entre beleza e amor é necessário recordar que não se chegara à época de </w:t>
      </w:r>
      <w:r w:rsidRPr="00341472">
        <w:rPr>
          <w:i/>
        </w:rPr>
        <w:t>La Comédie Humaine,</w:t>
      </w:r>
      <w:r w:rsidRPr="00341472">
        <w:t xml:space="preserve"> em que uma mulher votada à destruição podia confessar que «eu não teria cedido aos desejos deles se não tivesse percebido nesta ignóbil farsa um misto de terror e de amor que me tentou»</w:t>
      </w:r>
      <w:r w:rsidRPr="00341472">
        <w:rPr>
          <w:rStyle w:val="Refdenotaderodap"/>
        </w:rPr>
        <w:footnoteReference w:id="44"/>
      </w:r>
      <w:r w:rsidRPr="00341472">
        <w:t xml:space="preserve">, e mais distante ainda estava a época de Baudelaire, em que a morbidez do sexo talvez pudesse ser classificada como sublime. Neste domínio perduravam as atitudes do </w:t>
      </w:r>
      <w:r w:rsidRPr="00341472">
        <w:rPr>
          <w:i/>
        </w:rPr>
        <w:t>Ancien Régime,</w:t>
      </w:r>
      <w:r w:rsidRPr="00341472">
        <w:t xml:space="preserve"> e mesmo Don Giovanni, apesar do abismo que tinha dentro de si e da vontade de destruição, não conseguiu inventar para o amor figuras que diferissem do jogo cortês. O reverso desta demonstração encontra-se em Sade, cuja fúria devastadora só pôde condenar personagens retóricos, meros emblemas do espírito, paradoxalmente desprovidos de carne e movidos num palco de convenções segundo uma encenação não menos artificiosa do que a das telas de Boucher. Não houve maneira na boa sociedade desta época de raptar o amor à forma galante </w:t>
      </w:r>
      <w:r w:rsidR="003F3440">
        <w:t>—</w:t>
      </w:r>
      <w:r w:rsidRPr="00341472">
        <w:t xml:space="preserve"> Füssli foi o primeiro pintor a fazê-lo </w:t>
      </w:r>
      <w:r w:rsidR="003F3440">
        <w:t>—</w:t>
      </w:r>
      <w:r w:rsidRPr="00341472">
        <w:t xml:space="preserve"> e era o galante que naquela definição de beleza se opunha ao terror. Por isso Burke distingui</w:t>
      </w:r>
      <w:r w:rsidR="003F3440">
        <w:t>u</w:t>
      </w:r>
      <w:r w:rsidRPr="00341472">
        <w:t xml:space="preserve"> o amor, a que atribu</w:t>
      </w:r>
      <w:r w:rsidR="003F3440">
        <w:t>iu</w:t>
      </w:r>
      <w:r w:rsidRPr="00341472">
        <w:t xml:space="preserve"> um carácter contemplativo e de certo modo melancólico, da paixão impulsionada pelo desejo, que defini</w:t>
      </w:r>
      <w:r w:rsidR="003F3440">
        <w:t>u</w:t>
      </w:r>
      <w:r w:rsidRPr="00341472">
        <w:t xml:space="preserve"> como «uma energia da mente»</w:t>
      </w:r>
      <w:r w:rsidRPr="00341472">
        <w:rPr>
          <w:rStyle w:val="Refdenotaderodap"/>
        </w:rPr>
        <w:footnoteReference w:id="45"/>
      </w:r>
      <w:r w:rsidRPr="00341472">
        <w:t xml:space="preserve">. </w:t>
      </w:r>
    </w:p>
    <w:p w:rsidR="00837D5C" w:rsidRPr="00341472" w:rsidRDefault="00837D5C" w:rsidP="00837D5C">
      <w:pPr>
        <w:tabs>
          <w:tab w:val="left" w:pos="720"/>
          <w:tab w:val="left" w:pos="3312"/>
        </w:tabs>
      </w:pPr>
      <w:r w:rsidRPr="00341472">
        <w:t>No mundo do belo a mente podia repousar sem ameaças e os pobres tinham aí lugar desde que se apresentassem como figurantes pinturescos. Descrevendo um jardim ideal nos anos que precederam a revolução francesa, o príncipe de Ligne imagin</w:t>
      </w:r>
      <w:r>
        <w:t>ou</w:t>
      </w:r>
      <w:r w:rsidRPr="00341472">
        <w:t xml:space="preserve"> os trajes com que revestiria os seus pastores e as suas pastoras e os instrumentos musicais que lhes daria para </w:t>
      </w:r>
      <w:r w:rsidRPr="00341472">
        <w:lastRenderedPageBreak/>
        <w:t>tocarem enquanto vigiavam os rebanhos</w:t>
      </w:r>
      <w:r w:rsidRPr="00341472">
        <w:rPr>
          <w:rStyle w:val="Refdenotaderodap"/>
        </w:rPr>
        <w:footnoteReference w:id="46"/>
      </w:r>
      <w:r w:rsidRPr="00341472">
        <w:t>. A ficção adquiria corpo e apagava-se a distinção entre sociedade real e artifício cénico. A propósito das celebrações de São Luís, quando a plebe parisiense era autorizada a penetrar nas Tuileries e a passear nos jardins do rei, Sébastien Mercier, um literato que soube antecipar o gosto burguês, observ</w:t>
      </w:r>
      <w:r>
        <w:t>ou</w:t>
      </w:r>
      <w:r w:rsidRPr="00341472">
        <w:t xml:space="preserve"> que «todas as camadas sociais se confundem, o que varia o espectáculo e o torna vivo, pinturesco, curioso»</w:t>
      </w:r>
      <w:r w:rsidRPr="00341472">
        <w:rPr>
          <w:rStyle w:val="Refdenotaderodap"/>
        </w:rPr>
        <w:footnoteReference w:id="47"/>
      </w:r>
      <w:r w:rsidRPr="00341472">
        <w:t xml:space="preserve">. Mas nas vésperas da grande revolução estas encenações, quando não eram simplesmente utópicas, como as do príncipe de Ligne, ocorriam apenas de maneira episódica. Dentro em pouco a plebe violaria os espaços da realeza e torná-los-ia públicos, ditando outras regras ao jogo e organizando festas cívicas, para desgosto da baronesa de Oberkirch, que nas suas </w:t>
      </w:r>
      <w:r w:rsidRPr="00341472">
        <w:rPr>
          <w:i/>
        </w:rPr>
        <w:t>Mémoires</w:t>
      </w:r>
      <w:r w:rsidRPr="00341472">
        <w:t xml:space="preserve"> citou a filosofia de Rousseau e a nova arte dos jardins como as duas responsáveis pelos desastres da revolução</w:t>
      </w:r>
      <w:r w:rsidRPr="00341472">
        <w:rPr>
          <w:rStyle w:val="Refdenotaderodap"/>
        </w:rPr>
        <w:footnoteReference w:id="48"/>
      </w:r>
      <w:r w:rsidRPr="00341472">
        <w:t>. Não devia ser ela a única com tal opinião, porque Alexandre de Laborde, num livro publicado em 1808, mencion</w:t>
      </w:r>
      <w:r>
        <w:t>ou</w:t>
      </w:r>
      <w:r w:rsidRPr="00341472">
        <w:t xml:space="preserve"> as pessoas que «atribuem os infortúnios da revolução a todas as mudanças introduzidas nos nossos costumes e mesmo nos nossos jardins». E apesar de seu pai, o marquês, ter sido guilhotinado durante o Terror, o filho era suficientemente sensato para observar que não seria necessário «voltar a passar pelas antigas alamedas para regressar às antigas instituições»</w:t>
      </w:r>
      <w:r w:rsidRPr="00341472">
        <w:rPr>
          <w:rStyle w:val="Refdenotaderodap"/>
        </w:rPr>
        <w:footnoteReference w:id="49"/>
      </w:r>
      <w:r w:rsidRPr="00341472">
        <w:t xml:space="preserve">. </w:t>
      </w:r>
    </w:p>
    <w:p w:rsidR="00837D5C" w:rsidRPr="00341472" w:rsidRDefault="00837D5C" w:rsidP="00837D5C">
      <w:pPr>
        <w:tabs>
          <w:tab w:val="left" w:pos="720"/>
          <w:tab w:val="left" w:pos="3312"/>
        </w:tabs>
      </w:pPr>
      <w:r w:rsidRPr="00341472">
        <w:t>Do outro lado da Mancha, onde a burguesia impusera desde há muito não só os seus critérios estéticos mas as suas regras políticas também, o reverendo William Mason, poeta e amante de jardins, sugeri</w:t>
      </w:r>
      <w:r>
        <w:t>u</w:t>
      </w:r>
      <w:r w:rsidRPr="00341472">
        <w:t xml:space="preserve"> aos donos das terras que vestissem de andrajos graciosos os filhos das famílias miseráveis e os deixassem à solta entre as colinas e os riachos, as grutas e as ruínas</w:t>
      </w:r>
      <w:r w:rsidRPr="00341472">
        <w:rPr>
          <w:rStyle w:val="Refdenotaderodap"/>
        </w:rPr>
        <w:footnoteReference w:id="50"/>
      </w:r>
      <w:r w:rsidRPr="00341472">
        <w:t xml:space="preserve">. E na França burguesa de </w:t>
      </w:r>
      <w:r w:rsidR="0066267A">
        <w:t>Napoleão</w:t>
      </w:r>
      <w:r w:rsidRPr="00341472">
        <w:t>, o arquitecto Jean-Charles Krafft prop</w:t>
      </w:r>
      <w:r>
        <w:t>ôs</w:t>
      </w:r>
      <w:r w:rsidRPr="00341472">
        <w:t xml:space="preserve"> que um ou outro casal de camponeses idosos, depois de uma vida de labuta ao serviço do proprietário, fossem alojados «numa choupana de estilo polaco», o que não deixaria de embelezar o jardim com mais «um efeito pinturesco»</w:t>
      </w:r>
      <w:r w:rsidRPr="00341472">
        <w:rPr>
          <w:rStyle w:val="Refdenotaderodap"/>
        </w:rPr>
        <w:footnoteReference w:id="51"/>
      </w:r>
      <w:r w:rsidRPr="00341472">
        <w:t xml:space="preserve">. A pobreza legitimava-se pelo facto de ficar introduzida num meio rigorosamente pré-ordenado, onde os pobres podiam ser engraçados porque eram inofensivos sobreviventes de uma época já passada </w:t>
      </w:r>
      <w:r w:rsidR="0066267A">
        <w:t>—</w:t>
      </w:r>
      <w:r w:rsidRPr="00341472">
        <w:t xml:space="preserve"> e que nunca ocorrera. Os mesmos capitalistas que haviam proletarizado os campos e convertido o artesanato em manufacturas fabris povoavam os seus lazeres com falsas recordações vivas de uma sociedade rural idílica que, se alguma vez houvesse existido, teriam sido eles os primeiros a aniquilar. Para expulsar a </w:t>
      </w:r>
      <w:r w:rsidRPr="00341472">
        <w:lastRenderedPageBreak/>
        <w:t xml:space="preserve">luta das classes do panorama convencional juntavam-se os jogos no espaço aos jogos do tempo e completava-se a ansiedade do sublime com o tranquilo deleite do belo. </w:t>
      </w:r>
    </w:p>
    <w:p w:rsidR="00837D5C" w:rsidRPr="00341472" w:rsidRDefault="00837D5C" w:rsidP="00837D5C">
      <w:pPr>
        <w:tabs>
          <w:tab w:val="left" w:pos="720"/>
          <w:tab w:val="left" w:pos="3312"/>
        </w:tabs>
      </w:pPr>
      <w:r w:rsidRPr="00341472">
        <w:t>No âmago da cultura burguesa esteve a inconciliável contradição entre</w:t>
      </w:r>
      <w:r w:rsidR="008B5B8E">
        <w:t>, por um lado,</w:t>
      </w:r>
      <w:r w:rsidRPr="00341472">
        <w:t xml:space="preserve"> a modernidade económica e técnica e</w:t>
      </w:r>
      <w:r w:rsidR="008B5B8E">
        <w:t>, por outro,</w:t>
      </w:r>
      <w:r w:rsidRPr="00341472">
        <w:t xml:space="preserve"> a estética que a encobria. </w:t>
      </w:r>
      <w:r w:rsidR="008B5B8E" w:rsidRPr="00341472">
        <w:t xml:space="preserve">Foi </w:t>
      </w:r>
      <w:r w:rsidRPr="00341472">
        <w:t>impossível àquela cultura fundir com o presente os testemunhos das outras épocas e insuflar-lhes uma inspiração que os renovasse e transformasse. O passado tinha de ser mantido irremediavelmente obsoleto para que fosse eficaz na função que se lhe atribuía, a de distrair o presente. A sociedade burguesa foi a única, em toda a história</w:t>
      </w:r>
      <w:r w:rsidR="00BD101E">
        <w:t xml:space="preserve"> de todo o mundo</w:t>
      </w:r>
      <w:r w:rsidRPr="00341472">
        <w:t xml:space="preserve">, a pretender preservar o passado arquitectónico, impedindo-o de evoluir organicamente e se articular com os novos estilos. Comparem-se duas gravuras de Piranesi. Uma mostra o teatro de Marcellus, em Roma, tal como existia na época, os restos do antigo edifício preenchidos com uma construção nova e o conjunto adaptado à habitação. Era como um enorme prédio circular de apartamentos, parcialmente decorado com relíquias clássicas. O </w:t>
      </w:r>
      <w:r w:rsidRPr="00341472">
        <w:rPr>
          <w:i/>
        </w:rPr>
        <w:t>kitsch</w:t>
      </w:r>
      <w:r w:rsidRPr="00341472">
        <w:t xml:space="preserve"> pós-moderno adoraria. A outra gravura, uma antecipação do futuro, representa a ruína daquele conjunto. Não é o tema do futuro visto como uma ruína que</w:t>
      </w:r>
      <w:r w:rsidR="00BD101E">
        <w:t xml:space="preserve"> me</w:t>
      </w:r>
      <w:r w:rsidRPr="00341472">
        <w:t xml:space="preserve"> interessa agora destacar. O que me chamou a atenção foi o facto de as ruínas imaginadas por Piranesi se reduzirem aos restos da velha construção romana, sem que </w:t>
      </w:r>
      <w:r w:rsidR="008B5B8E">
        <w:t xml:space="preserve">ele </w:t>
      </w:r>
      <w:r w:rsidRPr="00341472">
        <w:t xml:space="preserve">tivesse permitido a sobrevivência de </w:t>
      </w:r>
      <w:r w:rsidR="00BD101E">
        <w:t>nenhuns</w:t>
      </w:r>
      <w:r w:rsidRPr="00341472">
        <w:t xml:space="preserve"> vestígios da adaptação do teatro a moradia. As devastações do tempo serviriam para restabelecer as hierarquias que o presente confundia, para liquidar pelo esquecimento um lugar povoado de gente e restaurar o teatro de Marcellus na sua dignidade de ruína inútil. </w:t>
      </w:r>
    </w:p>
    <w:p w:rsidR="00837D5C" w:rsidRPr="00341472" w:rsidRDefault="00837D5C" w:rsidP="00837D5C">
      <w:pPr>
        <w:tabs>
          <w:tab w:val="left" w:pos="720"/>
          <w:tab w:val="left" w:pos="3312"/>
        </w:tabs>
      </w:pPr>
      <w:r w:rsidRPr="00341472">
        <w:t>O paradoxo contido nessas duas gravuras de Piranesi, que consiste em congelar no tempo uma arquitectura que fora feita e acrescentada ao longo de séculos, tem aprisionado os protectores do património. As operações de restauro constituem na prática uma involução das linhas do edifício e mesmo as medidas de mera conservação representam, afinal, um corte abrupto no que até então havia sido uma ininterrupta evolução plástica. Porque à força de tanto ouvirmos falar do passado, quase esquecemos que para a cultura burguesa esse era um tempo sem espessura. Passado era a antiguidade e o gótico, as eras míticas dos gregos ou dos cataclismos bíblicos e os séculos, ainda bem próximos, da renascença e do começo do barroco. O passado resumia-se, afinal, à palavra com que se confundia uma multiplicidade de épocas históricas e com que se ocultavam os elementos que em cada época anunciavam a sua transformação na etapa seguinte. O eclectismo que assinalou a grande maioria da arquitectura burguesa</w:t>
      </w:r>
      <w:r w:rsidR="00F83142">
        <w:t xml:space="preserve"> </w:t>
      </w:r>
      <w:r w:rsidRPr="00341472">
        <w:t xml:space="preserve">mostra que o passado era desestruturado no preciso momento em que se convertia em padrão estético absoluto. Por que razão, em qualquer edifício, seria mais espúrio o acrescento recente do que o introduzido há alguns séculos atrás? </w:t>
      </w:r>
    </w:p>
    <w:p w:rsidR="00837D5C" w:rsidRPr="00341472" w:rsidRDefault="00837D5C" w:rsidP="00837D5C">
      <w:pPr>
        <w:tabs>
          <w:tab w:val="left" w:pos="720"/>
          <w:tab w:val="left" w:pos="3312"/>
        </w:tabs>
      </w:pPr>
      <w:r w:rsidRPr="00341472">
        <w:lastRenderedPageBreak/>
        <w:t>Do outro lado do Atlântico a mesma mentalidade recorria à invenção para superar a falta de uma tradição arquitectónica incluída na versão desejada da história, e o ex-presidente Thomas Jefferson imaginou empregar o elenco dos sucessivos estilos para construir cada uma das residências dos professores da Universidade de Virgínia, de maneira a fornecer às deambulações dos alunos uma espécie de museu</w:t>
      </w:r>
      <w:r w:rsidRPr="00341472">
        <w:rPr>
          <w:rStyle w:val="Refdenotaderodap"/>
        </w:rPr>
        <w:footnoteReference w:id="52"/>
      </w:r>
      <w:r w:rsidRPr="00341472">
        <w:t>. Se isto nos der vontade de rir, devemos reflectir que não são diferentes as preocupações que presidem à política oficial de preservação dos monumentos, a ponto de se converterem bairros inteiros, aldeias, mesmo cidades em verdadeiros museus. O paradoxo atingiu proporções colossais. As fachadas são restauradas na traça originária ou noutra qualquer variante posterior que se achou por bem aceitar, quando não é numa versão ilegitimamente deduzida a partir de elementos documentais e arqueológicos insuficientes, e por força d</w:t>
      </w:r>
      <w:r w:rsidR="00ED14FC">
        <w:t>a</w:t>
      </w:r>
      <w:r w:rsidRPr="00341472">
        <w:t xml:space="preserve"> lei conservadas naquele estado. E a coberto desta encenação, por detrás dos muros, as moradias são remodeladas e modernizam-se, paredes divisórias são derrubadas ou substituídas, montam-se chuveiros e latrinas confortáveis, enfim, a ficção torna-se habitável. A população que dentro das casas vive a sua vida própria, saída à rua transforma-se em figurantes, animando artificialmente aquele troço de tempo que a arbitrariedade dos restauros fixou. Em termos de história, é isto que a cultura burguesa tem para oferecer. Uma vida factícia entre ruínas, que o engenho da técnica mantém no estado de ruínas, absurdos testemunhos de caducidade e perenidade. </w:t>
      </w:r>
    </w:p>
    <w:p w:rsidR="00837D5C" w:rsidRPr="00341472" w:rsidRDefault="00837D5C" w:rsidP="00837D5C">
      <w:pPr>
        <w:tabs>
          <w:tab w:val="left" w:pos="720"/>
          <w:tab w:val="left" w:pos="3312"/>
        </w:tabs>
      </w:pPr>
      <w:r w:rsidRPr="00341472">
        <w:t xml:space="preserve">Como sempre sucede em arte, não se trata do objecto, mas do nosso olhar, e onde a ruína verdadeiramente existia era naquele presente que só conseguia afirmar-se quando imaginariamente defrontado com o pavor da sua destruição. Criada, a arte objectiva-se, destaca-se do autor e assume uma aparente vida própria, que é sempre a projecção de cada espectador na obra, a assimilação da obra pelos espectadores e, assim, a sua recriação. A autonomia da obra reside também na capacidade de suportar o acaso, as excrescências, as mutilações </w:t>
      </w:r>
      <w:r w:rsidR="00DF124E">
        <w:t>—</w:t>
      </w:r>
      <w:r w:rsidRPr="00341472">
        <w:t xml:space="preserve"> a ruína. Pode inverter-se a frase e definir-se como artística a obra que </w:t>
      </w:r>
      <w:r w:rsidR="00DF124E">
        <w:t>for</w:t>
      </w:r>
      <w:r w:rsidRPr="00341472">
        <w:t xml:space="preserve"> capaz não só de servir de espelho a cada um de nós, mas de integrar nas suas linhas, nos seus volumes, nas suas cores ou nos seus sons, as vicissitudes do tempo. A arte é contraditória, porque resulta do embate de uma obra com um olhar, e é contínua e interminável, porque o desgaste vai impondo outros contornos à sua forma. Então, será uma ruína sempre uma ruína? Ela pode ser vista de maneira diferente, enquanto fragmento, e suscitar uma atitude estética oposta. Estou perante os frisos do Parténon. Estes torsos semidestruídos não os vejo como antigas esculturas desmembradas, mas formas humanas que incessantemente irrompem da rocha, uma criação da vida. Que diferença poderia encontrar-se entre estes corpos mutilados e a </w:t>
      </w:r>
      <w:r w:rsidRPr="00341472">
        <w:rPr>
          <w:i/>
        </w:rPr>
        <w:t>Pietá</w:t>
      </w:r>
      <w:r w:rsidRPr="00341472">
        <w:t xml:space="preserve"> </w:t>
      </w:r>
      <w:r w:rsidR="00C53063" w:rsidRPr="00341472">
        <w:t xml:space="preserve">inacabada </w:t>
      </w:r>
      <w:r w:rsidRPr="00341472">
        <w:t xml:space="preserve">de </w:t>
      </w:r>
      <w:r w:rsidRPr="00341472">
        <w:lastRenderedPageBreak/>
        <w:t xml:space="preserve">Michelangelo? Incompletos uns já, a outra ainda? Estão irmanados, nada os distingue, porque os corpos gregos esculpidos no esplendor da sua glória viveram por si, assimilaram as destruições fortuitas, e o </w:t>
      </w:r>
      <w:r w:rsidR="00DF124E">
        <w:t>fruto</w:t>
      </w:r>
      <w:r w:rsidRPr="00341472">
        <w:t xml:space="preserve"> da criação converteu-se em acto de criação. O que me surge ao olhar é o contrário de uma ruína, é o processo de passagem da rocha a forma humana. </w:t>
      </w:r>
    </w:p>
    <w:p w:rsidR="00837D5C" w:rsidRPr="00341472" w:rsidRDefault="00837D5C" w:rsidP="00F6224F">
      <w:pPr>
        <w:keepNext/>
        <w:spacing w:before="720" w:after="360"/>
        <w:ind w:firstLine="0"/>
        <w:jc w:val="center"/>
        <w:rPr>
          <w:b/>
          <w:sz w:val="28"/>
        </w:rPr>
      </w:pPr>
      <w:r w:rsidRPr="00341472">
        <w:rPr>
          <w:b/>
          <w:sz w:val="28"/>
        </w:rPr>
        <w:t xml:space="preserve">4. </w:t>
      </w:r>
      <w:r w:rsidRPr="00341472">
        <w:rPr>
          <w:b/>
          <w:i/>
          <w:sz w:val="28"/>
        </w:rPr>
        <w:t>Le Carceri</w:t>
      </w:r>
      <w:r w:rsidRPr="00341472">
        <w:rPr>
          <w:b/>
          <w:sz w:val="28"/>
        </w:rPr>
        <w:t xml:space="preserve"> e </w:t>
      </w:r>
      <w:r w:rsidRPr="00341472">
        <w:rPr>
          <w:b/>
          <w:i/>
          <w:sz w:val="28"/>
        </w:rPr>
        <w:t>Los Desastres de la Guerra</w:t>
      </w:r>
    </w:p>
    <w:p w:rsidR="00837D5C" w:rsidRPr="00341472" w:rsidRDefault="00837D5C" w:rsidP="00837D5C">
      <w:pPr>
        <w:tabs>
          <w:tab w:val="left" w:pos="720"/>
          <w:tab w:val="left" w:pos="3312"/>
        </w:tabs>
      </w:pPr>
      <w:r w:rsidRPr="00341472">
        <w:t xml:space="preserve">Seria por tanto desenhar e gravar ruínas, e por tão bem o fazer, que Giovanni Battista Piranesi conseguiu penetrar nelas e apercebê-las a partir do interior, desvendando-lhes as implicações ideológicas e transmitindo plasticamente as suas consequências? Suponho que não, porque os seus inúmeros colegas jamais conseguiram ver nas ruínas outra coisa e permaneceram gravadores banais ou meramente conscienciosos, satisfazendo em massa os viajantes britânicos levados a Itália pela compulsão social do </w:t>
      </w:r>
      <w:r w:rsidRPr="00341472">
        <w:rPr>
          <w:i/>
        </w:rPr>
        <w:t>grand tour</w:t>
      </w:r>
      <w:r w:rsidRPr="00341472">
        <w:t xml:space="preserve">. O certo é que na dupla série de dezasseis gravuras que compõem </w:t>
      </w:r>
      <w:r w:rsidRPr="00341472">
        <w:rPr>
          <w:i/>
        </w:rPr>
        <w:t>Le Carceri d’Invenzione</w:t>
      </w:r>
      <w:r w:rsidRPr="00341472">
        <w:rPr>
          <w:rStyle w:val="Refdenotaderodap"/>
        </w:rPr>
        <w:footnoteReference w:id="53"/>
      </w:r>
      <w:r w:rsidRPr="00341472">
        <w:t xml:space="preserve"> os escombros foram convertidos de arquitectura em urbanismo, de restos de edifícios em colossais metrópoles, e bastou esta ampliação para que ficassem esclarecidos não só os fundamentos civilizacionais do gosto pelas ruínas como a função última das cidades que aquela estética haveria de construir. </w:t>
      </w:r>
    </w:p>
    <w:p w:rsidR="00837D5C" w:rsidRPr="00341472" w:rsidRDefault="00837D5C" w:rsidP="00837D5C">
      <w:pPr>
        <w:tabs>
          <w:tab w:val="left" w:pos="720"/>
          <w:tab w:val="left" w:pos="3312"/>
        </w:tabs>
      </w:pPr>
      <w:r w:rsidRPr="00341472">
        <w:t>Estas não são prisões comuns, estreitos calabouços onde se amontoem prisioneiros. Os cárceres imaginados por Piranesi são escassamente povoados, sobretudo se tivermos em conta a abundância de planos que desdobram os percursos, e as poucas figuras de que nos apercebemos parecem a qualquer momento desvanecer-se, mal delineadas, esboçadas apenas, ou tão fugidias como a sombra em que se confundem. Quem aprisiona os cativos, se eles estão do lado de cá das grades, praticamente todos sem grilhetas nem amarras</w:t>
      </w:r>
      <w:r w:rsidRPr="00341472">
        <w:rPr>
          <w:rStyle w:val="Refdenotaderodap"/>
        </w:rPr>
        <w:footnoteReference w:id="54"/>
      </w:r>
      <w:r w:rsidRPr="00341472">
        <w:t xml:space="preserve">, livres de circular pelas infinitas escadarias, pelo emaranhado de pontes, por baixo dos arcos, sob as cúpulas? Os cárceres são colossais labirintos de pedra, que </w:t>
      </w:r>
      <w:r w:rsidR="00392F9A">
        <w:t xml:space="preserve">condenam </w:t>
      </w:r>
      <w:r w:rsidRPr="00341472">
        <w:t xml:space="preserve">quem os povoa </w:t>
      </w:r>
      <w:r w:rsidR="00392F9A">
        <w:t xml:space="preserve">a </w:t>
      </w:r>
      <w:r w:rsidRPr="00341472">
        <w:t xml:space="preserve">caminhar uma vida inteira sem escapar nunca ao espaço que delimitam, e a conjugação de diferentes perspectivas aumenta os meandros e cancela as possibilidades de fuga. Esta claustrofobia correspondia tanto às suas intenções que Piranesi acentuou-a na segunda série de gravuras, multiplicando os </w:t>
      </w:r>
      <w:r w:rsidRPr="00341472">
        <w:lastRenderedPageBreak/>
        <w:t xml:space="preserve">planos sobrepostos e entrecruzados, que filtram a luz e deixam o ambiente mais tenebroso ainda, onde o nosso olhar permanece irremissivelmente enclausurado. O grau supremo de realidade cabe àquelas massas monumentais que encerram o horizonte, e por contraste o traçado dos corpos nunca deixa de ser indeciso. Quando são desenhadas com detalhe as pessoas assemelham-se de tal maneira a </w:t>
      </w:r>
      <w:r>
        <w:t>estátuas</w:t>
      </w:r>
      <w:r w:rsidRPr="00341472">
        <w:t xml:space="preserve"> ou altos-relevos que parece que a sua mera presença as converte em pedra. Naquela urbanização carcerária apaga-se o ser humano. É esta a forma suprema de aprisionamento, a perda de identidade de uma população de espectros, confundida nos gestos e atitudes com as estátuas e os ornamentos. Piranesi previu a época em que os habitantes da cidade seriam meros figurantes de uma paisagem geométrica. </w:t>
      </w:r>
    </w:p>
    <w:p w:rsidR="00837D5C" w:rsidRPr="00341472" w:rsidRDefault="00837D5C" w:rsidP="00837D5C">
      <w:pPr>
        <w:tabs>
          <w:tab w:val="left" w:pos="720"/>
          <w:tab w:val="left" w:pos="3312"/>
        </w:tabs>
      </w:pPr>
      <w:r w:rsidRPr="00341472">
        <w:t xml:space="preserve">Porque era de geometria que ali se tratava. Antes de Ledoux e Boullée terem idealizado um colossal urbanismo platónico, projectando na escala desmesurada da sua arquitectura os arquétipos das formas puras e atribuindo um valor directamente simbólico à organização rigorosa dos espaços, já Piranesi mostrara como era inevitavelmente cruel multiplicar as formas geométricas na dimensão de um monumento sem fim. Para Ledoux e Boullée a construção dos edifícios seria apenas um aspecto de uma vasta organização social, erigindo-se o arquitecto de urbanista em déspota. O absolutismo tardio não teve fôlego para arcar com este projecto tecnocrático, como com nenhum outro, e foi o bonapartismo a esboçar pela primeira vez na prática, timidamente ainda, algumas ideias dos dois arquitectos. O exercício da razão, que a revolução francesa havia pretendido generalizar a cada um dos cidadãos, tornara-se entretanto um exclusivo do tirano, e por este motivo a escala dos edifícios e dos eixos urbanos ampliou-se desmedidamente. O monumentalismo geométrico exprime o avesso da razão, que passou a conceber o povo não como entes racionais, mas como </w:t>
      </w:r>
      <w:r w:rsidR="00A15CF1">
        <w:t>simples</w:t>
      </w:r>
      <w:r w:rsidRPr="00341472">
        <w:t xml:space="preserve"> objectos de uma racionalidade alheia. Se «o sono da razão produz monstros», não é menos monstruosa a razão desmesurada. Na dialéctica da sua história a revolução francesa converteu a razão concreta numa abstracta alienação da razão, mostrando que o irracionalismo pode ser gerado nos próprios termos da racionalidade. O humanismo racionalista não concebera outra escala senão a das pessoas, enquanto o despotismo da razão de Estado não encontra limites à ostentação colossal do seu rigor. Por isso os cárceres de Piranesi são uma cidade pensada como deserto, onde a população é obrigada a habitar, sem conseguir jamais deixar naquele dédalo uma marca humana. </w:t>
      </w:r>
    </w:p>
    <w:p w:rsidR="00837D5C" w:rsidRPr="00341472" w:rsidRDefault="00837D5C" w:rsidP="00837D5C">
      <w:pPr>
        <w:tabs>
          <w:tab w:val="left" w:pos="720"/>
          <w:tab w:val="left" w:pos="3312"/>
        </w:tabs>
      </w:pPr>
      <w:r w:rsidRPr="00341472">
        <w:t xml:space="preserve">Entendemos então que, despojada pelo déspota daquilo a que Dostoievsky chamaria compaixão e transformada por isso num irracionalismo de pesadelo, a razão geométrica tendesse a multiplicar-se incessantemente e a converter os seus planos e elipses em células, prisões transparentes mas nem por isso menos eficazes. Não foi necessário aguardar que Boullée e Ledoux propusessem a extrema concisão das formas puras. Piranesi pôde encontrar </w:t>
      </w:r>
      <w:r w:rsidRPr="00341472">
        <w:lastRenderedPageBreak/>
        <w:t>todos os elementos dessa geometria nas curvas e planos das ruínas, tanto mais que o carácter incompleto das paredes, das colunas, dos arcos deixava a mente prolongá-los. Não se tratava já de imaginar as ruínas como uma arquitectura, mas de transpô-las para um verdadeiro urbanismo, e para isso a escala teve de ser ampliada e os mais vulgares detalhes tornaram-se monumentos. Foi precisamente a monumentalidade que converteu em cárceres o que sem isso seriam escombros. Nestas proporções desmedidas, as correntes, os instrumentos de suplício, as lanças e roldanas perderam a função originária. É impossível usá-los para trucidar corpos, tornados minúsculos perante artefactos tamanhos. Os engenhos do horror expostos nos cárceres não servem mais para martirizar alguns indivíduos isolados</w:t>
      </w:r>
      <w:r w:rsidRPr="00341472">
        <w:rPr>
          <w:rStyle w:val="Refdenotaderodap"/>
        </w:rPr>
        <w:footnoteReference w:id="55"/>
      </w:r>
      <w:r w:rsidRPr="00341472">
        <w:t xml:space="preserve">, mas para apavorar todos eles. São monumentos ameaçadores, que transformaram a tortura numa presença iminente e eficaz, uma sombra a que ninguém foge. </w:t>
      </w:r>
    </w:p>
    <w:p w:rsidR="00837D5C" w:rsidRPr="00341472" w:rsidRDefault="00837D5C" w:rsidP="00837D5C">
      <w:pPr>
        <w:tabs>
          <w:tab w:val="left" w:pos="720"/>
          <w:tab w:val="left" w:pos="3312"/>
        </w:tabs>
      </w:pPr>
      <w:r w:rsidRPr="00341472">
        <w:t xml:space="preserve">Se nos </w:t>
      </w:r>
      <w:r w:rsidRPr="00341472">
        <w:rPr>
          <w:i/>
        </w:rPr>
        <w:t>Carceri</w:t>
      </w:r>
      <w:r w:rsidRPr="00341472">
        <w:t xml:space="preserve"> Piranesi antecipou o carácter inumano de um urbanismo que levasse às consequências mais extremas a estética das ruínas, Goya denunciou nas oitenta e três gravuras incluídas em </w:t>
      </w:r>
      <w:r w:rsidRPr="00341472">
        <w:rPr>
          <w:i/>
        </w:rPr>
        <w:t>Los Desastres de la Guerra</w:t>
      </w:r>
      <w:r w:rsidRPr="00341472">
        <w:rPr>
          <w:rStyle w:val="Refdenotaderodap"/>
        </w:rPr>
        <w:footnoteReference w:id="56"/>
      </w:r>
      <w:r w:rsidRPr="00341472">
        <w:t xml:space="preserve"> a barbárie de uma humanidade capaz de se arruinar a ela própria. Aqui foram as mulheres e homens a requerer toda a atenção, destacando-se de fundos inexistentes ou sumariamente esboçados, céus nocturnos, paisagens desoladas, vagos edifícios. E que construções são essas? Arcos ou por vezes só a sua sombra, planos de muros descontínuos, restos de castelos, torres isoladas e o inevitável acompanhamento de tudo isto, as grutas, que são outros tantos arcos naturais </w:t>
      </w:r>
      <w:r w:rsidR="00997569">
        <w:t>—</w:t>
      </w:r>
      <w:r w:rsidRPr="00341472">
        <w:t xml:space="preserve"> é o clássico vocabulário das ruínas que serve de cenário a uma humanidade enlouquecida pela crueldade e pelo desespero. A própria natureza participa da perversão. Os troncos onde se amarram os prisioneiros, se enforcam, se empalam, se esquartejam são árvores mortas também, secas, decepadas. </w:t>
      </w:r>
    </w:p>
    <w:p w:rsidR="00837D5C" w:rsidRPr="00341472" w:rsidRDefault="00837D5C" w:rsidP="00837D5C">
      <w:pPr>
        <w:tabs>
          <w:tab w:val="left" w:pos="720"/>
          <w:tab w:val="left" w:pos="3312"/>
        </w:tabs>
      </w:pPr>
      <w:r w:rsidRPr="00341472">
        <w:t>Que estranhas arquitecturas constroem os montões de cadáveres! Nas lutas dos vivos Goya desenhou a circularidade dos gestos, que obriga o nosso olhar a repetir incessantemente o seu percurso e assegura assim a perenidade do movimento, definidora da vida. O carácter estático dos mortos vem-lhes de obedecerem a outra espécie de geometria, que faz os corpos sobreporem-se em ângulos claramente visíveis ou lhes dispõe os membros numa inumana ortogonalidade</w:t>
      </w:r>
      <w:r w:rsidRPr="00341472">
        <w:rPr>
          <w:rStyle w:val="Refdenotaderodap"/>
        </w:rPr>
        <w:footnoteReference w:id="57"/>
      </w:r>
      <w:r w:rsidRPr="00341472">
        <w:t xml:space="preserve">. Ao movimento circular dos vivos, criador de uma infinidade de geometrias concretas, frenéticas e sempre diferentes, Goya opôs a geometria da morte, linear e pura. Mas </w:t>
      </w:r>
      <w:r w:rsidRPr="00341472">
        <w:lastRenderedPageBreak/>
        <w:t>não é esta mesma a geometria da razão abstracta? É necessário morrer, ser trucidado, para corresponder ao ideal estético proposto pelo despotismo tecnocrático, tão bem encarnado por aquele burocrata demoníaco, cujas orelhas, que podiam ser de burro, são asas de morcego, e que minuciosamente contabiliza o massacre</w:t>
      </w:r>
      <w:r w:rsidRPr="00341472">
        <w:rPr>
          <w:rStyle w:val="Refdenotaderodap"/>
        </w:rPr>
        <w:footnoteReference w:id="58"/>
      </w:r>
      <w:r w:rsidRPr="00341472">
        <w:t xml:space="preserve">. A racionalidade geométrica ficou denunciada como uma geometria dos mortos e portanto como um resultado da estética das ruínas. </w:t>
      </w:r>
    </w:p>
    <w:p w:rsidR="00837D5C" w:rsidRPr="00341472" w:rsidRDefault="00837D5C" w:rsidP="00837D5C">
      <w:pPr>
        <w:tabs>
          <w:tab w:val="left" w:pos="720"/>
          <w:tab w:val="left" w:pos="3312"/>
        </w:tabs>
      </w:pPr>
      <w:r w:rsidRPr="00341472">
        <w:t>A crítica de Goya não parou aqui. Aquelas duas geometrias não se opõem, uma é a consequência da outra. Não foi decerto por acaso que dos combates Goya preferiu representar o corpo a corpo, os amplos gestos de braço com que se manobram sabres e varapaus, punhais e machados, posicionando-se os combatentes como se participassem numa macabra dança de roda. E é este o maior desastre da guerra, que a circularidade do movimento sirva não para reproduzir a vida mas para provocar a morte e traçar com os cadáveres a geometria angulosa. Piranesi desvendou a monstruosidade de uma razão esquecida da sua razão de ser. Goya compreendeu que isso só podia resultar do pesadelo da razão</w:t>
      </w:r>
      <w:r w:rsidRPr="00341472">
        <w:rPr>
          <w:rStyle w:val="Refdenotaderodap"/>
        </w:rPr>
        <w:footnoteReference w:id="59"/>
      </w:r>
      <w:r w:rsidRPr="00341472">
        <w:t xml:space="preserve">. Antes de a estética das ruínas se ter desenvolvido até atingir os limites extremos, já a arte crítica </w:t>
      </w:r>
      <w:r w:rsidR="00BA4FD6">
        <w:t>—</w:t>
      </w:r>
      <w:r w:rsidRPr="00341472">
        <w:t xml:space="preserve"> e nunca esqueçamos que ela é sempre uma crítica pela arte, efectuada exclusivamente por meios formais, não discursivos </w:t>
      </w:r>
      <w:r w:rsidR="00BA4FD6">
        <w:t>—</w:t>
      </w:r>
      <w:r w:rsidRPr="00341472">
        <w:t xml:space="preserve"> fora capaz de lhe denunciar os efeitos mais perversos. </w:t>
      </w:r>
    </w:p>
    <w:p w:rsidR="00837D5C" w:rsidRPr="00341472" w:rsidRDefault="00837D5C" w:rsidP="00917E2D">
      <w:pPr>
        <w:keepNext/>
        <w:tabs>
          <w:tab w:val="left" w:pos="720"/>
          <w:tab w:val="left" w:pos="3312"/>
        </w:tabs>
        <w:spacing w:before="720" w:after="360"/>
        <w:ind w:firstLine="0"/>
        <w:jc w:val="center"/>
        <w:rPr>
          <w:b/>
          <w:sz w:val="28"/>
        </w:rPr>
      </w:pPr>
      <w:r w:rsidRPr="00341472">
        <w:rPr>
          <w:b/>
          <w:sz w:val="28"/>
        </w:rPr>
        <w:t>5. «Essa morte que é verdadeiramente o grande interesse da vida»</w:t>
      </w:r>
    </w:p>
    <w:p w:rsidR="0091655E" w:rsidRDefault="00837D5C" w:rsidP="00917921">
      <w:r w:rsidRPr="00341472">
        <w:t xml:space="preserve">Nacionalismo agressivo de derrotados ou de vencedores frustrados do triunfo, o fascismo </w:t>
      </w:r>
      <w:r>
        <w:t xml:space="preserve">não podia deixar de ser </w:t>
      </w:r>
      <w:r w:rsidRPr="00341472">
        <w:t>uma política vocacionada para a guerra</w:t>
      </w:r>
      <w:r w:rsidR="00C87B6E">
        <w:t>, descobrindo aí a paradoxal génese da vida pela morte</w:t>
      </w:r>
      <w:r w:rsidRPr="00341472">
        <w:t xml:space="preserve">. </w:t>
      </w:r>
      <w:r w:rsidR="00C87B6E">
        <w:t>«Precisamos de lembrar que o desprezo pela morte é o máximo factor de vida», proclamara Corradini nas vésperas da Grande Guerra</w:t>
      </w:r>
      <w:r w:rsidR="00C87B6E">
        <w:rPr>
          <w:rStyle w:val="Refdenotaderodap"/>
        </w:rPr>
        <w:footnoteReference w:id="60"/>
      </w:r>
      <w:r w:rsidR="00C87B6E">
        <w:t xml:space="preserve">. </w:t>
      </w:r>
      <w:r w:rsidRPr="00341472">
        <w:t>«Somente a guerra pode levar todas as energias humanas à máxima tensão», escreveu Mussolini, «imprimindo um cunho de nobreza nos povos que têm a virtude de enfrentá-la. Todas as outras provas reduzem-se a meros substitutos, que jamais colocam o homem, frente a frente consigo mesmo, na alternativa da vida e da morte»</w:t>
      </w:r>
      <w:r w:rsidRPr="00341472">
        <w:rPr>
          <w:rStyle w:val="Refdenotaderodap"/>
        </w:rPr>
        <w:footnoteReference w:id="61"/>
      </w:r>
      <w:r w:rsidRPr="00341472">
        <w:t xml:space="preserve">. Tomando corpo nos campos de batalha da primeira guerra mundial, alimentado pelos anseios de desforra, cimentado pela aplicação à vida civil dos fardamentos, da agressividade e da disciplina militar, era inevitável que o fascismo fizesse a apologia da morte. </w:t>
      </w:r>
    </w:p>
    <w:p w:rsidR="00837D5C" w:rsidRPr="00341472" w:rsidRDefault="00837D5C" w:rsidP="00917921">
      <w:r w:rsidRPr="00341472">
        <w:lastRenderedPageBreak/>
        <w:t xml:space="preserve">Não foi só no plano político, graças à conivência do liberalismo, que o fascismo se relacionou com a cultura burguesa. Muito mais profundamente, ao assumir o culto da morte como horizonte ideológico último o fascismo </w:t>
      </w:r>
      <w:r w:rsidR="00D222F4">
        <w:t xml:space="preserve">foi o </w:t>
      </w:r>
      <w:r w:rsidRPr="00341472">
        <w:t xml:space="preserve">herdeiro daquela estética das ruínas que </w:t>
      </w:r>
      <w:r w:rsidR="00D222F4" w:rsidRPr="00341472">
        <w:t xml:space="preserve">conferira </w:t>
      </w:r>
      <w:r w:rsidR="00D222F4">
        <w:t xml:space="preserve">à </w:t>
      </w:r>
      <w:r w:rsidRPr="00341472">
        <w:t>hegemonia cultural da burguesia os traços mais marcantes. E quando um historiador mencion</w:t>
      </w:r>
      <w:r>
        <w:t>ou</w:t>
      </w:r>
      <w:r w:rsidRPr="00341472">
        <w:t xml:space="preserve"> «o nacionalismo orgânico de Rousseau, para quem a nação, constituída pelos mortos, pelos vivos e por todos aqueles que estavam ainda por nascer, obedecia idealmente a uma vontade geral que podia ser melhor definida como uma revelação de carácter especial»</w:t>
      </w:r>
      <w:r w:rsidRPr="00341472">
        <w:rPr>
          <w:rStyle w:val="Refdenotaderodap"/>
        </w:rPr>
        <w:footnoteReference w:id="62"/>
      </w:r>
      <w:r w:rsidRPr="00341472">
        <w:t xml:space="preserve">, este </w:t>
      </w:r>
      <w:r>
        <w:t>foi</w:t>
      </w:r>
      <w:r w:rsidRPr="00341472">
        <w:t xml:space="preserve"> outro dos fios de um tecido muito denso a ligar à tradição liberal os temas do irracionalismo fascista. Rousseau, que contribuíra com o seu túmulo para ornamentar de vestígios fúnebres um daqueles jardins de estilo inglês de que havia feito a apologia, idealizou a nação como uma dança macabra em que mortos e vindouros davam as mãos e não sabemos onde se começava e onde se acabava, se na vida ou na morte, de tão emparelhadas que estavam. Será que António Sardinha, mentor e poeta do Integralismo Lusitano, que odiava o século das luzes e o século dos parlamentos, sabia que estava a seguir a tradição de Rousseau ao defender que as maiorias democráticas eram uma aparência enganadora porque contavam só com a opinião dos vivos e não com a dos mortos, apesar de serem estes quem principalmente constituía a substância da pátria</w:t>
      </w:r>
      <w:r w:rsidRPr="00341472">
        <w:rPr>
          <w:rStyle w:val="Refdenotaderodap"/>
        </w:rPr>
        <w:footnoteReference w:id="63"/>
      </w:r>
      <w:r w:rsidRPr="00341472">
        <w:t xml:space="preserve">? </w:t>
      </w:r>
      <w:r w:rsidR="002E620F">
        <w:t xml:space="preserve">Na </w:t>
      </w:r>
      <w:r w:rsidR="00221497">
        <w:t xml:space="preserve">outra ponta da Europa Codreanu </w:t>
      </w:r>
      <w:r w:rsidR="00917921">
        <w:t>explica</w:t>
      </w:r>
      <w:r w:rsidR="00C8137B">
        <w:t>va</w:t>
      </w:r>
      <w:r w:rsidR="00917921">
        <w:t xml:space="preserve"> que «quando falamos da nação romena não nos referimos apenas aos romenos que vivem no mesmo território, partilham o mesmo passado e o mesmo futuro, o mesmo vestuário, mas a todos os romenos, vivos e mortos, que viveram nesta terra desde o começo da história e aqui viverão também no futuro»</w:t>
      </w:r>
      <w:r w:rsidR="005038CC">
        <w:rPr>
          <w:rStyle w:val="Refdenotaderodap"/>
        </w:rPr>
        <w:footnoteReference w:id="64"/>
      </w:r>
      <w:r w:rsidR="00917921">
        <w:t xml:space="preserve">. </w:t>
      </w:r>
      <w:r w:rsidR="00742679">
        <w:t>Já</w:t>
      </w:r>
      <w:r w:rsidR="00E25855">
        <w:t xml:space="preserve"> num texto de 1922 ele confess</w:t>
      </w:r>
      <w:r w:rsidR="00742679">
        <w:t>ara</w:t>
      </w:r>
      <w:r w:rsidR="00E25855">
        <w:t xml:space="preserve"> que </w:t>
      </w:r>
      <w:r w:rsidR="00E25855" w:rsidRPr="00B3452D">
        <w:rPr>
          <w:bCs/>
        </w:rPr>
        <w:t>«tive sempre a sensação de que toda a raça assenta nos nossos ombros, os que estão vivos e aqueles que morreram pela Pátria e todo o nosso futuro […]»</w:t>
      </w:r>
      <w:r w:rsidR="00742679">
        <w:rPr>
          <w:rStyle w:val="Refdenotaderodap"/>
          <w:bCs/>
        </w:rPr>
        <w:footnoteReference w:id="65"/>
      </w:r>
      <w:r w:rsidR="00E25855" w:rsidRPr="00B3452D">
        <w:rPr>
          <w:bCs/>
        </w:rPr>
        <w:t>.</w:t>
      </w:r>
      <w:r w:rsidR="00742679">
        <w:rPr>
          <w:bCs/>
        </w:rPr>
        <w:t xml:space="preserve"> </w:t>
      </w:r>
      <w:r w:rsidR="00AA62AB">
        <w:t>A noção de que «as diversas sociedades existentes na terra s</w:t>
      </w:r>
      <w:r w:rsidR="00282741">
        <w:t xml:space="preserve">ão verdadeiros organismos dotados de uma vida que transcende em muito a dos indivíduos e se prolonga por séculos e milénios» foi </w:t>
      </w:r>
      <w:r w:rsidR="009B3B2E">
        <w:t xml:space="preserve">também </w:t>
      </w:r>
      <w:r w:rsidR="00282741">
        <w:t>expressa numa proclamação da Associação Nacionalista Italiana</w:t>
      </w:r>
      <w:r w:rsidR="009B3B2E">
        <w:t xml:space="preserve"> em 1920</w:t>
      </w:r>
      <w:r w:rsidR="00282741">
        <w:t xml:space="preserve">, embora curiosamente fossem evocadas </w:t>
      </w:r>
      <w:r w:rsidR="00A65A29">
        <w:t>«todas as centenas de milhares de milhões de italianos que hão-de viver nos séculos futuros» e se omitissem as que haviam vivido no passado</w:t>
      </w:r>
      <w:r w:rsidR="00A65A29">
        <w:rPr>
          <w:rStyle w:val="Refdenotaderodap"/>
        </w:rPr>
        <w:footnoteReference w:id="66"/>
      </w:r>
      <w:r w:rsidR="002860D2">
        <w:t>;</w:t>
      </w:r>
      <w:r w:rsidR="00A65A29">
        <w:t xml:space="preserve"> </w:t>
      </w:r>
      <w:r w:rsidR="002860D2">
        <w:t xml:space="preserve">mas é certo que para os vindouros os vivos de hoje constituiriam o peso dos defuntos. </w:t>
      </w:r>
      <w:r w:rsidRPr="00917921">
        <w:t xml:space="preserve">Que estranhos encontros políticos, à sombra das ruínas! </w:t>
      </w:r>
      <w:r w:rsidRPr="00341472">
        <w:t xml:space="preserve">E talvez a convergência fosse mais ampla. Pondo o seu espírito cáustico ao serviço de um </w:t>
      </w:r>
      <w:r w:rsidRPr="00341472">
        <w:lastRenderedPageBreak/>
        <w:t>rigoroso dom de síntese, Bertrand Russell não receou escrever que «Hitler é um resultado de Rousseau»</w:t>
      </w:r>
      <w:r w:rsidRPr="00341472">
        <w:rPr>
          <w:rStyle w:val="Refdenotaderodap"/>
        </w:rPr>
        <w:footnoteReference w:id="67"/>
      </w:r>
      <w:r w:rsidRPr="00341472">
        <w:t xml:space="preserve">, exactamente </w:t>
      </w:r>
      <w:r w:rsidR="00332902">
        <w:t>o</w:t>
      </w:r>
      <w:r w:rsidRPr="00341472">
        <w:t xml:space="preserve"> mesm</w:t>
      </w:r>
      <w:r w:rsidR="00332902">
        <w:t>o</w:t>
      </w:r>
      <w:r w:rsidRPr="00341472">
        <w:t xml:space="preserve"> que Victor Klemperer, estudioso da cultura francesa, consignou no seu diário</w:t>
      </w:r>
      <w:r w:rsidR="00332902">
        <w:t>:</w:t>
      </w:r>
      <w:r w:rsidRPr="00341472">
        <w:t xml:space="preserve"> «O desmascaramento póstumo de Rousseau chama-se Hitler»</w:t>
      </w:r>
      <w:r w:rsidRPr="00341472">
        <w:rPr>
          <w:rStyle w:val="Refdenotaderodap"/>
        </w:rPr>
        <w:footnoteReference w:id="68"/>
      </w:r>
      <w:r w:rsidRPr="00341472">
        <w:t xml:space="preserve">. O grande ideólogo do liberalismo antecipara a cultura fascista nos seus dois parâmetros mórbidos, o cenário de ruínas e a imanência dos mortos nos vivos, cabendo ao chefe político intuir a «revelação de carácter especial» que resultaria da perenidade das gerações. </w:t>
      </w:r>
    </w:p>
    <w:p w:rsidR="00837D5C" w:rsidRPr="00341472" w:rsidRDefault="00837D5C" w:rsidP="00837D5C">
      <w:r w:rsidRPr="00341472">
        <w:t>Quando classificou como irremediavelmente fascista a mistura de activismo e de pessimismo André Malraux estava, na verdade, a indicar o fascínio que a morte exercia sobre os fascistas</w:t>
      </w:r>
      <w:r w:rsidRPr="00341472">
        <w:rPr>
          <w:rStyle w:val="Refdenotaderodap"/>
        </w:rPr>
        <w:footnoteReference w:id="69"/>
      </w:r>
      <w:r w:rsidRPr="00341472">
        <w:t xml:space="preserve">. Nas trincheiras «floresciam os obuses, e essa morte que é verdadeiramente o grande interesse da vida», escreveu Drieu </w:t>
      </w:r>
      <w:r w:rsidR="000273E0" w:rsidRPr="00341472">
        <w:t xml:space="preserve">La </w:t>
      </w:r>
      <w:r w:rsidRPr="00341472">
        <w:t>Rochelle</w:t>
      </w:r>
      <w:r w:rsidRPr="00341472">
        <w:rPr>
          <w:rStyle w:val="Refdenotaderodap"/>
        </w:rPr>
        <w:footnoteReference w:id="70"/>
      </w:r>
      <w:r w:rsidRPr="00341472">
        <w:t>, que sentia pela morte a mesma sedução que o atraía ao fascismo e afinal sucumbiu a ambos. E já que os chefes fascistas se exercitavam na política como numa arte, a guerra era apresentada também enquanto festival estético. Comentando um filme realizado em 1941 por Karl Ritter, que se pretendia uma epopeia da Luftwaffe, escreve</w:t>
      </w:r>
      <w:r>
        <w:t>ra</w:t>
      </w:r>
      <w:r w:rsidRPr="00341472">
        <w:t xml:space="preserve">m dois historiadores do cinema: «[...] </w:t>
      </w:r>
      <w:r w:rsidRPr="00341472">
        <w:rPr>
          <w:i/>
        </w:rPr>
        <w:t>Stukas</w:t>
      </w:r>
      <w:r w:rsidRPr="00341472">
        <w:t xml:space="preserve"> tem um certo ar de opereta guerreira, servindo-lhe de refrão o ronco das esquadrilhas e a explosão das bombas. A começar pela partitura triunfal de Herbert Windt [...] e a terminar no grande </w:t>
      </w:r>
      <w:r w:rsidRPr="00341472">
        <w:rPr>
          <w:i/>
        </w:rPr>
        <w:t>ballet</w:t>
      </w:r>
      <w:r w:rsidRPr="00341472">
        <w:t xml:space="preserve"> final, a guerra torna-se música e o artista é aquele que sabe matar»</w:t>
      </w:r>
      <w:r w:rsidRPr="00341472">
        <w:rPr>
          <w:rStyle w:val="Refdenotaderodap"/>
        </w:rPr>
        <w:footnoteReference w:id="71"/>
      </w:r>
      <w:r w:rsidRPr="00341472">
        <w:t xml:space="preserve">. </w:t>
      </w:r>
    </w:p>
    <w:p w:rsidR="00837D5C" w:rsidRDefault="00837D5C" w:rsidP="00837D5C">
      <w:r w:rsidRPr="00341472">
        <w:t xml:space="preserve">Se o heroísmo se revela </w:t>
      </w:r>
      <w:r w:rsidR="00020E38">
        <w:t>na</w:t>
      </w:r>
      <w:r w:rsidRPr="00341472">
        <w:t xml:space="preserve"> presença da morte, não podia haver uma distância ideológica maior do que aquela que separava o herói fascista do herói marxista. Mesmo isolado, massacrado por um adversário mil vezes mais poderoso, o herói marxista estava confiante de que se inseria nos destinos da história. Ele nunca era um mártir de causas perdidas, porque se tratava apenas de vitórias adiadas. Malgrado as aparências, mesmo o mais corajoso dos marxistas não </w:t>
      </w:r>
      <w:r w:rsidR="00DA5011">
        <w:t xml:space="preserve">foi inspirado pelo </w:t>
      </w:r>
      <w:r w:rsidRPr="00341472">
        <w:t xml:space="preserve">heroísmo, mas </w:t>
      </w:r>
      <w:r w:rsidR="00DA5011">
        <w:t>pel</w:t>
      </w:r>
      <w:r w:rsidRPr="00341472">
        <w:t xml:space="preserve">o curso da história. </w:t>
      </w:r>
      <w:r w:rsidR="00C30157">
        <w:t>Por isso os marxistas sent</w:t>
      </w:r>
      <w:r w:rsidR="00DA5011">
        <w:t>ia</w:t>
      </w:r>
      <w:r w:rsidR="00C30157">
        <w:t xml:space="preserve">m a necessidade íntima de profetizar para amanhã a crise derradeira do capitalismo, e a história do marxismo </w:t>
      </w:r>
      <w:r w:rsidR="00DA5011">
        <w:t xml:space="preserve">foi </w:t>
      </w:r>
      <w:r w:rsidR="00C30157">
        <w:t xml:space="preserve">a história de previsões falhadas, mas indispensáveis para os convencer de que as derrotas </w:t>
      </w:r>
      <w:r w:rsidR="00DA5011">
        <w:t>eram</w:t>
      </w:r>
      <w:r w:rsidR="00C30157">
        <w:t xml:space="preserve"> simples adiamentos. </w:t>
      </w:r>
      <w:r w:rsidRPr="00341472">
        <w:t xml:space="preserve">A morte, para o combatente marxista, </w:t>
      </w:r>
      <w:r w:rsidR="00DA5011" w:rsidRPr="00341472">
        <w:t xml:space="preserve">era </w:t>
      </w:r>
      <w:r w:rsidRPr="00341472">
        <w:t xml:space="preserve">um </w:t>
      </w:r>
      <w:r w:rsidRPr="00341472">
        <w:lastRenderedPageBreak/>
        <w:t xml:space="preserve">acidente de percurso, com o inconveniente, é certo, de </w:t>
      </w:r>
      <w:r w:rsidR="00402AA3">
        <w:t xml:space="preserve">o </w:t>
      </w:r>
      <w:r w:rsidRPr="00341472">
        <w:t xml:space="preserve">afectar a </w:t>
      </w:r>
      <w:r w:rsidR="00402AA3">
        <w:t>ele</w:t>
      </w:r>
      <w:r w:rsidRPr="00341472">
        <w:t xml:space="preserve">, mas sem </w:t>
      </w:r>
      <w:r w:rsidR="00DA5011">
        <w:t>nenhuma</w:t>
      </w:r>
      <w:r w:rsidRPr="00341472">
        <w:t xml:space="preserve"> consequência no único plano onde a verdadeira luta se travava, o das grandes determinações históricas. Pelo contrário, o herói fascista caminhou ao arrepio da história, e foi da inelutabilidade da catástrofe que extraiu a força das suas convicções. Como proclam</w:t>
      </w:r>
      <w:r>
        <w:t>ou</w:t>
      </w:r>
      <w:r w:rsidRPr="00341472">
        <w:t xml:space="preserve"> um dos órgãos do fascismo britânico</w:t>
      </w:r>
      <w:r w:rsidR="00DA5011">
        <w:t>,</w:t>
      </w:r>
      <w:r w:rsidRPr="00341472">
        <w:t xml:space="preserve"> «</w:t>
      </w:r>
      <w:r w:rsidR="00DA5011" w:rsidRPr="00341472">
        <w:t xml:space="preserve">nós </w:t>
      </w:r>
      <w:r w:rsidRPr="00341472">
        <w:t>temos a esperança dos homens condenados»</w:t>
      </w:r>
      <w:r w:rsidRPr="00341472">
        <w:rPr>
          <w:rStyle w:val="Refdenotaderodap"/>
        </w:rPr>
        <w:footnoteReference w:id="72"/>
      </w:r>
      <w:r w:rsidRPr="00341472">
        <w:t>. Ao analisar o pensamento de Giovanni Gentile, um crítico soviético destacou que a liberdade consistia para o maior filósofo do fascismo italiano na resistência subjectiva à necessidade histórica objectiva</w:t>
      </w:r>
      <w:r w:rsidRPr="00341472">
        <w:rPr>
          <w:rStyle w:val="Refdenotaderodap"/>
        </w:rPr>
        <w:footnoteReference w:id="73"/>
      </w:r>
      <w:r w:rsidR="00993A83">
        <w:t>,</w:t>
      </w:r>
      <w:r w:rsidRPr="00341472">
        <w:t xml:space="preserve"> </w:t>
      </w:r>
      <w:r w:rsidR="00993A83">
        <w:t>e muitos anos depois um historiador britânico detectou na psicologia de Hitler um «desafio ao destino»</w:t>
      </w:r>
      <w:r w:rsidR="00993A83">
        <w:rPr>
          <w:rStyle w:val="Refdenotaderodap"/>
        </w:rPr>
        <w:footnoteReference w:id="74"/>
      </w:r>
      <w:r w:rsidR="00993A83">
        <w:t xml:space="preserve">. </w:t>
      </w:r>
      <w:r w:rsidR="00BA6843">
        <w:t>«Só aquele que luta contra o destino pode ser dotado de u</w:t>
      </w:r>
      <w:r w:rsidR="00450D13">
        <w:t>m</w:t>
      </w:r>
      <w:r w:rsidR="00BA6843">
        <w:t>a boa intuição», declarou o Führer em Novembro de 1939</w:t>
      </w:r>
      <w:r w:rsidR="00450D13">
        <w:rPr>
          <w:rStyle w:val="Refdenotaderodap"/>
        </w:rPr>
        <w:footnoteReference w:id="75"/>
      </w:r>
      <w:r w:rsidR="00BA6843">
        <w:t xml:space="preserve">. </w:t>
      </w:r>
      <w:r w:rsidR="00C52528">
        <w:t>A mesma postura fo</w:t>
      </w:r>
      <w:r w:rsidR="00A77048">
        <w:t>i</w:t>
      </w:r>
      <w:r w:rsidR="00C52528">
        <w:t xml:space="preserve"> atribuída a Mussolini </w:t>
      </w:r>
      <w:r w:rsidR="008F2FC2">
        <w:t xml:space="preserve">por um literato </w:t>
      </w:r>
      <w:r w:rsidR="00C52528">
        <w:t xml:space="preserve">fascista, quando considerou que </w:t>
      </w:r>
      <w:r w:rsidR="006A4772">
        <w:t>o Duce</w:t>
      </w:r>
      <w:r w:rsidR="004B50E8">
        <w:t xml:space="preserve"> </w:t>
      </w:r>
      <w:r w:rsidR="00C52528">
        <w:t xml:space="preserve">se opunha «ao obstrucionismo das foças sobrenaturais» e que «tal como certos personagens lendários, </w:t>
      </w:r>
      <w:r w:rsidR="00445200">
        <w:t>trava</w:t>
      </w:r>
      <w:r w:rsidR="00C52528">
        <w:t xml:space="preserve"> uma luta </w:t>
      </w:r>
      <w:r w:rsidR="00445200">
        <w:t>permanente</w:t>
      </w:r>
      <w:r w:rsidR="00C52528">
        <w:t xml:space="preserve"> contra os mitos». </w:t>
      </w:r>
      <w:r w:rsidR="006A4772">
        <w:t xml:space="preserve">O </w:t>
      </w:r>
      <w:r w:rsidR="00A36360">
        <w:t>«espectáculo viril, mussoliniano» contra</w:t>
      </w:r>
      <w:r w:rsidR="00C6429A">
        <w:t>s</w:t>
      </w:r>
      <w:r w:rsidR="00A36360">
        <w:t>tava com os povos «</w:t>
      </w:r>
      <w:r w:rsidR="00C6429A">
        <w:t>apegados</w:t>
      </w:r>
      <w:r w:rsidR="00A36360">
        <w:t xml:space="preserve"> ao bem</w:t>
      </w:r>
      <w:r w:rsidR="00DF1FD9">
        <w:t>-</w:t>
      </w:r>
      <w:r w:rsidR="00A36360">
        <w:t xml:space="preserve">estar quotidiano a ponto de terem perdido toda a ideia da morte». </w:t>
      </w:r>
      <w:r w:rsidR="006A4772">
        <w:t xml:space="preserve">Mas se </w:t>
      </w:r>
      <w:r w:rsidR="008F2FC2">
        <w:t>aquele escritor</w:t>
      </w:r>
      <w:r w:rsidR="00A36360">
        <w:t xml:space="preserve"> considerou a verdadeira atitude fascista como uma «revolta contra a inutilidade da vida»</w:t>
      </w:r>
      <w:r w:rsidR="00585B36">
        <w:rPr>
          <w:rStyle w:val="Refdenotaderodap"/>
        </w:rPr>
        <w:footnoteReference w:id="76"/>
      </w:r>
      <w:r w:rsidR="00A36360">
        <w:t xml:space="preserve">, </w:t>
      </w:r>
      <w:r w:rsidR="006A4772">
        <w:t xml:space="preserve">temos de concluir </w:t>
      </w:r>
      <w:r w:rsidR="00A36360">
        <w:t xml:space="preserve">que a vida encontrava </w:t>
      </w:r>
      <w:r w:rsidR="00C6429A">
        <w:t xml:space="preserve">na morte </w:t>
      </w:r>
      <w:r w:rsidR="00A36360">
        <w:t>a sua utilidade</w:t>
      </w:r>
      <w:r w:rsidR="006A4772">
        <w:t>.</w:t>
      </w:r>
      <w:r w:rsidR="00A36360">
        <w:t xml:space="preserve"> </w:t>
      </w:r>
      <w:r w:rsidRPr="00341472">
        <w:t xml:space="preserve">Enquanto para o herói marxista a morte era um caso individual, ela era o próprio drama histórico para o herói fascista. </w:t>
      </w:r>
    </w:p>
    <w:p w:rsidR="00706676" w:rsidRDefault="00B77339" w:rsidP="00837D5C">
      <w:r>
        <w:t>Afinal, viver contra a história era recusar o predomínio da massa</w:t>
      </w:r>
      <w:r w:rsidR="00F92ED1">
        <w:t xml:space="preserve"> e neste elitismo encontr</w:t>
      </w:r>
      <w:r w:rsidR="001A538D">
        <w:t>ou</w:t>
      </w:r>
      <w:r w:rsidR="00F92ED1">
        <w:t xml:space="preserve"> o fascismo a sua razão suprema. </w:t>
      </w:r>
      <w:r w:rsidR="00CD7AB3">
        <w:t xml:space="preserve">Na prisão de Clairvaux, dois fascistas franceses a quem a condenação à morte havia sido comutada registaram os seus diálogos ao longo do ano de 1950, </w:t>
      </w:r>
      <w:r w:rsidR="00FD06B2">
        <w:t xml:space="preserve">e entre os </w:t>
      </w:r>
      <w:r w:rsidR="00CD7AB3">
        <w:t xml:space="preserve">motivos que os levaram a ser fascistas </w:t>
      </w:r>
      <w:r w:rsidR="00FD06B2">
        <w:t xml:space="preserve">Pierre-Antoine Cousteau recordou «a possibilidade de </w:t>
      </w:r>
      <w:r w:rsidR="00ED67DF">
        <w:t>inverter</w:t>
      </w:r>
      <w:r w:rsidR="001A538D">
        <w:rPr>
          <w:rStyle w:val="Refdenotaderodap"/>
        </w:rPr>
        <w:footnoteReference w:id="77"/>
      </w:r>
      <w:r w:rsidR="00FD06B2">
        <w:t xml:space="preserve"> aquilo a que os progressistas chamam o curso da história». </w:t>
      </w:r>
      <w:r w:rsidR="001A538D">
        <w:t xml:space="preserve">«Sim», confirmou Lucien Rebatet, «foi uma esperança que justificou inteiramente a nossa acção». A </w:t>
      </w:r>
      <w:r w:rsidR="0023584C">
        <w:t>derrota, e a derrota última, a morte, serv</w:t>
      </w:r>
      <w:r w:rsidR="006D0D9F">
        <w:t>ia</w:t>
      </w:r>
      <w:r w:rsidR="0023584C">
        <w:t xml:space="preserve">m para validar uma postura na vida. </w:t>
      </w:r>
      <w:r w:rsidR="004A53DC">
        <w:t xml:space="preserve">«Os marxistas com caspa e os sartrianos de camisa aos quadrados», </w:t>
      </w:r>
      <w:r w:rsidR="001A538D">
        <w:t xml:space="preserve">acrescentou </w:t>
      </w:r>
      <w:r w:rsidR="004A53DC">
        <w:t xml:space="preserve">Cousteau, «dão-me uma certa vontade de rir </w:t>
      </w:r>
      <w:r w:rsidR="00DC6237">
        <w:t>ao</w:t>
      </w:r>
      <w:r w:rsidR="004A53DC">
        <w:t xml:space="preserve"> profer</w:t>
      </w:r>
      <w:r w:rsidR="00DC6237">
        <w:t>ir</w:t>
      </w:r>
      <w:r w:rsidR="004A53DC">
        <w:t xml:space="preserve">em o termo com uma veneração supersticiosa. </w:t>
      </w:r>
      <w:r w:rsidR="004A53DC" w:rsidRPr="00704696">
        <w:rPr>
          <w:i/>
          <w:lang w:val="en-US"/>
        </w:rPr>
        <w:t>To be or not to be</w:t>
      </w:r>
      <w:r w:rsidR="004A53DC" w:rsidRPr="004A53DC">
        <w:rPr>
          <w:lang w:val="en-US"/>
        </w:rPr>
        <w:t xml:space="preserve"> </w:t>
      </w:r>
      <w:r w:rsidR="004A53DC">
        <w:rPr>
          <w:lang w:val="en-US"/>
        </w:rPr>
        <w:t xml:space="preserve">no curso da História! </w:t>
      </w:r>
      <w:r w:rsidR="00704696" w:rsidRPr="00704696">
        <w:t xml:space="preserve">Amaldiçoados sejam </w:t>
      </w:r>
      <w:r w:rsidR="00704696">
        <w:t xml:space="preserve">os </w:t>
      </w:r>
      <w:r w:rsidR="004A53DC" w:rsidRPr="004A53DC">
        <w:t xml:space="preserve">que caminham em sentido contrário! […] Como se a História </w:t>
      </w:r>
      <w:r w:rsidR="00704696">
        <w:t>tivesse u</w:t>
      </w:r>
      <w:r w:rsidR="004A53DC" w:rsidRPr="004A53DC">
        <w:t>m sentido!».</w:t>
      </w:r>
      <w:r w:rsidR="004A53DC">
        <w:t xml:space="preserve"> </w:t>
      </w:r>
      <w:r w:rsidR="00EE6553" w:rsidRPr="00EE6553">
        <w:t>Por isso ele pôde confessar que «tenho a paix</w:t>
      </w:r>
      <w:r w:rsidR="00EE6553">
        <w:t xml:space="preserve">ão das causas </w:t>
      </w:r>
      <w:r w:rsidR="00EE6553">
        <w:lastRenderedPageBreak/>
        <w:t xml:space="preserve">perdidas». </w:t>
      </w:r>
      <w:r w:rsidR="00AF4102">
        <w:t>«Quando me debruço sobre o passado, tenho a sensação de não ter sido derrotado apenas nesta guerra, mas de ter sido sempre derrotado</w:t>
      </w:r>
      <w:r w:rsidR="004F1F95">
        <w:t xml:space="preserve">», </w:t>
      </w:r>
      <w:r w:rsidR="001A538D">
        <w:t>concluiu</w:t>
      </w:r>
      <w:r w:rsidR="004F1F95">
        <w:t xml:space="preserve"> Cousteau. </w:t>
      </w:r>
      <w:r w:rsidR="00EF2470">
        <w:t xml:space="preserve">«Ah! É fácil aos nossos inimigos insultarem-nos dizendo que a história nos </w:t>
      </w:r>
      <w:r w:rsidR="00037543">
        <w:t>esmaga</w:t>
      </w:r>
      <w:r w:rsidR="00EF2470">
        <w:t xml:space="preserve">! [...] A </w:t>
      </w:r>
      <w:r w:rsidR="00DB4141">
        <w:t>respeitabilidade</w:t>
      </w:r>
      <w:r w:rsidR="00EF2470">
        <w:t xml:space="preserve"> de uma causa política </w:t>
      </w:r>
      <w:r w:rsidR="00DB4141">
        <w:t>pode medir</w:t>
      </w:r>
      <w:r w:rsidR="00EF2470">
        <w:t>-se pela dimensão dos seus fracassos materiais»</w:t>
      </w:r>
      <w:r w:rsidR="00D772CB">
        <w:rPr>
          <w:rStyle w:val="Refdenotaderodap"/>
        </w:rPr>
        <w:footnoteReference w:id="78"/>
      </w:r>
      <w:r w:rsidR="00EF2470">
        <w:t xml:space="preserve">. </w:t>
      </w:r>
    </w:p>
    <w:p w:rsidR="00837D5C" w:rsidRPr="00341472" w:rsidRDefault="00837D5C" w:rsidP="00837D5C">
      <w:r w:rsidRPr="00341472">
        <w:t>Entre os colaboracionistas da Paris ocupada pel</w:t>
      </w:r>
      <w:r w:rsidR="00AC73C2">
        <w:t xml:space="preserve">as tropas do Reich </w:t>
      </w:r>
      <w:r w:rsidRPr="00341472">
        <w:t xml:space="preserve">havia todo o tipo de gente, como em geral sucede por todo o lado, havia os oportunistas de ocasião ou os manhosos a prazo ou os que não viam na política do dia mais do que o negócio de sempre, mas havia também os outros, os fidedignos, e foram estes que perante a iminência da catástrofe radicalizaram as posições e mais ainda extremaram as atitudes. </w:t>
      </w:r>
      <w:r w:rsidR="008A6AFA">
        <w:t xml:space="preserve">Pierre-Antoine Cousteau foi um deles, substituindo Brasillach em 1943 na direcção do </w:t>
      </w:r>
      <w:r w:rsidR="008A6AFA" w:rsidRPr="008B6A44">
        <w:rPr>
          <w:i/>
        </w:rPr>
        <w:t>Je Suis Partout</w:t>
      </w:r>
      <w:r w:rsidR="008A6AFA" w:rsidRPr="008A6AFA">
        <w:rPr>
          <w:i/>
        </w:rPr>
        <w:t>,</w:t>
      </w:r>
      <w:r w:rsidR="008A6AFA">
        <w:t xml:space="preserve"> precisamente quando a derrota do Reich se afigurava cada vez mais certa. E </w:t>
      </w:r>
      <w:r w:rsidR="008A6AFA" w:rsidRPr="00341472">
        <w:t xml:space="preserve">quando </w:t>
      </w:r>
      <w:r w:rsidRPr="00341472">
        <w:t>Georges Oltramare, o ubíquo fascista suiço que foi um notáve</w:t>
      </w:r>
      <w:r>
        <w:t>l</w:t>
      </w:r>
      <w:r w:rsidRPr="00341472">
        <w:t xml:space="preserve"> agente internaciona</w:t>
      </w:r>
      <w:r>
        <w:t>l</w:t>
      </w:r>
      <w:r w:rsidRPr="00341472">
        <w:t>, organizou no Cercle Aryen de Paris, em Abril de 1944, o «Banquete dos Condenados à Morte»</w:t>
      </w:r>
      <w:r w:rsidRPr="00341472">
        <w:rPr>
          <w:rStyle w:val="Refdenotaderodap"/>
        </w:rPr>
        <w:footnoteReference w:id="79"/>
      </w:r>
      <w:r w:rsidRPr="00341472">
        <w:t xml:space="preserve">, que outra coisa estavam a fazer ele e os seus comensais senão a desafiar a história? </w:t>
      </w:r>
      <w:r w:rsidR="00F057A7">
        <w:t xml:space="preserve">Exactamente um ano depois, em </w:t>
      </w:r>
      <w:r w:rsidR="00844D71">
        <w:t xml:space="preserve">Abril de 1945, uma centena de homens que restava do que </w:t>
      </w:r>
      <w:r w:rsidR="00FD0696">
        <w:t>havia sido</w:t>
      </w:r>
      <w:r w:rsidR="00844D71">
        <w:t xml:space="preserve"> a </w:t>
      </w:r>
      <w:r w:rsidR="002C637C">
        <w:t>divisão</w:t>
      </w:r>
      <w:r w:rsidR="00844D71">
        <w:t xml:space="preserve"> SS francesa consegu</w:t>
      </w:r>
      <w:r w:rsidR="00FD0696">
        <w:t>iu</w:t>
      </w:r>
      <w:r w:rsidR="00844D71">
        <w:t xml:space="preserve"> penetrar em Berlim, cercada por tropas soviéticas, para participar e morrer na inútil batalha final</w:t>
      </w:r>
      <w:r w:rsidR="00844D71">
        <w:rPr>
          <w:rStyle w:val="Refdenotaderodap"/>
        </w:rPr>
        <w:footnoteReference w:id="80"/>
      </w:r>
      <w:r w:rsidR="00844D71">
        <w:t xml:space="preserve">. </w:t>
      </w:r>
      <w:r w:rsidRPr="00341472">
        <w:t>Era acerca de pessoas assim que um semanário fascista britânico reivindica</w:t>
      </w:r>
      <w:r w:rsidR="003249E6">
        <w:t>ra</w:t>
      </w:r>
      <w:r w:rsidRPr="00341472">
        <w:t xml:space="preserve"> «o direito que pertence a qualquer combatente corajoso de lutar por uma causa, ainda que ela pareça perdida»</w:t>
      </w:r>
      <w:r w:rsidRPr="00341472">
        <w:rPr>
          <w:rStyle w:val="Refdenotaderodap"/>
        </w:rPr>
        <w:footnoteReference w:id="81"/>
      </w:r>
      <w:r w:rsidRPr="00341472">
        <w:t xml:space="preserve">. </w:t>
      </w:r>
      <w:r w:rsidR="00FD0696">
        <w:t>O</w:t>
      </w:r>
      <w:r w:rsidRPr="00341472">
        <w:t xml:space="preserve"> desprezo pela história </w:t>
      </w:r>
      <w:r w:rsidR="00AC73C2">
        <w:t xml:space="preserve">constituiu </w:t>
      </w:r>
      <w:r w:rsidRPr="00341472">
        <w:t xml:space="preserve">a forma suprema do desdém da elite pelas massas. Se para o fascismo o juízo da maioria não era um critério, também não o era o veredicto dos acontecimentos. Esta aristocracia do comportamento explica algumas condutas. O jornalista Jean Fontenoy, socialista primeiro, comunista depois, agente do Komintern, correspondente de uma grande agência de informação em Moscovo e Xangai, abandona o PCF, participa desde 1937 ou 1938 até ao começo de 1939 no PPF de Doriot, em 1939 e 1940 alista-se como voluntário no exército finlandês por ocasião da guerra contra a União Soviética e, regressado a Paris, num vertiginoso torvelinho ajuda a reorganizar o PPF, é adjunto de Deloncle na criação do MSR, associa-se à fundação do RNP de Déat, oscila por uns tempos entre Laval e Deloncle, escreve numa multiplicidade de jornais do colaboracionismo da capital, tornando-se um alvo tão exposto que chega a correr o boato de que havia sido assassinado, parte para a frente leste com a Légion des Volontaires Français, é nomeado por Vichy director-geral adjunto da Informação, </w:t>
      </w:r>
      <w:r w:rsidRPr="00341472">
        <w:lastRenderedPageBreak/>
        <w:t xml:space="preserve">retira para o Reich em Agosto de 1944, para estar em Berlim nos últimos dias, vestindo um uniforme </w:t>
      </w:r>
      <w:r w:rsidR="00FF0A4F">
        <w:t>germânico</w:t>
      </w:r>
      <w:r w:rsidRPr="00341472">
        <w:t xml:space="preserve"> e morrendo durante os derradeiros e já inteiramente inúteis combates contra as tropas soviéticas</w:t>
      </w:r>
      <w:r w:rsidRPr="00341472">
        <w:rPr>
          <w:rStyle w:val="Refdenotaderodap"/>
        </w:rPr>
        <w:footnoteReference w:id="82"/>
      </w:r>
      <w:r w:rsidRPr="00341472">
        <w:t xml:space="preserve">. Esta vida ao arrepio da história, esta corrida para a morte, fez do herói fascista o último dos românticos, o que </w:t>
      </w:r>
      <w:r w:rsidR="00187339">
        <w:t>—</w:t>
      </w:r>
      <w:r w:rsidRPr="00341472">
        <w:t xml:space="preserve"> entenda-se </w:t>
      </w:r>
      <w:r w:rsidR="00187339">
        <w:t>—</w:t>
      </w:r>
      <w:r w:rsidRPr="00341472">
        <w:t xml:space="preserve"> não é um elogio aos fascistas, mas uma crítica aos românticos. </w:t>
      </w:r>
    </w:p>
    <w:p w:rsidR="00837D5C" w:rsidRPr="00341472" w:rsidRDefault="00837D5C" w:rsidP="00837D5C">
      <w:r w:rsidRPr="00341472">
        <w:t xml:space="preserve">Cada tipo de fascismo louvou a morte à sua maneira, inspirando-se no fundo inesgotável de realidades ou invenções heróicas de que cada país dispõe e criando outros tantos mitos de última hora, para não arrefecer o entusiasmo. </w:t>
      </w:r>
      <w:r w:rsidR="00AF5DFB">
        <w:t>«Viver perig</w:t>
      </w:r>
      <w:r w:rsidR="008E7F94">
        <w:t>osamente», proclamara Mussolini</w:t>
      </w:r>
      <w:r w:rsidR="00AF5DFB">
        <w:t xml:space="preserve"> </w:t>
      </w:r>
      <w:r w:rsidR="00023D69">
        <w:t>num eco de</w:t>
      </w:r>
      <w:r w:rsidR="00AF5DFB">
        <w:t xml:space="preserve"> Nietzsche</w:t>
      </w:r>
      <w:r w:rsidR="00AF5DFB">
        <w:rPr>
          <w:rStyle w:val="Refdenotaderodap"/>
        </w:rPr>
        <w:footnoteReference w:id="83"/>
      </w:r>
      <w:r w:rsidR="00AF5DFB">
        <w:t xml:space="preserve">, e o seu </w:t>
      </w:r>
      <w:r w:rsidRPr="00341472">
        <w:t xml:space="preserve">regime </w:t>
      </w:r>
      <w:r w:rsidR="008E7F94">
        <w:t>adoptou</w:t>
      </w:r>
      <w:r w:rsidRPr="00341472">
        <w:t xml:space="preserve"> o tema futurista da guerra enquanto expressão máxima da máquina e da velocidade, o fragor da batalha confundido com o barulho dinâmico dos motores, </w:t>
      </w:r>
      <w:r w:rsidR="00AF5DFB">
        <w:t>exaltando</w:t>
      </w:r>
      <w:r w:rsidR="00E678D6">
        <w:t>-</w:t>
      </w:r>
      <w:r w:rsidRPr="00341472">
        <w:t>a como uma antecipação do futuro. «Morrer de cara voltada para o sol», di</w:t>
      </w:r>
      <w:r>
        <w:t>sse</w:t>
      </w:r>
      <w:r w:rsidRPr="00341472">
        <w:t xml:space="preserve"> Mussolini no seu último discurso aos derradeiros fiéis, cinco dias antes de ser fuzilado</w:t>
      </w:r>
      <w:r w:rsidRPr="00341472">
        <w:rPr>
          <w:rStyle w:val="Refdenotaderodap"/>
        </w:rPr>
        <w:footnoteReference w:id="84"/>
      </w:r>
      <w:r w:rsidRPr="00341472">
        <w:t xml:space="preserve">. No pólo oposto das sensibilidades estéticas, a guerra surgiu aos partidários de Hitler como a imanência do passado, a voz dos mortos clamando fidelidade </w:t>
      </w:r>
      <w:r w:rsidR="00E678D6">
        <w:t>ao sangue</w:t>
      </w:r>
      <w:r w:rsidRPr="00341472">
        <w:t xml:space="preserve">, e foi enterrado no seu </w:t>
      </w:r>
      <w:r w:rsidR="00360232" w:rsidRPr="00360232">
        <w:t>bunker</w:t>
      </w:r>
      <w:r w:rsidRPr="00360232">
        <w:t>,</w:t>
      </w:r>
      <w:r w:rsidRPr="00341472">
        <w:t xml:space="preserve"> como numa enorme sepultura, que o Führer se suicidou</w:t>
      </w:r>
      <w:r w:rsidR="00886412">
        <w:rPr>
          <w:rStyle w:val="Refdenotaderodap"/>
        </w:rPr>
        <w:footnoteReference w:id="85"/>
      </w:r>
      <w:r w:rsidRPr="00341472">
        <w:t xml:space="preserve">. O fascínio da morte para o fascismo racista situava-se no passado, porque o racismo consiste numa determinação dos vivos pelos mortos, e era entre os mortos que os vivos encontravam explicação e razão de ser. Para o fascismo social, porém, tal como a Itália o conheceu, a morte projectava para o futuro a sua sedução. Nestes termos o fascista era um inovador que rasgava outra época, não o reconstrutor de um eterno passado, e para ele a morte tinha o mesmo atractivo que para o </w:t>
      </w:r>
      <w:r w:rsidRPr="00341472">
        <w:rPr>
          <w:i/>
        </w:rPr>
        <w:t>dandy,</w:t>
      </w:r>
      <w:r w:rsidRPr="00341472">
        <w:t xml:space="preserve"> resultando da distância irónica com que se observava a história e o lugar de cada um nela. A estas duas perspectivas </w:t>
      </w:r>
      <w:r w:rsidR="008E7F94">
        <w:t>inversas</w:t>
      </w:r>
      <w:r w:rsidRPr="00341472">
        <w:t xml:space="preserve">, lançada uma em direcção ao sol escaldante do futuro, </w:t>
      </w:r>
      <w:r w:rsidRPr="00341472">
        <w:lastRenderedPageBreak/>
        <w:t xml:space="preserve">a outra iluminada pela palidez fria e lunar, oferecia-se um só objecto de visão, o mesmo que a sociedade burguesa havia obsessivamente contemplado </w:t>
      </w:r>
      <w:r w:rsidR="00C30157">
        <w:t>—</w:t>
      </w:r>
      <w:r w:rsidRPr="00341472">
        <w:t xml:space="preserve"> as ruínas. </w:t>
      </w:r>
    </w:p>
    <w:p w:rsidR="00837D5C" w:rsidRPr="00341472" w:rsidRDefault="00837D5C" w:rsidP="004F25EA">
      <w:pPr>
        <w:pStyle w:val="Recuodecorpodetexto"/>
        <w:ind w:firstLine="0"/>
        <w:jc w:val="center"/>
        <w:rPr>
          <w:rFonts w:ascii="Arial Narrow" w:hAnsi="Arial Narrow"/>
        </w:rPr>
      </w:pPr>
      <w:r w:rsidRPr="00341472">
        <w:rPr>
          <w:rFonts w:ascii="Arial Narrow" w:hAnsi="Arial Narrow"/>
        </w:rPr>
        <w:t>6. Itália: «Só gostamos do sangue quando o vemos jorrar das artérias»</w:t>
      </w:r>
    </w:p>
    <w:p w:rsidR="00837D5C" w:rsidRPr="00341472" w:rsidRDefault="00837D5C" w:rsidP="00837D5C">
      <w:pPr>
        <w:tabs>
          <w:tab w:val="left" w:pos="720"/>
          <w:tab w:val="left" w:pos="3312"/>
        </w:tabs>
      </w:pPr>
      <w:r w:rsidRPr="00341472">
        <w:t xml:space="preserve">«Dinâmico e agressivo, o futurismo tem agora a sua realização plena na grande guerra mundial, que ele </w:t>
      </w:r>
      <w:r w:rsidR="00893893">
        <w:t>—</w:t>
      </w:r>
      <w:r w:rsidRPr="00341472">
        <w:t xml:space="preserve"> e ele somente </w:t>
      </w:r>
      <w:r w:rsidR="00893893">
        <w:t>—</w:t>
      </w:r>
      <w:r w:rsidRPr="00341472">
        <w:t xml:space="preserve"> previu e glorificou antes de se ter desencadeado», proclam</w:t>
      </w:r>
      <w:r>
        <w:t>ou</w:t>
      </w:r>
      <w:r w:rsidRPr="00341472">
        <w:t xml:space="preserve"> Marinetti num apelo dirigido aos estudantes no final de 1914. «</w:t>
      </w:r>
      <w:r w:rsidRPr="00341472">
        <w:rPr>
          <w:i/>
        </w:rPr>
        <w:t>A guerra actual é o mais belo poema futurista que jamais se viu</w:t>
      </w:r>
      <w:r w:rsidRPr="00341472">
        <w:t>. O futurismo significava precisamente a irrupção da guerra na arte [...] O futurismo era a militarização dos artistas inovadores. Estamos hoje a presenciar uma imensa explosão futurista de contextos dinâmicos e agressivos [...]»</w:t>
      </w:r>
      <w:r w:rsidRPr="00341472">
        <w:rPr>
          <w:rStyle w:val="Refdenotaderodap"/>
        </w:rPr>
        <w:footnoteReference w:id="86"/>
      </w:r>
      <w:r w:rsidRPr="00341472">
        <w:t xml:space="preserve">. Da arte como guerra até à guerra como arte, </w:t>
      </w:r>
      <w:r>
        <w:t>foi</w:t>
      </w:r>
      <w:r w:rsidRPr="00341472">
        <w:t xml:space="preserve"> o percurso do seu movimento que Marinetti </w:t>
      </w:r>
      <w:r w:rsidR="00AF474B">
        <w:t>traçou</w:t>
      </w:r>
      <w:r w:rsidRPr="00341472">
        <w:t xml:space="preserve">. </w:t>
      </w:r>
    </w:p>
    <w:p w:rsidR="00837D5C" w:rsidRPr="00341472" w:rsidRDefault="00D3298E" w:rsidP="00837D5C">
      <w:pPr>
        <w:tabs>
          <w:tab w:val="left" w:pos="720"/>
          <w:tab w:val="left" w:pos="3312"/>
        </w:tabs>
      </w:pPr>
      <w:r w:rsidRPr="00341472">
        <w:t xml:space="preserve">Desde </w:t>
      </w:r>
      <w:r w:rsidR="00837D5C" w:rsidRPr="00341472">
        <w:t>o primeiro instante que a sedução da morte estivera contida na apologia futurista da velocidade. Quando lançou o movimento, com o manifesto de 20 de Fevereiro de 1909, ao descrever o ímpeto que se apossou dele e dos seus companheiros, Marinetti evocou apenas os temas da morte, não um banal fim da vida, mas a morte enquanto conceito, com maiúscula, a grande mãe redentora e criativa. «[...] como jovens leões, nós perseguíamos a morte [...] Nada nos fazia desejar a morte, senão o desejo de nos vermos enfim livres do peso da nossa coragem!». O motor do veloz automóvel em que os amigos percorriam a noite «domesticava» a morte, e as carícias que trocavam com ela eram narradas com as palavras usadas habitualmente para descrever o encanto das damas da rua</w:t>
      </w:r>
      <w:r w:rsidR="00837D5C" w:rsidRPr="00341472">
        <w:rPr>
          <w:rStyle w:val="Refdenotaderodap"/>
        </w:rPr>
        <w:footnoteReference w:id="87"/>
      </w:r>
      <w:r w:rsidR="00837D5C" w:rsidRPr="00341472">
        <w:t xml:space="preserve">. Estávamos ali muito longe dos guerreiros castos da mitologia nacional-socialista, e o «peso da [...] coragem» parecia ser do mesmo tipo da obsessão do desejo, possível de descarregar em lupanares. No mesmo </w:t>
      </w:r>
      <w:r w:rsidR="00F85D1D">
        <w:t xml:space="preserve">gesto </w:t>
      </w:r>
      <w:r w:rsidR="00837D5C" w:rsidRPr="00341472">
        <w:t>com que proclamou o seu «desprezo pela mulher, condição essencial da existência do herói moderno»</w:t>
      </w:r>
      <w:r w:rsidR="00837D5C" w:rsidRPr="00341472">
        <w:rPr>
          <w:rStyle w:val="Refdenotaderodap"/>
        </w:rPr>
        <w:footnoteReference w:id="88"/>
      </w:r>
      <w:r w:rsidR="00837D5C" w:rsidRPr="00341472">
        <w:t>, o poeta da velocidade e da agressão exaltou a guerra. «Decerto, o nosso vigor exige a guerra e despreza as mulheres»</w:t>
      </w:r>
      <w:r w:rsidR="00837D5C" w:rsidRPr="00341472">
        <w:rPr>
          <w:rStyle w:val="Refdenotaderodap"/>
        </w:rPr>
        <w:footnoteReference w:id="89"/>
      </w:r>
      <w:r w:rsidR="00837D5C" w:rsidRPr="00341472">
        <w:t xml:space="preserve">. A guerra, a melhor das ginásticas. «Queremos celebrar a guerra </w:t>
      </w:r>
      <w:r w:rsidR="00C96EFC">
        <w:t>—</w:t>
      </w:r>
      <w:r w:rsidR="00837D5C" w:rsidRPr="00341472">
        <w:t xml:space="preserve"> única higiene do mundo [...]»</w:t>
      </w:r>
      <w:r w:rsidR="00837D5C" w:rsidRPr="00341472">
        <w:rPr>
          <w:rStyle w:val="Refdenotaderodap"/>
        </w:rPr>
        <w:footnoteReference w:id="90"/>
      </w:r>
      <w:r w:rsidR="00837D5C" w:rsidRPr="00341472">
        <w:t xml:space="preserve">. </w:t>
      </w:r>
    </w:p>
    <w:p w:rsidR="00837D5C" w:rsidRPr="00341472" w:rsidRDefault="00837D5C" w:rsidP="00837D5C">
      <w:pPr>
        <w:tabs>
          <w:tab w:val="left" w:pos="720"/>
          <w:tab w:val="left" w:pos="3312"/>
        </w:tabs>
      </w:pPr>
      <w:r w:rsidRPr="00341472">
        <w:lastRenderedPageBreak/>
        <w:t>«Cada dia que passa», escrev</w:t>
      </w:r>
      <w:r>
        <w:t>er</w:t>
      </w:r>
      <w:r w:rsidRPr="00341472">
        <w:t>am Marinetti e alguns outros em Setembro de 1916, «a conflagração vai animando mais a sensibilidade europeia»</w:t>
      </w:r>
      <w:r w:rsidRPr="00341472">
        <w:rPr>
          <w:rStyle w:val="Refdenotaderodap"/>
        </w:rPr>
        <w:footnoteReference w:id="91"/>
      </w:r>
      <w:r w:rsidRPr="00341472">
        <w:t>. Só mediante um considerável esforço de imaginação, porém, seria possível tomar como exemplo de dinamismo uma guerra que se imobilizara nas trincheiras. A não ser que o dinamismo fosse apenas o da metralha que de um e outro lado era projectada sobre aquela humanidade enterrada e estagnante. Num dos seus mais importantes manifestos, em que proclam</w:t>
      </w:r>
      <w:r>
        <w:t>ou</w:t>
      </w:r>
      <w:r w:rsidRPr="00341472">
        <w:t xml:space="preserve"> o «esplendor geométrico e mecânico», Marinetti promet</w:t>
      </w:r>
      <w:r>
        <w:t>eu</w:t>
      </w:r>
      <w:r w:rsidRPr="00341472">
        <w:t xml:space="preserve">: «Nós destruímos sistematicamente o “eu” literário, para o dispersar pela vibração universal [...] E assim a poesia das forças cósmicas suplanta a poesia do humano». Estilisticamente este efeito obter-se-ia mediante o uso do infinitivo. «O infinitivo é a paixão do </w:t>
      </w:r>
      <w:r w:rsidRPr="00341472">
        <w:rPr>
          <w:i/>
        </w:rPr>
        <w:t>eu</w:t>
      </w:r>
      <w:r w:rsidRPr="00341472">
        <w:t xml:space="preserve"> a abandonar-se para se transformar em </w:t>
      </w:r>
      <w:r w:rsidRPr="00341472">
        <w:rPr>
          <w:i/>
        </w:rPr>
        <w:t>todos</w:t>
      </w:r>
      <w:r w:rsidRPr="00341472">
        <w:t xml:space="preserve"> [...]». Mas podia chegar-se ao mesmo resultado, de maneira mais drástica e com muito maior amplitude, através de uma gramática de outro tipo. «De facto, eu constatei na bateria de Suni, em Sidi-Messri, em Outubro de 1911, que o voo brilhante e agressivo de uma bala de canhão, aquecida ao rubro pelo sol e impelida velozmente pelo fogo, tornava quase indiferente o espectáculo da carne humana dilacerada e moribunda»</w:t>
      </w:r>
      <w:r w:rsidRPr="00341472">
        <w:rPr>
          <w:rStyle w:val="Refdenotaderodap"/>
        </w:rPr>
        <w:footnoteReference w:id="92"/>
      </w:r>
      <w:r w:rsidRPr="00341472">
        <w:t>. Neste caso foi a bala e não o infinitivo a destruir o «</w:t>
      </w:r>
      <w:r w:rsidRPr="00341472">
        <w:rPr>
          <w:i/>
        </w:rPr>
        <w:t>eu</w:t>
      </w:r>
      <w:r w:rsidRPr="00341472">
        <w:t xml:space="preserve"> literário» e a precipitá-lo nas «forças cósmicas». A guerra, com as suas máquinas de morte, era o acto criador do supremo poema. </w:t>
      </w:r>
    </w:p>
    <w:p w:rsidR="00837D5C" w:rsidRPr="00341472" w:rsidRDefault="00837D5C" w:rsidP="00837D5C">
      <w:pPr>
        <w:tabs>
          <w:tab w:val="left" w:pos="720"/>
          <w:tab w:val="left" w:pos="3312"/>
        </w:tabs>
      </w:pPr>
      <w:r w:rsidRPr="00341472">
        <w:t>Já na proclamação fundadora do futurismo Marinetti confundira sob as mesmas apóstrofes exaltadas a excitação das multidões, percorridas pelo prazer ou na fúria da revolução, e a violência da luz eléctrica nas noites cosmopolitas, o faiscar dos motores, a estridência das máquinas</w:t>
      </w:r>
      <w:r w:rsidRPr="00341472">
        <w:rPr>
          <w:rStyle w:val="Refdenotaderodap"/>
        </w:rPr>
        <w:footnoteReference w:id="93"/>
      </w:r>
      <w:r w:rsidRPr="00341472">
        <w:t xml:space="preserve">. </w:t>
      </w:r>
      <w:r w:rsidR="009602D2">
        <w:t xml:space="preserve">Houve uma certa ingenuidade em propor como </w:t>
      </w:r>
      <w:r w:rsidR="009602D2" w:rsidRPr="00341472">
        <w:t>maneira de viver da nova geração o estilo de funcionamento das técnicas modernas</w:t>
      </w:r>
      <w:r w:rsidR="009602D2">
        <w:t xml:space="preserve">, </w:t>
      </w:r>
      <w:r w:rsidR="00D41314" w:rsidRPr="00341472">
        <w:t xml:space="preserve">por </w:t>
      </w:r>
      <w:r w:rsidRPr="00341472">
        <w:t xml:space="preserve">isso as destruidoras máquinas de guerra puderam ser vistas como o estádio superlativo da civilização industrial. </w:t>
      </w:r>
      <w:r w:rsidR="001517FC">
        <w:t xml:space="preserve">Mas </w:t>
      </w:r>
      <w:r w:rsidR="001517FC" w:rsidRPr="00341472">
        <w:t xml:space="preserve">não culpemos o futurismo. </w:t>
      </w:r>
      <w:r w:rsidR="007E2673">
        <w:t>Es</w:t>
      </w:r>
      <w:r w:rsidR="00FB7578">
        <w:t>t</w:t>
      </w:r>
      <w:r w:rsidR="007E2673">
        <w:t xml:space="preserve">a ingenuidade, como </w:t>
      </w:r>
      <w:r w:rsidR="007E2673" w:rsidRPr="00987FD3">
        <w:t xml:space="preserve">Wyndham </w:t>
      </w:r>
      <w:r w:rsidR="007E2673">
        <w:t>Lewis notara</w:t>
      </w:r>
      <w:r w:rsidR="00071FE9">
        <w:t xml:space="preserve"> (no capítulo 4 da Parte 1)</w:t>
      </w:r>
      <w:r w:rsidR="007E2673">
        <w:t xml:space="preserve">, </w:t>
      </w:r>
      <w:r w:rsidR="00C00A5E">
        <w:t xml:space="preserve">decorria do próprio atraso </w:t>
      </w:r>
      <w:r w:rsidR="009602D2">
        <w:t>económico</w:t>
      </w:r>
      <w:r w:rsidR="00C00A5E">
        <w:t xml:space="preserve"> da Itália. </w:t>
      </w:r>
      <w:r w:rsidR="001517FC" w:rsidRPr="00341472">
        <w:t xml:space="preserve">Ao </w:t>
      </w:r>
      <w:r w:rsidRPr="00341472">
        <w:t>subsumirem o homem à máquina</w:t>
      </w:r>
      <w:r w:rsidR="00FB7578">
        <w:t>,</w:t>
      </w:r>
      <w:r w:rsidRPr="00341472">
        <w:t xml:space="preserve"> Marinetti e os seus discípulos estavam a </w:t>
      </w:r>
      <w:r w:rsidR="00FB7578">
        <w:t xml:space="preserve">criar </w:t>
      </w:r>
      <w:r w:rsidR="001517FC">
        <w:t xml:space="preserve">a estética de uma sociedade mecânica que </w:t>
      </w:r>
      <w:r w:rsidR="005F3593">
        <w:t xml:space="preserve">ali </w:t>
      </w:r>
      <w:r w:rsidR="001517FC">
        <w:t>viam nascer, mas que era para os vorticistas ingleses um</w:t>
      </w:r>
      <w:r w:rsidR="005F3593">
        <w:t xml:space="preserve"> mundo </w:t>
      </w:r>
      <w:r w:rsidR="001517FC">
        <w:t>já antig</w:t>
      </w:r>
      <w:r w:rsidR="005F3593">
        <w:t>o</w:t>
      </w:r>
      <w:r w:rsidR="001517FC">
        <w:t xml:space="preserve">. </w:t>
      </w:r>
      <w:r w:rsidRPr="00341472">
        <w:t xml:space="preserve">Se o futurismo teve como razão de ser a descoberta artística </w:t>
      </w:r>
      <w:r w:rsidR="00E53473">
        <w:t xml:space="preserve">da civilização </w:t>
      </w:r>
      <w:r w:rsidRPr="00341472">
        <w:t xml:space="preserve">industrial, </w:t>
      </w:r>
      <w:r w:rsidR="00E53473">
        <w:t xml:space="preserve">então </w:t>
      </w:r>
      <w:r w:rsidR="00AB0ACC">
        <w:t xml:space="preserve">os futuristas podiam </w:t>
      </w:r>
      <w:r w:rsidR="00E53473">
        <w:t xml:space="preserve">encarregar directamente </w:t>
      </w:r>
      <w:r w:rsidRPr="00341472">
        <w:t xml:space="preserve">as máquinas militares de escrever o louvor e a celebração da morte. </w:t>
      </w:r>
    </w:p>
    <w:p w:rsidR="00837D5C" w:rsidRPr="00341472" w:rsidRDefault="00837D5C" w:rsidP="00837D5C">
      <w:pPr>
        <w:tabs>
          <w:tab w:val="left" w:pos="720"/>
          <w:tab w:val="left" w:pos="3312"/>
        </w:tabs>
      </w:pPr>
      <w:r w:rsidRPr="00341472">
        <w:t xml:space="preserve">E foi aqui que o paradoxo surgiu, porque em substituição dos museus, das bibliotecas e das academias, que pretendiam </w:t>
      </w:r>
      <w:r w:rsidR="00BD4B5A">
        <w:t>encerrar</w:t>
      </w:r>
      <w:r w:rsidRPr="00341472">
        <w:t xml:space="preserve">, e para corrigirem o pendor arqueológico, de que </w:t>
      </w:r>
      <w:r w:rsidRPr="00341472">
        <w:lastRenderedPageBreak/>
        <w:t>escarneciam com jovial crueldade</w:t>
      </w:r>
      <w:r w:rsidRPr="00341472">
        <w:rPr>
          <w:rStyle w:val="Refdenotaderodap"/>
        </w:rPr>
        <w:footnoteReference w:id="94"/>
      </w:r>
      <w:r w:rsidRPr="00341472">
        <w:t xml:space="preserve">, que tinham os futuristas para oferecer? Na </w:t>
      </w:r>
      <w:r w:rsidRPr="00341472">
        <w:rPr>
          <w:i/>
        </w:rPr>
        <w:t>Destruição da Sintaxe...</w:t>
      </w:r>
      <w:r w:rsidRPr="00341472">
        <w:t xml:space="preserve"> Marinetti evocou «uma zona de vida intensa», onde incluiu «revolução, guerra, naufrágio, terramoto e muito mais»</w:t>
      </w:r>
      <w:r w:rsidRPr="00341472">
        <w:rPr>
          <w:rStyle w:val="Refdenotaderodap"/>
        </w:rPr>
        <w:footnoteReference w:id="95"/>
      </w:r>
      <w:r w:rsidRPr="00341472">
        <w:t xml:space="preserve">. Nada senão a catástrofe podia marcar com um traço comum acontecimentos tão diversos, e a «vida intensa» seria, então, equivalente à morte em massa. Contra a morte congelada no tempo pela estética burguesa das ruínas, Marinetti e os seus companheiros propunham uma morte novíssima, uma antecipação célere do futuro. A audácia de que se reclamavam, e que </w:t>
      </w:r>
      <w:r w:rsidR="00010E21" w:rsidRPr="00341472">
        <w:t xml:space="preserve">inegavelmente </w:t>
      </w:r>
      <w:r w:rsidRPr="00341472">
        <w:t>tinham, definia o orgulho de serem jovens. «Os mais velhos de nós têm trinta anos [...]»</w:t>
      </w:r>
      <w:r w:rsidRPr="00341472">
        <w:rPr>
          <w:rStyle w:val="Refdenotaderodap"/>
        </w:rPr>
        <w:footnoteReference w:id="96"/>
      </w:r>
      <w:r w:rsidRPr="00341472">
        <w:t>. A morte que diziam procurar não se encontrava no termo da vida, mas no seu começo. «Só gostamos do sangue quando o vemos jorrar das artérias</w:t>
      </w:r>
      <w:r w:rsidR="00C76641">
        <w:t xml:space="preserve"> [...]»</w:t>
      </w:r>
      <w:r w:rsidR="00C76641">
        <w:rPr>
          <w:rStyle w:val="Refdenotaderodap"/>
        </w:rPr>
        <w:footnoteReference w:id="97"/>
      </w:r>
      <w:r w:rsidR="00C76641">
        <w:t>. E ainda: «</w:t>
      </w:r>
      <w:r w:rsidRPr="00341472">
        <w:t xml:space="preserve">Escutem bem, que o sangue só adquire valor e esplendor quando o ferro ou o fogo </w:t>
      </w:r>
      <w:r w:rsidR="006B1823">
        <w:t>o libertam d</w:t>
      </w:r>
      <w:r w:rsidRPr="00341472">
        <w:t>o cárcere das artérias</w:t>
      </w:r>
      <w:r w:rsidR="006B1823">
        <w:t>!</w:t>
      </w:r>
      <w:r w:rsidRPr="00341472">
        <w:t>»</w:t>
      </w:r>
      <w:r w:rsidRPr="00341472">
        <w:rPr>
          <w:rStyle w:val="Refdenotaderodap"/>
        </w:rPr>
        <w:footnoteReference w:id="98"/>
      </w:r>
      <w:r w:rsidRPr="00341472">
        <w:t xml:space="preserve">. </w:t>
      </w:r>
      <w:r w:rsidR="00221AF6">
        <w:t xml:space="preserve">Tinha sem dúvida aprendido a lição do futurismo aquele chefe </w:t>
      </w:r>
      <w:r w:rsidR="00221AF6" w:rsidRPr="0068051B">
        <w:rPr>
          <w:i/>
        </w:rPr>
        <w:t>squadrista</w:t>
      </w:r>
      <w:r w:rsidR="00221AF6">
        <w:t xml:space="preserve"> de Lucca que em 1921, no funeral de um companheiro, </w:t>
      </w:r>
      <w:r w:rsidR="0068051B">
        <w:t>proclamou</w:t>
      </w:r>
      <w:r w:rsidR="00221AF6">
        <w:t>: «Oh Santíssima Trindade, nascida do sangue: o vosso sangue, o nosso sangue. As veias esvaziaram-se do seu fluido mais vital para criar uma nova fonte baptismal: o cálice pleno da sua dádiva escarlate»</w:t>
      </w:r>
      <w:r w:rsidR="0068051B">
        <w:rPr>
          <w:rStyle w:val="Refdenotaderodap"/>
        </w:rPr>
        <w:footnoteReference w:id="99"/>
      </w:r>
      <w:r w:rsidR="00221AF6">
        <w:t>.</w:t>
      </w:r>
      <w:r w:rsidR="0068051B">
        <w:t xml:space="preserve"> </w:t>
      </w:r>
      <w:r w:rsidRPr="0068051B">
        <w:t xml:space="preserve">Mais matinal ainda, a morte deveria surgir no próprio despontar da vida. </w:t>
      </w:r>
      <w:r w:rsidRPr="00341472">
        <w:t>«Que tal vos parece, por exemplo, aquele projecto futurista que consiste em fazer adoptar por todas as escolas um curso regular de riscos e perigos físicos? Voluntariamente ou à força, as crianças seriam postas perante a necessidade de enfrentar permanentemente uma série de perigos, cada um mais aterrador do que o outro, habilmente preparados e sempre imprevistos, como, por exemplo, incêndios, afogamentos, desabamentos de tectos e outros acidentes»</w:t>
      </w:r>
      <w:r w:rsidRPr="00341472">
        <w:rPr>
          <w:rStyle w:val="Refdenotaderodap"/>
        </w:rPr>
        <w:footnoteReference w:id="100"/>
      </w:r>
      <w:r w:rsidRPr="00341472">
        <w:t xml:space="preserve">. Neste jardim de delícias as iniciativas lúdicas consistiriam em bizarras versões letais das </w:t>
      </w:r>
      <w:r w:rsidRPr="00341472">
        <w:rPr>
          <w:i/>
        </w:rPr>
        <w:t>farces et attrapes,</w:t>
      </w:r>
      <w:r w:rsidRPr="00341472">
        <w:t xml:space="preserve"> «enormes brinquedos, perigosos e agressivos, para funcionarem fora de casa»</w:t>
      </w:r>
      <w:r w:rsidRPr="00341472">
        <w:rPr>
          <w:rStyle w:val="Refdenotaderodap"/>
        </w:rPr>
        <w:footnoteReference w:id="101"/>
      </w:r>
      <w:r w:rsidRPr="00341472">
        <w:t xml:space="preserve">. </w:t>
      </w:r>
    </w:p>
    <w:p w:rsidR="00837D5C" w:rsidRPr="00341472" w:rsidRDefault="00837D5C" w:rsidP="00837D5C">
      <w:pPr>
        <w:tabs>
          <w:tab w:val="left" w:pos="720"/>
          <w:tab w:val="left" w:pos="3312"/>
        </w:tabs>
      </w:pPr>
      <w:r w:rsidRPr="00341472">
        <w:t xml:space="preserve">Que bela escolha, ou preservar as ruínas do passado e fazer delas o templo de uma arte acabada ou arruinar o presente e converter este gesto destruidor numa aproximação estética do futuro! As ruínas foram o horizonte único de qualquer das opções do fascismo. </w:t>
      </w:r>
    </w:p>
    <w:p w:rsidR="00837D5C" w:rsidRPr="00341472" w:rsidRDefault="00837D5C" w:rsidP="0062039C">
      <w:pPr>
        <w:keepNext/>
        <w:tabs>
          <w:tab w:val="left" w:pos="720"/>
          <w:tab w:val="left" w:pos="3312"/>
        </w:tabs>
        <w:spacing w:before="720" w:after="360"/>
        <w:ind w:firstLine="0"/>
        <w:jc w:val="center"/>
        <w:rPr>
          <w:b/>
          <w:sz w:val="28"/>
        </w:rPr>
      </w:pPr>
      <w:r w:rsidRPr="00341472">
        <w:rPr>
          <w:b/>
          <w:sz w:val="28"/>
        </w:rPr>
        <w:lastRenderedPageBreak/>
        <w:t>7. Alemanha: «Talvez a morte seja o único acontecimento da vida»</w:t>
      </w:r>
    </w:p>
    <w:p w:rsidR="00837D5C" w:rsidRPr="00341472" w:rsidRDefault="00837D5C" w:rsidP="00837D5C">
      <w:pPr>
        <w:tabs>
          <w:tab w:val="left" w:pos="720"/>
          <w:tab w:val="left" w:pos="3312"/>
        </w:tabs>
      </w:pPr>
      <w:r w:rsidRPr="00341472">
        <w:t xml:space="preserve">Com o </w:t>
      </w:r>
      <w:r w:rsidR="00E15458">
        <w:t xml:space="preserve">nacional-socialismo </w:t>
      </w:r>
      <w:r w:rsidRPr="00341472">
        <w:t xml:space="preserve">a estética das ruínas alcançou o estádio supremo. Não se tratava já de manufacturar ruínas nem de fantasiar os edifícios actuais como escombros num incerto tempo futuro. A própria técnica de construção </w:t>
      </w:r>
      <w:r w:rsidR="00B936F8">
        <w:t>dos</w:t>
      </w:r>
      <w:r w:rsidRPr="00341472">
        <w:t xml:space="preserve"> monumentos a que se atribuía relevância histórica foi alterada de maneira a garantir que mais tarde, mil anos depois, seriam igualmente imponentes como ruínas, para ilustração e entusiasmo dos séculos. </w:t>
      </w:r>
      <w:r w:rsidR="00A109DE">
        <w:t>Quando visitou Roma em Maio de 1938 o Führer demorou-se na apreciação das ruínas e, como pode calcular-se, foi prolixo nas questões arquitectónicas. «[...] a preocupação essencial manifestada no que dizia era a solidez, a eternidade da construção», registou um arqueólogo italiano que o acompanhava. «Não afirmou que tinha a intenção de construir para o Milénio Nazi, mas percebia-se em tudo esta sua ideia fixa»</w:t>
      </w:r>
      <w:r w:rsidR="00A109DE">
        <w:rPr>
          <w:rStyle w:val="Refdenotaderodap"/>
        </w:rPr>
        <w:footnoteReference w:id="102"/>
      </w:r>
      <w:r w:rsidR="00A109DE">
        <w:t xml:space="preserve">. </w:t>
      </w:r>
    </w:p>
    <w:p w:rsidR="00837D5C" w:rsidRPr="00341472" w:rsidRDefault="00837D5C" w:rsidP="00837D5C">
      <w:pPr>
        <w:tabs>
          <w:tab w:val="left" w:pos="720"/>
          <w:tab w:val="left" w:pos="3312"/>
        </w:tabs>
      </w:pPr>
      <w:r w:rsidRPr="00341472">
        <w:t xml:space="preserve">«Hitler gostava de explicar que as suas construções se destinavam a legar à posteridade o génio da sua época», contou Albert Speer, que de 1933 até 1942 foi o arquitecto particular do Führer e o seu confidente nas questões estéticas. «Porque, afinal, só os grandes monumentos recordam as grandes épocas da história. [...] Ele pensava que na história de um povo existem sempre períodos de declínio, mas os monumentos que esse povo edificou testemunham então o seu antigo poderio. É claro que não basta este testemunho para criar as bases de um renascimento do espírito nacional. Mas quando, após um longo período de declínio, o espírito de grandeza nacional puder de novo ser glorificado, então esses monumentos ancestrais constituem o mais eloquente dos estímulos. [...] era necessário que os nossos edifícios pudessem, nos séculos futuros, falar à consciência da Alemanha. Na opinião de Hitler, era isto que dava valor a uma realização duradoura. </w:t>
      </w:r>
    </w:p>
    <w:p w:rsidR="00837D5C" w:rsidRPr="00341472" w:rsidRDefault="00837D5C" w:rsidP="00837D5C">
      <w:pPr>
        <w:tabs>
          <w:tab w:val="left" w:pos="720"/>
          <w:tab w:val="left" w:pos="3312"/>
        </w:tabs>
      </w:pPr>
      <w:r w:rsidRPr="00341472">
        <w:t xml:space="preserve">«Começámos imediatamente a preparação da esplanada de Nuremberga, porque queríamos pelo menos ter a tribuna pronta para o próximo congresso do partido. Para construir a nova tribuna foi necessário primeiro mudar para outro lugar uma garagem de carros eléctricos, dinamitando-se em seguida as estruturas de betão armado. Um dia, ao passar por ali, vi um emaranhado de hastes metálicas que se torciam em todas as direcções e começavam já a enferrujar. Não era difícil imaginar o aspecto que aquilo em breve apresentaria. Este espectáculo lamentável forneceu o ponto de partida para uma reflexão que me levou a elaborar uma teoria, que apresentei mais tarde a Hitler sob o nome um tanto pretensioso de </w:t>
      </w:r>
      <w:r w:rsidRPr="007B0E58">
        <w:rPr>
          <w:i/>
        </w:rPr>
        <w:t>Teoria do Valor das Ruínas de um Edifício</w:t>
      </w:r>
      <w:r w:rsidRPr="00341472">
        <w:t xml:space="preserve">. Não havia dúvida que os edifícios construídos de acordo com as técnicas </w:t>
      </w:r>
      <w:r w:rsidRPr="00341472">
        <w:lastRenderedPageBreak/>
        <w:t>modernas eram pouco apropriados para lançar em direcção às gerações futuras essa “ponte da tradição” exigida por Hitler. Era impensável que montões de entulho enferrujado pudessem algum dia inspirar pensamentos heróicos como o faziam aqueles monumentos do passado que Hitler tanto admirava. A minha teoria queria encontrar uma resposta para este dile</w:t>
      </w:r>
      <w:r>
        <w:t>ma. Empregando certos materiais</w:t>
      </w:r>
      <w:r w:rsidRPr="00341472">
        <w:t xml:space="preserve"> ou obedecendo a certas regras de física estática, seria possível construir edifícios que, passadas centenas ou mesmo, como nós nos comprazíamos a imaginar, milhares de anos, se assemelhariam mais ou menos aos modelos romanos. </w:t>
      </w:r>
    </w:p>
    <w:p w:rsidR="00837D5C" w:rsidRPr="00341472" w:rsidRDefault="00837D5C" w:rsidP="00837D5C">
      <w:pPr>
        <w:tabs>
          <w:tab w:val="left" w:pos="720"/>
          <w:tab w:val="left" w:pos="3312"/>
        </w:tabs>
      </w:pPr>
      <w:r w:rsidRPr="00341472">
        <w:t>«Para dar aos meus pensamentos uma forma concreta e visível mandei pintar uma ilustração de estilo romântico, que representava a tribuna da esplanada Zeppelin após séculos de abandono. Apesar de estar coberta de hera, com a massa principal do paredão parcialmente desmoronada e algumas pilastras derrubadas, os seus contornos gerais mantinham-se perfeitamente reconhecíveis. [...] Hitler [...] achou esta reflexão de uma lógica luminosa e deu ordem para que, no futuro, os edifícios mais importantes do seu Reich fossem construídos de acordo com esta “lei das ruínas”»</w:t>
      </w:r>
      <w:r w:rsidRPr="00341472">
        <w:rPr>
          <w:rStyle w:val="Refdenotaderodap"/>
        </w:rPr>
        <w:footnoteReference w:id="103"/>
      </w:r>
      <w:r w:rsidRPr="00341472">
        <w:t xml:space="preserve">. </w:t>
      </w:r>
    </w:p>
    <w:p w:rsidR="00A016E3" w:rsidRDefault="00837D5C" w:rsidP="00837D5C">
      <w:pPr>
        <w:tabs>
          <w:tab w:val="left" w:pos="720"/>
          <w:tab w:val="left" w:pos="3312"/>
        </w:tabs>
      </w:pPr>
      <w:r w:rsidRPr="00341472">
        <w:t xml:space="preserve">O quadro onde figurava em ruínas uma esplanada que mal começara a ser construída não se distinguia de outras lucubrações mórbidas dos séculos XVIII e XIX, mas tratava-se agora de algo mais, porque o tema do sublime ia servir de base a uma renovação das próprias técnicas de construção. De acordo com a sua </w:t>
      </w:r>
      <w:r w:rsidR="00A109DE">
        <w:t xml:space="preserve">metafísica </w:t>
      </w:r>
      <w:r w:rsidRPr="00341472">
        <w:t xml:space="preserve">racial, </w:t>
      </w:r>
      <w:r w:rsidR="00A109DE">
        <w:t xml:space="preserve">assente na perenidade do sangue, </w:t>
      </w:r>
      <w:r w:rsidRPr="00341472">
        <w:t xml:space="preserve">o </w:t>
      </w:r>
      <w:r w:rsidR="007B0E58">
        <w:t>nacional-socialismo</w:t>
      </w:r>
      <w:r w:rsidRPr="00341472">
        <w:t xml:space="preserve"> considerava o presente como um passado de outros presentes, de modo a haver um só tempo </w:t>
      </w:r>
      <w:r w:rsidR="00A109DE">
        <w:t>—</w:t>
      </w:r>
      <w:r w:rsidRPr="00341472">
        <w:t xml:space="preserve"> o passado. Por isso as ruínas </w:t>
      </w:r>
      <w:r w:rsidR="00A016E3" w:rsidRPr="00341472">
        <w:t xml:space="preserve">haviam-se convertido </w:t>
      </w:r>
      <w:r w:rsidRPr="00341472">
        <w:t xml:space="preserve">de referência ideológica em motivo prático, o que nos permite desvendar o paradoxo de que num regime cuja missão confessada era a construção de uma raça de senhores não fosse um futuro radioso de novas gerações a dominar o tempo, mas uma fantasmagoria de catástrofes, de um passado tido como um sempre ameaçador fim dos séculos. O tema de que se </w:t>
      </w:r>
      <w:r w:rsidR="00A016E3">
        <w:t xml:space="preserve">o Reich </w:t>
      </w:r>
      <w:r w:rsidRPr="00341472">
        <w:t>não triunfasse mereceria ser inteiramente destruíd</w:t>
      </w:r>
      <w:r w:rsidR="00A016E3">
        <w:t>o</w:t>
      </w:r>
      <w:r w:rsidRPr="00341472">
        <w:t xml:space="preserve">, cada vez mais frequente no discurso hitleriano ao aproximar-se o desfecho da guerra, </w:t>
      </w:r>
      <w:r w:rsidR="000A7647">
        <w:t xml:space="preserve">tal como </w:t>
      </w:r>
      <w:r w:rsidR="00A016E3">
        <w:t xml:space="preserve">mostrei na análise da </w:t>
      </w:r>
      <w:r w:rsidR="000A7647">
        <w:t xml:space="preserve">raça de senhores, </w:t>
      </w:r>
      <w:r w:rsidR="00A016E3">
        <w:t xml:space="preserve">dos </w:t>
      </w:r>
      <w:r w:rsidR="000A7647">
        <w:t xml:space="preserve">sub-homens e </w:t>
      </w:r>
      <w:r w:rsidR="00A016E3">
        <w:t xml:space="preserve">da </w:t>
      </w:r>
      <w:r w:rsidR="000A7647">
        <w:t>anti-raça</w:t>
      </w:r>
      <w:r w:rsidR="00A016E3">
        <w:t xml:space="preserve"> (capítulo 2 da Parte 4)</w:t>
      </w:r>
      <w:r w:rsidR="000A7647">
        <w:t xml:space="preserve">, </w:t>
      </w:r>
      <w:r w:rsidRPr="00341472">
        <w:t xml:space="preserve">estava já pressuposto na obsessão das ruínas que presidiu às construções monumentais anteriores a </w:t>
      </w:r>
      <w:r w:rsidR="007B0E58">
        <w:t xml:space="preserve">Setembro de </w:t>
      </w:r>
      <w:r w:rsidRPr="00341472">
        <w:t xml:space="preserve">1939. E nos derradeiros meses do Reich seria precisamente a Speer, </w:t>
      </w:r>
      <w:r w:rsidR="000A7647">
        <w:t>nomeado</w:t>
      </w:r>
      <w:r w:rsidRPr="00341472">
        <w:t xml:space="preserve"> </w:t>
      </w:r>
      <w:r w:rsidR="000A7647">
        <w:t xml:space="preserve">em </w:t>
      </w:r>
      <w:r w:rsidRPr="00341472">
        <w:t xml:space="preserve">1942 ministro do Armamento e chefe da Organização Todt, que Hitler daria ordem </w:t>
      </w:r>
      <w:r>
        <w:t>para</w:t>
      </w:r>
      <w:r w:rsidRPr="00341472">
        <w:t xml:space="preserve"> arrasar o potencial industrial do país e a infra-</w:t>
      </w:r>
      <w:r w:rsidRPr="00341472">
        <w:lastRenderedPageBreak/>
        <w:t>estrutura económica e administrativa, já que os germanos derrotados não deveriam ter direito sequer à mais rudimentar das existências</w:t>
      </w:r>
      <w:r w:rsidRPr="00341472">
        <w:rPr>
          <w:rStyle w:val="Refdenotaderodap"/>
        </w:rPr>
        <w:footnoteReference w:id="104"/>
      </w:r>
      <w:r w:rsidRPr="00341472">
        <w:t xml:space="preserve">. </w:t>
      </w:r>
    </w:p>
    <w:p w:rsidR="00837D5C" w:rsidRPr="00341472" w:rsidRDefault="00837D5C" w:rsidP="00837D5C">
      <w:pPr>
        <w:tabs>
          <w:tab w:val="left" w:pos="720"/>
          <w:tab w:val="left" w:pos="3312"/>
        </w:tabs>
      </w:pPr>
      <w:r w:rsidRPr="00341472">
        <w:t xml:space="preserve">Apesar de se </w:t>
      </w:r>
      <w:r w:rsidR="00A016E3">
        <w:t xml:space="preserve">ter </w:t>
      </w:r>
      <w:r w:rsidRPr="00341472">
        <w:t>opo</w:t>
      </w:r>
      <w:r w:rsidR="00A016E3">
        <w:t>sto</w:t>
      </w:r>
      <w:r w:rsidRPr="00341472">
        <w:t xml:space="preserve"> </w:t>
      </w:r>
      <w:r w:rsidR="003D1265">
        <w:t>a essas</w:t>
      </w:r>
      <w:r w:rsidRPr="00341472">
        <w:t xml:space="preserve"> repetidas directivas do Führer, o autor da </w:t>
      </w:r>
      <w:r w:rsidRPr="00341472">
        <w:rPr>
          <w:i/>
        </w:rPr>
        <w:t>Teoria do Valor das Ruínas</w:t>
      </w:r>
      <w:r w:rsidRPr="00341472">
        <w:t xml:space="preserve"> não perdeu a oportunidade de </w:t>
      </w:r>
      <w:r w:rsidR="003E061B">
        <w:t xml:space="preserve">lhe </w:t>
      </w:r>
      <w:r w:rsidRPr="00341472">
        <w:t xml:space="preserve">testar a morbidez arquitectónica, pois os bombardeamentos aliados e as sabotagens efectuadas pelas tropas </w:t>
      </w:r>
      <w:r w:rsidR="003E061B">
        <w:t xml:space="preserve">germânicas </w:t>
      </w:r>
      <w:r w:rsidRPr="00341472">
        <w:t xml:space="preserve">em retirada deixaram o Reich assolado e o </w:t>
      </w:r>
      <w:r w:rsidR="003E061B">
        <w:t xml:space="preserve">nacional-socialismo </w:t>
      </w:r>
      <w:r w:rsidRPr="00341472">
        <w:t>como o último e mais completo dos seus escombros. Num artigo publicado em 1944 na revista de arte de que Speer era co-director, um apreciador do sublime observ</w:t>
      </w:r>
      <w:r>
        <w:t>ou</w:t>
      </w:r>
      <w:r w:rsidRPr="00341472">
        <w:t xml:space="preserve"> a propósito dos destroços de uma ponte: «O único pilar que resta, desprovido já da sua função utilitária, representa uma forma arquitectónica completa em si mesma. É uma espécie de monumento, o que presume uma adesão às leis da grandeza. Uma destas leis é a lei da massa. Sem massa, quer dizer, sem um emprego extravagante de materiais, é impossível obter qualquer efeito monumental»</w:t>
      </w:r>
      <w:r w:rsidRPr="00341472">
        <w:rPr>
          <w:rStyle w:val="Refdenotaderodap"/>
        </w:rPr>
        <w:footnoteReference w:id="105"/>
      </w:r>
      <w:r w:rsidRPr="00341472">
        <w:t>. Libertada enfim da tirania da utilidade, a ponte podia assumir a verdadeira essência da</w:t>
      </w:r>
      <w:r>
        <w:t xml:space="preserve"> sua grandeza, erguendo-se</w:t>
      </w:r>
      <w:r w:rsidR="00823F77">
        <w:t>,</w:t>
      </w:r>
      <w:r>
        <w:t xml:space="preserve"> pura</w:t>
      </w:r>
      <w:r w:rsidRPr="00341472">
        <w:t xml:space="preserve"> e solitária, como ruína. </w:t>
      </w:r>
      <w:r w:rsidR="00B636B6">
        <w:t xml:space="preserve">Foi uma destas visões que inspirou um </w:t>
      </w:r>
      <w:r w:rsidR="00EE4EA9">
        <w:t>fascista francês, responsável pelo jornal destinado aos Waffen</w:t>
      </w:r>
      <w:r w:rsidR="00716121">
        <w:t>-</w:t>
      </w:r>
      <w:r w:rsidR="00EE4EA9">
        <w:t xml:space="preserve">SS do seu país, </w:t>
      </w:r>
      <w:r w:rsidR="00B636B6">
        <w:t xml:space="preserve">quando se </w:t>
      </w:r>
      <w:r w:rsidR="00EE4EA9">
        <w:t>descreve</w:t>
      </w:r>
      <w:r w:rsidR="00B636B6">
        <w:t>u</w:t>
      </w:r>
      <w:r w:rsidR="00EE4EA9">
        <w:t xml:space="preserve"> a ele e a um </w:t>
      </w:r>
      <w:r w:rsidR="007E2E6E">
        <w:t>dos responsáveis da Divisão SS Valónia nos últimos tempos da guerra</w:t>
      </w:r>
      <w:r w:rsidR="00CF07E5">
        <w:t>:</w:t>
      </w:r>
      <w:r w:rsidR="007E2E6E">
        <w:t xml:space="preserve"> «Marc Augier e Jean Vermeire caminhavam em Berlim. Em redor só havia palácios desventrados, grandes prédios reduzidos a uma silhueta de pedra, colunas tombadas nos passeios das avenidas. </w:t>
      </w:r>
      <w:r w:rsidR="00F91957">
        <w:t xml:space="preserve">Aqui e ali </w:t>
      </w:r>
      <w:r w:rsidR="004F458F">
        <w:t xml:space="preserve">surgiam pirâmides e pórticos maravilhosamente esculpidos pelo fogo, </w:t>
      </w:r>
      <w:r w:rsidR="00F91957">
        <w:t>ornamentados</w:t>
      </w:r>
      <w:r w:rsidR="006A2422">
        <w:t xml:space="preserve"> por bombas explosivas em ângulos imprevistos, com suaves arredondados, baixos-relevos profundamente lavrados </w:t>
      </w:r>
      <w:r w:rsidR="00762E0E">
        <w:t xml:space="preserve">e, </w:t>
      </w:r>
      <w:r w:rsidR="00B636B6">
        <w:t xml:space="preserve">inscritos </w:t>
      </w:r>
      <w:r w:rsidR="00762E0E">
        <w:t>em pedra, os misteriosos hieroglifos do fósforo...»</w:t>
      </w:r>
      <w:r w:rsidR="009C431B">
        <w:rPr>
          <w:rStyle w:val="Refdenotaderodap"/>
        </w:rPr>
        <w:footnoteReference w:id="106"/>
      </w:r>
      <w:r w:rsidR="00762E0E">
        <w:t xml:space="preserve">. </w:t>
      </w:r>
    </w:p>
    <w:p w:rsidR="00837D5C" w:rsidRPr="00341472" w:rsidRDefault="00837D5C" w:rsidP="00837D5C">
      <w:pPr>
        <w:tabs>
          <w:tab w:val="left" w:pos="720"/>
          <w:tab w:val="left" w:pos="3312"/>
        </w:tabs>
      </w:pPr>
      <w:r w:rsidRPr="00341472">
        <w:t xml:space="preserve">Mas nunca para os </w:t>
      </w:r>
      <w:r w:rsidR="001332B6">
        <w:t>nacionais-socialistas</w:t>
      </w:r>
      <w:r w:rsidRPr="00341472">
        <w:t xml:space="preserve"> a arte se reduziu a um cenário. Era sempre de coreografia que se tratava, traçando às multidões de figurantes o percurso dos passos, o ritmo dos gestos, o coro das vozes. Um Reich em escombros nenhum significado teria, estético e político, se não fosse também povoado de fantasmas. </w:t>
      </w:r>
      <w:r w:rsidR="005564D8">
        <w:t xml:space="preserve">No Inverno </w:t>
      </w:r>
      <w:r w:rsidR="00C63D8C">
        <w:t>desa</w:t>
      </w:r>
      <w:r w:rsidR="001332B6">
        <w:t>s</w:t>
      </w:r>
      <w:r w:rsidR="00C63D8C">
        <w:t>troso</w:t>
      </w:r>
      <w:r w:rsidR="005564D8">
        <w:t xml:space="preserve"> de 1941-1942, quando a ofensiva fora travada às portas de Moscovo e de Leningrado, e no Inverno ainda mais </w:t>
      </w:r>
      <w:r w:rsidR="00C63D8C">
        <w:t>c</w:t>
      </w:r>
      <w:r w:rsidR="005564D8">
        <w:t xml:space="preserve">atastrófico de 1942-1943, com o Sexto Exército perdido em Stalingrado, as autoridades mobilizaram os intelectuais, desde escrevinhadores até filósofos, </w:t>
      </w:r>
      <w:r w:rsidR="00746206">
        <w:t>para celebrarem a morte como destino germ</w:t>
      </w:r>
      <w:r w:rsidR="00C63D8C">
        <w:t>â</w:t>
      </w:r>
      <w:r w:rsidR="00746206">
        <w:t xml:space="preserve">nico, </w:t>
      </w:r>
      <w:r w:rsidR="00C63D8C">
        <w:t>e Heidegger apresentou então a morte, pessoal ou nacional, como a mais autêntica confrontação com a verdade do Ser</w:t>
      </w:r>
      <w:r w:rsidR="00C63D8C">
        <w:rPr>
          <w:rStyle w:val="Refdenotaderodap"/>
        </w:rPr>
        <w:footnoteReference w:id="107"/>
      </w:r>
      <w:r w:rsidR="00C63D8C">
        <w:t xml:space="preserve">. O ensaio geral estava feito, faltava o último acto. </w:t>
      </w:r>
      <w:r w:rsidR="001C111D" w:rsidRPr="001C111D">
        <w:rPr>
          <w:i/>
        </w:rPr>
        <w:t>Kolberg,</w:t>
      </w:r>
      <w:r w:rsidR="001C111D">
        <w:t xml:space="preserve"> o </w:t>
      </w:r>
      <w:r w:rsidR="000343E4">
        <w:t>derradeiro</w:t>
      </w:r>
      <w:r w:rsidR="001C111D">
        <w:t xml:space="preserve"> filme que Goebbels mandou realizar, a cargo do mesmo Veit Harlan </w:t>
      </w:r>
      <w:r w:rsidR="001C111D">
        <w:lastRenderedPageBreak/>
        <w:t xml:space="preserve">que havia já dirigido </w:t>
      </w:r>
      <w:r w:rsidR="001C111D" w:rsidRPr="001C111D">
        <w:rPr>
          <w:i/>
        </w:rPr>
        <w:t>O Judeu Süss,</w:t>
      </w:r>
      <w:r w:rsidR="001C111D">
        <w:t xml:space="preserve"> tratava da defesa daquela praça-forte nas guerras napoleónicas e foi estreado em 30 de Janeiro de 1945 </w:t>
      </w:r>
      <w:r w:rsidR="000343E4">
        <w:t xml:space="preserve">em La Rochelle e em Berlim </w:t>
      </w:r>
      <w:r w:rsidR="001C111D">
        <w:t xml:space="preserve">perante soldados </w:t>
      </w:r>
      <w:r w:rsidR="009C4267">
        <w:t xml:space="preserve">da Wehrmacht, </w:t>
      </w:r>
      <w:r w:rsidR="001C111D">
        <w:t xml:space="preserve">a quem se mostrava uma fictícia vitória final, justificação das cenas apocalípticas que se viam tanto no </w:t>
      </w:r>
      <w:r w:rsidR="001C111D" w:rsidRPr="009C4267">
        <w:rPr>
          <w:i/>
        </w:rPr>
        <w:t>écran</w:t>
      </w:r>
      <w:r w:rsidR="001C111D">
        <w:t xml:space="preserve"> como na realidade</w:t>
      </w:r>
      <w:r w:rsidR="00005FE9">
        <w:rPr>
          <w:rStyle w:val="Refdenotaderodap"/>
        </w:rPr>
        <w:footnoteReference w:id="108"/>
      </w:r>
      <w:r w:rsidR="001C111D">
        <w:t xml:space="preserve">. Em 18 de Março Kolberg </w:t>
      </w:r>
      <w:r w:rsidR="009C4267">
        <w:t>era tomada pelas tropas soviéticas</w:t>
      </w:r>
      <w:r w:rsidR="001C111D">
        <w:t xml:space="preserve"> e passado um mês, já </w:t>
      </w:r>
      <w:r w:rsidR="001C111D" w:rsidRPr="00341472">
        <w:t xml:space="preserve">com </w:t>
      </w:r>
      <w:r w:rsidR="00683414">
        <w:t xml:space="preserve">o Exército Vermelho </w:t>
      </w:r>
      <w:r w:rsidRPr="00341472">
        <w:t xml:space="preserve">nas imediações de Berlim, a 17 de Abril, exactamente duas semanas antes de se suicidar, e toda a família consigo, Goebbels, supremo </w:t>
      </w:r>
      <w:r w:rsidRPr="00341472">
        <w:rPr>
          <w:i/>
        </w:rPr>
        <w:t>régisseur,</w:t>
      </w:r>
      <w:r w:rsidRPr="00341472">
        <w:t xml:space="preserve"> proferiu uma conferência perante os seus funcionários do Ministério da Propaganda: «Meus senhores, daqui a cem anos será projectado um belo filme a cores descrevendo os dias terríveis que atravessamos. Querem desempenhar um papel nesse filme? [...] Portem-se com coragem, para não serem daqui a cem anos vaiados pelo público quando aparecerem no </w:t>
      </w:r>
      <w:r w:rsidRPr="00341472">
        <w:rPr>
          <w:i/>
        </w:rPr>
        <w:t>écran</w:t>
      </w:r>
      <w:r w:rsidRPr="00341472">
        <w:t>»</w:t>
      </w:r>
      <w:r w:rsidRPr="00341472">
        <w:rPr>
          <w:rStyle w:val="Refdenotaderodap"/>
        </w:rPr>
        <w:footnoteReference w:id="109"/>
      </w:r>
      <w:r w:rsidRPr="00341472">
        <w:t xml:space="preserve">. Haviam vivido a política como um espectáculo, era lógico que pusessem em cena a própria morte, actores sempre, num país transformado em palco lúgubre. </w:t>
      </w:r>
      <w:r w:rsidR="00096701">
        <w:t>«A terra há-de tremer quando sairmos do palco», prometeu Goebbels a um dos seus colaboradores mais próximos, quatro dias depois daquele discurso</w:t>
      </w:r>
      <w:r w:rsidR="00096701">
        <w:rPr>
          <w:rStyle w:val="Refdenotaderodap"/>
        </w:rPr>
        <w:footnoteReference w:id="110"/>
      </w:r>
      <w:r w:rsidR="00096701">
        <w:t xml:space="preserve">. </w:t>
      </w:r>
      <w:r w:rsidRPr="00341472">
        <w:t xml:space="preserve">Desde o início que o racismo inscrevera a fatalidade política na estética hitleriana, a sua capacidade única para destroçar os outros e se edificar a si próprio como uma ruína iminente. </w:t>
      </w:r>
      <w:r w:rsidR="00732A51">
        <w:t>O talento de Hitler como encenador dos grandes desfiles de massas, observou um biógrafo, «atingia o ápice quando o objecto de celebração era a morte. Parecia que a vida lhe paralisava a inspiração [...]»</w:t>
      </w:r>
      <w:r w:rsidR="00732A51">
        <w:rPr>
          <w:rStyle w:val="Refdenotaderodap"/>
        </w:rPr>
        <w:footnoteReference w:id="111"/>
      </w:r>
      <w:r w:rsidR="00732A51">
        <w:t>.</w:t>
      </w:r>
      <w:r w:rsidR="00F51A0B">
        <w:t xml:space="preserve"> </w:t>
      </w:r>
      <w:r w:rsidR="001F0A55">
        <w:t>E este historiador anotou, a propósito dos últimos meses do Reich, que Hitler «investiu toda a ene</w:t>
      </w:r>
      <w:r w:rsidR="00683414">
        <w:t>r</w:t>
      </w:r>
      <w:r w:rsidR="001F0A55">
        <w:t xml:space="preserve">gia que lhe restava </w:t>
      </w:r>
      <w:r w:rsidR="009E50AF">
        <w:t xml:space="preserve">a encenar </w:t>
      </w:r>
      <w:r w:rsidR="001F0A55">
        <w:t>a sua despedida»</w:t>
      </w:r>
      <w:r w:rsidR="009E50AF">
        <w:rPr>
          <w:rStyle w:val="Refdenotaderodap"/>
        </w:rPr>
        <w:footnoteReference w:id="112"/>
      </w:r>
      <w:r w:rsidR="001F0A55">
        <w:t xml:space="preserve">. </w:t>
      </w:r>
      <w:r w:rsidRPr="00341472">
        <w:t xml:space="preserve">Na perfeita linhagem da cultura burguesa, o </w:t>
      </w:r>
      <w:r w:rsidR="003D03AD">
        <w:t>nacional-socialismo</w:t>
      </w:r>
      <w:r w:rsidRPr="00341472">
        <w:t xml:space="preserve"> esteve sempre suspenso do macabro e do fascínio pelo passado. Só assim ficou convertido em tragédia o que, sem isso, nunca teria sido senão uma farsa. </w:t>
      </w:r>
    </w:p>
    <w:p w:rsidR="00A21ED7" w:rsidRPr="00A21ED7" w:rsidRDefault="00A21ED7" w:rsidP="00A21ED7">
      <w:pPr>
        <w:tabs>
          <w:tab w:val="left" w:pos="720"/>
          <w:tab w:val="left" w:pos="3312"/>
        </w:tabs>
      </w:pPr>
      <w:r w:rsidRPr="00A21ED7">
        <w:t xml:space="preserve">Nesta perspectiva vertiginosa </w:t>
      </w:r>
      <w:r w:rsidR="00F47458">
        <w:t>posso</w:t>
      </w:r>
      <w:r w:rsidRPr="00A21ED7">
        <w:t xml:space="preserve"> </w:t>
      </w:r>
      <w:r w:rsidR="006613AC">
        <w:t xml:space="preserve">novamente </w:t>
      </w:r>
      <w:r w:rsidRPr="00A21ED7">
        <w:t xml:space="preserve">perguntar se o metacapitalismo alcançado pelos nacionais-socialistas não teria sido, afinal, o regresso a um pré-capitalismo, a uma Alta Idade Média tal como a haviam idealizado os românticos, mas provida das mais sofisticadas tecnologias de destruição. E é curioso observar que nas óperas de Wagner, com que se pretendeu cumprir no Terceiro Reich a função desempenhada pelo teatro na Grécia antiga, a psicologia dos personagens em nada obedece ao modelo das motivações íntimas difundido pelo romance burguês e pelas correntes psicológicas que o acompanharam e segue, em vez disso, o modelo arcaico de uma psicologia manipulada exteriormente através de </w:t>
      </w:r>
      <w:r w:rsidRPr="00A21ED7">
        <w:lastRenderedPageBreak/>
        <w:t xml:space="preserve">encantamentos e filtros mágicos. Havia muito de Parsifal na mitologia rácica de Hitler e Himmler ou de Rosenberg e Darré, e não acompanhou a </w:t>
      </w:r>
      <w:r w:rsidRPr="00A21ED7">
        <w:rPr>
          <w:i/>
        </w:rPr>
        <w:t>Tetralogia</w:t>
      </w:r>
      <w:r w:rsidRPr="00A21ED7">
        <w:t xml:space="preserve"> o Terceiro Reich como um prenúncio de catástrofe? Esta concepção aproximava-se da histeria heróica que preside à luta dos poucos contra os muitos</w:t>
      </w:r>
      <w:r w:rsidRPr="00A21ED7">
        <w:rPr>
          <w:vertAlign w:val="superscript"/>
        </w:rPr>
        <w:footnoteReference w:id="113"/>
      </w:r>
      <w:r w:rsidRPr="00A21ED7">
        <w:t xml:space="preserve"> e Lukács observou que «a propaganda hitleriana fazia permanentemente apelo ao desespero»</w:t>
      </w:r>
      <w:r w:rsidRPr="00A21ED7">
        <w:rPr>
          <w:vertAlign w:val="superscript"/>
        </w:rPr>
        <w:footnoteReference w:id="114"/>
      </w:r>
      <w:r w:rsidRPr="00A21ED7">
        <w:t>. Se o Führer consubstanciava o génio da raça, compreende-se que um ensaísta detectasse na sua carreira política uma contínua disposição para o suicídio e considerasse que a estratégia militar seguida a partir do final de 1941, quando as tropas do Reich ficaram contidas às portas de Moscovo, se destinara a preparar um cenário grandioso para a imolação da raça germânica</w:t>
      </w:r>
      <w:r w:rsidRPr="00A21ED7">
        <w:rPr>
          <w:vertAlign w:val="superscript"/>
        </w:rPr>
        <w:footnoteReference w:id="115"/>
      </w:r>
      <w:r w:rsidRPr="00A21ED7">
        <w:t>. Este cenário receberia a última demão na vaga de propaganda que apresentou a derrota em Stalingrado não como uma rendição mas como uma luta até ao último homem</w:t>
      </w:r>
      <w:r w:rsidRPr="00A21ED7">
        <w:rPr>
          <w:vertAlign w:val="superscript"/>
        </w:rPr>
        <w:footnoteReference w:id="116"/>
      </w:r>
      <w:r w:rsidRPr="00A21ED7">
        <w:t>. Estar-se-ia assim a habituar a população à ideia da imolação final? Será talvez ir longe demais, mas é verdadeiramente curioso que em 1950 um fascista francês preso em Clairvaux tivesse pensado o mesmo. «O plano de extermínio dos judeus foi um erro», confessou Lucien Rebatet. «Não se começa um massacre desses sem ter garantias do futuro, ser ter bases sólidas. Há naquele morticínio uma espécie de delírio da catástrofe. Mas a política não é uma ópera»</w:t>
      </w:r>
      <w:r w:rsidRPr="00A21ED7">
        <w:rPr>
          <w:vertAlign w:val="superscript"/>
        </w:rPr>
        <w:footnoteReference w:id="117"/>
      </w:r>
      <w:r w:rsidRPr="00A21ED7">
        <w:t xml:space="preserve">. O que importa aqui é o facto de estas hipóteses serem teoricamente admissíveis no quadro do catastrofismo rácico. </w:t>
      </w:r>
    </w:p>
    <w:p w:rsidR="00837D5C" w:rsidRPr="00341472" w:rsidRDefault="00837D5C" w:rsidP="00837D5C">
      <w:pPr>
        <w:tabs>
          <w:tab w:val="left" w:pos="720"/>
          <w:tab w:val="left" w:pos="3312"/>
        </w:tabs>
      </w:pPr>
      <w:r w:rsidRPr="00341472">
        <w:t xml:space="preserve">Para os seguidores do racismo hitleriano era enorme o peso da morte na raça, que só enquanto presença dos defuntos podia aparecer como força vital. «A nova </w:t>
      </w:r>
      <w:r w:rsidRPr="00341472">
        <w:rPr>
          <w:i/>
        </w:rPr>
        <w:t>Weltanschauung</w:t>
      </w:r>
      <w:r w:rsidRPr="00341472">
        <w:t xml:space="preserve"> [concepção do mundo]», escrev</w:t>
      </w:r>
      <w:r>
        <w:t>eu</w:t>
      </w:r>
      <w:r w:rsidRPr="00341472">
        <w:t xml:space="preserve"> em 1936 o doutrinador oficial, Alfred Rosenberg, «não toma como ponto de partida o </w:t>
      </w:r>
      <w:r w:rsidRPr="00341472">
        <w:rPr>
          <w:i/>
        </w:rPr>
        <w:t>ego</w:t>
      </w:r>
      <w:r w:rsidRPr="00341472">
        <w:t xml:space="preserve"> individual ou a ideia abstracta de humanidade, mas resulta de uma experiência nem sempre possível de exprimir com clareza e que pode ser representada de maneira aproximada pela noção de Alma-Raça. E é a partir deste núcleo oculto que se desenvolve aquilo a que chamamos carácter racial e cultura racial»</w:t>
      </w:r>
      <w:r w:rsidRPr="00341472">
        <w:rPr>
          <w:rStyle w:val="Refdenotaderodap"/>
        </w:rPr>
        <w:footnoteReference w:id="118"/>
      </w:r>
      <w:r w:rsidRPr="00341472">
        <w:t xml:space="preserve">. Nestas circunvoluções deliberadamente obscuras do pensamento, o espírito só animava o indivíduo enquanto ele participasse da alma colectiva da raça, e apenas como portadores do sangue dos mortos </w:t>
      </w:r>
      <w:r w:rsidR="003D03AD">
        <w:t>—</w:t>
      </w:r>
      <w:r w:rsidRPr="00341472">
        <w:t xml:space="preserve"> dos </w:t>
      </w:r>
      <w:r w:rsidRPr="00341472">
        <w:lastRenderedPageBreak/>
        <w:t xml:space="preserve">seus mortos </w:t>
      </w:r>
      <w:r w:rsidR="003D03AD">
        <w:t>—</w:t>
      </w:r>
      <w:r w:rsidRPr="00341472">
        <w:t xml:space="preserve"> tinham os vivos razão e direito de existir. A vizinhança familiar da morte não constituía um tema reservado a um ou outro dos filósofos mais densos ou sombrios do regime, porque lhe ouvimos o eco junto ao público anónimo. Num filme cuja primeira projecção em Berlim contou com a presença de Hitler, apenas três dias depois de ter sido nomeado chanceler, meditava um dos personagens, comandante de um submarino durante a primeira guerra mundial: «Talvez a morte seja o único acontecimento da vida». E noutra sequência: «Nós, alemães, talvez não saibamos viver, mas sabemos morrer melhor do que ninguém»</w:t>
      </w:r>
      <w:r w:rsidRPr="00341472">
        <w:rPr>
          <w:rStyle w:val="Refdenotaderodap"/>
        </w:rPr>
        <w:footnoteReference w:id="119"/>
      </w:r>
      <w:r w:rsidRPr="00341472">
        <w:t>. Mais tarde, começada a guerra, e empregando os mesmos termos, Salazar haveria de aproveitar uma recepção diplomática para dizer ao representante do Reich em Lisboa: «Sabe, meu caro Ministro, a diferença entre os franceses e os alemães é que os franceses amam a vida e vós, os alemães, amais a morte»</w:t>
      </w:r>
      <w:r w:rsidRPr="00341472">
        <w:rPr>
          <w:rStyle w:val="Refdenotaderodap"/>
        </w:rPr>
        <w:footnoteReference w:id="120"/>
      </w:r>
      <w:r w:rsidRPr="00341472">
        <w:t xml:space="preserve">. </w:t>
      </w:r>
      <w:r w:rsidR="00987532">
        <w:t>Já Ernst Jünger escrevera que «viver significa matar»</w:t>
      </w:r>
      <w:r w:rsidR="00987532">
        <w:rPr>
          <w:rStyle w:val="Refdenotaderodap"/>
        </w:rPr>
        <w:footnoteReference w:id="121"/>
      </w:r>
      <w:r w:rsidR="00987532">
        <w:t xml:space="preserve">. </w:t>
      </w:r>
    </w:p>
    <w:p w:rsidR="00837D5C" w:rsidRPr="00341472" w:rsidRDefault="00837D5C" w:rsidP="00837D5C">
      <w:pPr>
        <w:tabs>
          <w:tab w:val="left" w:pos="720"/>
          <w:tab w:val="left" w:pos="3312"/>
        </w:tabs>
      </w:pPr>
      <w:r w:rsidRPr="00341472">
        <w:t xml:space="preserve">Estranho destino este, fixado a uma raça </w:t>
      </w:r>
      <w:r w:rsidR="003F717D">
        <w:t>de senhores</w:t>
      </w:r>
      <w:r w:rsidRPr="00341472">
        <w:t xml:space="preserve">, o de encontrar na destruição dos próprios membros a sua razão de ser. «Algumas colectividades, em vez de servirem de alimento», escreveu Simone Weil num livro </w:t>
      </w:r>
      <w:r w:rsidR="00EA1C55">
        <w:t xml:space="preserve">onde </w:t>
      </w:r>
      <w:r w:rsidRPr="00341472">
        <w:t>conjugou o anarquismo com uma peculiar versão do integralismo católico, «pelo contrário comem as almas»</w:t>
      </w:r>
      <w:r w:rsidRPr="00341472">
        <w:rPr>
          <w:rStyle w:val="Refdenotaderodap"/>
        </w:rPr>
        <w:footnoteReference w:id="122"/>
      </w:r>
      <w:r w:rsidRPr="00341472">
        <w:t>. Na dupla luta constante contra a aniquilação vinda de fora e a corrupção infiltrada por dentro, a imortalidade nórdica era assegurada mediante a morte dos homens, entendidos sempre como guerreiros. Pelo mesmo diapasão se afinava o papel das mulheres, mães de combatentes, viúvas de heróis</w:t>
      </w:r>
      <w:r w:rsidR="005D2018">
        <w:t>, as «sofredoras silenciosas», como Göring lhes chamou</w:t>
      </w:r>
      <w:r w:rsidR="005D2018">
        <w:rPr>
          <w:rStyle w:val="Refdenotaderodap"/>
        </w:rPr>
        <w:footnoteReference w:id="123"/>
      </w:r>
      <w:r w:rsidRPr="00341472">
        <w:t>. A legislação que em Novembro de 1941 permitiu o casamento das noivas vivas com os guerreiros mortos e em Março de 1943, obedecendo ao rigor lógico de todas as burocracias, os autorizou a eles, os mortos, a divorciarem-se das vivas infiéis</w:t>
      </w:r>
      <w:r w:rsidRPr="00341472">
        <w:rPr>
          <w:rStyle w:val="Refdenotaderodap"/>
        </w:rPr>
        <w:footnoteReference w:id="124"/>
      </w:r>
      <w:r w:rsidRPr="00341472">
        <w:t xml:space="preserve"> foi a melhor expressão da vida que se atribuía à morte. Sendo o heroísmo o principal componente espiritual da raça nórdica e votando-se os vivos a perecerem no combate, entende-se que os mortos fossem tratados como vivos. </w:t>
      </w:r>
      <w:r w:rsidR="00DA417C">
        <w:t>«[...] os dois milhões de heróis germânicos mortos são os verdadeiros vivos»</w:t>
      </w:r>
      <w:r w:rsidR="003F717D">
        <w:t>, proclamou Rosenberg</w:t>
      </w:r>
      <w:r w:rsidR="00D45240">
        <w:rPr>
          <w:rStyle w:val="Refdenotaderodap"/>
        </w:rPr>
        <w:footnoteReference w:id="125"/>
      </w:r>
      <w:r w:rsidR="00D45240">
        <w:t>,</w:t>
      </w:r>
      <w:r w:rsidR="00DA417C">
        <w:t xml:space="preserve"> </w:t>
      </w:r>
      <w:r w:rsidR="006B67DA">
        <w:t xml:space="preserve">e se o eram </w:t>
      </w:r>
      <w:r w:rsidR="00DA417C">
        <w:t>n</w:t>
      </w:r>
      <w:r w:rsidR="006B67DA">
        <w:t xml:space="preserve">a outra guerra sê-lo-iam </w:t>
      </w:r>
      <w:r w:rsidR="00DA417C">
        <w:t>n</w:t>
      </w:r>
      <w:r w:rsidR="006B67DA">
        <w:t xml:space="preserve">esta também. </w:t>
      </w:r>
      <w:r w:rsidRPr="00341472">
        <w:t xml:space="preserve">A imortalidade que se prometia à raça era a eternidade da morte, e a morte dos homens representava a vida do sangue. </w:t>
      </w:r>
    </w:p>
    <w:p w:rsidR="00837D5C" w:rsidRPr="00341472" w:rsidRDefault="00837D5C" w:rsidP="00837D5C">
      <w:pPr>
        <w:tabs>
          <w:tab w:val="left" w:pos="720"/>
          <w:tab w:val="left" w:pos="3312"/>
        </w:tabs>
      </w:pPr>
      <w:r w:rsidRPr="00341472">
        <w:lastRenderedPageBreak/>
        <w:t xml:space="preserve">A intemporalidade da raça nórdica não era um ideal abstracto, porque o peso dos defuntos dava a essa fantasmagoria um carácter ao mesmo tempo sacro e corpóreo. A raça podia evoluir, declinar ou ser melhorada, </w:t>
      </w:r>
      <w:r w:rsidR="0052722D">
        <w:t>quase</w:t>
      </w:r>
      <w:r w:rsidRPr="00341472">
        <w:t xml:space="preserve"> criada de novo, como </w:t>
      </w:r>
      <w:r w:rsidR="0052722D">
        <w:t xml:space="preserve">pretendiam </w:t>
      </w:r>
      <w:r w:rsidRPr="00341472">
        <w:t>fazer aqueles místicos da biologia, os SS, mas o fundamento racial último, o sangue, não tinha história. «Os séculos só existem na nossa imaginação», escrevera Houston Stewart Chamberlain. «O que existe de facto é apenas uma grande força avassaladora que age ao mesmo tempo em todos os domínios, a força de uma determinada raça»</w:t>
      </w:r>
      <w:r w:rsidRPr="00341472">
        <w:rPr>
          <w:rStyle w:val="Refdenotaderodap"/>
        </w:rPr>
        <w:footnoteReference w:id="126"/>
      </w:r>
      <w:r w:rsidRPr="00341472">
        <w:t xml:space="preserve">. A história incidia na relação do povo com o sangue, não no sangue. Esta conjugação do elemento dinâmico introduzido pela selecção racial com o elemento estático constituído pela perenidade do sangue </w:t>
      </w:r>
      <w:r w:rsidR="00453958">
        <w:t>elucida</w:t>
      </w:r>
      <w:r w:rsidRPr="00341472">
        <w:t xml:space="preserve"> a hierarquia existente entre os dois termos do nacional-socialismo, a revolta e a ordem. O carácter eterno conferido ao sangue enquanto substrato fundamental de um povo representava o primado da ordem sobre a revolta provocada pela renovação das elites. A concepção de tempo proposta por Heidegger, em que o futuro não seria </w:t>
      </w:r>
      <w:r w:rsidR="00660513">
        <w:t>posterior a</w:t>
      </w:r>
      <w:r w:rsidRPr="00341472">
        <w:t xml:space="preserve">o passado nem o passado anterior ao presente, esclarece-se quando recordamos </w:t>
      </w:r>
      <w:r w:rsidR="00834A7A">
        <w:t xml:space="preserve">a </w:t>
      </w:r>
      <w:r w:rsidR="00834A7A" w:rsidRPr="00341472">
        <w:t xml:space="preserve">concepção de sangue </w:t>
      </w:r>
      <w:r w:rsidRPr="00341472">
        <w:t>que lhe estava subjacente. A não-sequencialidade do tempo apenas faz sentido se admitirmos que o indivíduo é portador de um sangue em que todos os tempos se suspendem. Lukács observou que o «tempo real» de Heidegger indicava sempre o rumo da morte</w:t>
      </w:r>
      <w:r w:rsidRPr="00341472">
        <w:rPr>
          <w:rStyle w:val="Refdenotaderodap"/>
        </w:rPr>
        <w:footnoteReference w:id="127"/>
      </w:r>
      <w:r w:rsidRPr="00341472">
        <w:t>. Com efeito, a imanência do passado é a única conclusão possível da negação do decurso temporal. Se a raça existia no plano da eternidade e a principal obrigação de cada geração era procriar para dar continuidade ao sangue dos mortos, então o presente era apenas uma modalidade do passado, e o passado era o único tempo real</w:t>
      </w:r>
      <w:r w:rsidRPr="00341472">
        <w:rPr>
          <w:rStyle w:val="Refdenotaderodap"/>
        </w:rPr>
        <w:footnoteReference w:id="128"/>
      </w:r>
      <w:r w:rsidRPr="00341472">
        <w:t>. Com um estilo menos sofisticado, mas não mais nebuloso, Rosenberg disse o mesmo ao falar da intemporalidade dos mitos raciais, tão vivos nessa época como milhares de anos antes</w:t>
      </w:r>
      <w:r w:rsidR="0083736A">
        <w:t xml:space="preserve">. </w:t>
      </w:r>
      <w:r w:rsidR="0083736A" w:rsidRPr="0083736A">
        <w:t>«</w:t>
      </w:r>
      <w:r w:rsidR="009B46D7" w:rsidRPr="0083736A">
        <w:t xml:space="preserve">A </w:t>
      </w:r>
      <w:r w:rsidR="0083736A" w:rsidRPr="0083736A">
        <w:t>história não é um processo que leve do nada a alguma coisa nem de algo insignificante a algo de grand</w:t>
      </w:r>
      <w:r w:rsidR="000B34E9">
        <w:t>ioso</w:t>
      </w:r>
      <w:r w:rsidR="0083736A" w:rsidRPr="0083736A">
        <w:t>.</w:t>
      </w:r>
      <w:r w:rsidR="0083736A">
        <w:t xml:space="preserve"> </w:t>
      </w:r>
      <w:r w:rsidR="009B46D7">
        <w:t xml:space="preserve">Também não </w:t>
      </w:r>
      <w:r w:rsidR="0083736A" w:rsidRPr="0083736A">
        <w:t>é a transformação de uma essência em algo completamente diferente.</w:t>
      </w:r>
      <w:r w:rsidR="0083736A">
        <w:t xml:space="preserve"> </w:t>
      </w:r>
      <w:r w:rsidR="0083736A" w:rsidRPr="0083736A">
        <w:t>Pelo contrário, o primeiro de</w:t>
      </w:r>
      <w:r w:rsidR="009B46D7">
        <w:t>s</w:t>
      </w:r>
      <w:r w:rsidR="0083736A" w:rsidRPr="0083736A">
        <w:t>pe</w:t>
      </w:r>
      <w:r w:rsidR="009B46D7">
        <w:t>r</w:t>
      </w:r>
      <w:r w:rsidR="0083736A" w:rsidRPr="0083736A">
        <w:t xml:space="preserve">tar racial de um povo devido a heróis, deuses e poetas </w:t>
      </w:r>
      <w:r w:rsidR="0083736A">
        <w:t xml:space="preserve">é para sempre </w:t>
      </w:r>
      <w:r w:rsidR="003D12DE">
        <w:t>a realização definitiva»</w:t>
      </w:r>
      <w:r w:rsidRPr="00341472">
        <w:rPr>
          <w:rStyle w:val="Refdenotaderodap"/>
        </w:rPr>
        <w:footnoteReference w:id="129"/>
      </w:r>
      <w:r w:rsidRPr="00243EDC">
        <w:t xml:space="preserve">. </w:t>
      </w:r>
      <w:r w:rsidRPr="00341472">
        <w:t xml:space="preserve">E para uma história necrófila, uma geografia sepulcral. O rumor dos mortos ecoava no solo onde a raça nascera e lançara raízes. Nas palavras de Jakob </w:t>
      </w:r>
      <w:r w:rsidRPr="00341472">
        <w:lastRenderedPageBreak/>
        <w:t xml:space="preserve">Wilhelm Hauer, um dos principais ideólogos do neopaganismo nacional-socialista, «a terra é a nossa pátria e o nosso santuário. A sua vontade é que as gerações voltem a ela, tal como dela surgiram. [...] É-nos estrangeira a concepção de uma morte apavorante e aterradora, como se encontra na tradição religiosa levantina. Por isso, na [nossa] fé não temos </w:t>
      </w:r>
      <w:r w:rsidR="00123BF7">
        <w:t>nenhuma</w:t>
      </w:r>
      <w:r w:rsidRPr="00341472">
        <w:t xml:space="preserve"> necessidade de um redentor nem de um salvador que prive a morte do seu poder»</w:t>
      </w:r>
      <w:r w:rsidRPr="00341472">
        <w:rPr>
          <w:rStyle w:val="Refdenotaderodap"/>
        </w:rPr>
        <w:footnoteReference w:id="130"/>
      </w:r>
      <w:r w:rsidRPr="00341472">
        <w:t xml:space="preserve">. </w:t>
      </w:r>
    </w:p>
    <w:p w:rsidR="00837D5C" w:rsidRPr="00341472" w:rsidRDefault="00837D5C" w:rsidP="00837D5C">
      <w:pPr>
        <w:tabs>
          <w:tab w:val="left" w:pos="720"/>
          <w:tab w:val="left" w:pos="3312"/>
        </w:tabs>
      </w:pPr>
      <w:r w:rsidRPr="00341472">
        <w:t>Num regime que abolia tão radicalmente qualquer significado dos indivíduos, reduzindo a função de um homem ou uma mulher à sua contribuição para o sangue acumulado pelas gerações, parece óbvio que as pessoas tivessem um perfil cada vez mais difuso e a raça uma psicologia sempre mais precisa. Não podia ser maior o peso dos mortos, quando cancelavam a presença dos vivos e conferiam à raça uma realidade antropomórfica, física e espiritual. A atribuição a cada raça de características psicológicas detalhadas indicava o enorme peso do passad</w:t>
      </w:r>
      <w:r>
        <w:t>o. O passado era um tempo único</w:t>
      </w:r>
      <w:r w:rsidRPr="00341472">
        <w:t xml:space="preserve"> e sem espessura. A psicologia rácica foi o corolário da imanência macabra</w:t>
      </w:r>
      <w:r w:rsidR="00C6444F">
        <w:t>, e deveria aqui analisar a psicologia de Jung, a sua noção de arquétipos e inconsciente colectivo</w:t>
      </w:r>
      <w:r w:rsidRPr="00341472">
        <w:t>. Pertencer em espírito a uma raça, como pretendiam Hitler e Rosenberg, e o seu mestre Chamberlain, era uma operação tanto mais extraordinária quanto apresentavam a raça como espírito também</w:t>
      </w:r>
      <w:r w:rsidRPr="00341472">
        <w:rPr>
          <w:rStyle w:val="Refdenotaderodap"/>
        </w:rPr>
        <w:footnoteReference w:id="131"/>
      </w:r>
      <w:r w:rsidRPr="00341472">
        <w:t>. Para os vivos, votados ao sacrifício, o corpo reduzia-se a um acessório. Os SS asseguraram que a participação espiritual na raça adquirisse uma substância biológica graças à selecção minuciosa dos seus membros e a uma avaliação igualmente rigorosa das suas noivas, ou mediante a transferência forçada para o Reich daqueles vencidos em cujas veias parecia correr algum sangue nórdico, e ainda através do rapto sistemático de muitas dezenas de milhares de crianças eslavas que pareciam revelar no corpo um espírito nórdico</w:t>
      </w:r>
      <w:r w:rsidR="00386441">
        <w:t>. O</w:t>
      </w:r>
      <w:r w:rsidRPr="00341472">
        <w:t>u quem sabe se seria no espírito que mostravam o físico da raça</w:t>
      </w:r>
      <w:r w:rsidR="00386441">
        <w:t xml:space="preserve">, já que </w:t>
      </w:r>
      <w:r w:rsidR="00386441" w:rsidRPr="00341472">
        <w:t xml:space="preserve">pelo </w:t>
      </w:r>
      <w:r w:rsidRPr="00341472">
        <w:t xml:space="preserve">espírito se pertencia a uma qualquer das raças, que determinavam os comportamentos, as aptidões, os processos mentais, os modelos de religião, as sensibilidades eróticas. O drama da história ficou projectado para uma luta entre sombras, que assimilavam a si os vivos e os devoravam. </w:t>
      </w:r>
    </w:p>
    <w:p w:rsidR="00837D5C" w:rsidRPr="00341472" w:rsidRDefault="00837D5C" w:rsidP="00DC3A39">
      <w:pPr>
        <w:keepNext/>
        <w:spacing w:before="720" w:after="360"/>
        <w:ind w:firstLine="0"/>
        <w:jc w:val="center"/>
        <w:rPr>
          <w:b/>
          <w:sz w:val="28"/>
        </w:rPr>
      </w:pPr>
      <w:r w:rsidRPr="00341472">
        <w:rPr>
          <w:b/>
          <w:sz w:val="28"/>
        </w:rPr>
        <w:t>8. Roménia: «O mais belo aspecto da vida é a morte»</w:t>
      </w:r>
    </w:p>
    <w:p w:rsidR="00B3452D" w:rsidRDefault="00837D5C" w:rsidP="00837D5C">
      <w:r w:rsidRPr="00341472">
        <w:t xml:space="preserve">A atracção dos fascistas pela morte atingiu na Roménia a obsessão entre os seguidores de Corneliu Codreanu, os legionários do Arcanjo São Miguel e a sua Guarda de Ferro, que </w:t>
      </w:r>
      <w:r w:rsidRPr="00341472">
        <w:lastRenderedPageBreak/>
        <w:t>«morriam para ressuscitar e nasciam para morrer», como cantavam num dos seus hinos. «O legionário morre cantando», entoava outro hino, «o legionário canta morrendo»</w:t>
      </w:r>
      <w:r w:rsidRPr="00341472">
        <w:rPr>
          <w:rStyle w:val="Refdenotaderodap"/>
        </w:rPr>
        <w:footnoteReference w:id="132"/>
      </w:r>
      <w:r w:rsidRPr="00341472">
        <w:t xml:space="preserve">. </w:t>
      </w:r>
      <w:r w:rsidR="00B3452D">
        <w:t xml:space="preserve">Mircea Eliade, que foi um </w:t>
      </w:r>
      <w:r w:rsidR="00F86797">
        <w:t>deles</w:t>
      </w:r>
      <w:r w:rsidR="00B3452D">
        <w:t>, explicou a sua concepção de liberdade</w:t>
      </w:r>
      <w:r w:rsidR="002412AB">
        <w:t xml:space="preserve"> enquanto escolha</w:t>
      </w:r>
      <w:r w:rsidR="00F86797">
        <w:t>,</w:t>
      </w:r>
      <w:r w:rsidR="00B3452D">
        <w:t xml:space="preserve"> </w:t>
      </w:r>
      <w:r w:rsidR="00F86797">
        <w:t xml:space="preserve">e </w:t>
      </w:r>
      <w:r w:rsidR="002412AB">
        <w:t>a suprema escolha seria a da morte</w:t>
      </w:r>
      <w:r w:rsidR="00020E38">
        <w:t>:</w:t>
      </w:r>
      <w:r w:rsidR="002412AB">
        <w:t xml:space="preserve"> «</w:t>
      </w:r>
      <w:r w:rsidR="005D02AF" w:rsidRPr="00757604">
        <w:t>Aquele que entrar para a Legi</w:t>
      </w:r>
      <w:r w:rsidR="005D02AF">
        <w:t>ão envergará para sempre a camisa da morte. Isto significa que o legionário se sente tão livre que a própria morte não o assusta. [...] “Aqu</w:t>
      </w:r>
      <w:r w:rsidR="002412AB">
        <w:t>e</w:t>
      </w:r>
      <w:r w:rsidR="005D02AF">
        <w:t xml:space="preserve">le que </w:t>
      </w:r>
      <w:r w:rsidR="002412AB">
        <w:t>souber</w:t>
      </w:r>
      <w:r w:rsidR="005D02AF">
        <w:t xml:space="preserve"> morrer nunca será um escravo”. [...] Fazer pazes com a morte é a mais completa liberdade que o homem pode receber neste mundo</w:t>
      </w:r>
      <w:r w:rsidR="002412AB">
        <w:t>»</w:t>
      </w:r>
      <w:r w:rsidR="00F86797">
        <w:rPr>
          <w:rStyle w:val="Refdenotaderodap"/>
        </w:rPr>
        <w:footnoteReference w:id="133"/>
      </w:r>
      <w:r w:rsidR="005D02AF">
        <w:t xml:space="preserve">. </w:t>
      </w:r>
      <w:r w:rsidR="00F86797">
        <w:t xml:space="preserve">Se a vida livre era a escolha da morte, compreende-se que </w:t>
      </w:r>
      <w:r w:rsidR="00224704">
        <w:t xml:space="preserve">a morte não fosse a negação da vida. </w:t>
      </w:r>
      <w:r w:rsidR="00020E38">
        <w:rPr>
          <w:lang w:val="de-DE"/>
        </w:rPr>
        <w:t>«O objectivo final não é a vida, mas a ressurreição», escreveu Codreanu</w:t>
      </w:r>
      <w:r w:rsidR="00020E38">
        <w:rPr>
          <w:rStyle w:val="Refdenotaderodap"/>
        </w:rPr>
        <w:footnoteReference w:id="134"/>
      </w:r>
      <w:r w:rsidR="00020E38">
        <w:rPr>
          <w:lang w:val="de-DE"/>
        </w:rPr>
        <w:t xml:space="preserve">. </w:t>
      </w:r>
    </w:p>
    <w:p w:rsidR="00837D5C" w:rsidRPr="00341472" w:rsidRDefault="00EA6C93" w:rsidP="00A41C2D">
      <w:r>
        <w:t>Evocando</w:t>
      </w:r>
      <w:r w:rsidRPr="00EA6C93">
        <w:t xml:space="preserve"> os começos da Legi</w:t>
      </w:r>
      <w:r>
        <w:t xml:space="preserve">ão do Arcanjo São Miguel, Codreanu recordou que os seus companheiros haviam dito que «é impossível que o nosso sangue, o sangue de vinte jovens, não redima os pecados desta nação», e tirou as lições de uma vocação de sacrifício: </w:t>
      </w:r>
      <w:r w:rsidR="00A41C2D">
        <w:t xml:space="preserve">«Não sendo capazes de triunfar em vida, triunfaremos morrendo. </w:t>
      </w:r>
      <w:r w:rsidR="00A41C2D" w:rsidRPr="00A41C2D">
        <w:t xml:space="preserve">De então em diante, passámos a viver com a ideia e a </w:t>
      </w:r>
      <w:r w:rsidR="004B0542">
        <w:t>resolução</w:t>
      </w:r>
      <w:r w:rsidR="00A41C2D">
        <w:t xml:space="preserve"> de morrer»</w:t>
      </w:r>
      <w:r w:rsidR="004B0542">
        <w:rPr>
          <w:rStyle w:val="Refdenotaderodap"/>
        </w:rPr>
        <w:footnoteReference w:id="135"/>
      </w:r>
      <w:r w:rsidR="00A41C2D">
        <w:t xml:space="preserve">. </w:t>
      </w:r>
      <w:r w:rsidR="00010689">
        <w:t xml:space="preserve">«O legionário desposa a morte», escreveu </w:t>
      </w:r>
      <w:r w:rsidR="003D40BF">
        <w:t xml:space="preserve">ainda </w:t>
      </w:r>
      <w:r w:rsidR="00010689">
        <w:t>Codreanu</w:t>
      </w:r>
      <w:r w:rsidR="00010689">
        <w:rPr>
          <w:rStyle w:val="Refdenotaderodap"/>
        </w:rPr>
        <w:footnoteReference w:id="136"/>
      </w:r>
      <w:r w:rsidR="00010689">
        <w:t xml:space="preserve">, e explicou que a </w:t>
      </w:r>
      <w:r w:rsidR="00837D5C" w:rsidRPr="00341472">
        <w:t>Legião</w:t>
      </w:r>
      <w:r w:rsidR="00010689">
        <w:t xml:space="preserve"> </w:t>
      </w:r>
      <w:r w:rsidR="00837D5C" w:rsidRPr="00341472">
        <w:t>«funde estes elementos: a nossa vontade e o nosso amor; a presença de todos os mortos da estirpe que sentimos em nosso redor e na nossa consciência; a devoção militante aos que morreram pela pátria; a certeza da benção de Deus»</w:t>
      </w:r>
      <w:r w:rsidR="00837D5C" w:rsidRPr="00341472">
        <w:rPr>
          <w:rStyle w:val="Refdenotaderodap"/>
        </w:rPr>
        <w:footnoteReference w:id="137"/>
      </w:r>
      <w:r w:rsidR="00837D5C" w:rsidRPr="00341472">
        <w:t xml:space="preserve">. Para gente assim, seriam os vivos de uma substância diferente dos mortos? Ao recordar o </w:t>
      </w:r>
      <w:r w:rsidR="00E04A94">
        <w:t>início</w:t>
      </w:r>
      <w:r w:rsidR="00837D5C" w:rsidRPr="00341472">
        <w:t xml:space="preserve"> do movimento, quando ele e os seus companheiros cavalgavam de aldeia em aldeia, subindo colinas, atravessando rios, «por onde os nossos antepassados tinham tantas vezes marchado e combatido, parecia que éramos a sombra daqueles que haviam outrora defendido as terras da Moldávia», escreveu Codreanu. Note-se </w:t>
      </w:r>
      <w:r w:rsidR="00E04A94">
        <w:t>esta</w:t>
      </w:r>
      <w:r w:rsidR="00837D5C" w:rsidRPr="00341472">
        <w:t xml:space="preserve"> dialéctica temporal em que </w:t>
      </w:r>
      <w:r w:rsidR="00E04A94">
        <w:t>eram</w:t>
      </w:r>
      <w:r w:rsidR="00837D5C" w:rsidRPr="00341472">
        <w:t xml:space="preserve"> os vivos a aparecer como uma sombra dos mortos. Com efeito, continuou Codreanu, «os homens vivos de hoje e os mortos de ontem, todos éramos a mesma alma, a mesma grande unidade que o vento levava além dos cimos das colinas </w:t>
      </w:r>
      <w:r w:rsidR="009C6F88">
        <w:t>—</w:t>
      </w:r>
      <w:r w:rsidR="00837D5C" w:rsidRPr="00341472">
        <w:t xml:space="preserve"> o romanismo»</w:t>
      </w:r>
      <w:r w:rsidR="00837D5C" w:rsidRPr="00341472">
        <w:rPr>
          <w:rStyle w:val="Refdenotaderodap"/>
        </w:rPr>
        <w:footnoteReference w:id="138"/>
      </w:r>
      <w:r w:rsidR="00837D5C" w:rsidRPr="00341472">
        <w:t xml:space="preserve">. Esta circularidade em que vida e morte </w:t>
      </w:r>
      <w:r w:rsidR="00837D5C" w:rsidRPr="00341472">
        <w:lastRenderedPageBreak/>
        <w:t>se prolongavam sem hiatos reaparece</w:t>
      </w:r>
      <w:r w:rsidR="00837D5C">
        <w:t>u</w:t>
      </w:r>
      <w:r w:rsidR="00837D5C" w:rsidRPr="00341472">
        <w:t xml:space="preserve"> numa das publicações da Legião do Arcanjo São Miguel dois anos depois do assassinato de Codreanu, num momento em que os legionários se julgavam à beira de conquistar o poder total e estavam, afinal, nas vésperas de ser liquidados</w:t>
      </w:r>
      <w:r w:rsidR="002101F2">
        <w:t>:</w:t>
      </w:r>
      <w:r w:rsidR="00837D5C" w:rsidRPr="00341472">
        <w:t xml:space="preserve"> «O mais belo aspecto da vida do legionário é a morte»</w:t>
      </w:r>
      <w:r w:rsidR="00837D5C" w:rsidRPr="00341472">
        <w:rPr>
          <w:rStyle w:val="Refdenotaderodap"/>
        </w:rPr>
        <w:footnoteReference w:id="139"/>
      </w:r>
      <w:r w:rsidR="00837D5C" w:rsidRPr="00341472">
        <w:t>. Inspirando esta morbidez havia um mito muito antigo, a</w:t>
      </w:r>
      <w:r w:rsidR="00E04A94">
        <w:t>o</w:t>
      </w:r>
      <w:r w:rsidR="00837D5C" w:rsidRPr="00341472">
        <w:t xml:space="preserve"> qu</w:t>
      </w:r>
      <w:r w:rsidR="00E04A94">
        <w:t>al</w:t>
      </w:r>
      <w:r w:rsidR="00837D5C" w:rsidRPr="00341472">
        <w:t xml:space="preserve"> o cristianismo dera novas implicações e que para a religiosidade fervorosa de Codreanu e dos seus próximos constituía o tema central da acção prática </w:t>
      </w:r>
      <w:r w:rsidR="009C6F88">
        <w:t>—</w:t>
      </w:r>
      <w:r w:rsidR="00837D5C" w:rsidRPr="00341472">
        <w:t xml:space="preserve"> a dialéctica do pecado e da ressurreição. </w:t>
      </w:r>
    </w:p>
    <w:p w:rsidR="00837D5C" w:rsidRPr="00341472" w:rsidRDefault="00837D5C" w:rsidP="00837D5C">
      <w:r w:rsidRPr="00341472">
        <w:t>Em vez de serem nomeados pela chefia nacional, os dirigentes dos grupos e das secções da Legião tinham de se afirmar localmente graças às suas qualidades e de serem reconhecidos como tal pelos subordinados</w:t>
      </w:r>
      <w:r w:rsidRPr="00341472">
        <w:rPr>
          <w:rStyle w:val="Refdenotaderodap"/>
        </w:rPr>
        <w:footnoteReference w:id="140"/>
      </w:r>
      <w:r w:rsidRPr="00341472">
        <w:t>. Esta forma de selecção hierárquica era encarada de maneira mística, como as sucessivas provas experimentadas por um peregrino, agravadas ainda pela vida exemplar que os legionários deviam levar, afastados de tabernas e cinemas, dedicando-se aos jejuns rituais e à pobreza na vida quotidiana</w:t>
      </w:r>
      <w:r w:rsidRPr="00341472">
        <w:rPr>
          <w:rStyle w:val="Refdenotaderodap"/>
        </w:rPr>
        <w:footnoteReference w:id="141"/>
      </w:r>
      <w:r w:rsidRPr="00341472">
        <w:t xml:space="preserve">. Confundida a devoção política com a vocação religiosa, a cedência perante as dificuldades práticas da política podia ser assimilada ao pecado, exercendo o efeito de um permanente expurgo e renovando as chefias. </w:t>
      </w:r>
    </w:p>
    <w:p w:rsidR="00837D5C" w:rsidRPr="00341472" w:rsidRDefault="009C6F88" w:rsidP="00CE1EF3">
      <w:r w:rsidRPr="00341472">
        <w:t xml:space="preserve">Compreendemos </w:t>
      </w:r>
      <w:r w:rsidR="00837D5C" w:rsidRPr="00341472">
        <w:t xml:space="preserve">até que ponto os homens do arcanjo levaram a devoção, quando sabemos que fundaram na razão política o sacrifício não só do próprio corpo mas do que supunham ser a alma. Colocados, como cristãos, entre o assassinato enquanto pecado mortal e o terrorismo sistemático enquanto necessidade da acção política, sem a qual a nação não venceria os agentes da sua dissolução interna e o cristianismo não triunfaria no combate contra os inimigos da fé, os legionários </w:t>
      </w:r>
      <w:r w:rsidR="00AE7680">
        <w:t xml:space="preserve">arriscavam </w:t>
      </w:r>
      <w:r w:rsidR="00837D5C" w:rsidRPr="00341472">
        <w:t xml:space="preserve">a salvação da alma para salvar a nação e a religião. </w:t>
      </w:r>
      <w:r w:rsidR="00A13CAB">
        <w:t>Q</w:t>
      </w:r>
      <w:r w:rsidR="0045215A">
        <w:t>u</w:t>
      </w:r>
      <w:r w:rsidR="00A13CAB">
        <w:t xml:space="preserve">ando Codreanu, </w:t>
      </w:r>
      <w:r w:rsidR="000C4AF4">
        <w:t xml:space="preserve">em 1923, </w:t>
      </w:r>
      <w:r w:rsidR="00A13CAB">
        <w:t xml:space="preserve">preso por ter conspirado para </w:t>
      </w:r>
      <w:r w:rsidR="0045215A">
        <w:t>matar</w:t>
      </w:r>
      <w:r w:rsidR="00A13CAB">
        <w:t xml:space="preserve"> </w:t>
      </w:r>
      <w:r w:rsidR="0045215A">
        <w:t>ministros</w:t>
      </w:r>
      <w:r w:rsidR="00A13CAB">
        <w:t>, judeus proeminentes</w:t>
      </w:r>
      <w:r w:rsidR="0045215A">
        <w:t>,</w:t>
      </w:r>
      <w:r w:rsidR="00A13CAB">
        <w:t xml:space="preserve"> </w:t>
      </w:r>
      <w:r w:rsidR="0045215A">
        <w:t xml:space="preserve">banqueiros </w:t>
      </w:r>
      <w:r w:rsidR="00A13CAB">
        <w:t xml:space="preserve">e jornalistas, se ajoelhou na cela e rezou «Senhor! </w:t>
      </w:r>
      <w:r w:rsidR="00A13CAB" w:rsidRPr="00363F73">
        <w:t>Tomamos para nós todos os pecados desta nação. Recebei agora este nosso sofrimento»</w:t>
      </w:r>
      <w:r w:rsidR="0045215A">
        <w:rPr>
          <w:rStyle w:val="Refdenotaderodap"/>
        </w:rPr>
        <w:footnoteReference w:id="142"/>
      </w:r>
      <w:r w:rsidR="00A13CAB" w:rsidRPr="00363F73">
        <w:t xml:space="preserve">, </w:t>
      </w:r>
      <w:r w:rsidR="00363F73">
        <w:t xml:space="preserve">procedeu a </w:t>
      </w:r>
      <w:r w:rsidR="00A13CAB" w:rsidRPr="00363F73">
        <w:t xml:space="preserve">uma estranha </w:t>
      </w:r>
      <w:r w:rsidR="00363F73">
        <w:t xml:space="preserve">metamorfose do cristianismo, dispondo-se a expiar enquanto assassino o pecado colectivo de um povo. </w:t>
      </w:r>
      <w:r w:rsidR="00BC2F42" w:rsidRPr="0050160B">
        <w:t xml:space="preserve">Ele argumentou, é certo, </w:t>
      </w:r>
      <w:r w:rsidR="004651F6" w:rsidRPr="0050160B">
        <w:t>que o perdão evangélico dos inimigos se referia aos inimigos privados e não aos inimigos públicos, hostis à nação</w:t>
      </w:r>
      <w:r w:rsidR="003664E6">
        <w:rPr>
          <w:rStyle w:val="Refdenotaderodap"/>
        </w:rPr>
        <w:footnoteReference w:id="143"/>
      </w:r>
      <w:r w:rsidR="00CE1EF3" w:rsidRPr="0050160B">
        <w:t xml:space="preserve">, e declarou no parlamento que «quando se trata de escolher </w:t>
      </w:r>
      <w:r w:rsidR="0050160B">
        <w:t>entre a morte do meu país e a d</w:t>
      </w:r>
      <w:r w:rsidR="006137A2">
        <w:t>o</w:t>
      </w:r>
      <w:r w:rsidR="0050160B">
        <w:t xml:space="preserve"> ladrão, prefiro a morte do ladrão e penso que sou melhor cristão se não permitir que o ladrão arru</w:t>
      </w:r>
      <w:r w:rsidR="006137A2">
        <w:t>í</w:t>
      </w:r>
      <w:r w:rsidR="0050160B">
        <w:t xml:space="preserve">ne o meu país e o </w:t>
      </w:r>
      <w:r w:rsidR="0050160B">
        <w:lastRenderedPageBreak/>
        <w:t>destrua»</w:t>
      </w:r>
      <w:r w:rsidR="006137A2">
        <w:rPr>
          <w:rStyle w:val="Refdenotaderodap"/>
        </w:rPr>
        <w:footnoteReference w:id="144"/>
      </w:r>
      <w:r w:rsidR="0050160B">
        <w:t xml:space="preserve">. </w:t>
      </w:r>
      <w:r w:rsidR="004651F6">
        <w:t xml:space="preserve">Mas seria este argumento aceite no Juízo Final? </w:t>
      </w:r>
      <w:r w:rsidR="00D40872">
        <w:t xml:space="preserve">Mais imediatamente, aceitá-lo-ia no seu íntimo o próprio Codreanu? </w:t>
      </w:r>
      <w:r w:rsidR="000A7EA2">
        <w:t xml:space="preserve">Ele assassinara o </w:t>
      </w:r>
      <w:r w:rsidR="000A7EA2" w:rsidRPr="00FF0962">
        <w:t xml:space="preserve">prefeito da polícia e notório </w:t>
      </w:r>
      <w:r w:rsidR="000A7EA2">
        <w:t>torcionário</w:t>
      </w:r>
      <w:r w:rsidR="000A7EA2" w:rsidRPr="00FF0962">
        <w:t xml:space="preserve"> Constantin Manciu, </w:t>
      </w:r>
      <w:r w:rsidR="000A7EA2">
        <w:t xml:space="preserve">e </w:t>
      </w:r>
      <w:r w:rsidR="000A7EA2" w:rsidRPr="00FF0962">
        <w:t xml:space="preserve">um antigo membro da Legião escreveu que «por mais que esta acção de Codreanu tivesse sido </w:t>
      </w:r>
      <w:r w:rsidR="000A7EA2">
        <w:t>defendida</w:t>
      </w:r>
      <w:r w:rsidR="000A7EA2" w:rsidRPr="00FF0962">
        <w:t xml:space="preserve"> pelos seus compatriotas, quem conhecia Codreanu sabia que ele nunca </w:t>
      </w:r>
      <w:r w:rsidR="000A7EA2">
        <w:t>se desculpou a si próprio por ter abatido Manciu, cuja morte projectou sobre os seus pensamentos uma sombra indelével»</w:t>
      </w:r>
      <w:r w:rsidR="000A7EA2">
        <w:rPr>
          <w:rStyle w:val="Refdenotaderodap"/>
        </w:rPr>
        <w:footnoteReference w:id="145"/>
      </w:r>
      <w:r w:rsidR="000A7EA2">
        <w:t xml:space="preserve">. </w:t>
      </w:r>
      <w:r w:rsidR="00837D5C" w:rsidRPr="00341472">
        <w:t>Por isso o tema da expiação ocupou um lugar tão importante na doutrina deste movimento. E muitos, a quem não satisfazia o sacrifício de sofrerem só espiritualmente pelos crimes cometidos, entregaram-se às autoridades, à tortura e à prisão, à morte, para expiar pelo martírio</w:t>
      </w:r>
      <w:r w:rsidR="00837D5C" w:rsidRPr="00341472">
        <w:rPr>
          <w:rStyle w:val="Refdenotaderodap"/>
        </w:rPr>
        <w:footnoteReference w:id="146"/>
      </w:r>
      <w:r w:rsidR="00837D5C" w:rsidRPr="00341472">
        <w:t xml:space="preserve">. Mas que garantia tinham eles de que a remissão fosse suficiente e lhes salvasse a alma? Já não era só a morte dos corpos a assegurar a perenidade de uma raça, mas a morte dos espíritos a garantir a eternidade da congregação espiritual. Os devotos do arcanjo ofereciam-se à pior das mortes, a mais completa de todas, a morte definitiva, que os excluiria do ciclo da ressurreição. Com uma tão duvidosa teologia, estes condenados voluntários ao inferno apresentaram-se como supremos santos. </w:t>
      </w:r>
    </w:p>
    <w:p w:rsidR="00837D5C" w:rsidRPr="00341472" w:rsidRDefault="00837D5C" w:rsidP="007B0484">
      <w:pPr>
        <w:keepNext/>
        <w:tabs>
          <w:tab w:val="left" w:pos="720"/>
          <w:tab w:val="left" w:pos="3312"/>
        </w:tabs>
        <w:spacing w:before="720" w:after="360"/>
        <w:ind w:firstLine="0"/>
        <w:jc w:val="center"/>
        <w:rPr>
          <w:b/>
          <w:sz w:val="28"/>
        </w:rPr>
      </w:pPr>
      <w:r w:rsidRPr="00341472">
        <w:rPr>
          <w:b/>
          <w:sz w:val="28"/>
        </w:rPr>
        <w:t xml:space="preserve">9. Espanha: </w:t>
      </w:r>
      <w:r w:rsidRPr="00341472">
        <w:rPr>
          <w:b/>
          <w:i/>
          <w:sz w:val="28"/>
        </w:rPr>
        <w:t>«Viva la muerte!»</w:t>
      </w:r>
    </w:p>
    <w:p w:rsidR="00837D5C" w:rsidRPr="00341472" w:rsidRDefault="00837D5C" w:rsidP="00837D5C">
      <w:pPr>
        <w:tabs>
          <w:tab w:val="left" w:pos="720"/>
          <w:tab w:val="left" w:pos="3312"/>
        </w:tabs>
      </w:pPr>
      <w:r w:rsidRPr="00341472">
        <w:t xml:space="preserve">Foi logo no começo da guerra civil, a 15 de Agosto de 1936, em Sevilha, na Festa da Assunção de Nossa Senhora, quando os nacionalistas espanhóis celebravam publicamente a substituição da bandeira republicana pela monárquica, que o general Millán Astray pela primeira vez proclamou, em réplica a alguém que da assistência lhe interrompera o discurso com um </w:t>
      </w:r>
      <w:r w:rsidRPr="00341472">
        <w:rPr>
          <w:i/>
        </w:rPr>
        <w:t>Viva</w:t>
      </w:r>
      <w:r w:rsidRPr="00341472">
        <w:t xml:space="preserve"> ao seu nome </w:t>
      </w:r>
      <w:r w:rsidR="007F5672">
        <w:t>—</w:t>
      </w:r>
      <w:r w:rsidRPr="00341472">
        <w:t xml:space="preserve"> «Não quero Vivas para mim! Mas que todos gritem comigo, </w:t>
      </w:r>
      <w:r w:rsidRPr="00341472">
        <w:rPr>
          <w:i/>
        </w:rPr>
        <w:t>Viva la muerte!</w:t>
      </w:r>
      <w:r w:rsidRPr="00341472">
        <w:t>»</w:t>
      </w:r>
      <w:r w:rsidRPr="00341472">
        <w:rPr>
          <w:rStyle w:val="Refdenotaderodap"/>
        </w:rPr>
        <w:footnoteReference w:id="147"/>
      </w:r>
      <w:r w:rsidRPr="00341472">
        <w:t xml:space="preserve">. </w:t>
      </w:r>
    </w:p>
    <w:p w:rsidR="00837D5C" w:rsidRPr="00341472" w:rsidRDefault="00837D5C" w:rsidP="00837D5C">
      <w:pPr>
        <w:tabs>
          <w:tab w:val="left" w:pos="720"/>
          <w:tab w:val="left" w:pos="3312"/>
        </w:tabs>
      </w:pPr>
      <w:r w:rsidRPr="00341472">
        <w:t xml:space="preserve">Nem podia a morte ter arranjado melhor emissário para celebrá-la entre os vivos. Recordo que pouco mais de cem anos antes, na defesa da cidade do Porto cercada pelos absolutistas, foi ferido um dos mais lúcidos e o mais corajoso dos liberais portugueses desse século, Bernardo de Sá Nogueira, futuro marquês Sá da Bandeira, que ali perdeu o braço direito, junto ao Chafariz dos Arrependidos, no Alto da Bandeira de Vila Nova. A um camarada de armas que o socorreu e procurou amparar-lhe o membro ensanguentado, o imperturbável político e </w:t>
      </w:r>
      <w:r w:rsidRPr="00341472">
        <w:lastRenderedPageBreak/>
        <w:t>militar observou: «Não lhe bula, que já não me pertence»</w:t>
      </w:r>
      <w:r w:rsidRPr="00341472">
        <w:rPr>
          <w:rStyle w:val="Refdenotaderodap"/>
        </w:rPr>
        <w:footnoteReference w:id="148"/>
      </w:r>
      <w:r w:rsidRPr="00341472">
        <w:t>. A Millán Astray, fundador da Legião Estrangeira, quanto dele próprio também já não lhe pertencia! As guerras haviam</w:t>
      </w:r>
      <w:r w:rsidR="00B14125">
        <w:t xml:space="preserve"> levado a </w:t>
      </w:r>
      <w:r w:rsidR="00B14125" w:rsidRPr="00B14125">
        <w:rPr>
          <w:i/>
        </w:rPr>
        <w:t>el glorioso mutilado</w:t>
      </w:r>
      <w:r w:rsidR="00B14125">
        <w:t xml:space="preserve"> </w:t>
      </w:r>
      <w:r w:rsidRPr="00341472">
        <w:t xml:space="preserve">um olho, um braço, alguns dedos da mão que restava. Que redundância, aquele grito do general, pois não era ele a imagem viva da morte? Tão esfacelado assim, quando os outros generais combatiam e discursavam inteirinhos de corpo, decerto não fora um acaso. Millán Astray sentia a sedução da morte, visitava-a em grandes fogos de artifício de aço e sangue, deixava-lhe parte de si, para consigo a trazer a ela. Era vivo e morto. </w:t>
      </w:r>
      <w:r w:rsidRPr="00341472">
        <w:rPr>
          <w:i/>
        </w:rPr>
        <w:t>Viva la Muerte!</w:t>
      </w:r>
      <w:r w:rsidRPr="00341472">
        <w:t xml:space="preserve"> </w:t>
      </w:r>
    </w:p>
    <w:p w:rsidR="00837D5C" w:rsidRPr="00341472" w:rsidRDefault="00837D5C" w:rsidP="00837D5C">
      <w:pPr>
        <w:tabs>
          <w:tab w:val="left" w:pos="720"/>
          <w:tab w:val="left" w:pos="3312"/>
        </w:tabs>
      </w:pPr>
      <w:r w:rsidRPr="00341472">
        <w:t>Aonde o general ia, levava a morte, viva com ele. Estamos em 12 de Outubro de 1936, dia da Festa da Raça, na Universidade de Salamanca</w:t>
      </w:r>
      <w:r w:rsidRPr="00341472">
        <w:rPr>
          <w:rStyle w:val="Refdenotaderodap"/>
        </w:rPr>
        <w:footnoteReference w:id="149"/>
      </w:r>
      <w:r w:rsidRPr="00341472">
        <w:t xml:space="preserve">. Estão autoridades, está o bispo, </w:t>
      </w:r>
      <w:r w:rsidR="00093A7A">
        <w:t xml:space="preserve">está a esposa do Generalíssimo, </w:t>
      </w:r>
      <w:r w:rsidRPr="00341472">
        <w:t xml:space="preserve">está Millán Astray, preside o reitor, Unamuno. Cabe ao general discursar e ergue-se contra a cultura catalã e a cultura basca, cancros que com o separatismo corroem a Espanha </w:t>
      </w:r>
      <w:r w:rsidRPr="00341472">
        <w:rPr>
          <w:i/>
        </w:rPr>
        <w:t>Una,</w:t>
      </w:r>
      <w:r w:rsidRPr="00341472">
        <w:t xml:space="preserve"> a Espanha </w:t>
      </w:r>
      <w:r w:rsidRPr="00341472">
        <w:rPr>
          <w:i/>
        </w:rPr>
        <w:t>Grande,</w:t>
      </w:r>
      <w:r w:rsidRPr="00341472">
        <w:t xml:space="preserve"> a Espanha </w:t>
      </w:r>
      <w:r w:rsidRPr="00341472">
        <w:rPr>
          <w:i/>
        </w:rPr>
        <w:t>Libre,</w:t>
      </w:r>
      <w:r w:rsidRPr="00341472">
        <w:t xml:space="preserve"> e que o escalpelo do fascismo cortará do corpo da nação. Nada tinha isto de extraordinário. Pois não se festejava a raça? Nenhuma outra havia a celebrar senão a castelhana, vitoriosa congregadora da península. Mas era catalão o bispo e basco o reitor, Miguel de Unamuno levantou-se para falar. </w:t>
      </w:r>
    </w:p>
    <w:p w:rsidR="00837D5C" w:rsidRPr="00341472" w:rsidRDefault="00837D5C" w:rsidP="00837D5C">
      <w:pPr>
        <w:tabs>
          <w:tab w:val="left" w:pos="720"/>
          <w:tab w:val="left" w:pos="3312"/>
        </w:tabs>
      </w:pPr>
      <w:r w:rsidRPr="00341472">
        <w:t xml:space="preserve">Que não iria responder, disse, ao insulto pessoal implícito nos ataques contra os dois povos. Era outra a razão a movê-lo, «um grito necrófilo e sem sentido», vindo do público quando vitoriava o general </w:t>
      </w:r>
      <w:r w:rsidR="00812805">
        <w:t>—</w:t>
      </w:r>
      <w:r w:rsidRPr="00341472">
        <w:t xml:space="preserve"> </w:t>
      </w:r>
      <w:r w:rsidRPr="00341472">
        <w:rPr>
          <w:i/>
        </w:rPr>
        <w:t>Viva a Morte!</w:t>
      </w:r>
      <w:r w:rsidRPr="00341472">
        <w:t xml:space="preserve"> E ele, proclamando-se filósofo que havia passado a vida a dar forma a paradoxos encolerizadores de tanta gente, ele, reivindicando a autoridade nesta matéria, negou-se a admitir aquele paradoxo supremo. Pois não fora toda a sua obra um persistente combate contra a morte, que reputava absurda? Para Unamuno o sentimento humano mais profundo era a ânsia de imortalidade, que não se resolvia de maneira abstracta, pela fusão dos empenhos individuais nas grandes correntes históricas. Era pessoal a imortalidade que ambicionava e apenas o cristianismo a podia dar, uma religião investida pela crença não só na imortalidade do espírito, mas na ressurreição final da própria carne. Perante a recusa da morte como um absurdo, a imortalidade consistia no desejo de fusão da alma individual com a esfera do divino</w:t>
      </w:r>
      <w:r w:rsidRPr="00341472">
        <w:rPr>
          <w:rStyle w:val="Refdenotaderodap"/>
        </w:rPr>
        <w:footnoteReference w:id="150"/>
      </w:r>
      <w:r w:rsidRPr="00341472">
        <w:t xml:space="preserve">. «[...] a crença num Deus pessoal e espiritual baseia-se na crença na nossa própria personalidade e espiritualidade», escrevera ele em 1912 numa das suas obras maiores, para adiantar poucas páginas mais à frente: «[...] crer em Deus é, de certo modo, criá-lo, ainda que Ele nos crie antes. É Ele que, em nós, se cria a si mesmo continuamente. </w:t>
      </w:r>
      <w:r w:rsidRPr="00341472">
        <w:lastRenderedPageBreak/>
        <w:t>Criámos Deus para salvar o Universo do nada [...]»</w:t>
      </w:r>
      <w:r w:rsidRPr="00341472">
        <w:rPr>
          <w:rStyle w:val="Refdenotaderodap"/>
        </w:rPr>
        <w:footnoteReference w:id="151"/>
      </w:r>
      <w:r w:rsidRPr="00341472">
        <w:t xml:space="preserve">. Que suprema injúria, então, gritar </w:t>
      </w:r>
      <w:r w:rsidRPr="00341472">
        <w:rPr>
          <w:i/>
        </w:rPr>
        <w:t>Vivas</w:t>
      </w:r>
      <w:r w:rsidRPr="00341472">
        <w:t xml:space="preserve"> à morte perante alguém que se dedicara a negar a morte que há na vida. </w:t>
      </w:r>
    </w:p>
    <w:p w:rsidR="00837D5C" w:rsidRPr="00341472" w:rsidRDefault="00837D5C" w:rsidP="00837D5C">
      <w:pPr>
        <w:tabs>
          <w:tab w:val="left" w:pos="720"/>
          <w:tab w:val="left" w:pos="3312"/>
        </w:tabs>
      </w:pPr>
      <w:r w:rsidRPr="00341472">
        <w:t xml:space="preserve">Mas se reflectirmos duas vezes, seria tão grande a contradição entre a ânsia de imortalidade tal como o filósofo a entendera e a sedução do fim tal como a proclamavam os barulhentos admiradores do general? A maior figura da </w:t>
      </w:r>
      <w:r w:rsidRPr="00341472">
        <w:rPr>
          <w:i/>
        </w:rPr>
        <w:t>Generación del Noventa y Ocho,</w:t>
      </w:r>
      <w:r w:rsidRPr="00341472">
        <w:t xml:space="preserve"> dessa onda de pensadores e artistas que havia arrastado a elite espanhola para a modernidade liberal, não queria agora escutar no «grito necrófilo» o eco de toda a cultura burguesa das ruínas, a mesma cultura em que encontrara a inspiração para os seus dilemas e os argumentos das suas soluções. Unamuno passeara decerto </w:t>
      </w:r>
      <w:r w:rsidR="00812805">
        <w:t>—</w:t>
      </w:r>
      <w:r w:rsidRPr="00341472">
        <w:t xml:space="preserve"> quem não passeava! </w:t>
      </w:r>
      <w:r w:rsidR="00812805">
        <w:t>—</w:t>
      </w:r>
      <w:r w:rsidRPr="00341472">
        <w:t xml:space="preserve"> por jardins mais ou menos cuidados, povoados de gordas colunas truncadas e estátuas toscas sem sexo nem braços. Não eram relíquias escavadas da terra, retiradas de museus, mas obras recentes, feitas assim mesmo, originariamente partidas e escalavradas, ingénuas imitações do antigo. E o filósofo não reflectira nunca que este vocabulário obrigatório dos ócios citadinos não preservava da morte nenhum passado, mas matava, no próprio momento em que eram criadas, obras do presente, que a todos anunciassem a vida desta cultura da morte. A banalização da mensagem assegura-lhe o êxito, que na esfera das ideologias é sempre silencioso. A arte das ruínas era frequente demais para ser posta em causa. Em breve surgiria quem propusesse a conservação no estado de escombros de alguns dos lugares mais atingidos pela guerra civil, enquanto outros artistas sentiam uma atracção mórbida pela representação dos destroços de edifícios bombardeados</w:t>
      </w:r>
      <w:r w:rsidRPr="00341472">
        <w:rPr>
          <w:rStyle w:val="Refdenotaderodap"/>
        </w:rPr>
        <w:footnoteReference w:id="152"/>
      </w:r>
      <w:r w:rsidRPr="00341472">
        <w:t>, e bem vistas as coisas nada houve nisto de particularmente fascista, correspondendo ao gosto dominante da cultura burguesa. A crer em alguém que o conheceu de perto, o pintor José María Sert concebera o plano de «conservar as ruínas» do Alcázar de Toledo, «realçando-as com as suas pinturas, e deste modo, ao integrá-las no conjunto cenográfico, aumentar a teatralidade dos monumentos»</w:t>
      </w:r>
      <w:r w:rsidRPr="00341472">
        <w:rPr>
          <w:rStyle w:val="Refdenotaderodap"/>
        </w:rPr>
        <w:footnoteReference w:id="153"/>
      </w:r>
      <w:r w:rsidRPr="00341472">
        <w:t xml:space="preserve">. Uma tal concepção da arte como encenação e da vocação dramática das ruínas era um lugar-comum da estética dos jardins. Como explicar, então, que Unamuno tivesse reagido com tamanha indignação à presença do macabro, anunciada pela voz de Millán Astray? </w:t>
      </w:r>
    </w:p>
    <w:p w:rsidR="00837D5C" w:rsidRPr="00341472" w:rsidRDefault="00837D5C" w:rsidP="00837D5C">
      <w:pPr>
        <w:tabs>
          <w:tab w:val="left" w:pos="720"/>
          <w:tab w:val="left" w:pos="3312"/>
        </w:tabs>
      </w:pPr>
      <w:r w:rsidRPr="00341472">
        <w:t xml:space="preserve">O grito do general incomodou o filósofo por iluminar o que se havia mantido na penumbra. Unamuno não se aterrou por ouvir o outro, mas por lhe desvendarem o que mais absolutamente precisava de ignorar em si mesmo. Por isso, </w:t>
      </w:r>
      <w:r w:rsidR="00036057">
        <w:t>na</w:t>
      </w:r>
      <w:r w:rsidRPr="00341472">
        <w:t xml:space="preserve"> </w:t>
      </w:r>
      <w:r w:rsidR="00036057">
        <w:t>sua</w:t>
      </w:r>
      <w:r w:rsidRPr="00341472">
        <w:t xml:space="preserve"> curt</w:t>
      </w:r>
      <w:r w:rsidR="00036057">
        <w:t>a</w:t>
      </w:r>
      <w:r w:rsidRPr="00341472">
        <w:t xml:space="preserve"> e escandalos</w:t>
      </w:r>
      <w:r w:rsidR="00036057">
        <w:t>a</w:t>
      </w:r>
      <w:r w:rsidRPr="00341472">
        <w:t xml:space="preserve"> </w:t>
      </w:r>
      <w:r w:rsidR="00036057">
        <w:t>réplica</w:t>
      </w:r>
      <w:r w:rsidRPr="00341472">
        <w:t xml:space="preserve">, teve de esquecer as imagens quotidianas das esculturas truncadas e concentrar-se num </w:t>
      </w:r>
      <w:r w:rsidRPr="00341472">
        <w:lastRenderedPageBreak/>
        <w:t xml:space="preserve">decepado apenas. «O general Millán Astray é um aleijado. Digo-o sem nenhum sentido depreciativo. É um inválido de guerra. Também Cervantes o era. Infelizmente há demasiados inválidos na Espanha de hoje». Como a razão do filósofo lhe obedecia aos desejos! Os amputados vivos substituíam os de pedra. «É para mim doloroso pensar que o general Millán Astray possa ditar o modelo da psicologia de massas. Um aleijado a quem falta a grandeza espiritual de um Cervantes tem o hábito de procurar um ameaçador alívio provocando a mutilação em seu redor». É exacto. E bem dito. A ironia feroz de Unamuno não lhe faleceu ali. Não foi a coragem que lhe faltou, mas </w:t>
      </w:r>
      <w:r w:rsidR="00052480">
        <w:t xml:space="preserve">o </w:t>
      </w:r>
      <w:r w:rsidR="00036057">
        <w:t>re</w:t>
      </w:r>
      <w:r w:rsidR="00052480">
        <w:t xml:space="preserve">conhecimento de </w:t>
      </w:r>
      <w:r w:rsidRPr="00341472">
        <w:t>tantas mutilações psicológicas, culturais</w:t>
      </w:r>
      <w:r w:rsidR="00052480">
        <w:t xml:space="preserve"> e</w:t>
      </w:r>
      <w:r w:rsidRPr="00341472">
        <w:t xml:space="preserve"> ideológicas suscita</w:t>
      </w:r>
      <w:r w:rsidR="00052480">
        <w:t>das</w:t>
      </w:r>
      <w:r w:rsidRPr="00341472">
        <w:t xml:space="preserve"> </w:t>
      </w:r>
      <w:r w:rsidR="00052480">
        <w:t>pel</w:t>
      </w:r>
      <w:r w:rsidRPr="00341472">
        <w:t xml:space="preserve">a insidiosa estética das ruínas. </w:t>
      </w:r>
    </w:p>
    <w:p w:rsidR="00837D5C" w:rsidRPr="00341472" w:rsidRDefault="00837D5C" w:rsidP="00837D5C">
      <w:pPr>
        <w:tabs>
          <w:tab w:val="left" w:pos="720"/>
          <w:tab w:val="left" w:pos="3312"/>
        </w:tabs>
      </w:pPr>
      <w:r w:rsidRPr="00341472">
        <w:t xml:space="preserve">Foi aqui que o especialista em gritos interrompeu o perito em paradoxos. «Abaixo a Inteligência!». E de novo </w:t>
      </w:r>
      <w:r w:rsidR="00812805">
        <w:t>—</w:t>
      </w:r>
      <w:r w:rsidRPr="00341472">
        <w:t xml:space="preserve"> «Viva a Morte!». Difundira-se capilarmente por todo o fascismo uma frase reveladora: «Quando ouço a palavra “cultura” levo a mão ao meu revólver». Este exemplar de estilo apareceu primeiro numa peça teatral em comemoração de Schlageter</w:t>
      </w:r>
      <w:r w:rsidR="00314F34" w:rsidRPr="00341472">
        <w:rPr>
          <w:rStyle w:val="Refdenotaderodap"/>
        </w:rPr>
        <w:footnoteReference w:id="154"/>
      </w:r>
      <w:r w:rsidRPr="00341472">
        <w:t>, o herói e mártir fascista da resistência à ocupação franco-belga do Ruhr, cuja memória havia na altura sido saudada por nacionais-socialistas e comunistas juntos. A tirada teve êxito porque exprimia vigorosamente o desprezo dos fascistas pelas inépcias e temores da geração liberal e recordava que contra os sofismas da razã</w:t>
      </w:r>
      <w:r w:rsidR="00314F34">
        <w:t>o um tiro resolve as mais intri</w:t>
      </w:r>
      <w:r w:rsidRPr="00341472">
        <w:t xml:space="preserve">cadas questões. Já o Macedónio, com a espada, cortara o nó. Casando os dois gritos, o general esclareceu-os a ambos. A vida da morte só podia ter lugar mediante a morte da inteligência. Vitoriar a morte era o mesmo que fazê-lo à intuição, essa outra filha dilecta do pensamento burguês, gémea das ruínas manufacturadas. Também nisto nada havia de estranho, a não ser que o general fora irónico, decerto involuntariamente porque esta qualidade não costuma ser estimada pelos líricos da acção física. </w:t>
      </w:r>
    </w:p>
    <w:p w:rsidR="00837D5C" w:rsidRPr="00341472" w:rsidRDefault="00837D5C" w:rsidP="00837D5C">
      <w:pPr>
        <w:tabs>
          <w:tab w:val="left" w:pos="720"/>
          <w:tab w:val="left" w:pos="3312"/>
        </w:tabs>
      </w:pPr>
      <w:r w:rsidRPr="00341472">
        <w:t>Mas apesar disso irónico, já que o primeiro ali a matar a inteligência pela negação da razão fora Unamuno</w:t>
      </w:r>
      <w:r w:rsidR="00F12341">
        <w:t>,</w:t>
      </w:r>
      <w:r w:rsidRPr="00341472">
        <w:t xml:space="preserve"> </w:t>
      </w:r>
      <w:r w:rsidR="00F12341">
        <w:t xml:space="preserve">ele </w:t>
      </w:r>
      <w:r w:rsidR="00F12341" w:rsidRPr="00341472">
        <w:t>que, conhecedor de duas línguas mortas e quinze modernas, aprendera outra, o dinamarquês, só para ler Kierkegaard no original, «o irmão Kierkegaard», como lhe chamou</w:t>
      </w:r>
      <w:r w:rsidR="00F12341" w:rsidRPr="00341472">
        <w:rPr>
          <w:rStyle w:val="Refdenotaderodap"/>
        </w:rPr>
        <w:footnoteReference w:id="155"/>
      </w:r>
      <w:r w:rsidR="00F12341" w:rsidRPr="00341472">
        <w:t xml:space="preserve">. Ele que encontrara a especificidade da cultura espanhola na preocupação com a imortalidade substancial, tão oposta às especulações científicas a que se devotava o resto </w:t>
      </w:r>
      <w:r w:rsidR="00F12341" w:rsidRPr="00341472">
        <w:lastRenderedPageBreak/>
        <w:t xml:space="preserve">da Europa. </w:t>
      </w:r>
      <w:r w:rsidRPr="00341472">
        <w:t>«É uma coisa terrível, a inteligência. Tende para a morte, como a memória tende para a estabilidade. O vivo, o que é absolutamente instável, o absolutamente individual, é, a rigor, ininteligível»</w:t>
      </w:r>
      <w:r w:rsidRPr="00341472">
        <w:rPr>
          <w:rStyle w:val="Refdenotaderodap"/>
        </w:rPr>
        <w:footnoteReference w:id="156"/>
      </w:r>
      <w:r w:rsidRPr="00341472">
        <w:t>. Desde a primeira página de uma das suas obras maiores que Unamuno deixara claro a que homem se referia, não um ser abstracto, que pudesse ser objecto da razão, mas «o homem de carne e osso»</w:t>
      </w:r>
      <w:r w:rsidRPr="00341472">
        <w:rPr>
          <w:rStyle w:val="Refdenotaderodap"/>
        </w:rPr>
        <w:footnoteReference w:id="157"/>
      </w:r>
      <w:r w:rsidRPr="00341472">
        <w:t>. E a vontade de imortalidade deste homem, uma imortalidade da mesma espécie que a vida, pensável «nas próprias formas desta vida terrena e passageira»</w:t>
      </w:r>
      <w:r w:rsidRPr="00341472">
        <w:rPr>
          <w:rStyle w:val="Refdenotaderodap"/>
        </w:rPr>
        <w:footnoteReference w:id="158"/>
      </w:r>
      <w:r w:rsidRPr="00341472">
        <w:t>, devia ser o problema principal, se não o único, da filosofia. «Esse ponto de partida pessoal e afectivo de toda a filosofia e de toda a religião é o sentimento trágico da vida»</w:t>
      </w:r>
      <w:r w:rsidRPr="00341472">
        <w:rPr>
          <w:rStyle w:val="Refdenotaderodap"/>
        </w:rPr>
        <w:footnoteReference w:id="159"/>
      </w:r>
      <w:r w:rsidRPr="00341472">
        <w:t>. Uma tal ânsia de imortalidade, insustentável pela razão e emanando apenas da vida e do desejo de viver, correspondia para Unamuno à luta da vida contra a razão. «Que contradições, meu Deus, quando queremos casar a vida e a razão!», exclamara ele. Porquê «penso, logo existo», e não «sinto» ou «quero, logo existo»</w:t>
      </w:r>
      <w:r w:rsidRPr="00341472">
        <w:rPr>
          <w:rStyle w:val="Refdenotaderodap"/>
        </w:rPr>
        <w:footnoteReference w:id="160"/>
      </w:r>
      <w:r w:rsidRPr="00341472">
        <w:t>? «Mas que valor possui maior validade universal: o da vontade humana querendo, antes de tudo e acima de tudo, a imortalidade pessoal, individual e concreta da alma, ou seja, a finalidade humana do Universo; ou o da razão humana negando a racionalidade e até a possibilidade desse anseio?»</w:t>
      </w:r>
      <w:r w:rsidRPr="00341472">
        <w:rPr>
          <w:rStyle w:val="Refdenotaderodap"/>
        </w:rPr>
        <w:footnoteReference w:id="161"/>
      </w:r>
      <w:r w:rsidRPr="00341472">
        <w:t xml:space="preserve">. Aparentemente </w:t>
      </w:r>
      <w:r w:rsidR="00152054">
        <w:t>fora</w:t>
      </w:r>
      <w:r w:rsidRPr="00341472">
        <w:t xml:space="preserve"> em nome da vida que o filósofo do «sentimento trágico» decretara a morte da inteligência, e nesta redução de toda a especulação e de todo o conhecimento ao desejo de cada homem de perpetuar a sua vida fundara ele um dos mais radicais irracionalismos. </w:t>
      </w:r>
    </w:p>
    <w:p w:rsidR="00837D5C" w:rsidRPr="00341472" w:rsidRDefault="00837D5C" w:rsidP="00837D5C">
      <w:pPr>
        <w:tabs>
          <w:tab w:val="left" w:pos="720"/>
          <w:tab w:val="left" w:pos="3312"/>
        </w:tabs>
      </w:pPr>
      <w:r w:rsidRPr="00341472">
        <w:t>Na origem da filosofia, escrevera Unamuno, «não há tanto o desejo de conhecer um porquê como o de conhecer o para quê; não da causa, mas da finalidade. [...] Só nos interessa o porquê em vista do para quê; só queremos saber de onde viemos para melhor averiguar aonde vamos»</w:t>
      </w:r>
      <w:r w:rsidRPr="00341472">
        <w:rPr>
          <w:rStyle w:val="Refdenotaderodap"/>
        </w:rPr>
        <w:footnoteReference w:id="162"/>
      </w:r>
      <w:r w:rsidRPr="00341472">
        <w:t xml:space="preserve">. E o sentido da existência, a sua finalidade única, era a vontade de imortalidade. Adoptando a mesma perspectiva que havia servido a Schopenhauer para afirmar que a vontade é um absurdo impulso de existência, que ela é desprovida de fim e de objectivo, </w:t>
      </w:r>
      <w:r w:rsidR="00152054">
        <w:t>salvo</w:t>
      </w:r>
      <w:r w:rsidRPr="00341472">
        <w:t xml:space="preserve"> na medida em que deseja ser apenas para ser, Unamuno pretendera solucionar este paradoxo recorrendo à imortalidade. É aqui que o problema do conhecimento se junt</w:t>
      </w:r>
      <w:r w:rsidR="00152054">
        <w:t>ou</w:t>
      </w:r>
      <w:r w:rsidRPr="00341472">
        <w:t xml:space="preserve"> ao problema da vida, e da vida enquanto negação permanente da morte. «Porque viver é uma coisa e conhecer</w:t>
      </w:r>
      <w:r w:rsidR="00A14024">
        <w:t>,</w:t>
      </w:r>
      <w:r w:rsidRPr="00341472">
        <w:t xml:space="preserve"> outra; e [...] </w:t>
      </w:r>
      <w:r w:rsidRPr="00341472">
        <w:lastRenderedPageBreak/>
        <w:t>talvez haja entre ambas tal oposição que possamos dizer que tudo o que é vital é anti-racional, e não só irracional, e tudo o que é racional, antivital. Esta é a base do sentimento trágico da vida»</w:t>
      </w:r>
      <w:r w:rsidRPr="00341472">
        <w:rPr>
          <w:rStyle w:val="Refdenotaderodap"/>
        </w:rPr>
        <w:footnoteReference w:id="163"/>
      </w:r>
      <w:r w:rsidRPr="00341472">
        <w:t>. Unamuno criticara a razão porque ela punha em causa a sua ânsia de imortalidade, que para ele constituía a própria substância da vida. «É um trágico combate, é o fundo da tragédia, o combate da vida contra a razão»</w:t>
      </w:r>
      <w:r w:rsidRPr="00341472">
        <w:rPr>
          <w:rStyle w:val="Refdenotaderodap"/>
        </w:rPr>
        <w:footnoteReference w:id="164"/>
      </w:r>
      <w:r w:rsidRPr="00341472">
        <w:t xml:space="preserve">. Nestes termos, em que tudo se reduzia a um desejo </w:t>
      </w:r>
      <w:r w:rsidR="00152054">
        <w:t xml:space="preserve">sem </w:t>
      </w:r>
      <w:r w:rsidRPr="00341472">
        <w:t>outra sustentação senão a própria vontade de desejar, a razão só podia ser considerada como a inimiga mortal da imortalidade da vida. A vida, escrevera Unamuno, «é anti-racional e oposta ao pensamento claro»</w:t>
      </w:r>
      <w:r w:rsidRPr="00341472">
        <w:rPr>
          <w:rStyle w:val="Refdenotaderodap"/>
        </w:rPr>
        <w:footnoteReference w:id="165"/>
      </w:r>
      <w:r w:rsidRPr="00341472">
        <w:t>. No mesmo sentido afirmara, a propósito da distinção cartesiana entre sujeito e objecto, que «não há distinção que não sirva também para confundir»</w:t>
      </w:r>
      <w:r w:rsidRPr="00341472">
        <w:rPr>
          <w:rStyle w:val="Refdenotaderodap"/>
        </w:rPr>
        <w:footnoteReference w:id="166"/>
      </w:r>
      <w:r w:rsidRPr="00341472">
        <w:t xml:space="preserve">. </w:t>
      </w:r>
    </w:p>
    <w:p w:rsidR="00837D5C" w:rsidRPr="00341472" w:rsidRDefault="00837D5C" w:rsidP="00837D5C">
      <w:r w:rsidRPr="00341472">
        <w:t xml:space="preserve">«A razão é uma força analítica, isto é, dissolvente, quando, deixando de agir sobre a forma das intuições, sejam elas do instinto individual de conservação, sejam do instinto social de perpetuação, age sobre o conteúdo, sobre a própria matéria dessas intuições. A razão ordena as percepções sensíveis que nos dão o mundo material; mas, quando a sua análise se exerce sobre a realidade das próprias percepções, ela dissolve-as e imerge-nos num mundo aparente, de sombras sem consistência, porque a razão fora do formal é niilista, aniquiladora. Desempenha o mesmo ofício terrível quando, tirando-a daquele que lhe cabe, a levamos a esquadrinhar as intuições imaginativas que nos dão o mundo espiritual. Porque a razão aniquila, e a imaginação </w:t>
      </w:r>
      <w:r w:rsidRPr="00341472">
        <w:rPr>
          <w:i/>
        </w:rPr>
        <w:t>inteira</w:t>
      </w:r>
      <w:r w:rsidRPr="00341472">
        <w:t xml:space="preserve"> integra ou totaliza; a razão por si só mata, e é a imaginação que dá a vida». Aqui, porém, o filósofo aparentemente hesitara e, logo depois de ter recusado a razão abstracta em nome da imaginação vital, continuara a escrever: «Se bem que seja certo que a imaginação por si só, ao dar-nos a vida sem limite nos leva a confundir-nos com tudo e, enquanto indivíduos, também nos mata, nos mata por excesso de vida. A razão, a cabeça, dizem-nos: nada!; a imaginação, o coração, dizem-nos: tudo!»</w:t>
      </w:r>
      <w:r w:rsidRPr="00341472">
        <w:rPr>
          <w:rStyle w:val="Refdenotaderodap"/>
        </w:rPr>
        <w:footnoteReference w:id="167"/>
      </w:r>
      <w:r w:rsidRPr="00341472">
        <w:t xml:space="preserve">. Esta é uma das passagens decisivas do livro, pois a vida não se limitava a negar a razão e instaurara-se entre ambas uma dialéctica complexa. </w:t>
      </w:r>
      <w:r w:rsidR="00121090">
        <w:t xml:space="preserve">Na base </w:t>
      </w:r>
      <w:r w:rsidRPr="00341472">
        <w:t xml:space="preserve">do pensamento de Unamuno </w:t>
      </w:r>
      <w:r w:rsidR="00121090">
        <w:t>reside</w:t>
      </w:r>
      <w:r w:rsidRPr="00341472">
        <w:t xml:space="preserve"> o conflito entre a vida, que não caberia na razão, e a razão, que pelo cepticismo se destruiria a si mesma</w:t>
      </w:r>
      <w:r w:rsidRPr="00341472">
        <w:rPr>
          <w:rStyle w:val="Refdenotaderodap"/>
        </w:rPr>
        <w:footnoteReference w:id="168"/>
      </w:r>
      <w:r w:rsidRPr="00341472">
        <w:t>. «Razão e fé são dois inimigos que não se podem sustentar um sem o outro. [...] Têm de se apoiar um no outro e de se associar. Mas associar-se em luta, já que a luta é um modo de associação»</w:t>
      </w:r>
      <w:r w:rsidRPr="00341472">
        <w:rPr>
          <w:rStyle w:val="Refdenotaderodap"/>
        </w:rPr>
        <w:footnoteReference w:id="169"/>
      </w:r>
      <w:r w:rsidRPr="00341472">
        <w:t xml:space="preserve">. </w:t>
      </w:r>
    </w:p>
    <w:p w:rsidR="00837D5C" w:rsidRPr="00341472" w:rsidRDefault="00837D5C" w:rsidP="00837D5C">
      <w:r w:rsidRPr="00341472">
        <w:lastRenderedPageBreak/>
        <w:t>«Pois sou isto», apresentara-se o filósofo com audacioso orgulho, «alguém que afirma contrários, um homem de contradição e de luta [...] um homem que diz uma coisa com o coração e a contrária com a cabeça e que faz desta luta a sua vida. [...] Dir-me-ão que essa é uma posição insustentável [...] E continuamos sempre na mesma coisa, porque é precisamente a contradição íntima que unifica a minha vida, lhe dá a razão prática de ser. Ou antes, é o próprio conflito, é a própria incerteza apaixonada que unifica a minha acção e me faz viver e agir»</w:t>
      </w:r>
      <w:r w:rsidRPr="00341472">
        <w:rPr>
          <w:rStyle w:val="Refdenotaderodap"/>
        </w:rPr>
        <w:footnoteReference w:id="170"/>
      </w:r>
      <w:r w:rsidRPr="00341472">
        <w:t>. Mas uma luta assim concebida padece de uma profunda assimetria. «[...] eis que, no fundo do abismo, se encontram frente a frente o desespero sentimental e volitivo e o cepticismo racional, e abraçam-se como irmãos. Deste abraço, um abraço trágico, ou seja, profundamente amoroso, é que vai jorrar um manancial de vida, de uma vida séria e terrível»</w:t>
      </w:r>
      <w:r w:rsidRPr="00341472">
        <w:rPr>
          <w:rStyle w:val="Refdenotaderodap"/>
        </w:rPr>
        <w:footnoteReference w:id="171"/>
      </w:r>
      <w:r w:rsidRPr="00341472">
        <w:t>. Sendo impossível a paz entre o sentimento de imortalidade e a razão mortal, «é necessário viver da sua guerra. E fazer desta, da própria guerra, a condição da nossa vida espiritual. [...] Aqui não há lugar para temporizações. Talvez uma razão degenerada e co</w:t>
      </w:r>
      <w:r>
        <w:t>b</w:t>
      </w:r>
      <w:r w:rsidRPr="00341472">
        <w:t>arde chegasse a propor tal fórmula de acordo [...]; mas a vida, [...] que vive e quer viver sempre, não aceita fórmulas. A sua única fórmula é: ou tudo ou nada»</w:t>
      </w:r>
      <w:r w:rsidRPr="00341472">
        <w:rPr>
          <w:rStyle w:val="Refdenotaderodap"/>
        </w:rPr>
        <w:footnoteReference w:id="172"/>
      </w:r>
      <w:r w:rsidRPr="00341472">
        <w:t>. Este «cepticismo salvador», como lhe chamara Unamuno, não é a dúvida metódica cartesiana, mas «uma dúvida de paixão, [...] o eterno conflito entre a razão e o sentimento, a ciência e a vida, a lógica e a biótica»</w:t>
      </w:r>
      <w:r w:rsidRPr="00341472">
        <w:rPr>
          <w:rStyle w:val="Refdenotaderodap"/>
        </w:rPr>
        <w:footnoteReference w:id="173"/>
      </w:r>
      <w:r w:rsidRPr="00341472">
        <w:t>. Mesmo quem mais firmemente acredita na eternidade da consciência individual, assegurara Unamuno, é sempre afligido por uma dúvida, pelo menos uma sombra de dúvida</w:t>
      </w:r>
      <w:r w:rsidRPr="00341472">
        <w:rPr>
          <w:rStyle w:val="Refdenotaderodap"/>
        </w:rPr>
        <w:footnoteReference w:id="174"/>
      </w:r>
      <w:r w:rsidRPr="00341472">
        <w:t>, e, sendo assim, a vida, enquanto afirmação dessa eternidade, é uma luta contra a dúvida, contra o cepticismo proveniente da razão. «Quem põe freios à imaginação, uma vez rompida a cadeia do racional?»</w:t>
      </w:r>
      <w:r w:rsidRPr="00341472">
        <w:rPr>
          <w:rStyle w:val="Refdenotaderodap"/>
        </w:rPr>
        <w:footnoteReference w:id="175"/>
      </w:r>
      <w:r w:rsidRPr="00341472">
        <w:t xml:space="preserve">. O que há de mais característico nesta dialéctica entre a vida e a razão é que ela se situa fora da razão </w:t>
      </w:r>
      <w:r w:rsidR="000D7555">
        <w:t>—</w:t>
      </w:r>
      <w:r w:rsidRPr="00341472">
        <w:t xml:space="preserve"> e portanto na vida. Naquele «fundo do abismo» o que se trava, perante os assaltos da razão, é a permanente destruição da razão pela vida. E, suprema ironia de Unamuno, mesmo a vida do racionalista lhe destruiria a sua razão. «[...] o próprio pensador abstracto, ou pensador de abstracções, pensa </w:t>
      </w:r>
      <w:r w:rsidRPr="00341472">
        <w:rPr>
          <w:i/>
        </w:rPr>
        <w:t>para</w:t>
      </w:r>
      <w:r w:rsidRPr="00341472">
        <w:t xml:space="preserve"> existir, para não deixar de existir, ou talvez pense para esquecer que terá de deixar de existir. É este o fundo da paixão do pensamento abstracto»</w:t>
      </w:r>
      <w:r w:rsidRPr="00341472">
        <w:rPr>
          <w:rStyle w:val="Refdenotaderodap"/>
        </w:rPr>
        <w:footnoteReference w:id="176"/>
      </w:r>
      <w:r w:rsidRPr="00341472">
        <w:t xml:space="preserve">. </w:t>
      </w:r>
    </w:p>
    <w:p w:rsidR="00837D5C" w:rsidRPr="00341472" w:rsidRDefault="00837D5C" w:rsidP="00837D5C">
      <w:pPr>
        <w:tabs>
          <w:tab w:val="left" w:pos="720"/>
          <w:tab w:val="left" w:pos="3312"/>
        </w:tabs>
      </w:pPr>
      <w:r w:rsidRPr="00341472">
        <w:t xml:space="preserve">Apesar de tudo, para Unamuno a razão tinha um lugar e podia servir a vontade vital de imortalidade. «O que é absoluta e irrevogavelmente irracional é inexprimível, é intransmissível. </w:t>
      </w:r>
      <w:r w:rsidRPr="00341472">
        <w:lastRenderedPageBreak/>
        <w:t>Mas o anti-racional não. Talvez não se possa racionalizar o irracional, mas pode-se racionalizar o anti-racional, tratando de expô-lo»</w:t>
      </w:r>
      <w:r w:rsidRPr="00341472">
        <w:rPr>
          <w:rStyle w:val="Refdenotaderodap"/>
        </w:rPr>
        <w:footnoteReference w:id="177"/>
      </w:r>
      <w:r w:rsidRPr="00341472">
        <w:t xml:space="preserve">. O general e os seus entusiastas </w:t>
      </w:r>
      <w:r>
        <w:t xml:space="preserve">foram </w:t>
      </w:r>
      <w:r w:rsidRPr="00341472">
        <w:t>mais coerentes do que Unamuno, pois enquanto se limitaram a gritar «Abaixo a Inteligência!», o filósofo, embora tivesse escrito o mesmo, caíra na armadilha de querer destruir intelectualmente a inteligência ou de pretender usar os termos do intelecto para demonstrar o prevalecimento do irracional. Depois de dissertar longamente contra a razão, exclamara Unamuno: «Apesar disso, precisamos da lógica, desse poder terrível, para transmitir pensamentos e percepções e até para pensar e perceber, porque pensamos com palavras, percebemos com formas»</w:t>
      </w:r>
      <w:r w:rsidRPr="00341472">
        <w:rPr>
          <w:rStyle w:val="Refdenotaderodap"/>
        </w:rPr>
        <w:footnoteReference w:id="178"/>
      </w:r>
      <w:r w:rsidRPr="00341472">
        <w:t>. Pensar e perceber de maneira anti-racional, e passar de contrabando os resultados desta actividade mental para os ordenar segundo as regras da lógica, como se fossem conceitos. «O que se vai seguir não me saiu da razão, mas da vida, embora para transmiti-lo tenha, de certo modo, de racionalizá-lo»</w:t>
      </w:r>
      <w:r w:rsidRPr="00341472">
        <w:rPr>
          <w:rStyle w:val="Refdenotaderodap"/>
        </w:rPr>
        <w:footnoteReference w:id="179"/>
      </w:r>
      <w:r w:rsidRPr="00341472">
        <w:t>. E, várias dezenas de páginas adiante, o filósofo prevenira que «se trata aqui de dar forma lógica a um sistema de sentimentos alógicos»</w:t>
      </w:r>
      <w:r w:rsidRPr="00341472">
        <w:rPr>
          <w:rStyle w:val="Refdenotaderodap"/>
        </w:rPr>
        <w:footnoteReference w:id="180"/>
      </w:r>
      <w:r w:rsidRPr="00341472">
        <w:t>. Desta dialéctica resultou a concepção unamuniana de língua, sistema lógico, mas ao mesmo tempo sistema de metáforas. «A língua, substância do pensamento, é um sistema de metáforas de base mítica e antropomórfica»</w:t>
      </w:r>
      <w:r w:rsidRPr="00341472">
        <w:rPr>
          <w:rStyle w:val="Refdenotaderodap"/>
        </w:rPr>
        <w:footnoteReference w:id="181"/>
      </w:r>
      <w:r w:rsidRPr="00341472">
        <w:t>. E, logo em seguida a ter afirmado que «toda a filosofia é [...], no fundo, filologia», Unamuno acrescentara que «a filologia, com a sua grande e fecunda lei das formações analógicas, dá a sua parte ao acaso, ao irracional, ao absolutamente incomensurável»</w:t>
      </w:r>
      <w:r w:rsidRPr="00341472">
        <w:rPr>
          <w:rStyle w:val="Refdenotaderodap"/>
        </w:rPr>
        <w:footnoteReference w:id="182"/>
      </w:r>
      <w:r w:rsidRPr="00341472">
        <w:t xml:space="preserve">. </w:t>
      </w:r>
    </w:p>
    <w:p w:rsidR="00837D5C" w:rsidRPr="00341472" w:rsidRDefault="00837D5C" w:rsidP="00837D5C">
      <w:pPr>
        <w:tabs>
          <w:tab w:val="left" w:pos="720"/>
          <w:tab w:val="left" w:pos="3312"/>
        </w:tabs>
      </w:pPr>
      <w:r w:rsidRPr="00341472">
        <w:t>Desta luta sem fim da vida contra a razão nasceria Deus. «Todo o ser criado tende não só a se conservar em si como a perpetuar-se, e além disso a invadir todos os outros, a ser os outros sem deixar de ser ele, a ampliar os seus limites até ao infinito, mas sem os romper. Não quer romper os seus muros [...], mas quer levar os seus muros até ao extremo do criado e abarcar tudo dentro deles. Quer o máximo de individualidade com o máximo, também, de personalidade; aspira a que o universo seja ele, aspira a Deus. Este vasto eu, dentro do qual cada eu quer pôr o universo, que é senão Deus?»</w:t>
      </w:r>
      <w:r w:rsidRPr="00341472">
        <w:rPr>
          <w:rStyle w:val="Refdenotaderodap"/>
        </w:rPr>
        <w:footnoteReference w:id="183"/>
      </w:r>
      <w:r w:rsidRPr="00341472">
        <w:t>. Tratava-se de uma fenomenologia da vontade, enquanto vontade de imortalidade, que era criativa nesta sua projecção. «[...] crer em Deus é, de certo modo, criá-lo, ainda que Ele nos crie antes. É Ele que, em nós, se cria a si mesmo continuamente. Criámos Deus para salvar o Universo do nada»</w:t>
      </w:r>
      <w:r w:rsidRPr="00341472">
        <w:rPr>
          <w:rStyle w:val="Refdenotaderodap"/>
        </w:rPr>
        <w:footnoteReference w:id="184"/>
      </w:r>
      <w:r w:rsidRPr="00341472">
        <w:t xml:space="preserve">, ou noutra formulação: </w:t>
      </w:r>
      <w:r w:rsidRPr="00341472">
        <w:lastRenderedPageBreak/>
        <w:t xml:space="preserve">«Depois de eu morrer, Deus continuará </w:t>
      </w:r>
      <w:r w:rsidR="004E32E9">
        <w:t xml:space="preserve">a </w:t>
      </w:r>
      <w:r w:rsidRPr="00341472">
        <w:t>lembra</w:t>
      </w:r>
      <w:r w:rsidR="004E32E9">
        <w:t>r</w:t>
      </w:r>
      <w:r w:rsidRPr="00341472">
        <w:t>-se de mim, e o facto de eu ser lembrado por Deus, o facto de a minha consciência ser mantida pela Consciência Suprema, acaso não é ser?»</w:t>
      </w:r>
      <w:r w:rsidRPr="00341472">
        <w:rPr>
          <w:rStyle w:val="Refdenotaderodap"/>
        </w:rPr>
        <w:footnoteReference w:id="185"/>
      </w:r>
      <w:r w:rsidRPr="00341472">
        <w:t>. Assim, a vontade de eternidade em acto seria Deus. E este Deus, enquanto resultado e ao mesmo tempo condição da ânsia de imortalidade do homem, não podia deixar de ser antropomórfico</w:t>
      </w:r>
      <w:r w:rsidRPr="00341472">
        <w:rPr>
          <w:rStyle w:val="Refdenotaderodap"/>
        </w:rPr>
        <w:footnoteReference w:id="186"/>
      </w:r>
      <w:r w:rsidRPr="00341472">
        <w:t>, pois não se tratava da projecção de um eu abstracto, como em Fichte, mas de um eu concreto, que comia e dormia e outras coisas ainda. Da fenomenologia desta vontade resultou Deus; e de Deus, enquanto resultado supremo de uma tal vontade, emanou por seu turno uma fenomenologia das virtudes morais</w:t>
      </w:r>
      <w:r w:rsidRPr="00341472">
        <w:rPr>
          <w:rStyle w:val="Refdenotaderodap"/>
        </w:rPr>
        <w:footnoteReference w:id="187"/>
      </w:r>
      <w:r w:rsidRPr="00341472">
        <w:t xml:space="preserve">. Ao cabo de muitas páginas de desenvolvimento da fenomenologia da divindade enquanto resultado da vontade de imortalidade, Unamuno escrevera, como </w:t>
      </w:r>
      <w:r w:rsidR="00BF2FC9">
        <w:t xml:space="preserve">uma evidência, </w:t>
      </w:r>
      <w:r w:rsidRPr="00341472">
        <w:t>«dar finalidade humana, ou seja, divina [...]»</w:t>
      </w:r>
      <w:r w:rsidRPr="00341472">
        <w:rPr>
          <w:rStyle w:val="Refdenotaderodap"/>
        </w:rPr>
        <w:footnoteReference w:id="188"/>
      </w:r>
      <w:r w:rsidRPr="00341472">
        <w:t xml:space="preserve">. </w:t>
      </w:r>
    </w:p>
    <w:p w:rsidR="00837D5C" w:rsidRPr="00341472" w:rsidRDefault="00837D5C" w:rsidP="00837D5C">
      <w:pPr>
        <w:tabs>
          <w:tab w:val="left" w:pos="720"/>
          <w:tab w:val="left" w:pos="3312"/>
        </w:tabs>
      </w:pPr>
      <w:r w:rsidRPr="00341472">
        <w:t xml:space="preserve">Afinal </w:t>
      </w:r>
      <w:r w:rsidR="000D7555">
        <w:t>—</w:t>
      </w:r>
      <w:r w:rsidRPr="00341472">
        <w:t xml:space="preserve"> mas seria de esperar outra coisa? </w:t>
      </w:r>
      <w:r w:rsidR="000D7555">
        <w:t>—</w:t>
      </w:r>
      <w:r w:rsidRPr="00341472">
        <w:t xml:space="preserve"> um livro que se apresenta da primeira até à última página como uma desesperada projecção da vida</w:t>
      </w:r>
      <w:r w:rsidRPr="00341472">
        <w:rPr>
          <w:rStyle w:val="Refdenotaderodap"/>
        </w:rPr>
        <w:footnoteReference w:id="189"/>
      </w:r>
      <w:r w:rsidRPr="00341472">
        <w:t xml:space="preserve"> não pode ser lido senão como uma descrição da imanência da morte. Em Madrid a arder sob as bombas incendiárias da aviação fascista, </w:t>
      </w:r>
      <w:r>
        <w:t xml:space="preserve">sofrendo </w:t>
      </w:r>
      <w:r w:rsidRPr="00341472">
        <w:t>a primeira experiência sistemática de desmoralização da população civil através do massacre aéreo de indefesos, um personagem de Malraux, o etnólogo García, um dos chefes do serviço de informações militar e velho amigo de Unamuno, conversava com Scali, um dos responsáveis da escassa aviação internacionalista que defendia a república, exilado italiano, especialista de Piero della Francesca, e recordava a conversa que acabara de ter com alguém que viera do lado nacionalista acerca do reitor demissionário da Universidade de Salamanca, fechado no quarto, deitado na cama, recusando-se sair à rua. «“Unamuno vai ficar completamente frustrado da sua morte”, disse Scali. “O destino tinha-lhe preparado aqui o funeral que durante toda a vida ele sonhara...”»</w:t>
      </w:r>
      <w:r w:rsidRPr="00341472">
        <w:rPr>
          <w:rStyle w:val="Refdenotaderodap"/>
        </w:rPr>
        <w:footnoteReference w:id="190"/>
      </w:r>
      <w:r w:rsidRPr="00341472">
        <w:t xml:space="preserve">. Malraux viu bem, aquela obsessão de vida só podia ser o longo sonho de uma apoteose fúnebre. A filosofia de Unamuno resume-se a afirmar que, se existe a morte, é necessário que ela não exista, para que tudo não seja um absurdo. Entre a ânsia de imortalidade e o pavor da morte, não é esta última a sensação mais imediata? Unamuno perturbou-se tanto com o grito que ouviu em 12 de Outubro de 1936 porque a sua obra maior foi uma tentativa angustiada de não escutar o que ele próprio estava a dizer </w:t>
      </w:r>
      <w:r w:rsidR="00D63DFE">
        <w:t>—</w:t>
      </w:r>
      <w:r w:rsidRPr="00341472">
        <w:t xml:space="preserve"> Viva a Morte! Desencadeada a guerra civil, a Espanha fascista, irracional porque ansiosa de imortalidade, podia viver, plenamente irracionalista, nos vitupérios do general, que ao matar a </w:t>
      </w:r>
      <w:r w:rsidRPr="00341472">
        <w:lastRenderedPageBreak/>
        <w:t>razão libertava as forças da morte. Estava velho, o velho Miguel de Unamuno, com a pior das idades, a que não se vê nos resultados da sua obra, esquivando-se a recordar os domínios obscuros do instinto e da intuição que durante toda a sua carreira literária perscrutara e esquecendo-se de colocar a ruína humana na rigorosa e legítima linhagem das de pedra. Para não aceitar a conclusão lógica da sua própria cultura, Unamuno teve de dar ali mesmo por concluída a sua inteligência, no preciso momento em que ela deparava com os frutos mais reveladores. Por isso terminou o discurso de réplica a Millán Astray na</w:t>
      </w:r>
      <w:r w:rsidR="008B6AE6" w:rsidRPr="008B6AE6">
        <w:t xml:space="preserve"> </w:t>
      </w:r>
      <w:r w:rsidR="008B6AE6" w:rsidRPr="00341472">
        <w:t>forma</w:t>
      </w:r>
      <w:r w:rsidR="008B6AE6">
        <w:t xml:space="preserve"> </w:t>
      </w:r>
      <w:r w:rsidRPr="00341472">
        <w:t xml:space="preserve">infantil </w:t>
      </w:r>
      <w:r w:rsidR="008B6AE6">
        <w:t>d</w:t>
      </w:r>
      <w:r w:rsidRPr="00341472">
        <w:t>o amuo</w:t>
      </w:r>
      <w:r w:rsidR="008B6AE6">
        <w:t>,</w:t>
      </w:r>
      <w:r w:rsidRPr="00341472">
        <w:t xml:space="preserve"> </w:t>
      </w:r>
      <w:r w:rsidR="008B6AE6" w:rsidRPr="00341472">
        <w:t xml:space="preserve">falou </w:t>
      </w:r>
      <w:r w:rsidRPr="00341472">
        <w:t xml:space="preserve">do «templo do intelecto», disse que era o seu «sumo sacerdote». Tão </w:t>
      </w:r>
      <w:r w:rsidR="008B6AE6">
        <w:t>cediço</w:t>
      </w:r>
      <w:r w:rsidRPr="00341472">
        <w:t xml:space="preserve"> aquilo tudo. E retirou-se, dignidade ofendida. Foi um escândalo, claro. Daí em diante o reitor da Universidade de Salamanca permaneceu em prisão domiciliária. Como o general pluriamputado se devia ter divertido! </w:t>
      </w:r>
    </w:p>
    <w:p w:rsidR="00837D5C" w:rsidRPr="00341472" w:rsidRDefault="00837D5C" w:rsidP="00837D5C">
      <w:r w:rsidRPr="00341472">
        <w:t xml:space="preserve">Outros se divertiram também, se não mais ainda </w:t>
      </w:r>
      <w:r w:rsidR="00D63DFE">
        <w:t>—</w:t>
      </w:r>
      <w:r w:rsidRPr="00341472">
        <w:t xml:space="preserve"> os falangistas que tinham encontrado inspiração e apoio junto a um Unamuno que influenciara Ledesma Ramos e em Fevereiro de 1935 oferecera a sua presença a um comício da Falange e aceitara em casa a visita de José Antonio, recuando apenas perante o excessivo radicalismo das JONS</w:t>
      </w:r>
      <w:r w:rsidRPr="00341472">
        <w:rPr>
          <w:rStyle w:val="Refdenotaderodap"/>
        </w:rPr>
        <w:footnoteReference w:id="191"/>
      </w:r>
      <w:r w:rsidRPr="00341472">
        <w:t xml:space="preserve">. Unamuno contou-se entre os mestres da revolta intelectual irracionalista que serviu ao fascismo de quadro para conceber como estética a prática política e para justificar a formação de elites. É certo que o incidente na Universidade de Salamanca alimentou entre os democratas bem-pensantes uma durável mitologia, tal como a Espanha republicana gostaria que os acontecimentos se tivessem passado. Mas a história foi outra, assente noutra trama, feita com outros fios. Ao especular sobre a vontade de imortalidade, Unamuno não se limitara a prosseguir a destruição da razão e a deixar subjacente a imanência da morte. Percebemos o eco das suas convicções sociais nos clamores que, um quarto de século mais tarde, haveriam de se ouvir aos partidários dos generais sublevados. </w:t>
      </w:r>
    </w:p>
    <w:p w:rsidR="00837D5C" w:rsidRPr="00341472" w:rsidRDefault="00837D5C" w:rsidP="00837D5C">
      <w:r w:rsidRPr="00341472">
        <w:t>Unamuno mostrara o que pretendia com a tese do carácter exclusivamente concreto do homem, «o homem de carne e osso»</w:t>
      </w:r>
      <w:r w:rsidRPr="00341472">
        <w:rPr>
          <w:rStyle w:val="Refdenotaderodap"/>
        </w:rPr>
        <w:footnoteReference w:id="192"/>
      </w:r>
      <w:r w:rsidRPr="00341472">
        <w:t xml:space="preserve">, ao declarar: «Cada um defende a sua personalidade e só aceita uma mudança no seu modo de pensar ou de sentir na medida em que esta mudança possa fazer parte da unidade do seu espírito [...] Não se pode exigir de um homem nem de um povo </w:t>
      </w:r>
      <w:r w:rsidR="002E4D4E">
        <w:t>—</w:t>
      </w:r>
      <w:r w:rsidRPr="00341472">
        <w:t xml:space="preserve"> que é, em certo sentido, um homem também </w:t>
      </w:r>
      <w:r w:rsidR="002E4D4E">
        <w:t>—</w:t>
      </w:r>
      <w:r w:rsidRPr="00341472">
        <w:t xml:space="preserve"> uma mudança que rompa a unidade e a continuidade da sua pessoa»</w:t>
      </w:r>
      <w:r w:rsidRPr="00341472">
        <w:rPr>
          <w:rStyle w:val="Refdenotaderodap"/>
        </w:rPr>
        <w:footnoteReference w:id="193"/>
      </w:r>
      <w:r w:rsidRPr="00341472">
        <w:t xml:space="preserve">. A partir do momento em que aquilo que é serve de prova única </w:t>
      </w:r>
      <w:r w:rsidRPr="00341472">
        <w:lastRenderedPageBreak/>
        <w:t>e última de si próprio, a imutabilidade torna-se a condição da existência e qualquer alteração drástica só pode ser entendida em sentido negativo, como uma morte. «Tudo o que em mim concorra para quebrar a unidade e a continuidade da minha vida concorre para me destruir e, portanto, para se destruir. Qualquer indivíduo que, num povo, concorra para quebrar a unidade e a continuidade espirituais desse povo tende a destruí-lo e a destruir-se como parte desse povo»</w:t>
      </w:r>
      <w:r w:rsidRPr="00341472">
        <w:rPr>
          <w:rStyle w:val="Refdenotaderodap"/>
        </w:rPr>
        <w:footnoteReference w:id="194"/>
      </w:r>
      <w:r w:rsidRPr="00341472">
        <w:t xml:space="preserve">. Nestes termos, invocar o presente era justificar a sua perpetuação. Seria difícil dar do conservadorismo uma expressão mais pronunciada e tautológica, e se o conservadorismo resultava da noção unamuniana de presente, a ânsia de imortalidade não era outra coisa senão a sua forma filosófica. </w:t>
      </w:r>
    </w:p>
    <w:p w:rsidR="00837D5C" w:rsidRPr="00341472" w:rsidRDefault="00837D5C" w:rsidP="00837D5C">
      <w:r w:rsidRPr="00341472">
        <w:t>Isto pudera suceder porque Unamuno possuía uma visão orgânica da sociedade, considerando um povo, «em certo sentido, um homem também»</w:t>
      </w:r>
      <w:r w:rsidRPr="00341472">
        <w:rPr>
          <w:rStyle w:val="Refdenotaderodap"/>
        </w:rPr>
        <w:footnoteReference w:id="195"/>
      </w:r>
      <w:r w:rsidRPr="00341472">
        <w:t xml:space="preserve">. A biologização do povo foi a condição </w:t>
      </w:r>
      <w:r w:rsidR="003D57DC">
        <w:t>deste</w:t>
      </w:r>
      <w:r w:rsidRPr="00341472">
        <w:t xml:space="preserve"> conservadorismo. Ora, o homem só podia ser assimilado a um povo enquanto o povo não se ampliasse de maneira a incluir toda a humanidade, porque então teríamos a odiada abstracção</w:t>
      </w:r>
      <w:r w:rsidRPr="00341472">
        <w:rPr>
          <w:rStyle w:val="Refdenotaderodap"/>
        </w:rPr>
        <w:footnoteReference w:id="196"/>
      </w:r>
      <w:r w:rsidRPr="00341472">
        <w:t xml:space="preserve">. A paragem nos limites de cada povo é um postulado do </w:t>
      </w:r>
      <w:r w:rsidR="003D57DC">
        <w:t>nacionalismo</w:t>
      </w:r>
      <w:r w:rsidRPr="00341472">
        <w:t xml:space="preserve"> orgânico, e Unamuno justificou-a através da sua concepção de língua. «[...] o ponto de partida lógico de toda a especulação filosófica não é o eu, não é a representação </w:t>
      </w:r>
      <w:r w:rsidRPr="00341472">
        <w:rPr>
          <w:i/>
        </w:rPr>
        <w:t>(Vorstellung)</w:t>
      </w:r>
      <w:r w:rsidRPr="00341472">
        <w:t xml:space="preserve"> ou o mundo tal como se nos apresenta imediatamente aos sentidos, mas sim a representação mediata ou histórica, humanamente elaborada e tal como se nos dá principalmente na linguagem por meio da qual conhecemos o mundo [...] Cada um de nós parte, para pensar, sabendo-o ou não, querendo-o ou não, do que pensaram os outros que nos precederam e nos rodeiam. O pensamento é uma herança. [...] O pensamento repousa em pré-conceitos, e os pré-conceitos estão na língua. [...] Toda a filosofia é, pois, no fundo, filologia»</w:t>
      </w:r>
      <w:r w:rsidRPr="00341472">
        <w:rPr>
          <w:rStyle w:val="Refdenotaderodap"/>
        </w:rPr>
        <w:footnoteReference w:id="197"/>
      </w:r>
      <w:r w:rsidRPr="00341472">
        <w:t>. A língua não era, para Unamuno, um instrumento plástico, que cada pessoa ou cada grupo social podia carregar com os seus significados e as suas conotações próprias, mas um verdadeiro presídio, um maquinismo legado pelos antepassados e que, a bem dizer, pensava por nós. Os «pré-conceitos» não emanariam da prática, mas residiriam na língua, determinante absoluta da reflexão presente, determinada ela mesma só pela história. «Uma língua é, de facto, uma filosofia potencial»</w:t>
      </w:r>
      <w:r w:rsidRPr="00341472">
        <w:rPr>
          <w:rStyle w:val="Refdenotaderodap"/>
        </w:rPr>
        <w:footnoteReference w:id="198"/>
      </w:r>
      <w:r w:rsidRPr="00341472">
        <w:t>, a tal ponto que os sistemas dos maiores pensadores se confundem com a lógica da língua em que foram elaborados</w:t>
      </w:r>
      <w:r w:rsidRPr="00341472">
        <w:rPr>
          <w:rStyle w:val="Refdenotaderodap"/>
        </w:rPr>
        <w:footnoteReference w:id="199"/>
      </w:r>
      <w:r w:rsidRPr="00341472">
        <w:t xml:space="preserve">. Assim, quando Unamuno se referia à língua, tratava-se para ele da substância do </w:t>
      </w:r>
      <w:r w:rsidRPr="00341472">
        <w:lastRenderedPageBreak/>
        <w:t>povo, pois classificava «a língua» como «substância do pensamento»</w:t>
      </w:r>
      <w:r w:rsidRPr="00341472">
        <w:rPr>
          <w:rStyle w:val="Refdenotaderodap"/>
        </w:rPr>
        <w:footnoteReference w:id="200"/>
      </w:r>
      <w:r w:rsidRPr="00341472">
        <w:t xml:space="preserve">. E o povo, tomado em sentido orgânico, concreto, corpóreo, era considerado por Unamuno enquanto raça. Logo depois de afirmar que não pensamos o mundo tal como o sentimos, mas tal como a língua no-lo dá, ele prosseguira: «A representação é [...], como a linguagem, como a própria razão </w:t>
      </w:r>
      <w:r w:rsidR="0097324F">
        <w:t>—</w:t>
      </w:r>
      <w:r w:rsidRPr="00341472">
        <w:t xml:space="preserve"> que não é senão linguagem interior </w:t>
      </w:r>
      <w:r w:rsidR="0097324F">
        <w:t>—</w:t>
      </w:r>
      <w:r w:rsidRPr="00341472">
        <w:t>, um produto social e racial, e a raça, o sangue do espírito, é a língua [...]»</w:t>
      </w:r>
      <w:r w:rsidRPr="00341472">
        <w:rPr>
          <w:rStyle w:val="Refdenotaderodap"/>
        </w:rPr>
        <w:footnoteReference w:id="201"/>
      </w:r>
      <w:r w:rsidRPr="00341472">
        <w:t>. Seria difícil glosar mais exactamente o tema da linguística romântica alemã. Comunicarmos era, portanto, comunicarmos dentro do povo, e embora esta noção estivesse subjacente, ela não deixava por isso de ser tão clara que o próprio Unamuno se considerara a si mesmo como emanação de uma raça. «O que chamo sentimento trágico da vida nos homens e nos povos é, no mínimo, o nosso sentimento trágico da vida, o dos espanhóis e do povo espanhol, tal como se reflecte na minha consciência, que é uma consciência espanhola, constituída na Espanha»</w:t>
      </w:r>
      <w:r w:rsidRPr="00341472">
        <w:rPr>
          <w:rStyle w:val="Refdenotaderodap"/>
        </w:rPr>
        <w:footnoteReference w:id="202"/>
      </w:r>
      <w:r w:rsidRPr="00341472">
        <w:t xml:space="preserve">. A vontade de imortalidade, o «sentimento trágico» </w:t>
      </w:r>
      <w:r w:rsidR="0097324F">
        <w:t>—</w:t>
      </w:r>
      <w:r w:rsidRPr="00341472">
        <w:t xml:space="preserve"> e não foi ocasionalmente que o título da obra o deixou claro </w:t>
      </w:r>
      <w:r w:rsidR="0097324F">
        <w:t>—</w:t>
      </w:r>
      <w:r w:rsidRPr="00341472">
        <w:t xml:space="preserve"> moveria tanto os homens como os povos. </w:t>
      </w:r>
    </w:p>
    <w:p w:rsidR="00837D5C" w:rsidRPr="00341472" w:rsidRDefault="00837D5C" w:rsidP="00837D5C">
      <w:r w:rsidRPr="00341472">
        <w:t xml:space="preserve">Neste contexto revelou-se plenamente o sentido social da vontade de poder, enquanto manifestação prática da vontade de imortalidade de homens, concretos na sua carne e nos seus ossos, e de povos, concretizados através do mito da raça. Porque Unamuno não </w:t>
      </w:r>
      <w:r w:rsidR="00D26B5C">
        <w:t xml:space="preserve">se limitara ao </w:t>
      </w:r>
      <w:r w:rsidRPr="00341472">
        <w:t xml:space="preserve">plano das ideias e propusera igualmente </w:t>
      </w:r>
      <w:r w:rsidR="00D26B5C">
        <w:t xml:space="preserve">uma </w:t>
      </w:r>
      <w:r w:rsidRPr="00341472">
        <w:t>prática. Da ânsia de perenidade, além de deduzir Deus e as virtudes, ele retirara uma regra de conduta. «O nosso maior esforço será o de nos tornarmos insubstituíveis, o de tornar uma verdade prática o facto teórico [...] de que cada um de nós é único e insubstituível, de que outro não pode preencher o vazio que deixamos ao morrer»</w:t>
      </w:r>
      <w:r w:rsidRPr="00341472">
        <w:rPr>
          <w:rStyle w:val="Refdenotaderodap"/>
        </w:rPr>
        <w:footnoteReference w:id="203"/>
      </w:r>
      <w:r w:rsidRPr="00341472">
        <w:t xml:space="preserve">. A vontade de imortalidade sustentara uma vontade de poder. «Entrega-te [...] aos outros, mas, para te entregares a eles, primeiro domina-os. Pois não cabe dominar sem ser dominado. [...] Amar o próximo é querer que ele seja como eu, que seja outro eu, isto é, é querer eu ser ele, é querer suprimir a divisória entre ele e eu [...] O meu esforço por me impor a outro, por ser e viver nele e dele, por fazê-lo meu </w:t>
      </w:r>
      <w:r w:rsidR="00BD36C0">
        <w:t>—</w:t>
      </w:r>
      <w:r w:rsidRPr="00341472">
        <w:t xml:space="preserve"> que é a mesma coisa que fazer-me seu </w:t>
      </w:r>
      <w:r w:rsidR="00BD36C0">
        <w:t>—</w:t>
      </w:r>
      <w:r w:rsidRPr="00341472">
        <w:t>, é o que dá sentido religioso à colectividade, à solidariedade humana»</w:t>
      </w:r>
      <w:r w:rsidRPr="00341472">
        <w:rPr>
          <w:rStyle w:val="Refdenotaderodap"/>
        </w:rPr>
        <w:footnoteReference w:id="204"/>
      </w:r>
      <w:r w:rsidRPr="00341472">
        <w:t xml:space="preserve">. Assim, a vontade de poder, entendida enquanto manifestação prática da vontade de imortalidade, sustentara para Unamuno uma colectividade de carácter orgânico. À mesma conclusão se podia chegar ao observar-se que, tendo todos uma igual vontade de imortalidade e, portanto, esforçando-se cada um por se impor a todos os outros, fazer o outro de si seria o mesmo que fazer-se a si dele, e daí o carácter </w:t>
      </w:r>
      <w:r w:rsidRPr="00341472">
        <w:lastRenderedPageBreak/>
        <w:t>orgânico da colectividade. A um tal processo chamara Unamuno a «moral da mútua imposição»</w:t>
      </w:r>
      <w:r w:rsidRPr="00341472">
        <w:rPr>
          <w:rStyle w:val="Refdenotaderodap"/>
        </w:rPr>
        <w:footnoteReference w:id="205"/>
      </w:r>
      <w:r w:rsidRPr="00341472">
        <w:t>. «Cada um se alimenta da carne daquele a quem devora», advertira Unamuno. «Amar o próximo é querer que ele seja como eu, que seja outro eu [...]»</w:t>
      </w:r>
      <w:r w:rsidRPr="00341472">
        <w:rPr>
          <w:rStyle w:val="Refdenotaderodap"/>
        </w:rPr>
        <w:footnoteReference w:id="206"/>
      </w:r>
      <w:r w:rsidRPr="00341472">
        <w:t>. Este era o amor propiciado pelo Senhor Deus dos Exércitos</w:t>
      </w:r>
      <w:r w:rsidRPr="00341472">
        <w:rPr>
          <w:rStyle w:val="Refdenotaderodap"/>
        </w:rPr>
        <w:footnoteReference w:id="207"/>
      </w:r>
      <w:r w:rsidRPr="00341472">
        <w:t>, ou o amor em que se fundava aquele paraíso, invocado por José Antonio, que devia ter, «junto aos umbrais das portas, anjos com espadas»</w:t>
      </w:r>
      <w:r w:rsidRPr="00341472">
        <w:rPr>
          <w:rStyle w:val="Refdenotaderodap"/>
        </w:rPr>
        <w:footnoteReference w:id="208"/>
      </w:r>
      <w:r w:rsidRPr="00341472">
        <w:t>. Haviam chegado os tempos, e se o profeta Unamuno virava agora o rosto para não se mirar no espelho da guerra civil a culpa era dele, que chamara à guerra «escola de fraternidade e laço de amor» e anunciara que «o mais puro e mais fecundo abraço de amor que os homens se podem dar é o que dão, no campo de batalha, o vencedor e o vencido»</w:t>
      </w:r>
      <w:r w:rsidRPr="00341472">
        <w:rPr>
          <w:rStyle w:val="Refdenotaderodap"/>
        </w:rPr>
        <w:footnoteReference w:id="209"/>
      </w:r>
      <w:r w:rsidRPr="00341472">
        <w:t>. Da vontade de imortalidade resultara a vontade de poder, e da vontade de poder resultara a legitimação prática da mais abjecta exploração. Depois de mencionar «a glória do Estado, filho da guerra», Unamuno pretendera que «a civilização começou no dia em que um homem, submetendo outro e obrigando-o a trabalhar para os dois, pôde dedicar-se à contemplação do mundo e obrigar o seu submisso a trabalhos de luxo. Foi a escravidão que permitiu a Platão especular sobre a república ideal, e foi a guerra que trouxe a escravidão. Não é em vão que Atenas é a deusa da guerra e da ciência». E exclamara, impaciente, o filósofo: «Mas será necessário repetir outra vez estas verdades tão óbvias, mil vezes esquecidas e que outras mil voltam a renascer?»</w:t>
      </w:r>
      <w:r w:rsidRPr="00341472">
        <w:rPr>
          <w:rStyle w:val="Refdenotaderodap"/>
        </w:rPr>
        <w:footnoteReference w:id="210"/>
      </w:r>
      <w:r w:rsidRPr="00341472">
        <w:t>. Decerto o «sentimento trágico da vida», enquanto vontade de poder de uns sobre outros, justificaria também as profundas desigualdades económicas e sociais da Espanha, assim como santificaria a sublevação dos generais. «A verdadeira moral religiosa é, no fundo, agressiva, invasora», escrevera o velho mestre, para acrescentar: «Sinto-me com uma alma medieval e afigura-se-me que é medieval a alma da minha pátria [...]»</w:t>
      </w:r>
      <w:r w:rsidRPr="00341472">
        <w:rPr>
          <w:rStyle w:val="Refdenotaderodap"/>
        </w:rPr>
        <w:footnoteReference w:id="211"/>
      </w:r>
      <w:r w:rsidRPr="00341472">
        <w:t xml:space="preserve">. Nem outra coisa diziam os seus discípulos falangistas e os demais pregadores da cruzada de Franco. </w:t>
      </w:r>
    </w:p>
    <w:p w:rsidR="00F21840" w:rsidRPr="00837D5C" w:rsidRDefault="00837D5C" w:rsidP="00837D5C">
      <w:pPr>
        <w:tabs>
          <w:tab w:val="left" w:pos="720"/>
          <w:tab w:val="left" w:pos="3312"/>
        </w:tabs>
      </w:pPr>
      <w:r w:rsidRPr="00341472">
        <w:t xml:space="preserve">Dois meses e meio depois da escandalosa cena na universidade, no derradeiro dia de 1936, morreu Miguel de Unamuno, não da morte viva que o outro gritava, mas de uma morte morta, e só os falangistas ousaram celebrar o seu enterro, enfrentando arrogantemente o ostracismo que o mestre sofrera nos últimos tempos. «O enterro de Unamuno ocorreu à tarde. [...] a assistência era formada na maior parte por camisas azuis, e alguns falangistas levaram aos ombros o caixão. [...] E, após a ordem de formar e desfilar, ouviu-se a voz do falangista de </w:t>
      </w:r>
      <w:r w:rsidRPr="00341472">
        <w:lastRenderedPageBreak/>
        <w:t xml:space="preserve">Salamanca: </w:t>
      </w:r>
      <w:r w:rsidR="00BD36C0">
        <w:t>—</w:t>
      </w:r>
      <w:r w:rsidRPr="00341472">
        <w:t xml:space="preserve"> Miguel de Unamuno y Jugo... E a resposta, unânime: </w:t>
      </w:r>
      <w:r w:rsidR="00BD36C0">
        <w:t>—</w:t>
      </w:r>
      <w:r w:rsidRPr="00341472">
        <w:t xml:space="preserve"> Presente!»</w:t>
      </w:r>
      <w:r w:rsidRPr="00341472">
        <w:rPr>
          <w:rStyle w:val="Refdenotaderodap"/>
        </w:rPr>
        <w:footnoteReference w:id="212"/>
      </w:r>
      <w:r w:rsidRPr="00341472">
        <w:t xml:space="preserve">. Contra o «grito necrófilo e sem sentido» desforrava-se afinal o velho professor, que os falangistas gritavam vivo quando acabava de morrer. Um era um vivo morto, o outro tornara-se um morto vivo. Haviam-se encontrado ambos na cultura comum. </w:t>
      </w:r>
    </w:p>
    <w:sectPr w:rsidR="00F21840" w:rsidRPr="00837D5C" w:rsidSect="004A2B20">
      <w:footerReference w:type="even" r:id="rId7"/>
      <w:footerReference w:type="default" r:id="rId8"/>
      <w:pgSz w:w="11907" w:h="16840" w:code="9"/>
      <w:pgMar w:top="1417" w:right="1701" w:bottom="1417" w:left="1701" w:header="720" w:footer="720" w:gutter="0"/>
      <w:pgNumType w:start="1162"/>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BA3" w:rsidRDefault="00BF2BA3" w:rsidP="00837D5C">
      <w:pPr>
        <w:spacing w:line="240" w:lineRule="auto"/>
      </w:pPr>
      <w:r>
        <w:separator/>
      </w:r>
    </w:p>
  </w:endnote>
  <w:endnote w:type="continuationSeparator" w:id="0">
    <w:p w:rsidR="00BF2BA3" w:rsidRDefault="00BF2BA3" w:rsidP="00837D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1C" w:rsidRDefault="008816B1">
    <w:pPr>
      <w:pStyle w:val="Rodap"/>
      <w:framePr w:wrap="around" w:vAnchor="text" w:hAnchor="margin" w:xAlign="center" w:y="1"/>
      <w:rPr>
        <w:rStyle w:val="Nmerodepgina"/>
      </w:rPr>
    </w:pPr>
    <w:r>
      <w:rPr>
        <w:rStyle w:val="Nmerodepgina"/>
      </w:rPr>
      <w:fldChar w:fldCharType="begin"/>
    </w:r>
    <w:r w:rsidR="00354459">
      <w:rPr>
        <w:rStyle w:val="Nmerodepgina"/>
      </w:rPr>
      <w:instrText xml:space="preserve">PAGE  </w:instrText>
    </w:r>
    <w:r>
      <w:rPr>
        <w:rStyle w:val="Nmerodepgina"/>
      </w:rPr>
      <w:fldChar w:fldCharType="end"/>
    </w:r>
  </w:p>
  <w:p w:rsidR="00D77E1C" w:rsidRDefault="00BF2BA3">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1C" w:rsidRPr="00B41814" w:rsidRDefault="008816B1">
    <w:pPr>
      <w:pStyle w:val="Rodap"/>
      <w:framePr w:wrap="around" w:vAnchor="text" w:hAnchor="margin" w:xAlign="center" w:y="1"/>
      <w:ind w:firstLine="0"/>
      <w:rPr>
        <w:rStyle w:val="Nmerodepgina"/>
        <w:rFonts w:ascii="Arial Narrow" w:hAnsi="Arial Narrow"/>
        <w:i/>
      </w:rPr>
    </w:pPr>
    <w:r w:rsidRPr="00B41814">
      <w:rPr>
        <w:rStyle w:val="Nmerodepgina"/>
        <w:rFonts w:ascii="Arial Narrow" w:hAnsi="Arial Narrow"/>
        <w:i/>
      </w:rPr>
      <w:fldChar w:fldCharType="begin"/>
    </w:r>
    <w:r w:rsidR="00354459" w:rsidRPr="00B41814">
      <w:rPr>
        <w:rStyle w:val="Nmerodepgina"/>
        <w:rFonts w:ascii="Arial Narrow" w:hAnsi="Arial Narrow"/>
        <w:i/>
      </w:rPr>
      <w:instrText xml:space="preserve">PAGE  </w:instrText>
    </w:r>
    <w:r w:rsidRPr="00B41814">
      <w:rPr>
        <w:rStyle w:val="Nmerodepgina"/>
        <w:rFonts w:ascii="Arial Narrow" w:hAnsi="Arial Narrow"/>
        <w:i/>
      </w:rPr>
      <w:fldChar w:fldCharType="separate"/>
    </w:r>
    <w:r w:rsidR="001F7761">
      <w:rPr>
        <w:rStyle w:val="Nmerodepgina"/>
        <w:rFonts w:ascii="Arial Narrow" w:hAnsi="Arial Narrow"/>
        <w:i/>
        <w:noProof/>
      </w:rPr>
      <w:t>1222</w:t>
    </w:r>
    <w:r w:rsidRPr="00B41814">
      <w:rPr>
        <w:rStyle w:val="Nmerodepgina"/>
        <w:rFonts w:ascii="Arial Narrow" w:hAnsi="Arial Narrow"/>
        <w:i/>
      </w:rPr>
      <w:fldChar w:fldCharType="end"/>
    </w:r>
  </w:p>
  <w:p w:rsidR="00D77E1C" w:rsidRDefault="00BF2BA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BA3" w:rsidRDefault="00BF2BA3" w:rsidP="00837D5C">
      <w:pPr>
        <w:spacing w:line="240" w:lineRule="auto"/>
        <w:ind w:firstLine="0"/>
      </w:pPr>
      <w:r>
        <w:separator/>
      </w:r>
    </w:p>
  </w:footnote>
  <w:footnote w:type="continuationSeparator" w:id="0">
    <w:p w:rsidR="00BF2BA3" w:rsidRDefault="00BF2BA3" w:rsidP="00837D5C">
      <w:pPr>
        <w:spacing w:line="240" w:lineRule="auto"/>
        <w:ind w:firstLine="0"/>
      </w:pPr>
      <w:r>
        <w:continuationSeparator/>
      </w:r>
    </w:p>
  </w:footnote>
  <w:footnote w:id="1">
    <w:p w:rsidR="00837D5C" w:rsidRPr="002A54F8" w:rsidRDefault="00837D5C" w:rsidP="00837D5C">
      <w:pPr>
        <w:pStyle w:val="Textodenotaderodap"/>
        <w:ind w:firstLine="708"/>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E. Burke (1998) 86.</w:t>
      </w:r>
    </w:p>
  </w:footnote>
  <w:footnote w:id="2">
    <w:p w:rsidR="00837D5C" w:rsidRPr="002A54F8" w:rsidRDefault="00837D5C" w:rsidP="00837D5C">
      <w:pPr>
        <w:pStyle w:val="Textodenotaderodap"/>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Nietzsche (1940) 44.</w:t>
      </w:r>
    </w:p>
  </w:footnote>
  <w:footnote w:id="3">
    <w:p w:rsidR="00837D5C" w:rsidRPr="002A54F8" w:rsidRDefault="00837D5C" w:rsidP="00837D5C">
      <w:pPr>
        <w:pStyle w:val="Textodenotaderodap"/>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Id., ibid., 86.</w:t>
      </w:r>
    </w:p>
  </w:footnote>
  <w:footnote w:id="4">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G. Tonelli (2004) 765. A primeira edição da referida obra de Burke data de 1757, sendo a segunda edição publicada dois anos depois.</w:t>
      </w:r>
    </w:p>
  </w:footnote>
  <w:footnote w:id="5">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M. Roland Michel (1997) 180-181.</w:t>
      </w:r>
    </w:p>
  </w:footnote>
  <w:footnote w:id="6">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Transcrito em R. Hudson (org. 1993) 71.</w:t>
      </w:r>
    </w:p>
  </w:footnote>
  <w:footnote w:id="7">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Balzac, </w:t>
      </w:r>
      <w:r w:rsidRPr="00341472">
        <w:rPr>
          <w:rFonts w:ascii="Arial Narrow" w:hAnsi="Arial Narrow"/>
          <w:i/>
          <w:lang w:val="fr-FR"/>
        </w:rPr>
        <w:t>Les Chouans ou la Bretagne en 1799,</w:t>
      </w:r>
      <w:r w:rsidRPr="00341472">
        <w:rPr>
          <w:rFonts w:ascii="Arial Narrow" w:hAnsi="Arial Narrow"/>
          <w:lang w:val="fr-FR"/>
        </w:rPr>
        <w:t xml:space="preserve"> em Balzac (1976-1981) VIII 1023.</w:t>
      </w:r>
    </w:p>
  </w:footnote>
  <w:footnote w:id="8">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Id., </w:t>
      </w:r>
      <w:r w:rsidRPr="00341472">
        <w:rPr>
          <w:rFonts w:ascii="Arial Narrow" w:hAnsi="Arial Narrow"/>
          <w:i/>
          <w:lang w:val="fr-FR"/>
        </w:rPr>
        <w:t>Les Secrets de la princesse de Cadignan,</w:t>
      </w:r>
      <w:r w:rsidRPr="00341472">
        <w:rPr>
          <w:rFonts w:ascii="Arial Narrow" w:hAnsi="Arial Narrow"/>
          <w:lang w:val="fr-FR"/>
        </w:rPr>
        <w:t xml:space="preserve"> em id., ibid., VI 1532 n. </w:t>
      </w:r>
      <w:r w:rsidRPr="00DF0D5C">
        <w:rPr>
          <w:rFonts w:ascii="Arial Narrow" w:hAnsi="Arial Narrow"/>
          <w:i/>
          <w:lang w:val="fr-FR"/>
        </w:rPr>
        <w:t>e</w:t>
      </w:r>
      <w:r w:rsidRPr="00341472">
        <w:rPr>
          <w:rFonts w:ascii="Arial Narrow" w:hAnsi="Arial Narrow"/>
          <w:lang w:val="fr-FR"/>
        </w:rPr>
        <w:t xml:space="preserve"> da pág. 993.</w:t>
      </w:r>
    </w:p>
  </w:footnote>
  <w:footnote w:id="9">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E. Burke (1998) 109.</w:t>
      </w:r>
    </w:p>
  </w:footnote>
  <w:footnote w:id="10">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Id., ibid., 90.</w:t>
      </w:r>
    </w:p>
  </w:footnote>
  <w:footnote w:id="11">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2A54F8">
        <w:rPr>
          <w:rFonts w:ascii="Arial Narrow" w:hAnsi="Arial Narrow"/>
          <w:lang w:val="en-GB"/>
        </w:rPr>
        <w:t xml:space="preserve"> Y. Hucher (org. 1963) 42. </w:t>
      </w:r>
      <w:r w:rsidRPr="00341472">
        <w:rPr>
          <w:rFonts w:ascii="Arial Narrow" w:hAnsi="Arial Narrow"/>
        </w:rPr>
        <w:t xml:space="preserve">Acerca do mesmo tema ver as págs. </w:t>
      </w:r>
      <w:r w:rsidRPr="00341472">
        <w:rPr>
          <w:rFonts w:ascii="Arial Narrow" w:hAnsi="Arial Narrow"/>
          <w:lang w:val="fr-FR"/>
        </w:rPr>
        <w:t>41-42 e 58.</w:t>
      </w:r>
    </w:p>
  </w:footnote>
  <w:footnote w:id="12">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Balzac, </w:t>
      </w:r>
      <w:r w:rsidRPr="00341472">
        <w:rPr>
          <w:rFonts w:ascii="Arial Narrow" w:hAnsi="Arial Narrow"/>
          <w:i/>
          <w:lang w:val="fr-FR"/>
        </w:rPr>
        <w:t>Physiologie du Mariage ou Méditations de Philosophie Éclectique sur le Bonheur et le Malheur Conjugal,</w:t>
      </w:r>
      <w:r w:rsidRPr="00341472">
        <w:rPr>
          <w:rFonts w:ascii="Arial Narrow" w:hAnsi="Arial Narrow"/>
          <w:lang w:val="fr-FR"/>
        </w:rPr>
        <w:t xml:space="preserve"> em Balzac (1976-1981) XI 1068.</w:t>
      </w:r>
    </w:p>
  </w:footnote>
  <w:footnote w:id="13">
    <w:p w:rsidR="00837D5C" w:rsidRPr="002A54F8" w:rsidRDefault="00837D5C" w:rsidP="00837D5C">
      <w:pPr>
        <w:pStyle w:val="Textodenotaderodap"/>
        <w:rPr>
          <w:rFonts w:ascii="Arial Narrow" w:hAnsi="Arial Narrow"/>
          <w:lang w:val="en-GB"/>
        </w:rPr>
      </w:pPr>
      <w:r w:rsidRPr="00341472">
        <w:rPr>
          <w:rStyle w:val="Refdenotaderodap"/>
          <w:rFonts w:ascii="Arial Narrow" w:hAnsi="Arial Narrow"/>
        </w:rPr>
        <w:footnoteRef/>
      </w:r>
      <w:r w:rsidRPr="002A54F8">
        <w:rPr>
          <w:rFonts w:ascii="Arial Narrow" w:hAnsi="Arial Narrow"/>
          <w:lang w:val="en-GB"/>
        </w:rPr>
        <w:t xml:space="preserve"> M. Gandillac (1999) 242.</w:t>
      </w:r>
    </w:p>
  </w:footnote>
  <w:footnote w:id="14">
    <w:p w:rsidR="00837D5C" w:rsidRPr="002A54F8"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2A54F8">
        <w:rPr>
          <w:rFonts w:ascii="Arial Narrow" w:hAnsi="Arial Narrow"/>
          <w:lang w:val="en-GB"/>
        </w:rPr>
        <w:t xml:space="preserve"> I. B. Cohen (1985) 161-162, 404; D. Gallingani (2002) 12 n. 1.</w:t>
      </w:r>
    </w:p>
  </w:footnote>
  <w:footnote w:id="15">
    <w:p w:rsidR="005F01F8" w:rsidRPr="005F01F8" w:rsidRDefault="005F01F8">
      <w:pPr>
        <w:pStyle w:val="Textodenotaderodap"/>
        <w:rPr>
          <w:rFonts w:ascii="Arial Narrow" w:hAnsi="Arial Narrow"/>
        </w:rPr>
      </w:pPr>
      <w:r w:rsidRPr="005F01F8">
        <w:rPr>
          <w:rStyle w:val="Refdenotaderodap"/>
          <w:rFonts w:ascii="Arial Narrow" w:hAnsi="Arial Narrow"/>
        </w:rPr>
        <w:footnoteRef/>
      </w:r>
      <w:r w:rsidRPr="005F01F8">
        <w:rPr>
          <w:rFonts w:ascii="Arial Narrow" w:hAnsi="Arial Narrow"/>
        </w:rPr>
        <w:t xml:space="preserve"> </w:t>
      </w:r>
      <w:r>
        <w:rPr>
          <w:rFonts w:ascii="Arial Narrow" w:hAnsi="Arial Narrow"/>
        </w:rPr>
        <w:t>D. Hirsh (1978) 39. Ver também as págs. 8, 86 e 166-167.</w:t>
      </w:r>
    </w:p>
  </w:footnote>
  <w:footnote w:id="16">
    <w:p w:rsidR="005F01F8" w:rsidRPr="005F01F8" w:rsidRDefault="005F01F8">
      <w:pPr>
        <w:pStyle w:val="Textodenotaderodap"/>
        <w:rPr>
          <w:rFonts w:ascii="Arial Narrow" w:hAnsi="Arial Narrow"/>
        </w:rPr>
      </w:pPr>
      <w:r w:rsidRPr="005F01F8">
        <w:rPr>
          <w:rStyle w:val="Refdenotaderodap"/>
          <w:rFonts w:ascii="Arial Narrow" w:hAnsi="Arial Narrow"/>
        </w:rPr>
        <w:footnoteRef/>
      </w:r>
      <w:r w:rsidRPr="005F01F8">
        <w:rPr>
          <w:rFonts w:ascii="Arial Narrow" w:hAnsi="Arial Narrow"/>
        </w:rPr>
        <w:t xml:space="preserve"> </w:t>
      </w:r>
      <w:r>
        <w:rPr>
          <w:rFonts w:ascii="Arial Narrow" w:hAnsi="Arial Narrow"/>
        </w:rPr>
        <w:t>Id., ibid., 60.</w:t>
      </w:r>
    </w:p>
  </w:footnote>
  <w:footnote w:id="17">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frase</w:t>
      </w:r>
      <w:r w:rsidR="00EE6B92">
        <w:rPr>
          <w:rFonts w:ascii="Arial Narrow" w:hAnsi="Arial Narrow"/>
        </w:rPr>
        <w:t>,</w:t>
      </w:r>
      <w:r w:rsidRPr="00341472">
        <w:rPr>
          <w:rFonts w:ascii="Arial Narrow" w:hAnsi="Arial Narrow"/>
        </w:rPr>
        <w:t xml:space="preserve"> extraída de uma obra de Jean-Marie Morel publicada em 1776, vem mencionada em S. Le Ménahèze (2001) 180.</w:t>
      </w:r>
    </w:p>
  </w:footnote>
  <w:footnote w:id="1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passagem de uma obra de Jacques-Antoine Dulaure, publicada em 1786, encontra-se citada em id., ibid., 51 e 180. Noutro trecho da mesma obra, transcrito na pág. 263, Dulaure consider</w:t>
      </w:r>
      <w:r>
        <w:rPr>
          <w:rFonts w:ascii="Arial Narrow" w:hAnsi="Arial Narrow"/>
        </w:rPr>
        <w:t>ou</w:t>
      </w:r>
      <w:r w:rsidRPr="00341472">
        <w:rPr>
          <w:rFonts w:ascii="Arial Narrow" w:hAnsi="Arial Narrow"/>
        </w:rPr>
        <w:t xml:space="preserve"> que «a arte, a quem tudo se deve, está tão bem escondida sob os traços da natureza que facilmente será confundida com ela».</w:t>
      </w:r>
    </w:p>
  </w:footnote>
  <w:footnote w:id="1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id., ibid., 380.</w:t>
      </w:r>
    </w:p>
  </w:footnote>
  <w:footnote w:id="2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id., ibid., 354 e 355.</w:t>
      </w:r>
    </w:p>
  </w:footnote>
  <w:footnote w:id="2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ibid., 91 e segs.</w:t>
      </w:r>
    </w:p>
  </w:footnote>
  <w:footnote w:id="2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id., ibid., 94.</w:t>
      </w:r>
    </w:p>
  </w:footnote>
  <w:footnote w:id="2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carta, com data de 6 de Julho de 1772, encontra-se citada em id., ibid., 117 n. 18.</w:t>
      </w:r>
    </w:p>
  </w:footnote>
  <w:footnote w:id="24">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G. Greene (1996) 100.</w:t>
      </w:r>
    </w:p>
  </w:footnote>
  <w:footnote w:id="25">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Balzac, </w:t>
      </w:r>
      <w:r w:rsidRPr="00341472">
        <w:rPr>
          <w:rFonts w:ascii="Arial Narrow" w:hAnsi="Arial Narrow"/>
          <w:i/>
          <w:lang w:val="fr-FR"/>
        </w:rPr>
        <w:t>Les Chouans ou la Bretagne en 1799,</w:t>
      </w:r>
      <w:r w:rsidRPr="00341472">
        <w:rPr>
          <w:rFonts w:ascii="Arial Narrow" w:hAnsi="Arial Narrow"/>
          <w:lang w:val="fr-FR"/>
        </w:rPr>
        <w:t xml:space="preserve"> em Balzac (1976-1981) VIII 912.</w:t>
      </w:r>
    </w:p>
  </w:footnote>
  <w:footnote w:id="26">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Id., </w:t>
      </w:r>
      <w:r w:rsidRPr="00341472">
        <w:rPr>
          <w:rFonts w:ascii="Arial Narrow" w:hAnsi="Arial Narrow"/>
          <w:i/>
          <w:lang w:val="fr-FR"/>
        </w:rPr>
        <w:t>Le Médecin de Campagne,</w:t>
      </w:r>
      <w:r w:rsidRPr="00341472">
        <w:rPr>
          <w:rFonts w:ascii="Arial Narrow" w:hAnsi="Arial Narrow"/>
          <w:lang w:val="fr-FR"/>
        </w:rPr>
        <w:t xml:space="preserve"> em id., ibid., IX 468.</w:t>
      </w:r>
    </w:p>
  </w:footnote>
  <w:footnote w:id="27">
    <w:p w:rsidR="00837D5C" w:rsidRPr="002A54F8" w:rsidRDefault="00837D5C" w:rsidP="00837D5C">
      <w:pPr>
        <w:pStyle w:val="Textodenotaderodap"/>
        <w:ind w:firstLine="708"/>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F. D. Klingender (1975) 23.</w:t>
      </w:r>
    </w:p>
  </w:footnote>
  <w:footnote w:id="2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2A54F8">
        <w:rPr>
          <w:rFonts w:ascii="Arial Narrow" w:hAnsi="Arial Narrow"/>
          <w:lang w:val="de-DE"/>
        </w:rPr>
        <w:t xml:space="preserve"> W. Sypher (1963) 84, 108. </w:t>
      </w:r>
      <w:r w:rsidRPr="00341472">
        <w:rPr>
          <w:rFonts w:ascii="Arial Narrow" w:hAnsi="Arial Narrow"/>
        </w:rPr>
        <w:t>As frases citadas vêm na pág. 84. O abade Delille, que na França da sua época era considerado, junto com Rousseau, um dos mais ilustres divulgadores literários dos jardins irregulares e assimétricos, observ</w:t>
      </w:r>
      <w:r>
        <w:rPr>
          <w:rFonts w:ascii="Arial Narrow" w:hAnsi="Arial Narrow"/>
        </w:rPr>
        <w:t>ou</w:t>
      </w:r>
      <w:r w:rsidRPr="00341472">
        <w:rPr>
          <w:rFonts w:ascii="Arial Narrow" w:hAnsi="Arial Narrow"/>
        </w:rPr>
        <w:t xml:space="preserve"> num longo poema publicado em 1782 e citado em S. Le Ménahèze (2001) 75:</w:t>
      </w:r>
    </w:p>
    <w:p w:rsidR="00837D5C" w:rsidRPr="00341472" w:rsidRDefault="00837D5C" w:rsidP="00837D5C">
      <w:pPr>
        <w:pStyle w:val="Textodenotaderodap"/>
        <w:ind w:firstLine="708"/>
        <w:rPr>
          <w:rFonts w:ascii="Arial Narrow" w:hAnsi="Arial Narrow"/>
          <w:lang w:val="fr-FR"/>
        </w:rPr>
      </w:pPr>
      <w:r w:rsidRPr="00341472">
        <w:rPr>
          <w:rFonts w:ascii="Arial Narrow" w:hAnsi="Arial Narrow"/>
          <w:i/>
          <w:lang w:val="fr-FR"/>
        </w:rPr>
        <w:t>«[...] loin ces monuments dont la ruine feinte</w:t>
      </w:r>
    </w:p>
    <w:p w:rsidR="00837D5C" w:rsidRPr="00341472" w:rsidRDefault="00837D5C" w:rsidP="00837D5C">
      <w:pPr>
        <w:pStyle w:val="Textodenotaderodap"/>
        <w:ind w:firstLine="708"/>
        <w:rPr>
          <w:rFonts w:ascii="Arial Narrow" w:hAnsi="Arial Narrow"/>
          <w:i/>
          <w:lang w:val="fr-FR"/>
        </w:rPr>
      </w:pPr>
      <w:r w:rsidRPr="00341472">
        <w:rPr>
          <w:rFonts w:ascii="Arial Narrow" w:hAnsi="Arial Narrow"/>
          <w:i/>
          <w:lang w:val="fr-FR"/>
        </w:rPr>
        <w:t>Imite mal du temps l’inimitable empreinte,</w:t>
      </w:r>
    </w:p>
    <w:p w:rsidR="00837D5C" w:rsidRPr="00341472" w:rsidRDefault="00837D5C" w:rsidP="00837D5C">
      <w:pPr>
        <w:pStyle w:val="Textodenotaderodap"/>
        <w:ind w:firstLine="708"/>
        <w:rPr>
          <w:rFonts w:ascii="Arial Narrow" w:hAnsi="Arial Narrow"/>
          <w:i/>
          <w:lang w:val="fr-FR"/>
        </w:rPr>
      </w:pPr>
      <w:r w:rsidRPr="00341472">
        <w:rPr>
          <w:rFonts w:ascii="Arial Narrow" w:hAnsi="Arial Narrow"/>
          <w:i/>
          <w:lang w:val="fr-FR"/>
        </w:rPr>
        <w:t>Tous ces temples anciens récemment contrefaits,</w:t>
      </w:r>
    </w:p>
    <w:p w:rsidR="00837D5C" w:rsidRPr="00341472" w:rsidRDefault="00837D5C" w:rsidP="00837D5C">
      <w:pPr>
        <w:pStyle w:val="Textodenotaderodap"/>
        <w:ind w:firstLine="708"/>
        <w:rPr>
          <w:rFonts w:ascii="Arial Narrow" w:hAnsi="Arial Narrow"/>
          <w:i/>
          <w:lang w:val="fr-FR"/>
        </w:rPr>
      </w:pPr>
      <w:r w:rsidRPr="00341472">
        <w:rPr>
          <w:rFonts w:ascii="Arial Narrow" w:hAnsi="Arial Narrow"/>
          <w:i/>
          <w:lang w:val="fr-FR"/>
        </w:rPr>
        <w:t>Ces restes d’un château qui n’exista jamais,</w:t>
      </w:r>
    </w:p>
    <w:p w:rsidR="00837D5C" w:rsidRPr="00341472" w:rsidRDefault="00837D5C" w:rsidP="00837D5C">
      <w:pPr>
        <w:pStyle w:val="Textodenotaderodap"/>
        <w:ind w:firstLine="708"/>
        <w:rPr>
          <w:rFonts w:ascii="Arial Narrow" w:hAnsi="Arial Narrow"/>
          <w:i/>
          <w:lang w:val="fr-FR"/>
        </w:rPr>
      </w:pPr>
      <w:r w:rsidRPr="00341472">
        <w:rPr>
          <w:rFonts w:ascii="Arial Narrow" w:hAnsi="Arial Narrow"/>
          <w:i/>
          <w:lang w:val="fr-FR"/>
        </w:rPr>
        <w:t>Ces vieux ponts nés d’hier, et cette tour gothique</w:t>
      </w:r>
    </w:p>
    <w:p w:rsidR="00837D5C" w:rsidRPr="00341472" w:rsidRDefault="00837D5C" w:rsidP="00837D5C">
      <w:pPr>
        <w:pStyle w:val="Textodenotaderodap"/>
        <w:ind w:firstLine="708"/>
        <w:rPr>
          <w:rFonts w:ascii="Arial Narrow" w:hAnsi="Arial Narrow"/>
          <w:i/>
          <w:lang w:val="fr-FR"/>
        </w:rPr>
      </w:pPr>
      <w:r w:rsidRPr="00341472">
        <w:rPr>
          <w:rFonts w:ascii="Arial Narrow" w:hAnsi="Arial Narrow"/>
          <w:i/>
          <w:lang w:val="fr-FR"/>
        </w:rPr>
        <w:t>Ayant l’air délabré sans avoir l’air antique,</w:t>
      </w:r>
    </w:p>
    <w:p w:rsidR="00837D5C" w:rsidRPr="009D1169" w:rsidRDefault="00837D5C" w:rsidP="00837D5C">
      <w:pPr>
        <w:pStyle w:val="Textodenotaderodap"/>
        <w:ind w:firstLine="708"/>
        <w:rPr>
          <w:rFonts w:ascii="Arial Narrow" w:hAnsi="Arial Narrow"/>
          <w:lang w:val="fr-FR"/>
        </w:rPr>
      </w:pPr>
      <w:r w:rsidRPr="00341472">
        <w:rPr>
          <w:rFonts w:ascii="Arial Narrow" w:hAnsi="Arial Narrow"/>
          <w:i/>
          <w:lang w:val="fr-FR"/>
        </w:rPr>
        <w:t>Artifice à la fois impuissant et grossier»</w:t>
      </w:r>
      <w:r w:rsidRPr="00341472">
        <w:rPr>
          <w:rFonts w:ascii="Arial Narrow" w:hAnsi="Arial Narrow"/>
          <w:lang w:val="fr-FR"/>
        </w:rPr>
        <w:t>.</w:t>
      </w:r>
    </w:p>
  </w:footnote>
  <w:footnote w:id="2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L. Trotsky (1970) 179.</w:t>
      </w:r>
    </w:p>
  </w:footnote>
  <w:footnote w:id="30">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J. Burckhardt (2004) 140.</w:t>
      </w:r>
    </w:p>
  </w:footnote>
  <w:footnote w:id="31">
    <w:p w:rsidR="00837D5C" w:rsidRPr="00837D5C"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837D5C">
        <w:rPr>
          <w:rFonts w:ascii="Arial Narrow" w:hAnsi="Arial Narrow"/>
          <w:lang w:val="en-US"/>
        </w:rPr>
        <w:t xml:space="preserve"> M. Roland Michel (1997) 179.</w:t>
      </w:r>
    </w:p>
  </w:footnote>
  <w:footnote w:id="32">
    <w:p w:rsidR="00837D5C" w:rsidRPr="00837D5C"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837D5C">
        <w:rPr>
          <w:rFonts w:ascii="Arial Narrow" w:hAnsi="Arial Narrow"/>
          <w:lang w:val="en-US"/>
        </w:rPr>
        <w:t xml:space="preserve"> B. Saint Girons (1997) 112.</w:t>
      </w:r>
    </w:p>
  </w:footnote>
  <w:footnote w:id="3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J. Starobinski (1964) 160.</w:t>
      </w:r>
    </w:p>
  </w:footnote>
  <w:footnote w:id="34">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L. Poliakov (1971) 201-202.</w:t>
      </w:r>
    </w:p>
  </w:footnote>
  <w:footnote w:id="35">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J. Starobinski (1964) 183.</w:t>
      </w:r>
    </w:p>
  </w:footnote>
  <w:footnote w:id="36">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 Burke (1998) 94.</w:t>
      </w:r>
    </w:p>
  </w:footnote>
  <w:footnote w:id="37">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S. Le Ménahèze (2001) 298.</w:t>
      </w:r>
    </w:p>
  </w:footnote>
  <w:footnote w:id="38">
    <w:p w:rsidR="00E040D4" w:rsidRPr="00E040D4" w:rsidRDefault="00E040D4">
      <w:pPr>
        <w:pStyle w:val="Textodenotaderodap"/>
        <w:rPr>
          <w:rFonts w:ascii="Arial Narrow" w:hAnsi="Arial Narrow"/>
        </w:rPr>
      </w:pPr>
      <w:r w:rsidRPr="00E040D4">
        <w:rPr>
          <w:rStyle w:val="Refdenotaderodap"/>
          <w:rFonts w:ascii="Arial Narrow" w:hAnsi="Arial Narrow"/>
        </w:rPr>
        <w:footnoteRef/>
      </w:r>
      <w:r w:rsidRPr="00E040D4">
        <w:rPr>
          <w:rFonts w:ascii="Arial Narrow" w:hAnsi="Arial Narrow"/>
        </w:rPr>
        <w:t xml:space="preserve"> </w:t>
      </w:r>
      <w:r>
        <w:rPr>
          <w:rFonts w:ascii="Arial Narrow" w:hAnsi="Arial Narrow"/>
        </w:rPr>
        <w:t xml:space="preserve">O mesmo efeito </w:t>
      </w:r>
      <w:r w:rsidR="000A3220">
        <w:rPr>
          <w:rFonts w:ascii="Arial Narrow" w:hAnsi="Arial Narrow"/>
        </w:rPr>
        <w:t xml:space="preserve">de luz </w:t>
      </w:r>
      <w:r>
        <w:rPr>
          <w:rFonts w:ascii="Arial Narrow" w:hAnsi="Arial Narrow"/>
        </w:rPr>
        <w:t xml:space="preserve">encontra-se numa obra de Hubert Robert pintada na penúltima década do século XVIII e representando </w:t>
      </w:r>
      <w:r w:rsidR="000A3220">
        <w:rPr>
          <w:rFonts w:ascii="Arial Narrow" w:hAnsi="Arial Narrow"/>
        </w:rPr>
        <w:t>as ruínas d</w:t>
      </w:r>
      <w:r>
        <w:rPr>
          <w:rFonts w:ascii="Arial Narrow" w:hAnsi="Arial Narrow"/>
        </w:rPr>
        <w:t>o Coliseu de Roma</w:t>
      </w:r>
      <w:r w:rsidR="000A3220">
        <w:rPr>
          <w:rFonts w:ascii="Arial Narrow" w:hAnsi="Arial Narrow"/>
        </w:rPr>
        <w:t>.</w:t>
      </w:r>
    </w:p>
  </w:footnote>
  <w:footnote w:id="39">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F. D. Klingender (1975) 73-74.</w:t>
      </w:r>
    </w:p>
  </w:footnote>
  <w:footnote w:id="40">
    <w:p w:rsidR="00837D5C" w:rsidRPr="006733B1"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6733B1">
        <w:rPr>
          <w:rFonts w:ascii="Arial Narrow" w:hAnsi="Arial Narrow"/>
          <w:lang w:val="en-US"/>
        </w:rPr>
        <w:t xml:space="preserve"> Id., ibid., 75.</w:t>
      </w:r>
    </w:p>
  </w:footnote>
  <w:footnote w:id="4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L. T. C. Rolt (1959) 35 (subs. orig.).</w:t>
      </w:r>
    </w:p>
  </w:footnote>
  <w:footnote w:id="42">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E. Burke (1998) 86.</w:t>
      </w:r>
    </w:p>
  </w:footnote>
  <w:footnote w:id="43">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Id., ibid., 107, 108.</w:t>
      </w:r>
    </w:p>
  </w:footnote>
  <w:footnote w:id="44">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Balzac, </w:t>
      </w:r>
      <w:r w:rsidRPr="00341472">
        <w:rPr>
          <w:rFonts w:ascii="Arial Narrow" w:hAnsi="Arial Narrow"/>
          <w:i/>
          <w:lang w:val="fr-FR"/>
        </w:rPr>
        <w:t>Les Chouans ou la Bretagne en 1799,</w:t>
      </w:r>
      <w:r w:rsidRPr="00341472">
        <w:rPr>
          <w:rFonts w:ascii="Arial Narrow" w:hAnsi="Arial Narrow"/>
          <w:lang w:val="fr-FR"/>
        </w:rPr>
        <w:t xml:space="preserve"> em Balzac (1976-1981) VIII 969.</w:t>
      </w:r>
    </w:p>
  </w:footnote>
  <w:footnote w:id="45">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E. Burke (1998) 128.</w:t>
      </w:r>
    </w:p>
  </w:footnote>
  <w:footnote w:id="46">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S. Le Ménahèze (2001) 168, 459.</w:t>
      </w:r>
    </w:p>
  </w:footnote>
  <w:footnote w:id="47">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J. Starobinski (1964) 87.</w:t>
      </w:r>
    </w:p>
  </w:footnote>
  <w:footnote w:id="4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S. Le Ménahèze (2001) 123 n. 118.</w:t>
      </w:r>
    </w:p>
  </w:footnote>
  <w:footnote w:id="4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id., ibid., 379 e 527.</w:t>
      </w:r>
    </w:p>
  </w:footnote>
  <w:footnote w:id="5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 Sypher (1963) 88. Ver igualmente S. Le Ménahèze (2001) 457.</w:t>
      </w:r>
    </w:p>
  </w:footnote>
  <w:footnote w:id="5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S. Le Ménahèze (2001) 458.</w:t>
      </w:r>
    </w:p>
  </w:footnote>
  <w:footnote w:id="5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 Keyser (1965) 26.</w:t>
      </w:r>
    </w:p>
  </w:footnote>
  <w:footnote w:id="53">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Entre ambas as séries houve década e meia de intervalo. Note-se que para duas gravuras da segunda série não existem correspondentes na primeira série. A edição que sigo é G. B. Piranesi (1973).</w:t>
      </w:r>
    </w:p>
  </w:footnote>
  <w:footnote w:id="54">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Na gravura do frontespício vê-se uma figura acorrentada, mas será pessoa ou estátua? De qualquer modo, a sua função estética é exclusivamente de escultura. O mesmo pode dizer-se da gravura V, sem correspondente na primeira série, onde o personagem amarrado com cordas parece petrificado e se confunde com o baixo-relevo da coluna que o sustenta. De resto, só na gravura II, existente apenas na segunda série, e em ambas as versões da gravura X se encontram corpos amarrados.</w:t>
      </w:r>
    </w:p>
  </w:footnote>
  <w:footnote w:id="55">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Só na gravura II, que não tem correspondente na primeira série, deparamos com uma cena efectiva de tortura. Os prisioneiros da gravura X, em ambas as séries, encontram-se amarrados, mas não estão sujeitos a </w:t>
      </w:r>
      <w:r w:rsidR="00915693">
        <w:rPr>
          <w:rFonts w:ascii="Arial Narrow" w:hAnsi="Arial Narrow"/>
        </w:rPr>
        <w:t>nenhum</w:t>
      </w:r>
      <w:r w:rsidRPr="00341472">
        <w:rPr>
          <w:rFonts w:ascii="Arial Narrow" w:hAnsi="Arial Narrow"/>
        </w:rPr>
        <w:t xml:space="preserve"> engenho de suplício.</w:t>
      </w:r>
    </w:p>
  </w:footnote>
  <w:footnote w:id="56">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A primeira edição, de 1863, contava oitenta gravuras, e três outras foram conhecidas posteriormente. Sigo aqui a edição F. Goya y Lucientes (1967).</w:t>
      </w:r>
    </w:p>
  </w:footnote>
  <w:footnote w:id="57">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A angularidade dos cadáveres ou a ortogonalidade dos seus membros e dos corpos é uma regra geral, mas atinge uma expressão alucinante na gravura 30, </w:t>
      </w:r>
      <w:r w:rsidRPr="00341472">
        <w:rPr>
          <w:rFonts w:ascii="Arial Narrow" w:hAnsi="Arial Narrow"/>
          <w:i/>
        </w:rPr>
        <w:t>Estragos de la guerra</w:t>
      </w:r>
      <w:r w:rsidRPr="00341472">
        <w:rPr>
          <w:rFonts w:ascii="Arial Narrow" w:hAnsi="Arial Narrow"/>
        </w:rPr>
        <w:t xml:space="preserve">. Especialmente elucidativas são também a gravura 21, </w:t>
      </w:r>
      <w:r w:rsidRPr="00341472">
        <w:rPr>
          <w:rFonts w:ascii="Arial Narrow" w:hAnsi="Arial Narrow"/>
          <w:i/>
        </w:rPr>
        <w:t>Será lo mismo,</w:t>
      </w:r>
      <w:r w:rsidRPr="00341472">
        <w:rPr>
          <w:rFonts w:ascii="Arial Narrow" w:hAnsi="Arial Narrow"/>
        </w:rPr>
        <w:t xml:space="preserve"> a gravura 33, </w:t>
      </w:r>
      <w:r w:rsidRPr="00341472">
        <w:rPr>
          <w:rFonts w:ascii="Arial Narrow" w:hAnsi="Arial Narrow"/>
          <w:i/>
        </w:rPr>
        <w:t>Qué hai que hacer mas?</w:t>
      </w:r>
      <w:r w:rsidRPr="00341472">
        <w:rPr>
          <w:rFonts w:ascii="Arial Narrow" w:hAnsi="Arial Narrow"/>
        </w:rPr>
        <w:t xml:space="preserve"> e a gravura 37, </w:t>
      </w:r>
      <w:r w:rsidRPr="00341472">
        <w:rPr>
          <w:rFonts w:ascii="Arial Narrow" w:hAnsi="Arial Narrow"/>
          <w:i/>
        </w:rPr>
        <w:t>Esto es peor</w:t>
      </w:r>
      <w:r w:rsidRPr="00341472">
        <w:rPr>
          <w:rFonts w:ascii="Arial Narrow" w:hAnsi="Arial Narrow"/>
        </w:rPr>
        <w:t>.</w:t>
      </w:r>
    </w:p>
  </w:footnote>
  <w:footnote w:id="58">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lang w:val="es-ES"/>
        </w:rPr>
        <w:t xml:space="preserve"> Gravura 71, </w:t>
      </w:r>
      <w:r w:rsidRPr="00341472">
        <w:rPr>
          <w:rFonts w:ascii="Arial Narrow" w:hAnsi="Arial Narrow"/>
          <w:i/>
          <w:lang w:val="es-ES"/>
        </w:rPr>
        <w:t>Contra el bien general</w:t>
      </w:r>
      <w:r w:rsidRPr="00341472">
        <w:rPr>
          <w:rFonts w:ascii="Arial Narrow" w:hAnsi="Arial Narrow"/>
          <w:lang w:val="es-ES"/>
        </w:rPr>
        <w:t xml:space="preserve">. </w:t>
      </w:r>
      <w:r w:rsidRPr="00341472">
        <w:rPr>
          <w:rFonts w:ascii="Arial Narrow" w:hAnsi="Arial Narrow"/>
        </w:rPr>
        <w:t xml:space="preserve">Compare-se com o burocrata militar da gravura 65, </w:t>
      </w:r>
      <w:r w:rsidRPr="00341472">
        <w:rPr>
          <w:rFonts w:ascii="Arial Narrow" w:hAnsi="Arial Narrow"/>
          <w:i/>
        </w:rPr>
        <w:t>Qué alboroto es este?</w:t>
      </w:r>
      <w:r w:rsidRPr="00341472">
        <w:rPr>
          <w:rFonts w:ascii="Arial Narrow" w:hAnsi="Arial Narrow"/>
        </w:rPr>
        <w:t xml:space="preserve"> Em ambos os casos a mesma atitude atenta e indiferente.</w:t>
      </w:r>
    </w:p>
  </w:footnote>
  <w:footnote w:id="59">
    <w:p w:rsidR="00837D5C" w:rsidRPr="00341472" w:rsidRDefault="00837D5C" w:rsidP="00837D5C">
      <w:pPr>
        <w:pStyle w:val="Textodenotaderodap"/>
        <w:rPr>
          <w:rFonts w:ascii="Arial Narrow" w:hAnsi="Arial Narrow"/>
          <w:lang w:val="es-ES"/>
        </w:rPr>
      </w:pPr>
      <w:r w:rsidRPr="00341472">
        <w:rPr>
          <w:rStyle w:val="Refdenotaderodap"/>
          <w:rFonts w:ascii="Arial Narrow" w:hAnsi="Arial Narrow"/>
        </w:rPr>
        <w:footnoteRef/>
      </w:r>
      <w:r w:rsidRPr="00341472">
        <w:rPr>
          <w:rFonts w:ascii="Arial Narrow" w:hAnsi="Arial Narrow"/>
          <w:lang w:val="es-ES"/>
        </w:rPr>
        <w:t xml:space="preserve"> Em </w:t>
      </w:r>
      <w:r w:rsidRPr="00341472">
        <w:rPr>
          <w:rFonts w:ascii="Arial Narrow" w:hAnsi="Arial Narrow"/>
          <w:i/>
          <w:lang w:val="es-ES"/>
        </w:rPr>
        <w:t>Los Caprichos,</w:t>
      </w:r>
      <w:r w:rsidRPr="00341472">
        <w:rPr>
          <w:rFonts w:ascii="Arial Narrow" w:hAnsi="Arial Narrow"/>
          <w:lang w:val="es-ES"/>
        </w:rPr>
        <w:t xml:space="preserve"> a gravura 43, </w:t>
      </w:r>
      <w:r w:rsidRPr="00341472">
        <w:rPr>
          <w:rFonts w:ascii="Arial Narrow" w:hAnsi="Arial Narrow"/>
          <w:i/>
          <w:lang w:val="es-ES"/>
        </w:rPr>
        <w:t>El sueño de la razón produce monstruos</w:t>
      </w:r>
      <w:r w:rsidRPr="00341472">
        <w:rPr>
          <w:rFonts w:ascii="Arial Narrow" w:hAnsi="Arial Narrow"/>
          <w:lang w:val="es-ES"/>
        </w:rPr>
        <w:t>.</w:t>
      </w:r>
    </w:p>
  </w:footnote>
  <w:footnote w:id="60">
    <w:p w:rsidR="00C87B6E" w:rsidRPr="00C87B6E" w:rsidRDefault="00C87B6E">
      <w:pPr>
        <w:pStyle w:val="Textodenotaderodap"/>
        <w:rPr>
          <w:rFonts w:ascii="Arial Narrow" w:hAnsi="Arial Narrow"/>
        </w:rPr>
      </w:pPr>
      <w:r w:rsidRPr="00C87B6E">
        <w:rPr>
          <w:rStyle w:val="Refdenotaderodap"/>
          <w:rFonts w:ascii="Arial Narrow" w:hAnsi="Arial Narrow"/>
        </w:rPr>
        <w:footnoteRef/>
      </w:r>
      <w:r w:rsidRPr="00C87B6E">
        <w:rPr>
          <w:rFonts w:ascii="Arial Narrow" w:hAnsi="Arial Narrow"/>
        </w:rPr>
        <w:t xml:space="preserve"> </w:t>
      </w:r>
      <w:r>
        <w:rPr>
          <w:rFonts w:ascii="Arial Narrow" w:hAnsi="Arial Narrow"/>
        </w:rPr>
        <w:t>Citado em E. Gentile (2010) 40.</w:t>
      </w:r>
    </w:p>
  </w:footnote>
  <w:footnote w:id="61">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B. Mussolini (1935) 22. Ver também Ch. F. Delzell (org. 1971) 99.</w:t>
      </w:r>
    </w:p>
  </w:footnote>
  <w:footnote w:id="62">
    <w:p w:rsidR="00837D5C" w:rsidRPr="002A54F8" w:rsidRDefault="00837D5C" w:rsidP="00837D5C">
      <w:pPr>
        <w:pStyle w:val="Textodenotaderodap"/>
        <w:ind w:firstLine="708"/>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E. Weber (1964) 7.</w:t>
      </w:r>
      <w:r w:rsidR="0035233A">
        <w:rPr>
          <w:rFonts w:ascii="Arial Narrow" w:hAnsi="Arial Narrow"/>
          <w:lang w:val="de-DE"/>
        </w:rPr>
        <w:t xml:space="preserve"> Ver igualmente </w:t>
      </w:r>
      <w:r w:rsidR="00BA2A0F" w:rsidRPr="007C045E">
        <w:rPr>
          <w:rFonts w:ascii="Arial Narrow" w:hAnsi="Arial Narrow"/>
        </w:rPr>
        <w:t xml:space="preserve">A. J. Gregor (2005) 269-272 e </w:t>
      </w:r>
      <w:r w:rsidR="0035233A" w:rsidRPr="0081356C">
        <w:rPr>
          <w:rFonts w:ascii="Arial Narrow" w:hAnsi="Arial Narrow"/>
        </w:rPr>
        <w:t>J. B. Whisker (1983) 12.</w:t>
      </w:r>
    </w:p>
  </w:footnote>
  <w:footnote w:id="63">
    <w:p w:rsidR="00837D5C" w:rsidRPr="002A54F8" w:rsidRDefault="00837D5C" w:rsidP="00837D5C">
      <w:pPr>
        <w:pStyle w:val="Textodenotaderodap"/>
        <w:rPr>
          <w:rFonts w:ascii="Arial Narrow" w:hAnsi="Arial Narrow"/>
          <w:lang w:val="de-DE"/>
        </w:rPr>
      </w:pPr>
      <w:r w:rsidRPr="00341472">
        <w:rPr>
          <w:rStyle w:val="Refdenotaderodap"/>
          <w:rFonts w:ascii="Arial Narrow" w:hAnsi="Arial Narrow"/>
        </w:rPr>
        <w:footnoteRef/>
      </w:r>
      <w:r w:rsidRPr="002A54F8">
        <w:rPr>
          <w:rFonts w:ascii="Arial Narrow" w:hAnsi="Arial Narrow"/>
          <w:lang w:val="de-DE"/>
        </w:rPr>
        <w:t xml:space="preserve"> A. C. Martins (1969) 131.</w:t>
      </w:r>
    </w:p>
  </w:footnote>
  <w:footnote w:id="64">
    <w:p w:rsidR="005038CC" w:rsidRPr="00D40872" w:rsidRDefault="005038CC" w:rsidP="007F1FB5">
      <w:pPr>
        <w:pStyle w:val="Textodenotaderodap"/>
        <w:rPr>
          <w:rFonts w:ascii="Arial Narrow" w:hAnsi="Arial Narrow"/>
        </w:rPr>
      </w:pPr>
      <w:r w:rsidRPr="005038CC">
        <w:rPr>
          <w:rStyle w:val="Refdenotaderodap"/>
          <w:rFonts w:ascii="Arial Narrow" w:hAnsi="Arial Narrow"/>
        </w:rPr>
        <w:footnoteRef/>
      </w:r>
      <w:r w:rsidRPr="00D40872">
        <w:rPr>
          <w:rFonts w:ascii="Arial Narrow" w:hAnsi="Arial Narrow"/>
        </w:rPr>
        <w:t xml:space="preserve"> </w:t>
      </w:r>
      <w:r>
        <w:rPr>
          <w:rFonts w:ascii="Arial Narrow" w:hAnsi="Arial Narrow"/>
          <w:lang w:val="de-DE"/>
        </w:rPr>
        <w:t>C. Z. Codreanu (1976) 217.</w:t>
      </w:r>
    </w:p>
  </w:footnote>
  <w:footnote w:id="65">
    <w:p w:rsidR="00742679" w:rsidRPr="00742679" w:rsidRDefault="00742679">
      <w:pPr>
        <w:pStyle w:val="Textodenotaderodap"/>
        <w:rPr>
          <w:rFonts w:ascii="Arial Narrow" w:hAnsi="Arial Narrow"/>
        </w:rPr>
      </w:pPr>
      <w:r w:rsidRPr="00742679">
        <w:rPr>
          <w:rStyle w:val="Refdenotaderodap"/>
          <w:rFonts w:ascii="Arial Narrow" w:hAnsi="Arial Narrow"/>
        </w:rPr>
        <w:footnoteRef/>
      </w:r>
      <w:r w:rsidRPr="00742679">
        <w:rPr>
          <w:rFonts w:ascii="Arial Narrow" w:hAnsi="Arial Narrow"/>
        </w:rPr>
        <w:t xml:space="preserve"> </w:t>
      </w:r>
      <w:r w:rsidRPr="00B3452D">
        <w:rPr>
          <w:rFonts w:ascii="Arial Narrow" w:hAnsi="Arial Narrow"/>
          <w:bCs/>
        </w:rPr>
        <w:t>Citado em J. Evola (2004).</w:t>
      </w:r>
    </w:p>
  </w:footnote>
  <w:footnote w:id="66">
    <w:p w:rsidR="00A65A29" w:rsidRPr="00A65A29" w:rsidRDefault="00A65A29">
      <w:pPr>
        <w:pStyle w:val="Textodenotaderodap"/>
        <w:rPr>
          <w:rFonts w:ascii="Arial Narrow" w:hAnsi="Arial Narrow"/>
        </w:rPr>
      </w:pPr>
      <w:r w:rsidRPr="00A65A29">
        <w:rPr>
          <w:rStyle w:val="Refdenotaderodap"/>
          <w:rFonts w:ascii="Arial Narrow" w:hAnsi="Arial Narrow"/>
        </w:rPr>
        <w:footnoteRef/>
      </w:r>
      <w:r w:rsidRPr="00A65A29">
        <w:rPr>
          <w:rFonts w:ascii="Arial Narrow" w:hAnsi="Arial Narrow"/>
        </w:rPr>
        <w:t xml:space="preserve"> </w:t>
      </w:r>
      <w:r>
        <w:rPr>
          <w:rFonts w:ascii="Arial Narrow" w:hAnsi="Arial Narrow"/>
        </w:rPr>
        <w:t xml:space="preserve">Antologiado em </w:t>
      </w:r>
      <w:r w:rsidRPr="00341472">
        <w:rPr>
          <w:rFonts w:ascii="Arial Narrow" w:hAnsi="Arial Narrow"/>
        </w:rPr>
        <w:t>R. Griffin (org. 1995)</w:t>
      </w:r>
      <w:r>
        <w:rPr>
          <w:rFonts w:ascii="Arial Narrow" w:hAnsi="Arial Narrow"/>
        </w:rPr>
        <w:t xml:space="preserve"> 37-38.</w:t>
      </w:r>
    </w:p>
  </w:footnote>
  <w:footnote w:id="67">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2A54F8">
        <w:rPr>
          <w:rFonts w:ascii="Arial Narrow" w:hAnsi="Arial Narrow"/>
          <w:lang w:val="de-DE"/>
        </w:rPr>
        <w:t xml:space="preserve"> B. Russell (2004) 654. </w:t>
      </w:r>
      <w:r w:rsidRPr="00341472">
        <w:rPr>
          <w:rFonts w:ascii="Arial Narrow" w:hAnsi="Arial Narrow"/>
        </w:rPr>
        <w:t xml:space="preserve">Ver </w:t>
      </w:r>
      <w:r>
        <w:rPr>
          <w:rFonts w:ascii="Arial Narrow" w:hAnsi="Arial Narrow"/>
        </w:rPr>
        <w:t xml:space="preserve">em geral as </w:t>
      </w:r>
      <w:r w:rsidRPr="00341472">
        <w:rPr>
          <w:rFonts w:ascii="Arial Narrow" w:hAnsi="Arial Narrow"/>
        </w:rPr>
        <w:t>págs. 654-669.</w:t>
      </w:r>
    </w:p>
  </w:footnote>
  <w:footnote w:id="68">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frase, referente ao dia 19 de Julho de 1937, encontra-se em M. Chalmers (org. 2006 a) 268. </w:t>
      </w:r>
      <w:r>
        <w:rPr>
          <w:rFonts w:ascii="Arial Narrow" w:hAnsi="Arial Narrow"/>
        </w:rPr>
        <w:t xml:space="preserve">Ainda acerca de Rousseau como inspirador do Terceiro Reich ver id., ibid., </w:t>
      </w:r>
      <w:r w:rsidRPr="00AD54A1">
        <w:rPr>
          <w:rFonts w:ascii="Arial Narrow" w:hAnsi="Arial Narrow"/>
        </w:rPr>
        <w:t>209</w:t>
      </w:r>
      <w:r>
        <w:rPr>
          <w:rFonts w:ascii="Arial Narrow" w:hAnsi="Arial Narrow"/>
        </w:rPr>
        <w:t xml:space="preserve"> e </w:t>
      </w:r>
      <w:r w:rsidRPr="00AD54A1">
        <w:rPr>
          <w:rFonts w:ascii="Arial Narrow" w:hAnsi="Arial Narrow"/>
        </w:rPr>
        <w:t>468.</w:t>
      </w:r>
    </w:p>
  </w:footnote>
  <w:footnote w:id="6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Manuel, em </w:t>
      </w:r>
      <w:r w:rsidRPr="00341472">
        <w:rPr>
          <w:rFonts w:ascii="Arial Narrow" w:hAnsi="Arial Narrow"/>
          <w:i/>
        </w:rPr>
        <w:t>L’Espoir,</w:t>
      </w:r>
      <w:r w:rsidRPr="00341472">
        <w:rPr>
          <w:rFonts w:ascii="Arial Narrow" w:hAnsi="Arial Narrow"/>
        </w:rPr>
        <w:t xml:space="preserve"> diz que «um homem ao mesmo tempo activo e pessimista é ou será fascista, a não ser que uma fidelidade o sustente». Ver A. Malraux (1983) 198. </w:t>
      </w:r>
      <w:r w:rsidR="00C35E83">
        <w:rPr>
          <w:rFonts w:ascii="Arial Narrow" w:hAnsi="Arial Narrow"/>
        </w:rPr>
        <w:t xml:space="preserve">Ora, </w:t>
      </w:r>
      <w:r w:rsidR="00C35E83" w:rsidRPr="0081356C">
        <w:rPr>
          <w:rFonts w:ascii="Arial Narrow" w:hAnsi="Arial Narrow"/>
        </w:rPr>
        <w:t xml:space="preserve">R. Soucy (1970) 86 observou que aquela passagem de </w:t>
      </w:r>
      <w:r w:rsidR="00C35E83" w:rsidRPr="0081356C">
        <w:rPr>
          <w:rFonts w:ascii="Arial Narrow" w:hAnsi="Arial Narrow"/>
          <w:i/>
        </w:rPr>
        <w:t>L’Espoir</w:t>
      </w:r>
      <w:r w:rsidR="00C35E83" w:rsidRPr="0081356C">
        <w:rPr>
          <w:rFonts w:ascii="Arial Narrow" w:hAnsi="Arial Narrow"/>
        </w:rPr>
        <w:t xml:space="preserve"> se aplicava perfeitamente a Drieu La Rochelle. </w:t>
      </w:r>
      <w:r w:rsidRPr="00341472">
        <w:rPr>
          <w:rFonts w:ascii="Arial Narrow" w:hAnsi="Arial Narrow"/>
        </w:rPr>
        <w:t xml:space="preserve">Sendo assim, devemos reflectir nas implicações da caracterização do </w:t>
      </w:r>
      <w:r w:rsidR="00332902">
        <w:rPr>
          <w:rFonts w:ascii="Arial Narrow" w:hAnsi="Arial Narrow"/>
        </w:rPr>
        <w:t>círculo</w:t>
      </w:r>
      <w:r w:rsidRPr="00341472">
        <w:rPr>
          <w:rFonts w:ascii="Arial Narrow" w:hAnsi="Arial Narrow"/>
        </w:rPr>
        <w:t xml:space="preserve"> de Gramsci a que procede</w:t>
      </w:r>
      <w:r>
        <w:rPr>
          <w:rFonts w:ascii="Arial Narrow" w:hAnsi="Arial Narrow"/>
        </w:rPr>
        <w:t>u</w:t>
      </w:r>
      <w:r w:rsidRPr="00341472">
        <w:rPr>
          <w:rFonts w:ascii="Arial Narrow" w:hAnsi="Arial Narrow"/>
        </w:rPr>
        <w:t xml:space="preserve"> E. Santarelli (1981) I 136, quando refer</w:t>
      </w:r>
      <w:r>
        <w:rPr>
          <w:rFonts w:ascii="Arial Narrow" w:hAnsi="Arial Narrow"/>
        </w:rPr>
        <w:t>iu</w:t>
      </w:r>
      <w:r w:rsidRPr="00341472">
        <w:rPr>
          <w:rFonts w:ascii="Arial Narrow" w:hAnsi="Arial Narrow"/>
        </w:rPr>
        <w:t xml:space="preserve"> «aquele optimismo da vontade e aquele pessimismo da inteligência em que se tinha formado, no drama da revolução derrotada, o grupo do </w:t>
      </w:r>
      <w:r w:rsidRPr="00341472">
        <w:rPr>
          <w:rFonts w:ascii="Arial Narrow" w:hAnsi="Arial Narrow"/>
          <w:i/>
        </w:rPr>
        <w:t>Ordine Nuovo</w:t>
      </w:r>
      <w:r w:rsidRPr="00341472">
        <w:rPr>
          <w:rFonts w:ascii="Arial Narrow" w:hAnsi="Arial Narrow"/>
        </w:rPr>
        <w:t>».</w:t>
      </w:r>
      <w:r w:rsidR="00BB25B8">
        <w:rPr>
          <w:rFonts w:ascii="Arial Narrow" w:hAnsi="Arial Narrow"/>
        </w:rPr>
        <w:t xml:space="preserve"> </w:t>
      </w:r>
      <w:r w:rsidR="00C35E83">
        <w:rPr>
          <w:rFonts w:ascii="Arial Narrow" w:hAnsi="Arial Narrow"/>
        </w:rPr>
        <w:t xml:space="preserve">Por outro lado, </w:t>
      </w:r>
      <w:r w:rsidR="00C35E83" w:rsidRPr="007C045E">
        <w:rPr>
          <w:rFonts w:ascii="Arial Narrow" w:hAnsi="Arial Narrow"/>
        </w:rPr>
        <w:t xml:space="preserve">W. Lepenies (2006) 165 indicou que Raymond Aron aprendeu com Max Weber uma visão do mundo que ele denominava «pessimismo activo». </w:t>
      </w:r>
      <w:r w:rsidR="00BB25B8" w:rsidRPr="0081356C">
        <w:rPr>
          <w:rFonts w:ascii="Arial Narrow" w:hAnsi="Arial Narrow"/>
        </w:rPr>
        <w:t>São estes os labirintos.</w:t>
      </w:r>
    </w:p>
  </w:footnote>
  <w:footnote w:id="70">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P. Drieu </w:t>
      </w:r>
      <w:r w:rsidR="000273E0" w:rsidRPr="00341472">
        <w:rPr>
          <w:rFonts w:ascii="Arial Narrow" w:hAnsi="Arial Narrow"/>
          <w:lang w:val="fr-FR"/>
        </w:rPr>
        <w:t xml:space="preserve">La </w:t>
      </w:r>
      <w:r w:rsidRPr="00341472">
        <w:rPr>
          <w:rFonts w:ascii="Arial Narrow" w:hAnsi="Arial Narrow"/>
          <w:lang w:val="fr-FR"/>
        </w:rPr>
        <w:t>Rochelle (1988) 38.</w:t>
      </w:r>
    </w:p>
  </w:footnote>
  <w:footnote w:id="71">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lang w:val="fr-FR"/>
        </w:rPr>
        <w:t xml:space="preserve"> P. Cadars et al. </w:t>
      </w:r>
      <w:r w:rsidRPr="00341472">
        <w:rPr>
          <w:rFonts w:ascii="Arial Narrow" w:hAnsi="Arial Narrow"/>
        </w:rPr>
        <w:t>(1972) 210.</w:t>
      </w:r>
    </w:p>
  </w:footnote>
  <w:footnote w:id="72">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frase de um artigo em </w:t>
      </w:r>
      <w:r w:rsidRPr="00341472">
        <w:rPr>
          <w:rFonts w:ascii="Arial Narrow" w:hAnsi="Arial Narrow"/>
          <w:i/>
        </w:rPr>
        <w:t>Blackshirt</w:t>
      </w:r>
      <w:r w:rsidR="00DA5011">
        <w:rPr>
          <w:rFonts w:ascii="Arial Narrow" w:hAnsi="Arial Narrow"/>
          <w:i/>
        </w:rPr>
        <w:t>,</w:t>
      </w:r>
      <w:r w:rsidRPr="00341472">
        <w:rPr>
          <w:rFonts w:ascii="Arial Narrow" w:hAnsi="Arial Narrow"/>
        </w:rPr>
        <w:t xml:space="preserve"> Setembro de 1933</w:t>
      </w:r>
      <w:r w:rsidR="00DA5011">
        <w:rPr>
          <w:rFonts w:ascii="Arial Narrow" w:hAnsi="Arial Narrow"/>
        </w:rPr>
        <w:t>,</w:t>
      </w:r>
      <w:r w:rsidRPr="00341472">
        <w:rPr>
          <w:rFonts w:ascii="Arial Narrow" w:hAnsi="Arial Narrow"/>
        </w:rPr>
        <w:t xml:space="preserve"> vem citada em R. P. Dutt (1936) 340.</w:t>
      </w:r>
    </w:p>
  </w:footnote>
  <w:footnote w:id="7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B. Bikhovsky num artigo publicado em 1931 e referido em B. R. Lopukhov (1965) 254-255.</w:t>
      </w:r>
      <w:r w:rsidR="00F46D02">
        <w:rPr>
          <w:rFonts w:ascii="Arial Narrow" w:hAnsi="Arial Narrow"/>
        </w:rPr>
        <w:t xml:space="preserve"> </w:t>
      </w:r>
      <w:r w:rsidR="000C6418" w:rsidRPr="000C6418">
        <w:rPr>
          <w:rFonts w:ascii="Arial Narrow" w:hAnsi="Arial Narrow"/>
        </w:rPr>
        <w:t>Com efeito, sendo o acto de pensar, para Gentile, o único real concreto e a norma incondicionada de toda a filosofia, aquele acto não obedece</w:t>
      </w:r>
      <w:r w:rsidR="00BB1AC8">
        <w:rPr>
          <w:rFonts w:ascii="Arial Narrow" w:hAnsi="Arial Narrow"/>
        </w:rPr>
        <w:t>ria</w:t>
      </w:r>
      <w:r w:rsidR="000C6418" w:rsidRPr="000C6418">
        <w:rPr>
          <w:rFonts w:ascii="Arial Narrow" w:hAnsi="Arial Narrow"/>
        </w:rPr>
        <w:t xml:space="preserve"> a condições nem a limites pré-estabelecidos</w:t>
      </w:r>
      <w:r w:rsidR="00DA5011">
        <w:rPr>
          <w:rFonts w:ascii="Arial Narrow" w:hAnsi="Arial Narrow"/>
        </w:rPr>
        <w:t>,</w:t>
      </w:r>
      <w:r w:rsidR="000C6418" w:rsidRPr="000C6418">
        <w:rPr>
          <w:rFonts w:ascii="Arial Narrow" w:hAnsi="Arial Narrow"/>
        </w:rPr>
        <w:t xml:space="preserve"> trata</w:t>
      </w:r>
      <w:r w:rsidR="00DA5011">
        <w:rPr>
          <w:rFonts w:ascii="Arial Narrow" w:hAnsi="Arial Narrow"/>
        </w:rPr>
        <w:t>ndo</w:t>
      </w:r>
      <w:r w:rsidR="000C6418" w:rsidRPr="000C6418">
        <w:rPr>
          <w:rFonts w:ascii="Arial Narrow" w:hAnsi="Arial Narrow"/>
        </w:rPr>
        <w:t>-se de um acto livre. Ver a este respeito R. W. Holmes (1937) 91, 106 e 166.</w:t>
      </w:r>
    </w:p>
  </w:footnote>
  <w:footnote w:id="74">
    <w:p w:rsidR="00993A83" w:rsidRPr="00993A83" w:rsidRDefault="00993A83">
      <w:pPr>
        <w:pStyle w:val="Textodenotaderodap"/>
        <w:rPr>
          <w:rFonts w:ascii="Arial Narrow" w:hAnsi="Arial Narrow"/>
        </w:rPr>
      </w:pPr>
      <w:r w:rsidRPr="00993A83">
        <w:rPr>
          <w:rStyle w:val="Refdenotaderodap"/>
          <w:rFonts w:ascii="Arial Narrow" w:hAnsi="Arial Narrow"/>
        </w:rPr>
        <w:footnoteRef/>
      </w:r>
      <w:r w:rsidRPr="00993A83">
        <w:rPr>
          <w:rFonts w:ascii="Arial Narrow" w:hAnsi="Arial Narrow"/>
        </w:rPr>
        <w:t xml:space="preserve"> </w:t>
      </w:r>
      <w:r>
        <w:rPr>
          <w:rFonts w:ascii="Arial Narrow" w:hAnsi="Arial Narrow"/>
        </w:rPr>
        <w:t>A. Beevor (2010) 31.</w:t>
      </w:r>
    </w:p>
  </w:footnote>
  <w:footnote w:id="75">
    <w:p w:rsidR="00450D13" w:rsidRPr="00450D13" w:rsidRDefault="00450D13">
      <w:pPr>
        <w:pStyle w:val="Textodenotaderodap"/>
        <w:rPr>
          <w:rFonts w:ascii="Arial Narrow" w:hAnsi="Arial Narrow"/>
        </w:rPr>
      </w:pPr>
      <w:r w:rsidRPr="00450D13">
        <w:rPr>
          <w:rStyle w:val="Refdenotaderodap"/>
          <w:rFonts w:ascii="Arial Narrow" w:hAnsi="Arial Narrow"/>
        </w:rPr>
        <w:footnoteRef/>
      </w:r>
      <w:r w:rsidRPr="00450D13">
        <w:rPr>
          <w:rFonts w:ascii="Arial Narrow" w:hAnsi="Arial Narrow"/>
        </w:rPr>
        <w:t xml:space="preserve"> </w:t>
      </w:r>
      <w:r>
        <w:rPr>
          <w:rFonts w:ascii="Arial Narrow" w:hAnsi="Arial Narrow"/>
        </w:rPr>
        <w:t xml:space="preserve">Esta passagem do discurso proferido por Hitler em </w:t>
      </w:r>
      <w:r w:rsidR="002D5F09">
        <w:rPr>
          <w:rFonts w:ascii="Arial Narrow" w:hAnsi="Arial Narrow"/>
        </w:rPr>
        <w:t xml:space="preserve">23 de Novembro de 1939 </w:t>
      </w:r>
      <w:r>
        <w:rPr>
          <w:rFonts w:ascii="Arial Narrow" w:hAnsi="Arial Narrow"/>
        </w:rPr>
        <w:t>perante duzentas altas patentes das forças armadas encontra-se em J. Noakes et al. (orgs. 200</w:t>
      </w:r>
      <w:r w:rsidR="00443281">
        <w:rPr>
          <w:rFonts w:ascii="Arial Narrow" w:hAnsi="Arial Narrow"/>
        </w:rPr>
        <w:t>8-2010</w:t>
      </w:r>
      <w:r>
        <w:rPr>
          <w:rFonts w:ascii="Arial Narrow" w:hAnsi="Arial Narrow"/>
        </w:rPr>
        <w:t xml:space="preserve">) </w:t>
      </w:r>
      <w:r w:rsidR="00443281">
        <w:rPr>
          <w:rFonts w:ascii="Arial Narrow" w:hAnsi="Arial Narrow"/>
        </w:rPr>
        <w:t xml:space="preserve">III </w:t>
      </w:r>
      <w:r>
        <w:rPr>
          <w:rFonts w:ascii="Arial Narrow" w:hAnsi="Arial Narrow"/>
        </w:rPr>
        <w:t>157.</w:t>
      </w:r>
    </w:p>
  </w:footnote>
  <w:footnote w:id="76">
    <w:p w:rsidR="00585B36" w:rsidRPr="009A1B4E" w:rsidRDefault="00585B36" w:rsidP="00585B36">
      <w:pPr>
        <w:pStyle w:val="Textodenotaderodap"/>
        <w:rPr>
          <w:rFonts w:ascii="Arial Narrow" w:hAnsi="Arial Narrow"/>
          <w:color w:val="000000" w:themeColor="text1"/>
        </w:rPr>
      </w:pPr>
      <w:r w:rsidRPr="009A1B4E">
        <w:rPr>
          <w:rStyle w:val="Refdenotaderodap"/>
          <w:rFonts w:ascii="Arial Narrow" w:hAnsi="Arial Narrow"/>
          <w:color w:val="000000" w:themeColor="text1"/>
        </w:rPr>
        <w:footnoteRef/>
      </w:r>
      <w:r w:rsidRPr="009A1B4E">
        <w:rPr>
          <w:rFonts w:ascii="Arial Narrow" w:hAnsi="Arial Narrow"/>
          <w:color w:val="000000" w:themeColor="text1"/>
        </w:rPr>
        <w:t xml:space="preserve"> </w:t>
      </w:r>
      <w:r>
        <w:rPr>
          <w:rFonts w:ascii="Arial Narrow" w:hAnsi="Arial Narrow"/>
        </w:rPr>
        <w:t xml:space="preserve">A. Aniante (1933) 47, </w:t>
      </w:r>
      <w:r>
        <w:rPr>
          <w:rFonts w:ascii="Arial Narrow" w:hAnsi="Arial Narrow"/>
          <w:color w:val="000000" w:themeColor="text1"/>
        </w:rPr>
        <w:t>198.</w:t>
      </w:r>
    </w:p>
  </w:footnote>
  <w:footnote w:id="77">
    <w:p w:rsidR="001A538D" w:rsidRPr="001A538D" w:rsidRDefault="001A538D">
      <w:pPr>
        <w:pStyle w:val="Textodenotaderodap"/>
        <w:rPr>
          <w:rFonts w:ascii="Arial Narrow" w:hAnsi="Arial Narrow"/>
        </w:rPr>
      </w:pPr>
      <w:r w:rsidRPr="001A538D">
        <w:rPr>
          <w:rStyle w:val="Refdenotaderodap"/>
          <w:rFonts w:ascii="Arial Narrow" w:hAnsi="Arial Narrow"/>
        </w:rPr>
        <w:footnoteRef/>
      </w:r>
      <w:r w:rsidRPr="001A538D">
        <w:rPr>
          <w:rFonts w:ascii="Arial Narrow" w:hAnsi="Arial Narrow"/>
        </w:rPr>
        <w:t xml:space="preserve"> </w:t>
      </w:r>
      <w:r>
        <w:rPr>
          <w:rFonts w:ascii="Arial Narrow" w:hAnsi="Arial Narrow"/>
        </w:rPr>
        <w:t xml:space="preserve">Cousteau falou em </w:t>
      </w:r>
      <w:r w:rsidRPr="003F5D0F">
        <w:rPr>
          <w:rFonts w:ascii="Arial Narrow" w:hAnsi="Arial Narrow"/>
          <w:i/>
        </w:rPr>
        <w:t>«renverser»,</w:t>
      </w:r>
      <w:r>
        <w:rPr>
          <w:rFonts w:ascii="Arial Narrow" w:hAnsi="Arial Narrow"/>
        </w:rPr>
        <w:t xml:space="preserve"> que tanto pode significar </w:t>
      </w:r>
      <w:r w:rsidRPr="003F5D0F">
        <w:rPr>
          <w:rFonts w:ascii="Arial Narrow" w:hAnsi="Arial Narrow"/>
          <w:i/>
        </w:rPr>
        <w:t>inverter</w:t>
      </w:r>
      <w:r>
        <w:rPr>
          <w:rFonts w:ascii="Arial Narrow" w:hAnsi="Arial Narrow"/>
        </w:rPr>
        <w:t xml:space="preserve"> como </w:t>
      </w:r>
      <w:r w:rsidRPr="003F5D0F">
        <w:rPr>
          <w:rFonts w:ascii="Arial Narrow" w:hAnsi="Arial Narrow"/>
          <w:i/>
        </w:rPr>
        <w:t>derrubar</w:t>
      </w:r>
      <w:r>
        <w:rPr>
          <w:rFonts w:ascii="Arial Narrow" w:hAnsi="Arial Narrow"/>
        </w:rPr>
        <w:t>.</w:t>
      </w:r>
    </w:p>
  </w:footnote>
  <w:footnote w:id="78">
    <w:p w:rsidR="00D772CB" w:rsidRPr="001A538D" w:rsidRDefault="00D772CB">
      <w:pPr>
        <w:pStyle w:val="Textodenotaderodap"/>
        <w:rPr>
          <w:rFonts w:ascii="Arial Narrow" w:hAnsi="Arial Narrow"/>
        </w:rPr>
      </w:pPr>
      <w:r w:rsidRPr="00D772CB">
        <w:rPr>
          <w:rStyle w:val="Refdenotaderodap"/>
          <w:rFonts w:ascii="Arial Narrow" w:hAnsi="Arial Narrow"/>
        </w:rPr>
        <w:footnoteRef/>
      </w:r>
      <w:r w:rsidRPr="001A538D">
        <w:rPr>
          <w:rFonts w:ascii="Arial Narrow" w:hAnsi="Arial Narrow"/>
        </w:rPr>
        <w:t xml:space="preserve"> </w:t>
      </w:r>
      <w:r w:rsidR="001A538D" w:rsidRPr="001A538D">
        <w:rPr>
          <w:rFonts w:ascii="Arial Narrow" w:hAnsi="Arial Narrow"/>
        </w:rPr>
        <w:t xml:space="preserve">L. Rebatet et al. (1999) 60, 187, 118, </w:t>
      </w:r>
      <w:r w:rsidR="00965812" w:rsidRPr="001A538D">
        <w:rPr>
          <w:rFonts w:ascii="Arial Narrow" w:hAnsi="Arial Narrow"/>
        </w:rPr>
        <w:t>194</w:t>
      </w:r>
      <w:r w:rsidR="001A538D" w:rsidRPr="001A538D">
        <w:rPr>
          <w:rFonts w:ascii="Arial Narrow" w:hAnsi="Arial Narrow"/>
        </w:rPr>
        <w:t xml:space="preserve"> e</w:t>
      </w:r>
      <w:r w:rsidR="00965812" w:rsidRPr="001A538D">
        <w:rPr>
          <w:rFonts w:ascii="Arial Narrow" w:hAnsi="Arial Narrow"/>
        </w:rPr>
        <w:t xml:space="preserve"> 195</w:t>
      </w:r>
      <w:r w:rsidR="001A538D" w:rsidRPr="001A538D">
        <w:rPr>
          <w:rFonts w:ascii="Arial Narrow" w:hAnsi="Arial Narrow"/>
        </w:rPr>
        <w:t>, respectivamente</w:t>
      </w:r>
      <w:r w:rsidR="00965812" w:rsidRPr="001A538D">
        <w:rPr>
          <w:rFonts w:ascii="Arial Narrow" w:hAnsi="Arial Narrow"/>
        </w:rPr>
        <w:t>.</w:t>
      </w:r>
    </w:p>
  </w:footnote>
  <w:footnote w:id="79">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G. Oltramare (1956) 201. Ver igualmente P. Ory (1976) 53.</w:t>
      </w:r>
      <w:r w:rsidR="006F781B">
        <w:rPr>
          <w:rFonts w:ascii="Arial Narrow" w:hAnsi="Arial Narrow"/>
        </w:rPr>
        <w:t xml:space="preserve"> Ter-se-iam eles inspirado no nome </w:t>
      </w:r>
      <w:r w:rsidR="004023DF">
        <w:rPr>
          <w:rFonts w:ascii="Arial Narrow" w:hAnsi="Arial Narrow"/>
        </w:rPr>
        <w:t>dado por</w:t>
      </w:r>
      <w:r w:rsidR="006F781B">
        <w:rPr>
          <w:rFonts w:ascii="Arial Narrow" w:hAnsi="Arial Narrow"/>
        </w:rPr>
        <w:t xml:space="preserve"> Marco António e Cleópatra àquela espécie de associação de extravagantes que fundaram em Alexandria quando estavam já à beira da catástrofe, </w:t>
      </w:r>
      <w:r w:rsidR="006F781B" w:rsidRPr="006F781B">
        <w:rPr>
          <w:rFonts w:ascii="Arial Narrow" w:hAnsi="Arial Narrow"/>
          <w:i/>
        </w:rPr>
        <w:t>Os que estão prestes a morrer juntos</w:t>
      </w:r>
      <w:r w:rsidR="006F781B">
        <w:rPr>
          <w:rFonts w:ascii="Arial Narrow" w:hAnsi="Arial Narrow"/>
        </w:rPr>
        <w:t>? Ver R. Lane Fox (2013) 451.</w:t>
      </w:r>
    </w:p>
  </w:footnote>
  <w:footnote w:id="80">
    <w:p w:rsidR="00844D71" w:rsidRPr="00844D71" w:rsidRDefault="00844D71">
      <w:pPr>
        <w:pStyle w:val="Textodenotaderodap"/>
        <w:rPr>
          <w:rFonts w:ascii="Arial Narrow" w:hAnsi="Arial Narrow"/>
        </w:rPr>
      </w:pPr>
      <w:r w:rsidRPr="00844D71">
        <w:rPr>
          <w:rStyle w:val="Refdenotaderodap"/>
          <w:rFonts w:ascii="Arial Narrow" w:hAnsi="Arial Narrow"/>
        </w:rPr>
        <w:footnoteRef/>
      </w:r>
      <w:r w:rsidRPr="00844D71">
        <w:rPr>
          <w:rFonts w:ascii="Arial Narrow" w:hAnsi="Arial Narrow"/>
        </w:rPr>
        <w:t xml:space="preserve"> </w:t>
      </w:r>
      <w:r>
        <w:rPr>
          <w:rFonts w:ascii="Arial Narrow" w:hAnsi="Arial Narrow"/>
        </w:rPr>
        <w:t>A. Beevor et al. (2012) 62-63.</w:t>
      </w:r>
    </w:p>
  </w:footnote>
  <w:footnote w:id="81">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passagem de um artigo de </w:t>
      </w:r>
      <w:r w:rsidRPr="00341472">
        <w:rPr>
          <w:rFonts w:ascii="Arial Narrow" w:hAnsi="Arial Narrow"/>
          <w:i/>
        </w:rPr>
        <w:t>Fascist Week</w:t>
      </w:r>
      <w:r w:rsidR="003249E6">
        <w:rPr>
          <w:rFonts w:ascii="Arial Narrow" w:hAnsi="Arial Narrow"/>
          <w:i/>
        </w:rPr>
        <w:t>,</w:t>
      </w:r>
      <w:r w:rsidRPr="00341472">
        <w:rPr>
          <w:rFonts w:ascii="Arial Narrow" w:hAnsi="Arial Narrow"/>
        </w:rPr>
        <w:t xml:space="preserve"> Janeiro de 1934</w:t>
      </w:r>
      <w:r w:rsidR="003249E6">
        <w:rPr>
          <w:rFonts w:ascii="Arial Narrow" w:hAnsi="Arial Narrow"/>
        </w:rPr>
        <w:t>,</w:t>
      </w:r>
      <w:r w:rsidRPr="00341472">
        <w:rPr>
          <w:rFonts w:ascii="Arial Narrow" w:hAnsi="Arial Narrow"/>
        </w:rPr>
        <w:t xml:space="preserve"> </w:t>
      </w:r>
      <w:r w:rsidR="00C802B8">
        <w:rPr>
          <w:rFonts w:ascii="Arial Narrow" w:hAnsi="Arial Narrow"/>
        </w:rPr>
        <w:t>está</w:t>
      </w:r>
      <w:r w:rsidRPr="00341472">
        <w:rPr>
          <w:rFonts w:ascii="Arial Narrow" w:hAnsi="Arial Narrow"/>
        </w:rPr>
        <w:t xml:space="preserve"> citada em R. P. Dutt (1936) 340.</w:t>
      </w:r>
    </w:p>
  </w:footnote>
  <w:footnote w:id="82">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lang w:val="en-GB"/>
        </w:rPr>
        <w:t xml:space="preserve"> Ph. Bourdrel (1992) 296; Ph. Burrin (1986) 389; O. Dard (1998) 239 n. 149; </w:t>
      </w:r>
      <w:r w:rsidR="00166069" w:rsidRPr="00166069">
        <w:rPr>
          <w:rFonts w:ascii="Arial Narrow" w:hAnsi="Arial Narrow"/>
          <w:lang w:val="en-US"/>
        </w:rPr>
        <w:t xml:space="preserve">D. Orlow (2009) </w:t>
      </w:r>
      <w:r w:rsidR="00166069">
        <w:rPr>
          <w:rFonts w:ascii="Arial Narrow" w:hAnsi="Arial Narrow"/>
          <w:lang w:val="en-US"/>
        </w:rPr>
        <w:t xml:space="preserve">136; </w:t>
      </w:r>
      <w:r w:rsidRPr="00341472">
        <w:rPr>
          <w:rFonts w:ascii="Arial Narrow" w:hAnsi="Arial Narrow"/>
          <w:lang w:val="en-GB"/>
        </w:rPr>
        <w:t xml:space="preserve">P. Ory (1976) 58, 99, 100, 131, 242; Ph. </w:t>
      </w:r>
      <w:r w:rsidRPr="00341472">
        <w:rPr>
          <w:rFonts w:ascii="Arial Narrow" w:hAnsi="Arial Narrow"/>
        </w:rPr>
        <w:t xml:space="preserve">Randa (1997) 512-515; D. Wolf (1969) 190, 224, 342. Philippe Burrin, </w:t>
      </w:r>
      <w:r w:rsidRPr="00494309">
        <w:rPr>
          <w:rFonts w:ascii="Arial Narrow" w:hAnsi="Arial Narrow"/>
        </w:rPr>
        <w:t>op. cit.,</w:t>
      </w:r>
      <w:r w:rsidRPr="00341472">
        <w:rPr>
          <w:rFonts w:ascii="Arial Narrow" w:hAnsi="Arial Narrow"/>
        </w:rPr>
        <w:t xml:space="preserve"> 387 situ</w:t>
      </w:r>
      <w:r>
        <w:rPr>
          <w:rFonts w:ascii="Arial Narrow" w:hAnsi="Arial Narrow"/>
        </w:rPr>
        <w:t>ou</w:t>
      </w:r>
      <w:r w:rsidRPr="00341472">
        <w:rPr>
          <w:rFonts w:ascii="Arial Narrow" w:hAnsi="Arial Narrow"/>
        </w:rPr>
        <w:t xml:space="preserve"> Fontenoy em Outubro de 1940 ainda na órbita de Doriot. Note-se que durante a </w:t>
      </w:r>
      <w:r w:rsidRPr="00341472">
        <w:rPr>
          <w:rFonts w:ascii="Arial Narrow" w:hAnsi="Arial Narrow"/>
          <w:i/>
        </w:rPr>
        <w:t>drôle de guerre</w:t>
      </w:r>
      <w:r w:rsidRPr="00341472">
        <w:rPr>
          <w:rFonts w:ascii="Arial Narrow" w:hAnsi="Arial Narrow"/>
        </w:rPr>
        <w:t xml:space="preserve"> o auxílio à Finlândia foi uma das causas que mais entusiasmaram a extrema-direita francesa, que procurava não encetar hostilidades contra o Reich e ao mesmo tempo combater a União Soviética, apesar de ambos os países serem então aliados e de ter sido Berlim, não Moscovo, a declarar guerra à França. Quanto à morte de Fontenoy, leio em Dieter Wolf, </w:t>
      </w:r>
      <w:r w:rsidRPr="00494309">
        <w:rPr>
          <w:rFonts w:ascii="Arial Narrow" w:hAnsi="Arial Narrow"/>
        </w:rPr>
        <w:t>op. cit.,</w:t>
      </w:r>
      <w:r w:rsidRPr="00341472">
        <w:rPr>
          <w:rFonts w:ascii="Arial Narrow" w:hAnsi="Arial Narrow"/>
        </w:rPr>
        <w:t xml:space="preserve"> 190 que ele se teria suicidado quando as tropas soviéticas penetraram na capital do Reich, e com efeito é esta a versão apresentada por Raymond Abellio, citado por Philippe Randa</w:t>
      </w:r>
      <w:r w:rsidR="00494309">
        <w:rPr>
          <w:rFonts w:ascii="Arial Narrow" w:hAnsi="Arial Narrow"/>
        </w:rPr>
        <w:t>,</w:t>
      </w:r>
      <w:r w:rsidRPr="00341472">
        <w:rPr>
          <w:rFonts w:ascii="Arial Narrow" w:hAnsi="Arial Narrow"/>
        </w:rPr>
        <w:t xml:space="preserve"> </w:t>
      </w:r>
      <w:r w:rsidRPr="00494309">
        <w:rPr>
          <w:rFonts w:ascii="Arial Narrow" w:hAnsi="Arial Narrow"/>
        </w:rPr>
        <w:t>op. cit.,</w:t>
      </w:r>
      <w:r w:rsidRPr="00341472">
        <w:rPr>
          <w:rFonts w:ascii="Arial Narrow" w:hAnsi="Arial Narrow"/>
        </w:rPr>
        <w:t xml:space="preserve"> 515.</w:t>
      </w:r>
    </w:p>
  </w:footnote>
  <w:footnote w:id="83">
    <w:p w:rsidR="00AF5DFB" w:rsidRPr="00AF5DFB" w:rsidRDefault="00AF5DFB" w:rsidP="00C42C1E">
      <w:pPr>
        <w:pStyle w:val="Textodenotaderodap"/>
        <w:rPr>
          <w:rFonts w:ascii="Arial Narrow" w:hAnsi="Arial Narrow"/>
        </w:rPr>
      </w:pPr>
      <w:r w:rsidRPr="00AF5DFB">
        <w:rPr>
          <w:rStyle w:val="Refdenotaderodap"/>
          <w:rFonts w:ascii="Arial Narrow" w:hAnsi="Arial Narrow"/>
        </w:rPr>
        <w:footnoteRef/>
      </w:r>
      <w:r w:rsidRPr="00AF5DFB">
        <w:rPr>
          <w:rFonts w:ascii="Arial Narrow" w:hAnsi="Arial Narrow"/>
        </w:rPr>
        <w:t xml:space="preserve"> </w:t>
      </w:r>
      <w:r>
        <w:rPr>
          <w:rFonts w:ascii="Arial Narrow" w:hAnsi="Arial Narrow"/>
        </w:rPr>
        <w:t xml:space="preserve">Citado em </w:t>
      </w:r>
      <w:r w:rsidR="00854612" w:rsidRPr="00FF3CB3">
        <w:rPr>
          <w:rFonts w:ascii="Arial Narrow" w:hAnsi="Arial Narrow"/>
        </w:rPr>
        <w:t xml:space="preserve">H. J. Burgwyn (2012) 214, </w:t>
      </w:r>
      <w:r w:rsidR="006147AF" w:rsidRPr="006147AF">
        <w:rPr>
          <w:rFonts w:ascii="Arial Narrow" w:hAnsi="Arial Narrow"/>
        </w:rPr>
        <w:t xml:space="preserve">J. Golomb et al. </w:t>
      </w:r>
      <w:r w:rsidR="006147AF" w:rsidRPr="005564D8">
        <w:rPr>
          <w:rFonts w:ascii="Arial Narrow" w:hAnsi="Arial Narrow"/>
        </w:rPr>
        <w:t>(2002) 15</w:t>
      </w:r>
      <w:r w:rsidR="005201EC">
        <w:rPr>
          <w:rFonts w:ascii="Arial Narrow" w:hAnsi="Arial Narrow"/>
        </w:rPr>
        <w:t xml:space="preserve"> e </w:t>
      </w:r>
      <w:r w:rsidR="005201EC" w:rsidRPr="00184416">
        <w:rPr>
          <w:rFonts w:ascii="Arial Narrow" w:hAnsi="Arial Narrow"/>
          <w:bCs/>
        </w:rPr>
        <w:t>M. Sznajder (2002) 429</w:t>
      </w:r>
      <w:r w:rsidR="006147AF" w:rsidRPr="005564D8">
        <w:rPr>
          <w:rFonts w:ascii="Arial Narrow" w:hAnsi="Arial Narrow"/>
        </w:rPr>
        <w:t>.</w:t>
      </w:r>
      <w:r w:rsidR="005E1EDA" w:rsidRPr="005564D8">
        <w:rPr>
          <w:rFonts w:ascii="Arial Narrow" w:hAnsi="Arial Narrow"/>
        </w:rPr>
        <w:t xml:space="preserve"> </w:t>
      </w:r>
      <w:r w:rsidR="005E1EDA" w:rsidRPr="005564D8">
        <w:rPr>
          <w:rFonts w:ascii="Arial Narrow" w:hAnsi="Arial Narrow"/>
          <w:bCs/>
        </w:rPr>
        <w:t>W. Müller-Lauter (2002) 9</w:t>
      </w:r>
      <w:r w:rsidR="00DB1F8C" w:rsidRPr="005564D8">
        <w:rPr>
          <w:rFonts w:ascii="Arial Narrow" w:hAnsi="Arial Narrow"/>
          <w:bCs/>
        </w:rPr>
        <w:t>4</w:t>
      </w:r>
      <w:r w:rsidR="005E1EDA" w:rsidRPr="005564D8">
        <w:rPr>
          <w:rFonts w:ascii="Arial Narrow" w:hAnsi="Arial Narrow"/>
          <w:bCs/>
        </w:rPr>
        <w:t>-9</w:t>
      </w:r>
      <w:r w:rsidR="00DB1F8C" w:rsidRPr="005564D8">
        <w:rPr>
          <w:rFonts w:ascii="Arial Narrow" w:hAnsi="Arial Narrow"/>
          <w:bCs/>
        </w:rPr>
        <w:t>5</w:t>
      </w:r>
      <w:r w:rsidR="005E1EDA" w:rsidRPr="005564D8">
        <w:rPr>
          <w:rFonts w:ascii="Arial Narrow" w:hAnsi="Arial Narrow"/>
          <w:bCs/>
        </w:rPr>
        <w:t xml:space="preserve"> pretendeu mostrar que aquelas duas palavras </w:t>
      </w:r>
      <w:r w:rsidR="00E460AB" w:rsidRPr="005564D8">
        <w:rPr>
          <w:rFonts w:ascii="Arial Narrow" w:hAnsi="Arial Narrow"/>
          <w:bCs/>
        </w:rPr>
        <w:t>haviam sido</w:t>
      </w:r>
      <w:r w:rsidR="005E1EDA" w:rsidRPr="005564D8">
        <w:rPr>
          <w:rFonts w:ascii="Arial Narrow" w:hAnsi="Arial Narrow"/>
          <w:bCs/>
        </w:rPr>
        <w:t xml:space="preserve"> usadas por Nietzsche numa acepção dife</w:t>
      </w:r>
      <w:r w:rsidR="00CA629E" w:rsidRPr="005564D8">
        <w:rPr>
          <w:rFonts w:ascii="Arial Narrow" w:hAnsi="Arial Narrow"/>
          <w:bCs/>
        </w:rPr>
        <w:t>rente da que Mussolini lhes deu, mas D. W. Conway (2002) 29</w:t>
      </w:r>
      <w:r w:rsidR="001E2D7F" w:rsidRPr="005564D8">
        <w:rPr>
          <w:rFonts w:ascii="Arial Narrow" w:hAnsi="Arial Narrow"/>
          <w:bCs/>
        </w:rPr>
        <w:t>6</w:t>
      </w:r>
      <w:r w:rsidR="00CA629E" w:rsidRPr="005564D8">
        <w:rPr>
          <w:rFonts w:ascii="Arial Narrow" w:hAnsi="Arial Narrow"/>
          <w:bCs/>
        </w:rPr>
        <w:t xml:space="preserve"> reconheceu que «Mussolini foi um discípulo ávido</w:t>
      </w:r>
      <w:r w:rsidR="001E2D7F" w:rsidRPr="005564D8">
        <w:rPr>
          <w:rFonts w:ascii="Arial Narrow" w:hAnsi="Arial Narrow"/>
          <w:bCs/>
        </w:rPr>
        <w:t xml:space="preserve"> dos ensinamentos de Nietzsche», embora acrescentasse </w:t>
      </w:r>
      <w:r w:rsidR="00ED563C">
        <w:rPr>
          <w:rFonts w:ascii="Arial Narrow" w:hAnsi="Arial Narrow"/>
          <w:bCs/>
        </w:rPr>
        <w:t>(</w:t>
      </w:r>
      <w:r w:rsidR="001E2D7F" w:rsidRPr="005564D8">
        <w:rPr>
          <w:rFonts w:ascii="Arial Narrow" w:hAnsi="Arial Narrow"/>
          <w:bCs/>
        </w:rPr>
        <w:t>pág. 297</w:t>
      </w:r>
      <w:r w:rsidR="00ED563C">
        <w:rPr>
          <w:rFonts w:ascii="Arial Narrow" w:hAnsi="Arial Narrow"/>
          <w:bCs/>
        </w:rPr>
        <w:t>)</w:t>
      </w:r>
      <w:r w:rsidR="001E2D7F" w:rsidRPr="005564D8">
        <w:rPr>
          <w:rFonts w:ascii="Arial Narrow" w:hAnsi="Arial Narrow"/>
          <w:bCs/>
        </w:rPr>
        <w:t xml:space="preserve"> que «Mussolini nem o leu com cuidado nem o leu bem».</w:t>
      </w:r>
      <w:r w:rsidR="00204A54">
        <w:rPr>
          <w:rFonts w:ascii="Arial Narrow" w:hAnsi="Arial Narrow"/>
          <w:bCs/>
        </w:rPr>
        <w:t xml:space="preserve"> Pelo contrário, </w:t>
      </w:r>
      <w:r w:rsidR="00204A54" w:rsidRPr="00184416">
        <w:rPr>
          <w:rFonts w:ascii="Arial Narrow" w:hAnsi="Arial Narrow"/>
          <w:bCs/>
        </w:rPr>
        <w:t>M</w:t>
      </w:r>
      <w:r w:rsidR="005201EC" w:rsidRPr="00184416">
        <w:rPr>
          <w:rFonts w:ascii="Arial Narrow" w:hAnsi="Arial Narrow"/>
          <w:bCs/>
        </w:rPr>
        <w:t>ario</w:t>
      </w:r>
      <w:r w:rsidR="00204A54" w:rsidRPr="00184416">
        <w:rPr>
          <w:rFonts w:ascii="Arial Narrow" w:hAnsi="Arial Narrow"/>
          <w:bCs/>
        </w:rPr>
        <w:t xml:space="preserve"> Sznajder</w:t>
      </w:r>
      <w:r w:rsidR="005201EC" w:rsidRPr="00184416">
        <w:rPr>
          <w:rFonts w:ascii="Arial Narrow" w:hAnsi="Arial Narrow"/>
          <w:bCs/>
        </w:rPr>
        <w:t xml:space="preserve">, op. cit., </w:t>
      </w:r>
      <w:r w:rsidR="00204A54" w:rsidRPr="00184416">
        <w:rPr>
          <w:rFonts w:ascii="Arial Narrow" w:hAnsi="Arial Narrow"/>
          <w:bCs/>
        </w:rPr>
        <w:t>41</w:t>
      </w:r>
      <w:r w:rsidR="00D91F40" w:rsidRPr="00184416">
        <w:rPr>
          <w:rFonts w:ascii="Arial Narrow" w:hAnsi="Arial Narrow"/>
          <w:bCs/>
        </w:rPr>
        <w:t>7</w:t>
      </w:r>
      <w:r w:rsidR="006779F7" w:rsidRPr="00184416">
        <w:rPr>
          <w:rFonts w:ascii="Arial Narrow" w:hAnsi="Arial Narrow"/>
          <w:bCs/>
        </w:rPr>
        <w:t xml:space="preserve"> e segs. </w:t>
      </w:r>
      <w:r w:rsidR="007C027B" w:rsidRPr="00184416">
        <w:rPr>
          <w:rFonts w:ascii="Arial Narrow" w:hAnsi="Arial Narrow"/>
          <w:bCs/>
        </w:rPr>
        <w:t xml:space="preserve">mostrou </w:t>
      </w:r>
      <w:r w:rsidR="00D91F40" w:rsidRPr="00184416">
        <w:rPr>
          <w:rFonts w:ascii="Arial Narrow" w:hAnsi="Arial Narrow"/>
          <w:bCs/>
        </w:rPr>
        <w:t>que o jovem Mussolini tinha lido muito Nietzsche e sido pro</w:t>
      </w:r>
      <w:r w:rsidR="007C027B" w:rsidRPr="00184416">
        <w:rPr>
          <w:rFonts w:ascii="Arial Narrow" w:hAnsi="Arial Narrow"/>
          <w:bCs/>
        </w:rPr>
        <w:t>fundamente influenciado por ele ao longo d</w:t>
      </w:r>
      <w:r w:rsidR="00400783" w:rsidRPr="00184416">
        <w:rPr>
          <w:rFonts w:ascii="Arial Narrow" w:hAnsi="Arial Narrow"/>
          <w:bCs/>
        </w:rPr>
        <w:t xml:space="preserve">e toda </w:t>
      </w:r>
      <w:r w:rsidR="007C027B" w:rsidRPr="00184416">
        <w:rPr>
          <w:rFonts w:ascii="Arial Narrow" w:hAnsi="Arial Narrow"/>
          <w:bCs/>
        </w:rPr>
        <w:t>a sua acção política.</w:t>
      </w:r>
      <w:r w:rsidR="00FE7E32" w:rsidRPr="00184416">
        <w:rPr>
          <w:rFonts w:ascii="Arial Narrow" w:hAnsi="Arial Narrow"/>
          <w:bCs/>
        </w:rPr>
        <w:t xml:space="preserve"> </w:t>
      </w:r>
      <w:r w:rsidR="00600B23" w:rsidRPr="00184416">
        <w:rPr>
          <w:rFonts w:ascii="Arial Narrow" w:hAnsi="Arial Narrow"/>
          <w:bCs/>
        </w:rPr>
        <w:t xml:space="preserve">No mesmo sentido </w:t>
      </w:r>
      <w:r w:rsidR="00FE7E32" w:rsidRPr="00184416">
        <w:rPr>
          <w:rFonts w:ascii="Arial Narrow" w:hAnsi="Arial Narrow"/>
          <w:bCs/>
        </w:rPr>
        <w:t xml:space="preserve">R. Wolin (2004) </w:t>
      </w:r>
      <w:r w:rsidR="00267192" w:rsidRPr="00184416">
        <w:rPr>
          <w:rFonts w:ascii="Arial Narrow" w:hAnsi="Arial Narrow"/>
          <w:bCs/>
        </w:rPr>
        <w:t xml:space="preserve">98 </w:t>
      </w:r>
      <w:r w:rsidR="00600B23" w:rsidRPr="00184416">
        <w:rPr>
          <w:rFonts w:ascii="Arial Narrow" w:hAnsi="Arial Narrow"/>
          <w:bCs/>
        </w:rPr>
        <w:t xml:space="preserve">depois de </w:t>
      </w:r>
      <w:r w:rsidR="00FE7E32" w:rsidRPr="00184416">
        <w:rPr>
          <w:rFonts w:ascii="Arial Narrow" w:hAnsi="Arial Narrow"/>
          <w:bCs/>
        </w:rPr>
        <w:t>consider</w:t>
      </w:r>
      <w:r w:rsidR="00600B23" w:rsidRPr="00184416">
        <w:rPr>
          <w:rFonts w:ascii="Arial Narrow" w:hAnsi="Arial Narrow"/>
          <w:bCs/>
        </w:rPr>
        <w:t>ar</w:t>
      </w:r>
      <w:r w:rsidR="00FE7E32" w:rsidRPr="00184416">
        <w:rPr>
          <w:rFonts w:ascii="Arial Narrow" w:hAnsi="Arial Narrow"/>
          <w:bCs/>
        </w:rPr>
        <w:t xml:space="preserve"> que «um dos mais bem guardados segredos da história intelectual do século XX é o de saber até que ponto o Duce era um </w:t>
      </w:r>
      <w:r w:rsidR="00267192" w:rsidRPr="00184416">
        <w:rPr>
          <w:rFonts w:ascii="Arial Narrow" w:hAnsi="Arial Narrow"/>
          <w:bCs/>
        </w:rPr>
        <w:t xml:space="preserve">conhecedor e </w:t>
      </w:r>
      <w:r w:rsidR="00FE7E32" w:rsidRPr="00184416">
        <w:rPr>
          <w:rFonts w:ascii="Arial Narrow" w:hAnsi="Arial Narrow"/>
          <w:bCs/>
        </w:rPr>
        <w:t>admirador de Nietzche»</w:t>
      </w:r>
      <w:r w:rsidR="00C42C1E" w:rsidRPr="00184416">
        <w:rPr>
          <w:rFonts w:ascii="Arial Narrow" w:hAnsi="Arial Narrow"/>
          <w:bCs/>
        </w:rPr>
        <w:t xml:space="preserve"> conclui</w:t>
      </w:r>
      <w:r w:rsidR="00600B23" w:rsidRPr="00184416">
        <w:rPr>
          <w:rFonts w:ascii="Arial Narrow" w:hAnsi="Arial Narrow"/>
          <w:bCs/>
        </w:rPr>
        <w:t>u</w:t>
      </w:r>
      <w:r w:rsidR="00C42C1E" w:rsidRPr="00184416">
        <w:rPr>
          <w:rFonts w:ascii="Arial Narrow" w:hAnsi="Arial Narrow"/>
          <w:bCs/>
        </w:rPr>
        <w:t xml:space="preserve"> </w:t>
      </w:r>
      <w:r w:rsidR="008260D6">
        <w:rPr>
          <w:rFonts w:ascii="Arial Narrow" w:hAnsi="Arial Narrow"/>
          <w:bCs/>
        </w:rPr>
        <w:t>(</w:t>
      </w:r>
      <w:r w:rsidR="00C42C1E" w:rsidRPr="00184416">
        <w:rPr>
          <w:rFonts w:ascii="Arial Narrow" w:hAnsi="Arial Narrow"/>
          <w:bCs/>
        </w:rPr>
        <w:t>págs. 98-10</w:t>
      </w:r>
      <w:r w:rsidR="00600B23" w:rsidRPr="00184416">
        <w:rPr>
          <w:rFonts w:ascii="Arial Narrow" w:hAnsi="Arial Narrow"/>
          <w:bCs/>
        </w:rPr>
        <w:t>2</w:t>
      </w:r>
      <w:r w:rsidR="008260D6">
        <w:rPr>
          <w:rFonts w:ascii="Arial Narrow" w:hAnsi="Arial Narrow"/>
          <w:bCs/>
        </w:rPr>
        <w:t>)</w:t>
      </w:r>
      <w:r w:rsidR="00C42C1E" w:rsidRPr="00184416">
        <w:rPr>
          <w:rFonts w:ascii="Arial Narrow" w:hAnsi="Arial Narrow"/>
          <w:bCs/>
        </w:rPr>
        <w:t xml:space="preserve"> que Mussolini revira e interpretara Marx à luz de Nietzsche.</w:t>
      </w:r>
      <w:r w:rsidR="00E678D6">
        <w:rPr>
          <w:rFonts w:ascii="Arial Narrow" w:hAnsi="Arial Narrow"/>
          <w:bCs/>
        </w:rPr>
        <w:t xml:space="preserve"> Ver ainda a n. 58 do capítulo 4 da Parte 2.</w:t>
      </w:r>
    </w:p>
  </w:footnote>
  <w:footnote w:id="84">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E. Santarelli (1981) II 578.</w:t>
      </w:r>
    </w:p>
  </w:footnote>
  <w:footnote w:id="85">
    <w:p w:rsidR="00886412" w:rsidRPr="00886412" w:rsidRDefault="00886412">
      <w:pPr>
        <w:pStyle w:val="Textodenotaderodap"/>
        <w:rPr>
          <w:rFonts w:ascii="Arial Narrow" w:hAnsi="Arial Narrow"/>
        </w:rPr>
      </w:pPr>
      <w:r w:rsidRPr="00886412">
        <w:rPr>
          <w:rStyle w:val="Refdenotaderodap"/>
          <w:rFonts w:ascii="Arial Narrow" w:hAnsi="Arial Narrow"/>
        </w:rPr>
        <w:footnoteRef/>
      </w:r>
      <w:r w:rsidRPr="00886412">
        <w:rPr>
          <w:rFonts w:ascii="Arial Narrow" w:hAnsi="Arial Narrow"/>
        </w:rPr>
        <w:t xml:space="preserve"> </w:t>
      </w:r>
      <w:r>
        <w:rPr>
          <w:rFonts w:ascii="Arial Narrow" w:hAnsi="Arial Narrow"/>
        </w:rPr>
        <w:t xml:space="preserve">Este contraste foi sublinhado por </w:t>
      </w:r>
      <w:r w:rsidRPr="00A45AD9">
        <w:rPr>
          <w:rFonts w:ascii="Arial Narrow" w:hAnsi="Arial Narrow"/>
        </w:rPr>
        <w:t>J. C. Fest (1974)</w:t>
      </w:r>
      <w:r>
        <w:rPr>
          <w:rFonts w:ascii="Arial Narrow" w:hAnsi="Arial Narrow"/>
        </w:rPr>
        <w:t xml:space="preserve"> 1286.</w:t>
      </w:r>
    </w:p>
  </w:footnote>
  <w:footnote w:id="86">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00C9131D">
        <w:rPr>
          <w:rFonts w:ascii="Arial Narrow" w:hAnsi="Arial Narrow"/>
        </w:rPr>
        <w:t xml:space="preserve">F. T. </w:t>
      </w:r>
      <w:r w:rsidRPr="00341472">
        <w:rPr>
          <w:rFonts w:ascii="Arial Narrow" w:hAnsi="Arial Narrow"/>
        </w:rPr>
        <w:t xml:space="preserve">Marinetti, </w:t>
      </w:r>
      <w:r w:rsidRPr="00341472">
        <w:rPr>
          <w:rFonts w:ascii="Arial Narrow" w:hAnsi="Arial Narrow"/>
          <w:i/>
        </w:rPr>
        <w:t>Manifesto agli Studenti,</w:t>
      </w:r>
      <w:r w:rsidRPr="00341472">
        <w:rPr>
          <w:rFonts w:ascii="Arial Narrow" w:hAnsi="Arial Narrow"/>
        </w:rPr>
        <w:t xml:space="preserve"> 29 de Novembro de 1914, antologiado em R. Griffin (org. 1995) 26 (sub. orig.).</w:t>
      </w:r>
    </w:p>
  </w:footnote>
  <w:footnote w:id="87">
    <w:p w:rsidR="00837D5C" w:rsidRPr="006A6D1D" w:rsidRDefault="00837D5C" w:rsidP="00837D5C">
      <w:pPr>
        <w:pStyle w:val="Textodenotaderodap"/>
        <w:rPr>
          <w:rFonts w:ascii="Arial Narrow" w:hAnsi="Arial Narrow"/>
        </w:rPr>
      </w:pPr>
      <w:r w:rsidRPr="00341472">
        <w:rPr>
          <w:rStyle w:val="Refdenotaderodap"/>
          <w:rFonts w:ascii="Arial Narrow" w:hAnsi="Arial Narrow"/>
        </w:rPr>
        <w:footnoteRef/>
      </w:r>
      <w:r w:rsidRPr="006A6D1D">
        <w:rPr>
          <w:rFonts w:ascii="Arial Narrow" w:hAnsi="Arial Narrow"/>
        </w:rPr>
        <w:t xml:space="preserve"> F. T. Marinetti</w:t>
      </w:r>
      <w:r w:rsidR="00C9131D" w:rsidRPr="006A6D1D">
        <w:rPr>
          <w:rFonts w:ascii="Arial Narrow" w:hAnsi="Arial Narrow"/>
        </w:rPr>
        <w:t>,</w:t>
      </w:r>
      <w:r w:rsidRPr="006A6D1D">
        <w:rPr>
          <w:rFonts w:ascii="Arial Narrow" w:hAnsi="Arial Narrow"/>
        </w:rPr>
        <w:t xml:space="preserve"> </w:t>
      </w:r>
      <w:r w:rsidR="00C9131D" w:rsidRPr="006A6D1D">
        <w:rPr>
          <w:rFonts w:ascii="Arial Narrow" w:hAnsi="Arial Narrow"/>
          <w:i/>
        </w:rPr>
        <w:t>Premier Manifeste du Futurisme,</w:t>
      </w:r>
      <w:r w:rsidR="00C9131D" w:rsidRPr="006A6D1D">
        <w:rPr>
          <w:rFonts w:ascii="Arial Narrow" w:hAnsi="Arial Narrow"/>
        </w:rPr>
        <w:t xml:space="preserve"> 20 de Fevereiro de 1909, em id. </w:t>
      </w:r>
      <w:r w:rsidRPr="006A6D1D">
        <w:rPr>
          <w:rFonts w:ascii="Arial Narrow" w:hAnsi="Arial Narrow"/>
        </w:rPr>
        <w:t>(1911) 143-144.</w:t>
      </w:r>
    </w:p>
  </w:footnote>
  <w:footnote w:id="88">
    <w:p w:rsidR="00837D5C" w:rsidRPr="006A6D1D" w:rsidRDefault="00837D5C" w:rsidP="00837D5C">
      <w:pPr>
        <w:pStyle w:val="Textodenotaderodap"/>
        <w:rPr>
          <w:rFonts w:ascii="Arial Narrow" w:hAnsi="Arial Narrow"/>
        </w:rPr>
      </w:pPr>
      <w:r w:rsidRPr="00341472">
        <w:rPr>
          <w:rStyle w:val="Refdenotaderodap"/>
          <w:rFonts w:ascii="Arial Narrow" w:hAnsi="Arial Narrow"/>
        </w:rPr>
        <w:footnoteRef/>
      </w:r>
      <w:r w:rsidRPr="006A6D1D">
        <w:rPr>
          <w:rFonts w:ascii="Arial Narrow" w:hAnsi="Arial Narrow"/>
        </w:rPr>
        <w:t xml:space="preserve"> Id.</w:t>
      </w:r>
      <w:r w:rsidR="00C9131D" w:rsidRPr="006A6D1D">
        <w:rPr>
          <w:rFonts w:ascii="Arial Narrow" w:hAnsi="Arial Narrow"/>
        </w:rPr>
        <w:t xml:space="preserve"> (1911) </w:t>
      </w:r>
      <w:r w:rsidRPr="006A6D1D">
        <w:rPr>
          <w:rFonts w:ascii="Arial Narrow" w:hAnsi="Arial Narrow"/>
        </w:rPr>
        <w:t>4.</w:t>
      </w:r>
    </w:p>
  </w:footnote>
  <w:footnote w:id="89">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00475747">
        <w:rPr>
          <w:rFonts w:ascii="Arial Narrow" w:hAnsi="Arial Narrow"/>
        </w:rPr>
        <w:t xml:space="preserve">Id., </w:t>
      </w:r>
      <w:r w:rsidR="00C9131D">
        <w:rPr>
          <w:rFonts w:ascii="Arial Narrow" w:hAnsi="Arial Narrow"/>
          <w:i/>
        </w:rPr>
        <w:t>Tuons le Clair de Lune!! Second Manifeste Futuriste</w:t>
      </w:r>
      <w:r w:rsidRPr="00341472">
        <w:rPr>
          <w:rFonts w:ascii="Arial Narrow" w:hAnsi="Arial Narrow"/>
          <w:i/>
        </w:rPr>
        <w:t>,</w:t>
      </w:r>
      <w:r w:rsidRPr="00341472">
        <w:rPr>
          <w:rFonts w:ascii="Arial Narrow" w:hAnsi="Arial Narrow"/>
        </w:rPr>
        <w:t xml:space="preserve"> em id.</w:t>
      </w:r>
      <w:r w:rsidR="00C9131D">
        <w:rPr>
          <w:rFonts w:ascii="Arial Narrow" w:hAnsi="Arial Narrow"/>
        </w:rPr>
        <w:t xml:space="preserve"> (1911) </w:t>
      </w:r>
      <w:r w:rsidRPr="00341472">
        <w:rPr>
          <w:rFonts w:ascii="Arial Narrow" w:hAnsi="Arial Narrow"/>
        </w:rPr>
        <w:t>156.</w:t>
      </w:r>
    </w:p>
  </w:footnote>
  <w:footnote w:id="90">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w:t>
      </w:r>
      <w:r w:rsidR="00C9131D">
        <w:rPr>
          <w:rFonts w:ascii="Arial Narrow" w:hAnsi="Arial Narrow"/>
        </w:rPr>
        <w:t xml:space="preserve">, </w:t>
      </w:r>
      <w:r w:rsidR="00C9131D" w:rsidRPr="006A6D1D">
        <w:rPr>
          <w:rFonts w:ascii="Arial Narrow" w:hAnsi="Arial Narrow"/>
          <w:i/>
        </w:rPr>
        <w:t>Premier Manifeste du Futurisme,</w:t>
      </w:r>
      <w:r w:rsidR="00C9131D" w:rsidRPr="006A6D1D">
        <w:rPr>
          <w:rFonts w:ascii="Arial Narrow" w:hAnsi="Arial Narrow"/>
        </w:rPr>
        <w:t xml:space="preserve"> 20 de Fevereiro de 1909, em id. (1911) </w:t>
      </w:r>
      <w:r w:rsidRPr="00341472">
        <w:rPr>
          <w:rFonts w:ascii="Arial Narrow" w:hAnsi="Arial Narrow"/>
        </w:rPr>
        <w:t xml:space="preserve">148. Também Carl Diem, que </w:t>
      </w:r>
      <w:r w:rsidR="0083789E">
        <w:rPr>
          <w:rFonts w:ascii="Arial Narrow" w:hAnsi="Arial Narrow"/>
        </w:rPr>
        <w:t xml:space="preserve">no Terceiro Reich </w:t>
      </w:r>
      <w:r w:rsidRPr="00341472">
        <w:rPr>
          <w:rFonts w:ascii="Arial Narrow" w:hAnsi="Arial Narrow"/>
        </w:rPr>
        <w:t>organizou as Olimpíadas de 1936 e que de 1938 até 1945 dirigiu o Instituto Olímpico Internacional de Berlim, afirmara, ainda durante a república de Weimar, que «o desporto é uma batalha». Ver A. Kaes et al. (orgs. 1995) 681.</w:t>
      </w:r>
    </w:p>
  </w:footnote>
  <w:footnote w:id="91">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00C9131D">
        <w:rPr>
          <w:rFonts w:ascii="Arial Narrow" w:hAnsi="Arial Narrow"/>
        </w:rPr>
        <w:t xml:space="preserve">F. T. </w:t>
      </w:r>
      <w:r w:rsidRPr="00341472">
        <w:rPr>
          <w:rFonts w:ascii="Arial Narrow" w:hAnsi="Arial Narrow"/>
        </w:rPr>
        <w:t xml:space="preserve">Marinetti, </w:t>
      </w:r>
      <w:r w:rsidR="00C9131D">
        <w:rPr>
          <w:rFonts w:ascii="Arial Narrow" w:hAnsi="Arial Narrow"/>
        </w:rPr>
        <w:t xml:space="preserve">Bruno </w:t>
      </w:r>
      <w:r w:rsidRPr="00341472">
        <w:rPr>
          <w:rFonts w:ascii="Arial Narrow" w:hAnsi="Arial Narrow"/>
        </w:rPr>
        <w:t xml:space="preserve">Corra, </w:t>
      </w:r>
      <w:r w:rsidR="00C9131D">
        <w:rPr>
          <w:rFonts w:ascii="Arial Narrow" w:hAnsi="Arial Narrow"/>
        </w:rPr>
        <w:t xml:space="preserve">Emilio </w:t>
      </w:r>
      <w:r w:rsidRPr="00341472">
        <w:rPr>
          <w:rFonts w:ascii="Arial Narrow" w:hAnsi="Arial Narrow"/>
        </w:rPr>
        <w:t xml:space="preserve">Settimelli, </w:t>
      </w:r>
      <w:r w:rsidR="00C9131D">
        <w:rPr>
          <w:rFonts w:ascii="Arial Narrow" w:hAnsi="Arial Narrow"/>
        </w:rPr>
        <w:t xml:space="preserve">Arnaldo </w:t>
      </w:r>
      <w:r w:rsidRPr="00341472">
        <w:rPr>
          <w:rFonts w:ascii="Arial Narrow" w:hAnsi="Arial Narrow"/>
        </w:rPr>
        <w:t xml:space="preserve">Ginna, </w:t>
      </w:r>
      <w:r w:rsidR="00C9131D">
        <w:rPr>
          <w:rFonts w:ascii="Arial Narrow" w:hAnsi="Arial Narrow"/>
        </w:rPr>
        <w:t xml:space="preserve">Giacomo </w:t>
      </w:r>
      <w:r w:rsidRPr="00341472">
        <w:rPr>
          <w:rFonts w:ascii="Arial Narrow" w:hAnsi="Arial Narrow"/>
        </w:rPr>
        <w:t xml:space="preserve">Balla e </w:t>
      </w:r>
      <w:r w:rsidR="00C9131D">
        <w:rPr>
          <w:rFonts w:ascii="Arial Narrow" w:hAnsi="Arial Narrow"/>
        </w:rPr>
        <w:t xml:space="preserve">Remo </w:t>
      </w:r>
      <w:r w:rsidRPr="00341472">
        <w:rPr>
          <w:rFonts w:ascii="Arial Narrow" w:hAnsi="Arial Narrow"/>
        </w:rPr>
        <w:t xml:space="preserve">Chiti, </w:t>
      </w:r>
      <w:r w:rsidR="00C9131D">
        <w:rPr>
          <w:rFonts w:ascii="Arial Narrow" w:hAnsi="Arial Narrow"/>
          <w:i/>
        </w:rPr>
        <w:t>The Futurist Cinema</w:t>
      </w:r>
      <w:r w:rsidRPr="00341472">
        <w:rPr>
          <w:rFonts w:ascii="Arial Narrow" w:hAnsi="Arial Narrow"/>
          <w:i/>
        </w:rPr>
        <w:t>,</w:t>
      </w:r>
      <w:r w:rsidRPr="00341472">
        <w:rPr>
          <w:rFonts w:ascii="Arial Narrow" w:hAnsi="Arial Narrow"/>
        </w:rPr>
        <w:t xml:space="preserve"> em U. Apollonio (org. 1973) 207.</w:t>
      </w:r>
    </w:p>
  </w:footnote>
  <w:footnote w:id="92">
    <w:p w:rsidR="00837D5C" w:rsidRPr="00F67B29" w:rsidRDefault="00837D5C" w:rsidP="00837D5C">
      <w:pPr>
        <w:pStyle w:val="Textodenotaderodap"/>
        <w:rPr>
          <w:rFonts w:ascii="Arial Narrow" w:hAnsi="Arial Narrow"/>
          <w:lang w:val="en-US"/>
        </w:rPr>
      </w:pPr>
      <w:r w:rsidRPr="00341472">
        <w:rPr>
          <w:rStyle w:val="Refdenotaderodap"/>
          <w:rFonts w:ascii="Arial Narrow" w:hAnsi="Arial Narrow"/>
        </w:rPr>
        <w:footnoteRef/>
      </w:r>
      <w:r w:rsidRPr="00F67B29">
        <w:rPr>
          <w:rFonts w:ascii="Arial Narrow" w:hAnsi="Arial Narrow"/>
          <w:lang w:val="en-US"/>
        </w:rPr>
        <w:t xml:space="preserve"> </w:t>
      </w:r>
      <w:r w:rsidR="00F67B29" w:rsidRPr="00F67B29">
        <w:rPr>
          <w:rFonts w:ascii="Arial Narrow" w:hAnsi="Arial Narrow"/>
          <w:lang w:val="en-US"/>
        </w:rPr>
        <w:t xml:space="preserve">F. T. </w:t>
      </w:r>
      <w:r w:rsidR="00152939" w:rsidRPr="00F67B29">
        <w:rPr>
          <w:rFonts w:ascii="Arial Narrow" w:hAnsi="Arial Narrow"/>
          <w:lang w:val="en-US"/>
        </w:rPr>
        <w:t xml:space="preserve">Marinetti, </w:t>
      </w:r>
      <w:r w:rsidR="00F67B29" w:rsidRPr="00F67B29">
        <w:rPr>
          <w:rFonts w:ascii="Arial Narrow" w:hAnsi="Arial Narrow"/>
          <w:i/>
          <w:lang w:val="en-US"/>
        </w:rPr>
        <w:t>Geometric and Mechanical Splendour and the Numerical Sensibility</w:t>
      </w:r>
      <w:r w:rsidRPr="00F67B29">
        <w:rPr>
          <w:rFonts w:ascii="Arial Narrow" w:hAnsi="Arial Narrow"/>
          <w:i/>
          <w:lang w:val="en-US"/>
        </w:rPr>
        <w:t>,</w:t>
      </w:r>
      <w:r w:rsidRPr="00F67B29">
        <w:rPr>
          <w:rFonts w:ascii="Arial Narrow" w:hAnsi="Arial Narrow"/>
          <w:lang w:val="en-US"/>
        </w:rPr>
        <w:t xml:space="preserve"> </w:t>
      </w:r>
      <w:r w:rsidR="00F67B29">
        <w:rPr>
          <w:rFonts w:ascii="Arial Narrow" w:hAnsi="Arial Narrow"/>
          <w:lang w:val="en-US"/>
        </w:rPr>
        <w:t xml:space="preserve">Março-Abril de </w:t>
      </w:r>
      <w:r w:rsidRPr="00F67B29">
        <w:rPr>
          <w:rFonts w:ascii="Arial Narrow" w:hAnsi="Arial Narrow"/>
          <w:lang w:val="en-US"/>
        </w:rPr>
        <w:t>1914, em id., ibid., 154-159 (subs. orig.).</w:t>
      </w:r>
    </w:p>
  </w:footnote>
  <w:footnote w:id="93">
    <w:p w:rsidR="00837D5C" w:rsidRPr="00B629A5" w:rsidRDefault="00837D5C" w:rsidP="00837D5C">
      <w:pPr>
        <w:pStyle w:val="Textodenotaderodap"/>
        <w:rPr>
          <w:rFonts w:ascii="Arial Narrow" w:hAnsi="Arial Narrow"/>
          <w:lang w:val="en-US"/>
        </w:rPr>
      </w:pPr>
      <w:r w:rsidRPr="00341472">
        <w:rPr>
          <w:rStyle w:val="Refdenotaderodap"/>
          <w:rFonts w:ascii="Arial Narrow" w:hAnsi="Arial Narrow"/>
        </w:rPr>
        <w:footnoteRef/>
      </w:r>
      <w:r w:rsidRPr="00C76641">
        <w:rPr>
          <w:rFonts w:ascii="Arial Narrow" w:hAnsi="Arial Narrow"/>
        </w:rPr>
        <w:t xml:space="preserve"> </w:t>
      </w:r>
      <w:r w:rsidR="00600360" w:rsidRPr="00600360">
        <w:rPr>
          <w:rFonts w:ascii="Arial Narrow" w:hAnsi="Arial Narrow"/>
        </w:rPr>
        <w:t>F. T. Marinetti</w:t>
      </w:r>
      <w:r w:rsidR="00600360">
        <w:rPr>
          <w:rFonts w:ascii="Arial Narrow" w:hAnsi="Arial Narrow"/>
        </w:rPr>
        <w:t>,</w:t>
      </w:r>
      <w:r w:rsidRPr="00C76641">
        <w:rPr>
          <w:rFonts w:ascii="Arial Narrow" w:hAnsi="Arial Narrow"/>
        </w:rPr>
        <w:t xml:space="preserve"> </w:t>
      </w:r>
      <w:r w:rsidR="00C76641" w:rsidRPr="006A6D1D">
        <w:rPr>
          <w:rFonts w:ascii="Arial Narrow" w:hAnsi="Arial Narrow"/>
          <w:i/>
        </w:rPr>
        <w:t>Premier Manifeste du Futurisme,</w:t>
      </w:r>
      <w:r w:rsidR="00C76641" w:rsidRPr="006A6D1D">
        <w:rPr>
          <w:rFonts w:ascii="Arial Narrow" w:hAnsi="Arial Narrow"/>
        </w:rPr>
        <w:t xml:space="preserve"> 20 de Fevereiro de 1909, </w:t>
      </w:r>
      <w:r w:rsidR="00C76641">
        <w:rPr>
          <w:rFonts w:ascii="Arial Narrow" w:hAnsi="Arial Narrow"/>
        </w:rPr>
        <w:t xml:space="preserve">em id. </w:t>
      </w:r>
      <w:r w:rsidRPr="00B629A5">
        <w:rPr>
          <w:rFonts w:ascii="Arial Narrow" w:hAnsi="Arial Narrow"/>
          <w:lang w:val="en-US"/>
        </w:rPr>
        <w:t>(1911) 148-149.</w:t>
      </w:r>
    </w:p>
  </w:footnote>
  <w:footnote w:id="94">
    <w:p w:rsidR="00837D5C" w:rsidRPr="00341472" w:rsidRDefault="00837D5C" w:rsidP="00837D5C">
      <w:pPr>
        <w:pStyle w:val="Textodenotaderodap"/>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ibid., 149-151.</w:t>
      </w:r>
    </w:p>
  </w:footnote>
  <w:footnote w:id="95">
    <w:p w:rsidR="00837D5C" w:rsidRPr="00C76641" w:rsidRDefault="00837D5C" w:rsidP="00837D5C">
      <w:pPr>
        <w:pStyle w:val="Textodenotaderodap"/>
        <w:rPr>
          <w:rFonts w:ascii="Arial Narrow" w:hAnsi="Arial Narrow"/>
          <w:lang w:val="en-US"/>
        </w:rPr>
      </w:pPr>
      <w:r w:rsidRPr="00341472">
        <w:rPr>
          <w:rStyle w:val="Refdenotaderodap"/>
          <w:rFonts w:ascii="Arial Narrow" w:hAnsi="Arial Narrow"/>
        </w:rPr>
        <w:footnoteRef/>
      </w:r>
      <w:r w:rsidRPr="00C76641">
        <w:rPr>
          <w:rFonts w:ascii="Arial Narrow" w:hAnsi="Arial Narrow"/>
          <w:lang w:val="en-US"/>
        </w:rPr>
        <w:t xml:space="preserve"> </w:t>
      </w:r>
      <w:r w:rsidR="00C76641">
        <w:rPr>
          <w:rFonts w:ascii="Arial Narrow" w:hAnsi="Arial Narrow"/>
          <w:lang w:val="en-US"/>
        </w:rPr>
        <w:t xml:space="preserve">Id., </w:t>
      </w:r>
      <w:r w:rsidR="00C76641" w:rsidRPr="00B272E6">
        <w:rPr>
          <w:rFonts w:ascii="Arial Narrow" w:hAnsi="Arial Narrow"/>
          <w:i/>
          <w:lang w:val="en-US"/>
        </w:rPr>
        <w:t>Destruction of Syntax – Imagination without Strings – Words-in-Freedom,</w:t>
      </w:r>
      <w:r w:rsidR="00C76641" w:rsidRPr="00B272E6">
        <w:rPr>
          <w:rFonts w:ascii="Arial Narrow" w:hAnsi="Arial Narrow"/>
          <w:lang w:val="en-US"/>
        </w:rPr>
        <w:t xml:space="preserve"> 11 de Maio de 1913, </w:t>
      </w:r>
      <w:r w:rsidR="00BD4B5A" w:rsidRPr="00C76641">
        <w:rPr>
          <w:rFonts w:ascii="Arial Narrow" w:hAnsi="Arial Narrow"/>
          <w:lang w:val="en-US"/>
        </w:rPr>
        <w:t xml:space="preserve">em </w:t>
      </w:r>
      <w:r w:rsidRPr="00C76641">
        <w:rPr>
          <w:rFonts w:ascii="Arial Narrow" w:hAnsi="Arial Narrow"/>
          <w:lang w:val="en-US"/>
        </w:rPr>
        <w:t>U. Apollonio (org. 1973) 98.</w:t>
      </w:r>
    </w:p>
  </w:footnote>
  <w:footnote w:id="96">
    <w:p w:rsidR="00837D5C" w:rsidRPr="006B1823" w:rsidRDefault="00837D5C" w:rsidP="00837D5C">
      <w:pPr>
        <w:pStyle w:val="Textodenotaderodap"/>
        <w:rPr>
          <w:rFonts w:ascii="Arial Narrow" w:hAnsi="Arial Narrow"/>
        </w:rPr>
      </w:pPr>
      <w:r w:rsidRPr="00341472">
        <w:rPr>
          <w:rStyle w:val="Refdenotaderodap"/>
          <w:rFonts w:ascii="Arial Narrow" w:hAnsi="Arial Narrow"/>
        </w:rPr>
        <w:footnoteRef/>
      </w:r>
      <w:r w:rsidRPr="00C76641">
        <w:rPr>
          <w:rFonts w:ascii="Arial Narrow" w:hAnsi="Arial Narrow"/>
        </w:rPr>
        <w:t xml:space="preserve"> </w:t>
      </w:r>
      <w:r w:rsidR="00C76641" w:rsidRPr="00C76641">
        <w:rPr>
          <w:rFonts w:ascii="Arial Narrow" w:hAnsi="Arial Narrow"/>
        </w:rPr>
        <w:t xml:space="preserve">F. T. Marinetti </w:t>
      </w:r>
      <w:r w:rsidR="00C76641" w:rsidRPr="006A6D1D">
        <w:rPr>
          <w:rFonts w:ascii="Arial Narrow" w:hAnsi="Arial Narrow"/>
          <w:i/>
        </w:rPr>
        <w:t>Premier Manifeste du Futurisme,</w:t>
      </w:r>
      <w:r w:rsidR="00C76641" w:rsidRPr="006A6D1D">
        <w:rPr>
          <w:rFonts w:ascii="Arial Narrow" w:hAnsi="Arial Narrow"/>
        </w:rPr>
        <w:t xml:space="preserve"> 20 de Fevereiro de 1909, </w:t>
      </w:r>
      <w:r w:rsidR="00C76641">
        <w:rPr>
          <w:rFonts w:ascii="Arial Narrow" w:hAnsi="Arial Narrow"/>
        </w:rPr>
        <w:t xml:space="preserve">em id. </w:t>
      </w:r>
      <w:r w:rsidR="00C76641" w:rsidRPr="00C76641">
        <w:rPr>
          <w:rFonts w:ascii="Arial Narrow" w:hAnsi="Arial Narrow"/>
        </w:rPr>
        <w:t xml:space="preserve">(1911) </w:t>
      </w:r>
      <w:r w:rsidRPr="006B1823">
        <w:rPr>
          <w:rFonts w:ascii="Arial Narrow" w:hAnsi="Arial Narrow"/>
        </w:rPr>
        <w:t>151, 153.</w:t>
      </w:r>
    </w:p>
  </w:footnote>
  <w:footnote w:id="97">
    <w:p w:rsidR="00C76641" w:rsidRPr="00B629A5" w:rsidRDefault="00C76641">
      <w:pPr>
        <w:pStyle w:val="Textodenotaderodap"/>
        <w:rPr>
          <w:rFonts w:ascii="Arial Narrow" w:hAnsi="Arial Narrow"/>
        </w:rPr>
      </w:pPr>
      <w:r w:rsidRPr="00C76641">
        <w:rPr>
          <w:rStyle w:val="Refdenotaderodap"/>
          <w:rFonts w:ascii="Arial Narrow" w:hAnsi="Arial Narrow"/>
        </w:rPr>
        <w:footnoteRef/>
      </w:r>
      <w:r w:rsidRPr="00B629A5">
        <w:rPr>
          <w:rFonts w:ascii="Arial Narrow" w:hAnsi="Arial Narrow"/>
        </w:rPr>
        <w:t xml:space="preserve"> </w:t>
      </w:r>
      <w:r w:rsidR="006B1823" w:rsidRPr="00B629A5">
        <w:rPr>
          <w:rFonts w:ascii="Arial Narrow" w:hAnsi="Arial Narrow"/>
        </w:rPr>
        <w:t>Id. (1911) 101.</w:t>
      </w:r>
    </w:p>
  </w:footnote>
  <w:footnote w:id="98">
    <w:p w:rsidR="00837D5C" w:rsidRPr="006B1823" w:rsidRDefault="00837D5C" w:rsidP="00837D5C">
      <w:pPr>
        <w:pStyle w:val="Textodenotaderodap"/>
        <w:rPr>
          <w:rFonts w:ascii="Arial Narrow" w:hAnsi="Arial Narrow"/>
        </w:rPr>
      </w:pPr>
      <w:r w:rsidRPr="00341472">
        <w:rPr>
          <w:rStyle w:val="Refdenotaderodap"/>
          <w:rFonts w:ascii="Arial Narrow" w:hAnsi="Arial Narrow"/>
        </w:rPr>
        <w:footnoteRef/>
      </w:r>
      <w:r w:rsidRPr="00B629A5">
        <w:rPr>
          <w:rFonts w:ascii="Arial Narrow" w:hAnsi="Arial Narrow"/>
        </w:rPr>
        <w:t xml:space="preserve"> Id.</w:t>
      </w:r>
      <w:r w:rsidR="006B1823" w:rsidRPr="00B629A5">
        <w:rPr>
          <w:rFonts w:ascii="Arial Narrow" w:hAnsi="Arial Narrow"/>
        </w:rPr>
        <w:t xml:space="preserve">, </w:t>
      </w:r>
      <w:r w:rsidR="006B1823" w:rsidRPr="00B629A5">
        <w:rPr>
          <w:rFonts w:ascii="Arial Narrow" w:hAnsi="Arial Narrow"/>
          <w:i/>
        </w:rPr>
        <w:t xml:space="preserve">Tuons le Clair de Lune!! </w:t>
      </w:r>
      <w:r w:rsidR="006B1823">
        <w:rPr>
          <w:rFonts w:ascii="Arial Narrow" w:hAnsi="Arial Narrow"/>
          <w:i/>
        </w:rPr>
        <w:t>Second Manifeste Futuriste</w:t>
      </w:r>
      <w:r w:rsidR="006B1823" w:rsidRPr="00341472">
        <w:rPr>
          <w:rFonts w:ascii="Arial Narrow" w:hAnsi="Arial Narrow"/>
          <w:i/>
        </w:rPr>
        <w:t>,</w:t>
      </w:r>
      <w:r w:rsidR="006B1823" w:rsidRPr="00341472">
        <w:rPr>
          <w:rFonts w:ascii="Arial Narrow" w:hAnsi="Arial Narrow"/>
        </w:rPr>
        <w:t xml:space="preserve"> </w:t>
      </w:r>
      <w:r w:rsidR="006B1823">
        <w:rPr>
          <w:rFonts w:ascii="Arial Narrow" w:hAnsi="Arial Narrow"/>
        </w:rPr>
        <w:t xml:space="preserve">em id. (1911) </w:t>
      </w:r>
      <w:r w:rsidRPr="006B1823">
        <w:rPr>
          <w:rFonts w:ascii="Arial Narrow" w:hAnsi="Arial Narrow"/>
        </w:rPr>
        <w:t>159.</w:t>
      </w:r>
    </w:p>
  </w:footnote>
  <w:footnote w:id="99">
    <w:p w:rsidR="0068051B" w:rsidRPr="0068051B" w:rsidRDefault="0068051B">
      <w:pPr>
        <w:pStyle w:val="Textodenotaderodap"/>
        <w:rPr>
          <w:rFonts w:ascii="Arial Narrow" w:hAnsi="Arial Narrow"/>
        </w:rPr>
      </w:pPr>
      <w:r w:rsidRPr="0068051B">
        <w:rPr>
          <w:rStyle w:val="Refdenotaderodap"/>
          <w:rFonts w:ascii="Arial Narrow" w:hAnsi="Arial Narrow"/>
        </w:rPr>
        <w:footnoteRef/>
      </w:r>
      <w:r w:rsidRPr="0068051B">
        <w:rPr>
          <w:rFonts w:ascii="Arial Narrow" w:hAnsi="Arial Narrow"/>
        </w:rPr>
        <w:t xml:space="preserve"> </w:t>
      </w:r>
      <w:r>
        <w:rPr>
          <w:rFonts w:ascii="Arial Narrow" w:hAnsi="Arial Narrow"/>
        </w:rPr>
        <w:t xml:space="preserve">Citado em </w:t>
      </w:r>
      <w:r w:rsidRPr="0068051B">
        <w:rPr>
          <w:rFonts w:ascii="Arial Narrow" w:hAnsi="Arial Narrow"/>
        </w:rPr>
        <w:t>M. Mann (2004)</w:t>
      </w:r>
      <w:r>
        <w:rPr>
          <w:rFonts w:ascii="Arial Narrow" w:hAnsi="Arial Narrow"/>
        </w:rPr>
        <w:t xml:space="preserve"> 98-99.</w:t>
      </w:r>
    </w:p>
  </w:footnote>
  <w:footnote w:id="100">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0068051B" w:rsidRPr="0068051B">
        <w:rPr>
          <w:rFonts w:ascii="Arial Narrow" w:hAnsi="Arial Narrow"/>
        </w:rPr>
        <w:t xml:space="preserve">F. T. Marinetti (1911) </w:t>
      </w:r>
      <w:r w:rsidRPr="00341472">
        <w:rPr>
          <w:rFonts w:ascii="Arial Narrow" w:hAnsi="Arial Narrow"/>
        </w:rPr>
        <w:t>99-100.</w:t>
      </w:r>
    </w:p>
  </w:footnote>
  <w:footnote w:id="101">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006B1823">
        <w:rPr>
          <w:rFonts w:ascii="Arial Narrow" w:hAnsi="Arial Narrow"/>
        </w:rPr>
        <w:t xml:space="preserve">Giacomo </w:t>
      </w:r>
      <w:r w:rsidRPr="00341472">
        <w:rPr>
          <w:rFonts w:ascii="Arial Narrow" w:hAnsi="Arial Narrow"/>
        </w:rPr>
        <w:t xml:space="preserve">Balla e </w:t>
      </w:r>
      <w:r w:rsidR="006B1823">
        <w:rPr>
          <w:rFonts w:ascii="Arial Narrow" w:hAnsi="Arial Narrow"/>
        </w:rPr>
        <w:t xml:space="preserve">Fortunato </w:t>
      </w:r>
      <w:r w:rsidRPr="00341472">
        <w:rPr>
          <w:rFonts w:ascii="Arial Narrow" w:hAnsi="Arial Narrow"/>
        </w:rPr>
        <w:t xml:space="preserve">Depero, </w:t>
      </w:r>
      <w:r w:rsidR="006B1823">
        <w:rPr>
          <w:rFonts w:ascii="Arial Narrow" w:hAnsi="Arial Narrow"/>
          <w:i/>
        </w:rPr>
        <w:t>Futurist Reconstruction of the Universe</w:t>
      </w:r>
      <w:r w:rsidRPr="00341472">
        <w:rPr>
          <w:rFonts w:ascii="Arial Narrow" w:hAnsi="Arial Narrow"/>
          <w:i/>
        </w:rPr>
        <w:t>,</w:t>
      </w:r>
      <w:r w:rsidRPr="00341472">
        <w:rPr>
          <w:rFonts w:ascii="Arial Narrow" w:hAnsi="Arial Narrow"/>
        </w:rPr>
        <w:t xml:space="preserve"> </w:t>
      </w:r>
      <w:r w:rsidR="006B1823">
        <w:rPr>
          <w:rFonts w:ascii="Arial Narrow" w:hAnsi="Arial Narrow"/>
        </w:rPr>
        <w:t xml:space="preserve">11 de </w:t>
      </w:r>
      <w:r w:rsidRPr="00341472">
        <w:rPr>
          <w:rFonts w:ascii="Arial Narrow" w:hAnsi="Arial Narrow"/>
        </w:rPr>
        <w:t>Março de 1915, em U. Apollonio (org. 1973) 199.</w:t>
      </w:r>
    </w:p>
  </w:footnote>
  <w:footnote w:id="102">
    <w:p w:rsidR="00A109DE" w:rsidRPr="005A1246" w:rsidRDefault="00A109DE" w:rsidP="00A109DE">
      <w:pPr>
        <w:pStyle w:val="Textodenotaderodap"/>
        <w:rPr>
          <w:rFonts w:ascii="Arial Narrow" w:hAnsi="Arial Narrow"/>
        </w:rPr>
      </w:pPr>
      <w:r w:rsidRPr="0072554E">
        <w:rPr>
          <w:rStyle w:val="Refdenotaderodap"/>
          <w:rFonts w:ascii="Arial Narrow" w:hAnsi="Arial Narrow"/>
        </w:rPr>
        <w:footnoteRef/>
      </w:r>
      <w:r w:rsidRPr="005A1246">
        <w:rPr>
          <w:rFonts w:ascii="Arial Narrow" w:hAnsi="Arial Narrow"/>
        </w:rPr>
        <w:t xml:space="preserve"> Citado em E. Gentile (2010) 147.</w:t>
      </w:r>
    </w:p>
  </w:footnote>
  <w:footnote w:id="103">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A. Speer (1979) 78-79. Acerca desta questão ver ainda a pág. 209. </w:t>
      </w:r>
      <w:r w:rsidR="007B0E58" w:rsidRPr="00341472">
        <w:rPr>
          <w:rFonts w:ascii="Arial Narrow" w:hAnsi="Arial Narrow"/>
        </w:rPr>
        <w:t>Note</w:t>
      </w:r>
      <w:r w:rsidRPr="00341472">
        <w:rPr>
          <w:rFonts w:ascii="Arial Narrow" w:hAnsi="Arial Narrow"/>
        </w:rPr>
        <w:t>-se que na sua residência de montanha Hitler tinha um quadro de Gianpaolo Pannini, mostrando as inevitáveis ruínas romanas. Ver a este respeito a pág. 124. Pannini foi o primeiro pintor a especializar-se na representação das ruínas de Roma.</w:t>
      </w:r>
    </w:p>
  </w:footnote>
  <w:footnote w:id="104">
    <w:p w:rsidR="00837D5C" w:rsidRPr="0024377B" w:rsidRDefault="00837D5C" w:rsidP="00837D5C">
      <w:pPr>
        <w:pStyle w:val="Textodenotaderodap"/>
        <w:rPr>
          <w:rFonts w:ascii="Arial Narrow" w:hAnsi="Arial Narrow"/>
        </w:rPr>
      </w:pPr>
      <w:r w:rsidRPr="00341472">
        <w:rPr>
          <w:rStyle w:val="Refdenotaderodap"/>
          <w:rFonts w:ascii="Arial Narrow" w:hAnsi="Arial Narrow"/>
        </w:rPr>
        <w:footnoteRef/>
      </w:r>
      <w:r w:rsidRPr="0024377B">
        <w:rPr>
          <w:rFonts w:ascii="Arial Narrow" w:hAnsi="Arial Narrow"/>
        </w:rPr>
        <w:t xml:space="preserve"> </w:t>
      </w:r>
      <w:r w:rsidR="0024377B" w:rsidRPr="0024377B">
        <w:rPr>
          <w:rFonts w:ascii="Arial Narrow" w:hAnsi="Arial Narrow"/>
        </w:rPr>
        <w:t xml:space="preserve">Id., ibid., </w:t>
      </w:r>
      <w:r w:rsidRPr="0024377B">
        <w:rPr>
          <w:rFonts w:ascii="Arial Narrow" w:hAnsi="Arial Narrow"/>
        </w:rPr>
        <w:t>533-535, 562, 574 e segs., 751 n. 10, 752 n. 3.</w:t>
      </w:r>
    </w:p>
  </w:footnote>
  <w:footnote w:id="105">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Pr="00CD49E1">
        <w:rPr>
          <w:rFonts w:ascii="Arial Narrow" w:hAnsi="Arial Narrow"/>
        </w:rPr>
        <w:t>Friedrich</w:t>
      </w:r>
      <w:r w:rsidRPr="00341472">
        <w:rPr>
          <w:rFonts w:ascii="Arial Narrow" w:hAnsi="Arial Narrow"/>
        </w:rPr>
        <w:t xml:space="preserve"> Tamms citado em B. Hinz (1980) 197.</w:t>
      </w:r>
    </w:p>
  </w:footnote>
  <w:footnote w:id="106">
    <w:p w:rsidR="009C431B" w:rsidRPr="00184416" w:rsidRDefault="009C431B">
      <w:pPr>
        <w:pStyle w:val="Textodenotaderodap"/>
        <w:rPr>
          <w:rFonts w:ascii="Arial Narrow" w:hAnsi="Arial Narrow"/>
          <w:lang w:val="en-US"/>
        </w:rPr>
      </w:pPr>
      <w:r w:rsidRPr="009C431B">
        <w:rPr>
          <w:rStyle w:val="Refdenotaderodap"/>
          <w:rFonts w:ascii="Arial Narrow" w:hAnsi="Arial Narrow"/>
        </w:rPr>
        <w:footnoteRef/>
      </w:r>
      <w:r w:rsidRPr="00184416">
        <w:rPr>
          <w:rFonts w:ascii="Arial Narrow" w:hAnsi="Arial Narrow"/>
          <w:lang w:val="en-US"/>
        </w:rPr>
        <w:t xml:space="preserve"> Saint-Loup (1987) 278.</w:t>
      </w:r>
    </w:p>
  </w:footnote>
  <w:footnote w:id="107">
    <w:p w:rsidR="00C63D8C" w:rsidRPr="00E15458" w:rsidRDefault="00C63D8C">
      <w:pPr>
        <w:pStyle w:val="Textodenotaderodap"/>
        <w:rPr>
          <w:rFonts w:ascii="Arial Narrow" w:hAnsi="Arial Narrow"/>
          <w:lang w:val="en-US"/>
        </w:rPr>
      </w:pPr>
      <w:r w:rsidRPr="00C63D8C">
        <w:rPr>
          <w:rStyle w:val="Refdenotaderodap"/>
          <w:rFonts w:ascii="Arial Narrow" w:hAnsi="Arial Narrow"/>
        </w:rPr>
        <w:footnoteRef/>
      </w:r>
      <w:r w:rsidRPr="00184416">
        <w:rPr>
          <w:rFonts w:ascii="Arial Narrow" w:hAnsi="Arial Narrow"/>
          <w:lang w:val="en-US"/>
        </w:rPr>
        <w:t xml:space="preserve"> </w:t>
      </w:r>
      <w:r w:rsidRPr="00C63D8C">
        <w:rPr>
          <w:rFonts w:ascii="Arial Narrow" w:hAnsi="Arial Narrow"/>
          <w:bCs/>
          <w:lang w:val="en-US"/>
        </w:rPr>
        <w:t xml:space="preserve">S. Corngold et al. </w:t>
      </w:r>
      <w:r w:rsidRPr="00E15458">
        <w:rPr>
          <w:rFonts w:ascii="Arial Narrow" w:hAnsi="Arial Narrow"/>
          <w:bCs/>
          <w:lang w:val="en-US"/>
        </w:rPr>
        <w:t>(2002) 350.</w:t>
      </w:r>
    </w:p>
  </w:footnote>
  <w:footnote w:id="108">
    <w:p w:rsidR="00005FE9" w:rsidRPr="00005FE9" w:rsidRDefault="00005FE9">
      <w:pPr>
        <w:pStyle w:val="Textodenotaderodap"/>
        <w:rPr>
          <w:rFonts w:ascii="Arial Narrow" w:hAnsi="Arial Narrow"/>
        </w:rPr>
      </w:pPr>
      <w:r w:rsidRPr="00005FE9">
        <w:rPr>
          <w:rStyle w:val="Refdenotaderodap"/>
          <w:rFonts w:ascii="Arial Narrow" w:hAnsi="Arial Narrow"/>
        </w:rPr>
        <w:footnoteRef/>
      </w:r>
      <w:r w:rsidRPr="00E15458">
        <w:rPr>
          <w:rFonts w:ascii="Arial Narrow" w:hAnsi="Arial Narrow"/>
          <w:lang w:val="en-US"/>
        </w:rPr>
        <w:t xml:space="preserve"> </w:t>
      </w:r>
      <w:r w:rsidR="0077723B" w:rsidRPr="00E15458">
        <w:rPr>
          <w:rFonts w:ascii="Arial Narrow" w:hAnsi="Arial Narrow"/>
          <w:lang w:val="en-US"/>
        </w:rPr>
        <w:t xml:space="preserve">R. Bessel (2010) 68; H. Eberle et al. </w:t>
      </w:r>
      <w:r w:rsidR="0077723B" w:rsidRPr="0077723B">
        <w:rPr>
          <w:rFonts w:ascii="Arial Narrow" w:hAnsi="Arial Narrow"/>
        </w:rPr>
        <w:t>(org. 2005)</w:t>
      </w:r>
      <w:r w:rsidR="0077723B">
        <w:rPr>
          <w:rFonts w:ascii="Arial Narrow" w:hAnsi="Arial Narrow"/>
        </w:rPr>
        <w:t xml:space="preserve"> 359-360.</w:t>
      </w:r>
    </w:p>
  </w:footnote>
  <w:footnote w:id="109">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A. Bullock (1972) 797</w:t>
      </w:r>
      <w:r w:rsidR="000B1C3B">
        <w:rPr>
          <w:rFonts w:ascii="Arial Narrow" w:hAnsi="Arial Narrow"/>
        </w:rPr>
        <w:t>,</w:t>
      </w:r>
      <w:r w:rsidRPr="00341472">
        <w:rPr>
          <w:rFonts w:ascii="Arial Narrow" w:hAnsi="Arial Narrow"/>
        </w:rPr>
        <w:t xml:space="preserve"> P. Cadars et al. (1972) 15</w:t>
      </w:r>
      <w:r w:rsidR="000B1C3B">
        <w:rPr>
          <w:rFonts w:ascii="Arial Narrow" w:hAnsi="Arial Narrow"/>
        </w:rPr>
        <w:t xml:space="preserve"> e </w:t>
      </w:r>
      <w:r w:rsidR="000B1C3B" w:rsidRPr="00A21ED7">
        <w:rPr>
          <w:rFonts w:ascii="Arial Narrow" w:hAnsi="Arial Narrow"/>
        </w:rPr>
        <w:t>D. Welch (2002) 153-154</w:t>
      </w:r>
      <w:r w:rsidRPr="00341472">
        <w:rPr>
          <w:rFonts w:ascii="Arial Narrow" w:hAnsi="Arial Narrow"/>
        </w:rPr>
        <w:t>.</w:t>
      </w:r>
    </w:p>
  </w:footnote>
  <w:footnote w:id="110">
    <w:p w:rsidR="00096701" w:rsidRPr="00AF6017" w:rsidRDefault="00096701" w:rsidP="00096701">
      <w:pPr>
        <w:pStyle w:val="Textodenotaderodap"/>
        <w:rPr>
          <w:rFonts w:ascii="Arial Narrow" w:hAnsi="Arial Narrow"/>
        </w:rPr>
      </w:pPr>
      <w:r w:rsidRPr="00AF6017">
        <w:rPr>
          <w:rStyle w:val="Refdenotaderodap"/>
          <w:rFonts w:ascii="Arial Narrow" w:hAnsi="Arial Narrow"/>
        </w:rPr>
        <w:footnoteRef/>
      </w:r>
      <w:r w:rsidRPr="00AF6017">
        <w:rPr>
          <w:rFonts w:ascii="Arial Narrow" w:hAnsi="Arial Narrow"/>
        </w:rPr>
        <w:t xml:space="preserve"> </w:t>
      </w:r>
      <w:r>
        <w:rPr>
          <w:rFonts w:ascii="Arial Narrow" w:hAnsi="Arial Narrow"/>
        </w:rPr>
        <w:t>Esta declaração de Goebbels a Hans Fritzsche encontra-se citada em J. Noakes et al. (orgs. 2008-2010) IV 667.</w:t>
      </w:r>
    </w:p>
  </w:footnote>
  <w:footnote w:id="111">
    <w:p w:rsidR="00732A51" w:rsidRPr="00732A51" w:rsidRDefault="00732A51">
      <w:pPr>
        <w:pStyle w:val="Textodenotaderodap"/>
        <w:rPr>
          <w:rFonts w:ascii="Arial Narrow" w:hAnsi="Arial Narrow"/>
        </w:rPr>
      </w:pPr>
      <w:r w:rsidRPr="00732A51">
        <w:rPr>
          <w:rStyle w:val="Refdenotaderodap"/>
          <w:rFonts w:ascii="Arial Narrow" w:hAnsi="Arial Narrow"/>
        </w:rPr>
        <w:footnoteRef/>
      </w:r>
      <w:r w:rsidRPr="00732A51">
        <w:rPr>
          <w:rFonts w:ascii="Arial Narrow" w:hAnsi="Arial Narrow"/>
        </w:rPr>
        <w:t xml:space="preserve"> </w:t>
      </w:r>
      <w:r w:rsidRPr="001F0A55">
        <w:rPr>
          <w:rFonts w:ascii="Arial Narrow" w:hAnsi="Arial Narrow"/>
        </w:rPr>
        <w:t>J. C. Fest (1974) 877.</w:t>
      </w:r>
      <w:r w:rsidR="00B033BE" w:rsidRPr="001F0A55">
        <w:rPr>
          <w:rFonts w:ascii="Arial Narrow" w:hAnsi="Arial Narrow"/>
        </w:rPr>
        <w:t xml:space="preserve"> Ver ainda as págs. segs.</w:t>
      </w:r>
    </w:p>
  </w:footnote>
  <w:footnote w:id="112">
    <w:p w:rsidR="009E50AF" w:rsidRPr="009E50AF" w:rsidRDefault="009E50AF">
      <w:pPr>
        <w:pStyle w:val="Textodenotaderodap"/>
        <w:rPr>
          <w:rFonts w:ascii="Arial Narrow" w:hAnsi="Arial Narrow"/>
        </w:rPr>
      </w:pPr>
      <w:r w:rsidRPr="009E50AF">
        <w:rPr>
          <w:rStyle w:val="Refdenotaderodap"/>
          <w:rFonts w:ascii="Arial Narrow" w:hAnsi="Arial Narrow"/>
        </w:rPr>
        <w:footnoteRef/>
      </w:r>
      <w:r w:rsidRPr="009E50AF">
        <w:rPr>
          <w:rFonts w:ascii="Arial Narrow" w:hAnsi="Arial Narrow"/>
        </w:rPr>
        <w:t xml:space="preserve"> </w:t>
      </w:r>
      <w:r>
        <w:rPr>
          <w:rFonts w:ascii="Arial Narrow" w:hAnsi="Arial Narrow"/>
        </w:rPr>
        <w:t>Id., ibid., 1243.</w:t>
      </w:r>
    </w:p>
  </w:footnote>
  <w:footnote w:id="113">
    <w:p w:rsidR="00A21ED7" w:rsidRPr="003E305A" w:rsidRDefault="00A21ED7" w:rsidP="00A21ED7">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do carácter histérico das concepções racistas de Hitler e Rosenberg consultar J. Billig (2000) 53-54.</w:t>
      </w:r>
      <w:r>
        <w:rPr>
          <w:rFonts w:ascii="Arial Narrow" w:hAnsi="Arial Narrow"/>
        </w:rPr>
        <w:t xml:space="preserve"> Quanto ao catastrofismo das teorias raciais de Darré ver A. Bramwell (1985) 63.</w:t>
      </w:r>
    </w:p>
  </w:footnote>
  <w:footnote w:id="114">
    <w:p w:rsidR="00A21ED7" w:rsidRPr="0078649C" w:rsidRDefault="00A21ED7" w:rsidP="00A21ED7">
      <w:pPr>
        <w:pStyle w:val="Textodenotaderodap"/>
        <w:ind w:firstLine="708"/>
        <w:rPr>
          <w:rFonts w:ascii="Arial Narrow" w:hAnsi="Arial Narrow"/>
        </w:rPr>
      </w:pPr>
      <w:r w:rsidRPr="003E305A">
        <w:rPr>
          <w:rStyle w:val="Refdenotaderodap"/>
          <w:rFonts w:ascii="Arial Narrow" w:hAnsi="Arial Narrow"/>
        </w:rPr>
        <w:footnoteRef/>
      </w:r>
      <w:r w:rsidRPr="0078649C">
        <w:rPr>
          <w:rFonts w:ascii="Arial Narrow" w:hAnsi="Arial Narrow"/>
        </w:rPr>
        <w:t xml:space="preserve"> G. Lukács (1980) 504.</w:t>
      </w:r>
    </w:p>
  </w:footnote>
  <w:footnote w:id="115">
    <w:p w:rsidR="00A21ED7" w:rsidRPr="00A21ED7" w:rsidRDefault="00A21ED7" w:rsidP="00A21ED7">
      <w:pPr>
        <w:pStyle w:val="Textodenotaderodap"/>
        <w:rPr>
          <w:rFonts w:ascii="Arial Narrow" w:hAnsi="Arial Narrow"/>
        </w:rPr>
      </w:pPr>
      <w:r w:rsidRPr="00562981">
        <w:rPr>
          <w:rStyle w:val="Refdenotaderodap"/>
          <w:rFonts w:ascii="Arial Narrow" w:hAnsi="Arial Narrow"/>
        </w:rPr>
        <w:footnoteRef/>
      </w:r>
      <w:r w:rsidRPr="0078649C">
        <w:rPr>
          <w:rFonts w:ascii="Arial Narrow" w:hAnsi="Arial Narrow"/>
        </w:rPr>
        <w:t xml:space="preserve"> S. Haffner (2011) 4, 19-20, 114-118. Escrevendo quando a curva do destino de Hitler se mostrava ainda ascendente, Otto Strasser recordou o que o seu irmão </w:t>
      </w:r>
      <w:r w:rsidR="00B92887">
        <w:rPr>
          <w:rFonts w:ascii="Arial Narrow" w:hAnsi="Arial Narrow"/>
        </w:rPr>
        <w:t xml:space="preserve">Gregor </w:t>
      </w:r>
      <w:r w:rsidRPr="0078649C">
        <w:rPr>
          <w:rFonts w:ascii="Arial Narrow" w:hAnsi="Arial Narrow"/>
        </w:rPr>
        <w:t xml:space="preserve">lhe dissera, não muito tempo antes de ser assassinado, que «o Adolfo ainda vai acabar por dar um tiro nos miolos». </w:t>
      </w:r>
      <w:r w:rsidRPr="00A21ED7">
        <w:rPr>
          <w:rFonts w:ascii="Arial Narrow" w:hAnsi="Arial Narrow"/>
        </w:rPr>
        <w:t>Ver O. Strasser (1940) 231.</w:t>
      </w:r>
      <w:r w:rsidR="00B92887">
        <w:rPr>
          <w:rFonts w:ascii="Arial Narrow" w:hAnsi="Arial Narrow"/>
        </w:rPr>
        <w:t xml:space="preserve"> Também </w:t>
      </w:r>
      <w:r w:rsidR="00B92887" w:rsidRPr="006A6D1D">
        <w:rPr>
          <w:rFonts w:ascii="Arial Narrow" w:hAnsi="Arial Narrow"/>
        </w:rPr>
        <w:t xml:space="preserve">J. C. Fest (1974) 334 detectou a propensão de Hitler para o suicídio, </w:t>
      </w:r>
      <w:r w:rsidR="002E00A2">
        <w:rPr>
          <w:rFonts w:ascii="Arial Narrow" w:hAnsi="Arial Narrow"/>
        </w:rPr>
        <w:t xml:space="preserve">embora </w:t>
      </w:r>
      <w:r w:rsidR="00B92887" w:rsidRPr="006A6D1D">
        <w:rPr>
          <w:rFonts w:ascii="Arial Narrow" w:hAnsi="Arial Narrow"/>
        </w:rPr>
        <w:t>admiti</w:t>
      </w:r>
      <w:r w:rsidR="002E00A2">
        <w:rPr>
          <w:rFonts w:ascii="Arial Narrow" w:hAnsi="Arial Narrow"/>
        </w:rPr>
        <w:t>sse</w:t>
      </w:r>
      <w:r w:rsidR="00B92887" w:rsidRPr="006A6D1D">
        <w:rPr>
          <w:rFonts w:ascii="Arial Narrow" w:hAnsi="Arial Narrow"/>
        </w:rPr>
        <w:t xml:space="preserve"> que a catástrofe final influencie a mane</w:t>
      </w:r>
      <w:r w:rsidR="002D542F">
        <w:rPr>
          <w:rFonts w:ascii="Arial Narrow" w:hAnsi="Arial Narrow"/>
        </w:rPr>
        <w:t>ira como vemos os anos iniciais</w:t>
      </w:r>
      <w:r w:rsidR="002E00A2">
        <w:rPr>
          <w:rFonts w:ascii="Arial Narrow" w:hAnsi="Arial Narrow"/>
        </w:rPr>
        <w:t xml:space="preserve">, e </w:t>
      </w:r>
      <w:r w:rsidR="002D542F">
        <w:rPr>
          <w:rFonts w:ascii="Arial Narrow" w:hAnsi="Arial Narrow"/>
        </w:rPr>
        <w:t>mencionou (pág</w:t>
      </w:r>
      <w:r w:rsidR="008B0F71">
        <w:rPr>
          <w:rFonts w:ascii="Arial Narrow" w:hAnsi="Arial Narrow"/>
        </w:rPr>
        <w:t>s</w:t>
      </w:r>
      <w:r w:rsidR="002D542F">
        <w:rPr>
          <w:rFonts w:ascii="Arial Narrow" w:hAnsi="Arial Narrow"/>
        </w:rPr>
        <w:t>. 1109</w:t>
      </w:r>
      <w:r w:rsidR="008B0F71">
        <w:rPr>
          <w:rFonts w:ascii="Arial Narrow" w:hAnsi="Arial Narrow"/>
        </w:rPr>
        <w:t>, 1257</w:t>
      </w:r>
      <w:r w:rsidR="002D542F">
        <w:rPr>
          <w:rFonts w:ascii="Arial Narrow" w:hAnsi="Arial Narrow"/>
        </w:rPr>
        <w:t xml:space="preserve">) o «impulso </w:t>
      </w:r>
      <w:r w:rsidR="002E00A2">
        <w:rPr>
          <w:rFonts w:ascii="Arial Narrow" w:hAnsi="Arial Narrow"/>
        </w:rPr>
        <w:t>suicida» de Hitler.</w:t>
      </w:r>
    </w:p>
  </w:footnote>
  <w:footnote w:id="116">
    <w:p w:rsidR="00A21ED7" w:rsidRPr="00E15458" w:rsidRDefault="00A21ED7" w:rsidP="00A21ED7">
      <w:pPr>
        <w:pStyle w:val="Textodenotaderodap"/>
        <w:rPr>
          <w:rFonts w:ascii="Arial Narrow" w:hAnsi="Arial Narrow"/>
        </w:rPr>
      </w:pPr>
      <w:r w:rsidRPr="00692811">
        <w:rPr>
          <w:rStyle w:val="Refdenotaderodap"/>
          <w:rFonts w:ascii="Arial Narrow" w:hAnsi="Arial Narrow"/>
        </w:rPr>
        <w:footnoteRef/>
      </w:r>
      <w:r w:rsidRPr="00E15458">
        <w:rPr>
          <w:rFonts w:ascii="Arial Narrow" w:hAnsi="Arial Narrow"/>
        </w:rPr>
        <w:t xml:space="preserve"> D. Welch (2002) 138.</w:t>
      </w:r>
    </w:p>
  </w:footnote>
  <w:footnote w:id="117">
    <w:p w:rsidR="00A21ED7" w:rsidRPr="00A21ED7" w:rsidRDefault="00A21ED7" w:rsidP="00A21ED7">
      <w:pPr>
        <w:pStyle w:val="Textodenotaderodap"/>
        <w:rPr>
          <w:rFonts w:ascii="Arial Narrow" w:hAnsi="Arial Narrow"/>
        </w:rPr>
      </w:pPr>
      <w:r w:rsidRPr="00DF66E9">
        <w:rPr>
          <w:rStyle w:val="Refdenotaderodap"/>
          <w:rFonts w:ascii="Arial Narrow" w:hAnsi="Arial Narrow"/>
        </w:rPr>
        <w:footnoteRef/>
      </w:r>
      <w:r w:rsidRPr="00E15458">
        <w:rPr>
          <w:rFonts w:ascii="Arial Narrow" w:hAnsi="Arial Narrow"/>
        </w:rPr>
        <w:t xml:space="preserve"> L. Rebatet et al. </w:t>
      </w:r>
      <w:r w:rsidRPr="00A21ED7">
        <w:rPr>
          <w:rFonts w:ascii="Arial Narrow" w:hAnsi="Arial Narrow"/>
        </w:rPr>
        <w:t>(1999) 103.</w:t>
      </w:r>
      <w:r w:rsidR="00464A24">
        <w:rPr>
          <w:rFonts w:ascii="Arial Narrow" w:hAnsi="Arial Narrow"/>
        </w:rPr>
        <w:t xml:space="preserve"> Ainda quanto ao carácter operático da política hitleriana ver </w:t>
      </w:r>
      <w:r w:rsidR="00464A24" w:rsidRPr="007C045E">
        <w:rPr>
          <w:rFonts w:ascii="Arial Narrow" w:hAnsi="Arial Narrow"/>
        </w:rPr>
        <w:t>W. Lepenies (2006) 68.</w:t>
      </w:r>
    </w:p>
  </w:footnote>
  <w:footnote w:id="118">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R. Cecil (1973) 97.</w:t>
      </w:r>
    </w:p>
  </w:footnote>
  <w:footnote w:id="119">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w:t>
      </w:r>
      <w:r w:rsidRPr="00341472">
        <w:rPr>
          <w:rFonts w:ascii="Arial Narrow" w:hAnsi="Arial Narrow"/>
          <w:i/>
        </w:rPr>
        <w:t>Morgenrot,</w:t>
      </w:r>
      <w:r w:rsidRPr="00341472">
        <w:rPr>
          <w:rFonts w:ascii="Arial Narrow" w:hAnsi="Arial Narrow"/>
        </w:rPr>
        <w:t xml:space="preserve"> filme realizado por Gustav Ucicky com argumento de Gerhard Menzel. Ver P. Cadars et al. (1972) 115.</w:t>
      </w:r>
    </w:p>
  </w:footnote>
  <w:footnote w:id="120">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J. Medina (1998) 163. Traduzi a frase, </w:t>
      </w:r>
      <w:r w:rsidR="003D03AD">
        <w:rPr>
          <w:rFonts w:ascii="Arial Narrow" w:hAnsi="Arial Narrow"/>
        </w:rPr>
        <w:t xml:space="preserve">dita </w:t>
      </w:r>
      <w:r w:rsidRPr="00341472">
        <w:rPr>
          <w:rFonts w:ascii="Arial Narrow" w:hAnsi="Arial Narrow"/>
        </w:rPr>
        <w:t>em francês, língua então usada na diplomacia.</w:t>
      </w:r>
    </w:p>
  </w:footnote>
  <w:footnote w:id="121">
    <w:p w:rsidR="00987532" w:rsidRPr="00987532" w:rsidRDefault="00987532">
      <w:pPr>
        <w:pStyle w:val="Textodenotaderodap"/>
        <w:rPr>
          <w:rFonts w:ascii="Arial Narrow" w:hAnsi="Arial Narrow"/>
        </w:rPr>
      </w:pPr>
      <w:r w:rsidRPr="00987532">
        <w:rPr>
          <w:rStyle w:val="Refdenotaderodap"/>
          <w:rFonts w:ascii="Arial Narrow" w:hAnsi="Arial Narrow"/>
        </w:rPr>
        <w:footnoteRef/>
      </w:r>
      <w:r w:rsidRPr="00987532">
        <w:rPr>
          <w:rFonts w:ascii="Arial Narrow" w:hAnsi="Arial Narrow"/>
        </w:rPr>
        <w:t xml:space="preserve"> </w:t>
      </w:r>
      <w:r>
        <w:rPr>
          <w:rFonts w:ascii="Arial Narrow" w:hAnsi="Arial Narrow"/>
        </w:rPr>
        <w:t xml:space="preserve">Citado em </w:t>
      </w:r>
      <w:r w:rsidRPr="00FF3CB3">
        <w:rPr>
          <w:rFonts w:ascii="Arial Narrow" w:hAnsi="Arial Narrow"/>
        </w:rPr>
        <w:t>J. Herf (1986) 74.</w:t>
      </w:r>
    </w:p>
  </w:footnote>
  <w:footnote w:id="122">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S. Weil (1950) 14.</w:t>
      </w:r>
    </w:p>
  </w:footnote>
  <w:footnote w:id="123">
    <w:p w:rsidR="005D2018" w:rsidRPr="005D2018" w:rsidRDefault="005D2018">
      <w:pPr>
        <w:pStyle w:val="Textodenotaderodap"/>
        <w:rPr>
          <w:rFonts w:ascii="Arial Narrow" w:hAnsi="Arial Narrow"/>
        </w:rPr>
      </w:pPr>
      <w:r w:rsidRPr="005D2018">
        <w:rPr>
          <w:rStyle w:val="Refdenotaderodap"/>
          <w:rFonts w:ascii="Arial Narrow" w:hAnsi="Arial Narrow"/>
        </w:rPr>
        <w:footnoteRef/>
      </w:r>
      <w:r w:rsidRPr="005D2018">
        <w:rPr>
          <w:rFonts w:ascii="Arial Narrow" w:hAnsi="Arial Narrow"/>
        </w:rPr>
        <w:t xml:space="preserve"> </w:t>
      </w:r>
      <w:r>
        <w:rPr>
          <w:rFonts w:ascii="Arial Narrow" w:hAnsi="Arial Narrow"/>
        </w:rPr>
        <w:t>Esta frase do discurso de Göring em 9 de Setembro de 1939 vem citada em J. Caplan (org. 1995) 151.</w:t>
      </w:r>
    </w:p>
  </w:footnote>
  <w:footnote w:id="124">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E. Conte et al. (1995) 167 e segs.</w:t>
      </w:r>
      <w:r w:rsidR="00060ED2">
        <w:rPr>
          <w:rFonts w:ascii="Arial Narrow" w:hAnsi="Arial Narrow"/>
          <w:lang w:val="fr-FR"/>
        </w:rPr>
        <w:t xml:space="preserve"> Ver também J. Noakes et al. (orgs. 2008-2010) IV 383-384</w:t>
      </w:r>
      <w:r w:rsidR="008E796D">
        <w:rPr>
          <w:rFonts w:ascii="Arial Narrow" w:hAnsi="Arial Narrow"/>
          <w:lang w:val="fr-FR"/>
        </w:rPr>
        <w:t xml:space="preserve"> e </w:t>
      </w:r>
      <w:r w:rsidR="008E796D" w:rsidRPr="00FF3CB3">
        <w:rPr>
          <w:rFonts w:ascii="Arial Narrow" w:hAnsi="Arial Narrow"/>
        </w:rPr>
        <w:t>A. Quinchon-Caudal (2013) 180-181</w:t>
      </w:r>
      <w:r w:rsidR="00060ED2">
        <w:rPr>
          <w:rFonts w:ascii="Arial Narrow" w:hAnsi="Arial Narrow"/>
          <w:lang w:val="fr-FR"/>
        </w:rPr>
        <w:t>.</w:t>
      </w:r>
    </w:p>
  </w:footnote>
  <w:footnote w:id="125">
    <w:p w:rsidR="00D45240" w:rsidRPr="00036B3F" w:rsidRDefault="00D45240">
      <w:pPr>
        <w:pStyle w:val="Textodenotaderodap"/>
        <w:rPr>
          <w:rFonts w:ascii="Arial Narrow" w:hAnsi="Arial Narrow"/>
        </w:rPr>
      </w:pPr>
      <w:r w:rsidRPr="00D45240">
        <w:rPr>
          <w:rStyle w:val="Refdenotaderodap"/>
          <w:rFonts w:ascii="Arial Narrow" w:hAnsi="Arial Narrow"/>
        </w:rPr>
        <w:footnoteRef/>
      </w:r>
      <w:r w:rsidRPr="00036B3F">
        <w:rPr>
          <w:rFonts w:ascii="Arial Narrow" w:hAnsi="Arial Narrow"/>
        </w:rPr>
        <w:t xml:space="preserve"> A. Rosenberg </w:t>
      </w:r>
      <w:r w:rsidR="00036B3F" w:rsidRPr="00036B3F">
        <w:rPr>
          <w:rFonts w:ascii="Arial Narrow" w:hAnsi="Arial Narrow"/>
        </w:rPr>
        <w:t>[s. d.</w:t>
      </w:r>
      <w:r w:rsidR="005C1D53">
        <w:rPr>
          <w:rFonts w:ascii="Arial Narrow" w:hAnsi="Arial Narrow"/>
        </w:rPr>
        <w:t xml:space="preserve"> 2</w:t>
      </w:r>
      <w:r w:rsidR="00036B3F" w:rsidRPr="00036B3F">
        <w:rPr>
          <w:rFonts w:ascii="Arial Narrow" w:hAnsi="Arial Narrow"/>
        </w:rPr>
        <w:t>] 315. Note-se que</w:t>
      </w:r>
      <w:r w:rsidRPr="00036B3F">
        <w:rPr>
          <w:rFonts w:ascii="Arial Narrow" w:hAnsi="Arial Narrow"/>
        </w:rPr>
        <w:t xml:space="preserve"> </w:t>
      </w:r>
      <w:r w:rsidR="00D35A04">
        <w:rPr>
          <w:rFonts w:ascii="Arial Narrow" w:hAnsi="Arial Narrow"/>
        </w:rPr>
        <w:t xml:space="preserve">em </w:t>
      </w:r>
      <w:r w:rsidRPr="00036B3F">
        <w:rPr>
          <w:rFonts w:ascii="Arial Narrow" w:hAnsi="Arial Narrow"/>
        </w:rPr>
        <w:t xml:space="preserve">id. </w:t>
      </w:r>
      <w:r w:rsidR="00036B3F" w:rsidRPr="00036B3F">
        <w:rPr>
          <w:rFonts w:ascii="Arial Narrow" w:hAnsi="Arial Narrow"/>
        </w:rPr>
        <w:t>(1986)</w:t>
      </w:r>
      <w:r w:rsidR="00036B3F">
        <w:rPr>
          <w:rFonts w:ascii="Arial Narrow" w:hAnsi="Arial Narrow"/>
        </w:rPr>
        <w:t xml:space="preserve"> 415 </w:t>
      </w:r>
      <w:r w:rsidR="00D35A04">
        <w:rPr>
          <w:rFonts w:ascii="Arial Narrow" w:hAnsi="Arial Narrow"/>
        </w:rPr>
        <w:t xml:space="preserve">está </w:t>
      </w:r>
      <w:r w:rsidR="00036B3F">
        <w:rPr>
          <w:rFonts w:ascii="Arial Narrow" w:hAnsi="Arial Narrow"/>
        </w:rPr>
        <w:t>traduz</w:t>
      </w:r>
      <w:r w:rsidR="00D35A04">
        <w:rPr>
          <w:rFonts w:ascii="Arial Narrow" w:hAnsi="Arial Narrow"/>
        </w:rPr>
        <w:t>ido</w:t>
      </w:r>
      <w:r w:rsidR="00036B3F">
        <w:rPr>
          <w:rFonts w:ascii="Arial Narrow" w:hAnsi="Arial Narrow"/>
        </w:rPr>
        <w:t xml:space="preserve"> «são os verdadeiros vencedores», mas em geral esta versão francesa parece-me deficiente.</w:t>
      </w:r>
    </w:p>
  </w:footnote>
  <w:footnote w:id="126">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H. S. Chamberlain (1913) 1330.</w:t>
      </w:r>
    </w:p>
  </w:footnote>
  <w:footnote w:id="127">
    <w:p w:rsidR="00837D5C" w:rsidRPr="00341472" w:rsidRDefault="00837D5C" w:rsidP="00837D5C">
      <w:pPr>
        <w:pStyle w:val="Textodenotaderodap"/>
        <w:ind w:firstLine="708"/>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G. Lukács (1980) 509.</w:t>
      </w:r>
    </w:p>
  </w:footnote>
  <w:footnote w:id="12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O psicólogo e sociólogo francês Gustave Le Bon, cujas obras conheceram na sua época uma fenomenal popularidade e que foi uma das fontes do pensamento de Hitler, escrev</w:t>
      </w:r>
      <w:r>
        <w:rPr>
          <w:rFonts w:ascii="Arial Narrow" w:hAnsi="Arial Narrow"/>
        </w:rPr>
        <w:t>eu</w:t>
      </w:r>
      <w:r w:rsidRPr="00341472">
        <w:rPr>
          <w:rFonts w:ascii="Arial Narrow" w:hAnsi="Arial Narrow"/>
        </w:rPr>
        <w:t xml:space="preserve"> num livro publicado em 1894 e citado em Z. Sternhell (1978) 150-151: «Infinitamente mais numerosos do que os vivos, os mortos são também infinitamente mais poderosos. Eles regem o imenso domínio do inconsciente [...] É pelos seus mortos, muito mais do que pelos seus vivos, que um povo é conduzido. É apenas por eles que uma raça é fundada. [...] As gerações extintas não nos impõem somente a sua constituição física, impõem-nos também os seus pensamentos. Os mortos são os únicos senhores indiscutíveis dos vivos».</w:t>
      </w:r>
    </w:p>
  </w:footnote>
  <w:footnote w:id="12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B3452D">
        <w:rPr>
          <w:rFonts w:ascii="Arial Narrow" w:hAnsi="Arial Narrow"/>
        </w:rPr>
        <w:t xml:space="preserve"> </w:t>
      </w:r>
      <w:r w:rsidR="00D565DB" w:rsidRPr="00B3452D">
        <w:rPr>
          <w:rFonts w:ascii="Arial Narrow" w:hAnsi="Arial Narrow"/>
        </w:rPr>
        <w:t>A. Rosenberg (1986)</w:t>
      </w:r>
      <w:r w:rsidR="00007EB3" w:rsidRPr="00B3452D">
        <w:rPr>
          <w:rFonts w:ascii="Arial Narrow" w:hAnsi="Arial Narrow"/>
        </w:rPr>
        <w:t xml:space="preserve"> </w:t>
      </w:r>
      <w:r w:rsidR="003923DC" w:rsidRPr="00B3452D">
        <w:rPr>
          <w:rFonts w:ascii="Arial Narrow" w:hAnsi="Arial Narrow"/>
        </w:rPr>
        <w:t>631</w:t>
      </w:r>
      <w:r w:rsidR="00007EB3" w:rsidRPr="00B3452D">
        <w:rPr>
          <w:rFonts w:ascii="Arial Narrow" w:hAnsi="Arial Narrow"/>
        </w:rPr>
        <w:t xml:space="preserve">; id. </w:t>
      </w:r>
      <w:r w:rsidR="00007EB3" w:rsidRPr="00007EB3">
        <w:rPr>
          <w:rFonts w:ascii="Arial Narrow" w:hAnsi="Arial Narrow"/>
        </w:rPr>
        <w:t>[s. d.</w:t>
      </w:r>
      <w:r w:rsidR="005C1D53">
        <w:rPr>
          <w:rFonts w:ascii="Arial Narrow" w:hAnsi="Arial Narrow"/>
        </w:rPr>
        <w:t xml:space="preserve"> 2</w:t>
      </w:r>
      <w:r w:rsidR="00007EB3" w:rsidRPr="00007EB3">
        <w:rPr>
          <w:rFonts w:ascii="Arial Narrow" w:hAnsi="Arial Narrow"/>
        </w:rPr>
        <w:t xml:space="preserve">] </w:t>
      </w:r>
      <w:r w:rsidR="00007EB3">
        <w:rPr>
          <w:rFonts w:ascii="Arial Narrow" w:hAnsi="Arial Narrow"/>
        </w:rPr>
        <w:t>456</w:t>
      </w:r>
      <w:r w:rsidR="00007EB3" w:rsidRPr="00007EB3">
        <w:rPr>
          <w:rFonts w:ascii="Arial Narrow" w:hAnsi="Arial Narrow"/>
        </w:rPr>
        <w:t xml:space="preserve">. Acerca desta questão ver ainda id. </w:t>
      </w:r>
      <w:r w:rsidR="00007EB3">
        <w:rPr>
          <w:rFonts w:ascii="Arial Narrow" w:hAnsi="Arial Narrow"/>
        </w:rPr>
        <w:t xml:space="preserve">(1986) </w:t>
      </w:r>
      <w:r w:rsidR="005733B2" w:rsidRPr="00007EB3">
        <w:rPr>
          <w:rFonts w:ascii="Arial Narrow" w:hAnsi="Arial Narrow"/>
        </w:rPr>
        <w:t>98-99</w:t>
      </w:r>
      <w:r w:rsidR="00243EDC">
        <w:rPr>
          <w:rFonts w:ascii="Arial Narrow" w:hAnsi="Arial Narrow"/>
        </w:rPr>
        <w:t>, 632-633</w:t>
      </w:r>
      <w:r w:rsidR="00007EB3">
        <w:rPr>
          <w:rFonts w:ascii="Arial Narrow" w:hAnsi="Arial Narrow"/>
        </w:rPr>
        <w:t xml:space="preserve"> ou</w:t>
      </w:r>
      <w:r w:rsidR="00D565DB" w:rsidRPr="00007EB3">
        <w:rPr>
          <w:rFonts w:ascii="Arial Narrow" w:hAnsi="Arial Narrow"/>
        </w:rPr>
        <w:t xml:space="preserve"> id. </w:t>
      </w:r>
      <w:r w:rsidR="00D565DB">
        <w:rPr>
          <w:rFonts w:ascii="Arial Narrow" w:hAnsi="Arial Narrow"/>
        </w:rPr>
        <w:t>[s. d.</w:t>
      </w:r>
      <w:r w:rsidR="005C1D53">
        <w:rPr>
          <w:rFonts w:ascii="Arial Narrow" w:hAnsi="Arial Narrow"/>
        </w:rPr>
        <w:t xml:space="preserve"> 2</w:t>
      </w:r>
      <w:r w:rsidR="00D565DB">
        <w:rPr>
          <w:rFonts w:ascii="Arial Narrow" w:hAnsi="Arial Narrow"/>
        </w:rPr>
        <w:t xml:space="preserve">] </w:t>
      </w:r>
      <w:r w:rsidR="00CF4540">
        <w:rPr>
          <w:rFonts w:ascii="Arial Narrow" w:hAnsi="Arial Narrow"/>
        </w:rPr>
        <w:t>108</w:t>
      </w:r>
      <w:r w:rsidR="00243EDC">
        <w:rPr>
          <w:rFonts w:ascii="Arial Narrow" w:hAnsi="Arial Narrow"/>
        </w:rPr>
        <w:t>, 457</w:t>
      </w:r>
      <w:r w:rsidR="00D565DB">
        <w:rPr>
          <w:rFonts w:ascii="Arial Narrow" w:hAnsi="Arial Narrow"/>
        </w:rPr>
        <w:t xml:space="preserve">. Ver também </w:t>
      </w:r>
      <w:r w:rsidRPr="00341472">
        <w:rPr>
          <w:rFonts w:ascii="Arial Narrow" w:hAnsi="Arial Narrow"/>
        </w:rPr>
        <w:t>G. Lukács (1980) 728.</w:t>
      </w:r>
    </w:p>
  </w:footnote>
  <w:footnote w:id="130">
    <w:p w:rsidR="00837D5C" w:rsidRPr="00341472" w:rsidRDefault="00837D5C" w:rsidP="00837D5C">
      <w:pPr>
        <w:pStyle w:val="Textodenotaderodap"/>
        <w:rPr>
          <w:rFonts w:ascii="Arial Narrow" w:hAnsi="Arial Narrow"/>
          <w:lang w:val="fr-FR"/>
        </w:rPr>
      </w:pPr>
      <w:r w:rsidRPr="00341472">
        <w:rPr>
          <w:rStyle w:val="Refdenotaderodap"/>
          <w:rFonts w:ascii="Arial Narrow" w:hAnsi="Arial Narrow"/>
        </w:rPr>
        <w:footnoteRef/>
      </w:r>
      <w:r w:rsidRPr="00341472">
        <w:rPr>
          <w:rFonts w:ascii="Arial Narrow" w:hAnsi="Arial Narrow"/>
          <w:lang w:val="fr-FR"/>
        </w:rPr>
        <w:t xml:space="preserve"> Citado em E. Conte et al. (1995) 48.</w:t>
      </w:r>
    </w:p>
  </w:footnote>
  <w:footnote w:id="13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lang w:val="fr-FR"/>
        </w:rPr>
        <w:t xml:space="preserve"> J. Billig (2000) 300; R. Cecil (1973) 100; H. S. Chamberlain (1913) 163-164 n., 414, 621-622, 637, 645-646, 656, 679, 770, 792, 1154, 1215 n. 3, 1280 n. 1; E. Conte et al. </w:t>
      </w:r>
      <w:r w:rsidRPr="00341472">
        <w:rPr>
          <w:rFonts w:ascii="Arial Narrow" w:hAnsi="Arial Narrow"/>
        </w:rPr>
        <w:t>(1995) 106; A. Pichot (2000) 403-404; E. Weber (1964) 155.</w:t>
      </w:r>
    </w:p>
  </w:footnote>
  <w:footnote w:id="13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Citados em E. Weber (1965 c) 522 e 523.</w:t>
      </w:r>
      <w:r w:rsidR="00721C07">
        <w:rPr>
          <w:rFonts w:ascii="Arial Narrow" w:hAnsi="Arial Narrow"/>
        </w:rPr>
        <w:t xml:space="preserve"> «Este culto da morte pode encontrar-se em todos os movimentos fascistas; foi mais elaborado na Guarda de Ferro romena e decerto mereceria um estudo pormenorizado», escreveu </w:t>
      </w:r>
      <w:r w:rsidR="00721C07" w:rsidRPr="001F0A55">
        <w:rPr>
          <w:rFonts w:ascii="Arial Narrow" w:hAnsi="Arial Narrow"/>
        </w:rPr>
        <w:t>J. C. Fest (1974) 877 n. 34.</w:t>
      </w:r>
    </w:p>
  </w:footnote>
  <w:footnote w:id="133">
    <w:p w:rsidR="00F86797" w:rsidRPr="00F86797" w:rsidRDefault="00F86797">
      <w:pPr>
        <w:pStyle w:val="Textodenotaderodap"/>
        <w:rPr>
          <w:rFonts w:ascii="Arial Narrow" w:hAnsi="Arial Narrow"/>
        </w:rPr>
      </w:pPr>
      <w:r w:rsidRPr="00F86797">
        <w:rPr>
          <w:rStyle w:val="Refdenotaderodap"/>
          <w:rFonts w:ascii="Arial Narrow" w:hAnsi="Arial Narrow"/>
        </w:rPr>
        <w:footnoteRef/>
      </w:r>
      <w:r w:rsidRPr="00F86797">
        <w:rPr>
          <w:rFonts w:ascii="Arial Narrow" w:hAnsi="Arial Narrow"/>
        </w:rPr>
        <w:t xml:space="preserve"> </w:t>
      </w:r>
      <w:r>
        <w:rPr>
          <w:rFonts w:ascii="Arial Narrow" w:hAnsi="Arial Narrow"/>
        </w:rPr>
        <w:t>M. Eliade (1937) 2.</w:t>
      </w:r>
      <w:r w:rsidR="001B7870">
        <w:rPr>
          <w:rFonts w:ascii="Arial Narrow" w:hAnsi="Arial Narrow"/>
        </w:rPr>
        <w:t xml:space="preserve"> A frase citada por Eliade era um dos lemas da Legião do Arcanjo São Miguel, como se vê em </w:t>
      </w:r>
      <w:r w:rsidR="001B7870">
        <w:rPr>
          <w:rFonts w:ascii="Arial Narrow" w:hAnsi="Arial Narrow"/>
          <w:lang w:val="de-DE"/>
        </w:rPr>
        <w:t>C. Z. Codreanu (1976) 158.</w:t>
      </w:r>
    </w:p>
  </w:footnote>
  <w:footnote w:id="134">
    <w:p w:rsidR="00020E38" w:rsidRPr="00D40872" w:rsidRDefault="00020E38" w:rsidP="00020E38">
      <w:pPr>
        <w:pStyle w:val="Textodenotaderodap"/>
        <w:rPr>
          <w:rFonts w:ascii="Arial Narrow" w:hAnsi="Arial Narrow"/>
        </w:rPr>
      </w:pPr>
      <w:r w:rsidRPr="005038CC">
        <w:rPr>
          <w:rStyle w:val="Refdenotaderodap"/>
          <w:rFonts w:ascii="Arial Narrow" w:hAnsi="Arial Narrow"/>
        </w:rPr>
        <w:footnoteRef/>
      </w:r>
      <w:r w:rsidRPr="00D40872">
        <w:rPr>
          <w:rFonts w:ascii="Arial Narrow" w:hAnsi="Arial Narrow"/>
        </w:rPr>
        <w:t xml:space="preserve"> </w:t>
      </w:r>
      <w:r>
        <w:rPr>
          <w:rFonts w:ascii="Arial Narrow" w:hAnsi="Arial Narrow"/>
          <w:lang w:val="de-DE"/>
        </w:rPr>
        <w:t xml:space="preserve">C. Z. Codreanu (1976) 217. «Chegará a época da ressurreição de todos os povos da terra, com todos os seus mortos e todos os seus reis e imperadores, cada povo ocupando o seu lugar perante o trono de Deus. Este momento final, </w:t>
      </w:r>
      <w:r w:rsidRPr="001545D0">
        <w:rPr>
          <w:rFonts w:ascii="Arial Narrow" w:hAnsi="Arial Narrow"/>
        </w:rPr>
        <w:t>“</w:t>
      </w:r>
      <w:r>
        <w:rPr>
          <w:rFonts w:ascii="Arial Narrow" w:hAnsi="Arial Narrow"/>
          <w:lang w:val="de-DE"/>
        </w:rPr>
        <w:t>a ressurreição dos mortos</w:t>
      </w:r>
      <w:r w:rsidRPr="001545D0">
        <w:rPr>
          <w:rFonts w:ascii="Arial Narrow" w:hAnsi="Arial Narrow"/>
        </w:rPr>
        <w:t>”</w:t>
      </w:r>
      <w:r>
        <w:rPr>
          <w:rFonts w:ascii="Arial Narrow" w:hAnsi="Arial Narrow"/>
          <w:lang w:val="de-DE"/>
        </w:rPr>
        <w:t>, é o mais nobre e mais sublime a que um povo pode ascender» (pág. 217).</w:t>
      </w:r>
    </w:p>
  </w:footnote>
  <w:footnote w:id="135">
    <w:p w:rsidR="004B0542" w:rsidRPr="00FA09D9" w:rsidRDefault="004B0542">
      <w:pPr>
        <w:pStyle w:val="Textodenotaderodap"/>
        <w:rPr>
          <w:rFonts w:ascii="Arial Narrow" w:hAnsi="Arial Narrow"/>
        </w:rPr>
      </w:pPr>
      <w:r w:rsidRPr="004B0542">
        <w:rPr>
          <w:rStyle w:val="Refdenotaderodap"/>
          <w:rFonts w:ascii="Arial Narrow" w:hAnsi="Arial Narrow"/>
        </w:rPr>
        <w:footnoteRef/>
      </w:r>
      <w:r w:rsidRPr="00FA09D9">
        <w:rPr>
          <w:rFonts w:ascii="Arial Narrow" w:hAnsi="Arial Narrow"/>
        </w:rPr>
        <w:t xml:space="preserve"> </w:t>
      </w:r>
      <w:r w:rsidR="00020E38" w:rsidRPr="00FA09D9">
        <w:rPr>
          <w:rFonts w:ascii="Arial Narrow" w:hAnsi="Arial Narrow"/>
        </w:rPr>
        <w:t xml:space="preserve">Id., ibid., </w:t>
      </w:r>
      <w:r>
        <w:rPr>
          <w:rFonts w:ascii="Arial Narrow" w:hAnsi="Arial Narrow"/>
          <w:lang w:val="de-DE"/>
        </w:rPr>
        <w:t>162.</w:t>
      </w:r>
    </w:p>
  </w:footnote>
  <w:footnote w:id="136">
    <w:p w:rsidR="00010689" w:rsidRPr="00010689" w:rsidRDefault="00010689">
      <w:pPr>
        <w:pStyle w:val="Textodenotaderodap"/>
        <w:rPr>
          <w:rFonts w:ascii="Arial Narrow" w:hAnsi="Arial Narrow"/>
        </w:rPr>
      </w:pPr>
      <w:r w:rsidRPr="00010689">
        <w:rPr>
          <w:rStyle w:val="Refdenotaderodap"/>
          <w:rFonts w:ascii="Arial Narrow" w:hAnsi="Arial Narrow"/>
        </w:rPr>
        <w:footnoteRef/>
      </w:r>
      <w:r w:rsidRPr="00010689">
        <w:rPr>
          <w:rFonts w:ascii="Arial Narrow" w:hAnsi="Arial Narrow"/>
        </w:rPr>
        <w:t xml:space="preserve"> </w:t>
      </w:r>
      <w:r>
        <w:rPr>
          <w:rFonts w:ascii="Arial Narrow" w:hAnsi="Arial Narrow"/>
        </w:rPr>
        <w:t xml:space="preserve">Citado em </w:t>
      </w:r>
      <w:r w:rsidRPr="00CB6351">
        <w:rPr>
          <w:rFonts w:ascii="Arial Narrow" w:hAnsi="Arial Narrow"/>
          <w:bCs/>
        </w:rPr>
        <w:t xml:space="preserve">Ch. Thorpe [s. d. </w:t>
      </w:r>
      <w:r>
        <w:rPr>
          <w:rFonts w:ascii="Arial Narrow" w:hAnsi="Arial Narrow"/>
          <w:bCs/>
        </w:rPr>
        <w:t>2</w:t>
      </w:r>
      <w:r w:rsidRPr="00CB6351">
        <w:rPr>
          <w:rFonts w:ascii="Arial Narrow" w:hAnsi="Arial Narrow"/>
          <w:bCs/>
        </w:rPr>
        <w:t>]</w:t>
      </w:r>
      <w:r>
        <w:rPr>
          <w:rFonts w:ascii="Arial Narrow" w:hAnsi="Arial Narrow"/>
          <w:bCs/>
        </w:rPr>
        <w:t xml:space="preserve"> 9.</w:t>
      </w:r>
    </w:p>
  </w:footnote>
  <w:footnote w:id="137">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Citado em G. De’Rossi Dell’Arno [1940] 34.</w:t>
      </w:r>
    </w:p>
  </w:footnote>
  <w:footnote w:id="13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Um longo extracto deste artigo de Codreanu, publicado originariamente em 1936, encontra-se transcrito em E. Weber (1965 c) 541-543. A passagem citada pode ler-se na pág. 542.</w:t>
      </w:r>
    </w:p>
  </w:footnote>
  <w:footnote w:id="13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Esta frase extraída de um artigo publicado em </w:t>
      </w:r>
      <w:r w:rsidRPr="00341472">
        <w:rPr>
          <w:rFonts w:ascii="Arial Narrow" w:hAnsi="Arial Narrow"/>
          <w:i/>
        </w:rPr>
        <w:t>Dacia</w:t>
      </w:r>
      <w:r w:rsidR="002101F2">
        <w:rPr>
          <w:rFonts w:ascii="Arial Narrow" w:hAnsi="Arial Narrow"/>
          <w:i/>
        </w:rPr>
        <w:t>,</w:t>
      </w:r>
      <w:r w:rsidRPr="00341472">
        <w:rPr>
          <w:rFonts w:ascii="Arial Narrow" w:hAnsi="Arial Narrow"/>
        </w:rPr>
        <w:t xml:space="preserve"> 15 de Dezembro de 1940</w:t>
      </w:r>
      <w:r w:rsidR="002101F2">
        <w:rPr>
          <w:rFonts w:ascii="Arial Narrow" w:hAnsi="Arial Narrow"/>
        </w:rPr>
        <w:t>,</w:t>
      </w:r>
      <w:r w:rsidRPr="00341472">
        <w:rPr>
          <w:rFonts w:ascii="Arial Narrow" w:hAnsi="Arial Narrow"/>
        </w:rPr>
        <w:t xml:space="preserve"> encontra-se citada em id., ibid., 523.</w:t>
      </w:r>
    </w:p>
  </w:footnote>
  <w:footnote w:id="140">
    <w:p w:rsidR="00837D5C" w:rsidRPr="00341472" w:rsidRDefault="00837D5C" w:rsidP="00837D5C">
      <w:pPr>
        <w:pStyle w:val="Textodenotaderodap"/>
        <w:ind w:firstLine="708"/>
        <w:rPr>
          <w:rFonts w:ascii="Arial Narrow" w:hAnsi="Arial Narrow"/>
          <w:lang w:val="es-ES"/>
        </w:rPr>
      </w:pPr>
      <w:r w:rsidRPr="00341472">
        <w:rPr>
          <w:rStyle w:val="Refdenotaderodap"/>
          <w:rFonts w:ascii="Arial Narrow" w:hAnsi="Arial Narrow"/>
        </w:rPr>
        <w:footnoteRef/>
      </w:r>
      <w:r w:rsidRPr="00341472">
        <w:rPr>
          <w:rFonts w:ascii="Arial Narrow" w:hAnsi="Arial Narrow"/>
          <w:lang w:val="es-ES"/>
        </w:rPr>
        <w:t xml:space="preserve"> Id., ibid., 531-532. Ver igualmente F. L. Carsten (1967) 186.</w:t>
      </w:r>
    </w:p>
  </w:footnote>
  <w:footnote w:id="141">
    <w:p w:rsidR="00837D5C" w:rsidRPr="002A54F8" w:rsidRDefault="00837D5C" w:rsidP="00837D5C">
      <w:pPr>
        <w:pStyle w:val="Textodenotaderodap"/>
        <w:ind w:firstLine="708"/>
        <w:rPr>
          <w:rFonts w:ascii="Arial Narrow" w:hAnsi="Arial Narrow"/>
          <w:lang w:val="de-DE"/>
        </w:rPr>
      </w:pPr>
      <w:r w:rsidRPr="00341472">
        <w:rPr>
          <w:rStyle w:val="Refdenotaderodap"/>
          <w:rFonts w:ascii="Arial Narrow" w:hAnsi="Arial Narrow"/>
        </w:rPr>
        <w:footnoteRef/>
      </w:r>
      <w:r w:rsidRPr="00341472">
        <w:rPr>
          <w:rFonts w:ascii="Arial Narrow" w:hAnsi="Arial Narrow"/>
          <w:lang w:val="es-ES"/>
        </w:rPr>
        <w:t xml:space="preserve"> M. Bardèche et al. </w:t>
      </w:r>
      <w:r w:rsidRPr="002A54F8">
        <w:rPr>
          <w:rFonts w:ascii="Arial Narrow" w:hAnsi="Arial Narrow"/>
          <w:lang w:val="de-DE"/>
        </w:rPr>
        <w:t xml:space="preserve">(1969) 14; </w:t>
      </w:r>
      <w:r w:rsidR="005C2BE8">
        <w:rPr>
          <w:rFonts w:ascii="Arial Narrow" w:hAnsi="Arial Narrow"/>
          <w:lang w:val="de-DE"/>
        </w:rPr>
        <w:t xml:space="preserve">J. Evola (2004); </w:t>
      </w:r>
      <w:r w:rsidRPr="002A54F8">
        <w:rPr>
          <w:rFonts w:ascii="Arial Narrow" w:hAnsi="Arial Narrow"/>
          <w:lang w:val="de-DE"/>
        </w:rPr>
        <w:t>E. Weber (1965 c) 532-533, 537.</w:t>
      </w:r>
    </w:p>
  </w:footnote>
  <w:footnote w:id="142">
    <w:p w:rsidR="0045215A" w:rsidRPr="0045215A" w:rsidRDefault="0045215A">
      <w:pPr>
        <w:pStyle w:val="Textodenotaderodap"/>
        <w:rPr>
          <w:rFonts w:ascii="Arial Narrow" w:hAnsi="Arial Narrow"/>
        </w:rPr>
      </w:pPr>
      <w:r w:rsidRPr="0045215A">
        <w:rPr>
          <w:rStyle w:val="Refdenotaderodap"/>
          <w:rFonts w:ascii="Arial Narrow" w:hAnsi="Arial Narrow"/>
        </w:rPr>
        <w:footnoteRef/>
      </w:r>
      <w:r w:rsidRPr="0045215A">
        <w:rPr>
          <w:rFonts w:ascii="Arial Narrow" w:hAnsi="Arial Narrow"/>
        </w:rPr>
        <w:t xml:space="preserve"> </w:t>
      </w:r>
      <w:r>
        <w:rPr>
          <w:rFonts w:ascii="Arial Narrow" w:hAnsi="Arial Narrow"/>
        </w:rPr>
        <w:t>C. Z. Codreanu (1976) 96.</w:t>
      </w:r>
      <w:r w:rsidR="0005284C">
        <w:rPr>
          <w:rFonts w:ascii="Arial Narrow" w:hAnsi="Arial Narrow"/>
        </w:rPr>
        <w:t xml:space="preserve"> Ver também a pág. 162.</w:t>
      </w:r>
    </w:p>
  </w:footnote>
  <w:footnote w:id="143">
    <w:p w:rsidR="003664E6" w:rsidRPr="0091655E" w:rsidRDefault="003664E6">
      <w:pPr>
        <w:pStyle w:val="Textodenotaderodap"/>
        <w:rPr>
          <w:rFonts w:ascii="Arial Narrow" w:hAnsi="Arial Narrow"/>
        </w:rPr>
      </w:pPr>
      <w:r w:rsidRPr="003664E6">
        <w:rPr>
          <w:rStyle w:val="Refdenotaderodap"/>
          <w:rFonts w:ascii="Arial Narrow" w:hAnsi="Arial Narrow"/>
        </w:rPr>
        <w:footnoteRef/>
      </w:r>
      <w:r w:rsidRPr="0091655E">
        <w:rPr>
          <w:rFonts w:ascii="Arial Narrow" w:hAnsi="Arial Narrow"/>
        </w:rPr>
        <w:t xml:space="preserve"> </w:t>
      </w:r>
      <w:r w:rsidR="007770E7" w:rsidRPr="0091655E">
        <w:rPr>
          <w:rFonts w:ascii="Arial Narrow" w:hAnsi="Arial Narrow"/>
        </w:rPr>
        <w:t>Id., ibid., 243.</w:t>
      </w:r>
    </w:p>
  </w:footnote>
  <w:footnote w:id="144">
    <w:p w:rsidR="006137A2" w:rsidRPr="0091655E" w:rsidRDefault="006137A2">
      <w:pPr>
        <w:pStyle w:val="Textodenotaderodap"/>
        <w:rPr>
          <w:rFonts w:ascii="Arial Narrow" w:hAnsi="Arial Narrow"/>
        </w:rPr>
      </w:pPr>
      <w:r w:rsidRPr="006137A2">
        <w:rPr>
          <w:rStyle w:val="Refdenotaderodap"/>
          <w:rFonts w:ascii="Arial Narrow" w:hAnsi="Arial Narrow"/>
        </w:rPr>
        <w:footnoteRef/>
      </w:r>
      <w:r w:rsidRPr="0091655E">
        <w:rPr>
          <w:rFonts w:ascii="Arial Narrow" w:hAnsi="Arial Narrow"/>
        </w:rPr>
        <w:t xml:space="preserve"> </w:t>
      </w:r>
      <w:r w:rsidR="007770E7" w:rsidRPr="0091655E">
        <w:rPr>
          <w:rFonts w:ascii="Arial Narrow" w:hAnsi="Arial Narrow"/>
        </w:rPr>
        <w:t xml:space="preserve">Id., ibid., </w:t>
      </w:r>
      <w:r w:rsidRPr="0091655E">
        <w:rPr>
          <w:rFonts w:ascii="Arial Narrow" w:hAnsi="Arial Narrow"/>
        </w:rPr>
        <w:t>210.</w:t>
      </w:r>
    </w:p>
  </w:footnote>
  <w:footnote w:id="145">
    <w:p w:rsidR="000A7EA2" w:rsidRPr="000A7EA2" w:rsidRDefault="000A7EA2" w:rsidP="000A7EA2">
      <w:pPr>
        <w:pStyle w:val="Textodenotaderodap"/>
        <w:rPr>
          <w:rFonts w:ascii="Arial Narrow" w:hAnsi="Arial Narrow"/>
          <w:lang w:val="en-US"/>
        </w:rPr>
      </w:pPr>
      <w:r w:rsidRPr="00D40872">
        <w:rPr>
          <w:rStyle w:val="Refdenotaderodap"/>
          <w:rFonts w:ascii="Arial Narrow" w:hAnsi="Arial Narrow"/>
        </w:rPr>
        <w:footnoteRef/>
      </w:r>
      <w:r w:rsidRPr="000A7EA2">
        <w:rPr>
          <w:rFonts w:ascii="Arial Narrow" w:hAnsi="Arial Narrow"/>
          <w:lang w:val="en-US"/>
        </w:rPr>
        <w:t xml:space="preserve"> M. Sturdza (1968) 34.</w:t>
      </w:r>
    </w:p>
  </w:footnote>
  <w:footnote w:id="146">
    <w:p w:rsidR="00837D5C" w:rsidRPr="00A13CAB"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0A7EA2">
        <w:rPr>
          <w:rFonts w:ascii="Arial Narrow" w:hAnsi="Arial Narrow"/>
          <w:lang w:val="en-US"/>
        </w:rPr>
        <w:t xml:space="preserve"> E. Weber (1964) 103-104; id. </w:t>
      </w:r>
      <w:r w:rsidRPr="00A13CAB">
        <w:rPr>
          <w:rFonts w:ascii="Arial Narrow" w:hAnsi="Arial Narrow"/>
        </w:rPr>
        <w:t>(1965 c) 533-534.</w:t>
      </w:r>
      <w:r w:rsidR="0041262E" w:rsidRPr="00A13CAB">
        <w:rPr>
          <w:rFonts w:ascii="Arial Narrow" w:hAnsi="Arial Narrow"/>
        </w:rPr>
        <w:t xml:space="preserve"> </w:t>
      </w:r>
      <w:r w:rsidR="001113C1">
        <w:rPr>
          <w:rFonts w:ascii="Arial Narrow" w:hAnsi="Arial Narrow"/>
        </w:rPr>
        <w:t>Ver também S. G. Payne (2003</w:t>
      </w:r>
      <w:r w:rsidR="005E0053">
        <w:rPr>
          <w:rFonts w:ascii="Arial Narrow" w:hAnsi="Arial Narrow"/>
        </w:rPr>
        <w:t xml:space="preserve"> a</w:t>
      </w:r>
      <w:r w:rsidR="001113C1">
        <w:rPr>
          <w:rFonts w:ascii="Arial Narrow" w:hAnsi="Arial Narrow"/>
        </w:rPr>
        <w:t>) 142</w:t>
      </w:r>
      <w:r w:rsidR="009622C3">
        <w:rPr>
          <w:rFonts w:ascii="Arial Narrow" w:hAnsi="Arial Narrow"/>
        </w:rPr>
        <w:t xml:space="preserve"> e id. (2003 b) 280</w:t>
      </w:r>
      <w:r w:rsidR="00F45C26">
        <w:rPr>
          <w:rFonts w:ascii="Arial Narrow" w:hAnsi="Arial Narrow"/>
        </w:rPr>
        <w:t>-281</w:t>
      </w:r>
      <w:r w:rsidR="001113C1">
        <w:rPr>
          <w:rFonts w:ascii="Arial Narrow" w:hAnsi="Arial Narrow"/>
        </w:rPr>
        <w:t xml:space="preserve">. </w:t>
      </w:r>
      <w:r w:rsidR="00F96196" w:rsidRPr="00F96196">
        <w:rPr>
          <w:rFonts w:ascii="Arial Narrow" w:hAnsi="Arial Narrow"/>
        </w:rPr>
        <w:t xml:space="preserve">Todavia, </w:t>
      </w:r>
      <w:r w:rsidR="00F96196" w:rsidRPr="0041262E">
        <w:rPr>
          <w:rFonts w:ascii="Arial Narrow" w:hAnsi="Arial Narrow"/>
        </w:rPr>
        <w:t xml:space="preserve">um </w:t>
      </w:r>
      <w:r w:rsidR="0041262E" w:rsidRPr="0041262E">
        <w:rPr>
          <w:rFonts w:ascii="Arial Narrow" w:hAnsi="Arial Narrow"/>
        </w:rPr>
        <w:t>simpatizante e defensor da Legião</w:t>
      </w:r>
      <w:r w:rsidR="00A3714A">
        <w:rPr>
          <w:rFonts w:ascii="Arial Narrow" w:hAnsi="Arial Narrow"/>
        </w:rPr>
        <w:t>,</w:t>
      </w:r>
      <w:r w:rsidR="0041262E" w:rsidRPr="0041262E">
        <w:rPr>
          <w:rFonts w:ascii="Arial Narrow" w:hAnsi="Arial Narrow"/>
        </w:rPr>
        <w:t xml:space="preserve"> </w:t>
      </w:r>
      <w:r w:rsidR="00A3714A" w:rsidRPr="00A3714A">
        <w:rPr>
          <w:rFonts w:ascii="Arial Narrow" w:hAnsi="Arial Narrow"/>
          <w:bCs/>
        </w:rPr>
        <w:t>Ch. Thorpe [s. d. 3] 8</w:t>
      </w:r>
      <w:r w:rsidR="00A3714A">
        <w:rPr>
          <w:rFonts w:ascii="Arial Narrow" w:hAnsi="Arial Narrow"/>
          <w:bCs/>
        </w:rPr>
        <w:t xml:space="preserve">, </w:t>
      </w:r>
      <w:r w:rsidR="0041262E" w:rsidRPr="0041262E">
        <w:rPr>
          <w:rFonts w:ascii="Arial Narrow" w:hAnsi="Arial Narrow"/>
        </w:rPr>
        <w:t>argumentou que «as afirmações de que Codreanu ensin</w:t>
      </w:r>
      <w:r w:rsidR="00BD21F8">
        <w:rPr>
          <w:rFonts w:ascii="Arial Narrow" w:hAnsi="Arial Narrow"/>
        </w:rPr>
        <w:t>ara</w:t>
      </w:r>
      <w:r w:rsidR="0041262E" w:rsidRPr="0041262E">
        <w:rPr>
          <w:rFonts w:ascii="Arial Narrow" w:hAnsi="Arial Narrow"/>
        </w:rPr>
        <w:t xml:space="preserve"> que é um dever pecar activamente </w:t>
      </w:r>
      <w:r w:rsidR="00BD21F8">
        <w:rPr>
          <w:rFonts w:ascii="Arial Narrow" w:hAnsi="Arial Narrow"/>
        </w:rPr>
        <w:t>(portanto, “aceitando a condenação</w:t>
      </w:r>
      <w:r w:rsidR="00897BED">
        <w:rPr>
          <w:rFonts w:ascii="Arial Narrow" w:hAnsi="Arial Narrow"/>
        </w:rPr>
        <w:t xml:space="preserve"> ao Inferno</w:t>
      </w:r>
      <w:r w:rsidR="00BD21F8">
        <w:rPr>
          <w:rFonts w:ascii="Arial Narrow" w:hAnsi="Arial Narrow"/>
        </w:rPr>
        <w:t xml:space="preserve">”) </w:t>
      </w:r>
      <w:r w:rsidR="0041262E" w:rsidRPr="0041262E">
        <w:rPr>
          <w:rFonts w:ascii="Arial Narrow" w:hAnsi="Arial Narrow"/>
        </w:rPr>
        <w:t xml:space="preserve">ao serviço da nação são também bastante </w:t>
      </w:r>
      <w:r w:rsidR="00C0349C">
        <w:rPr>
          <w:rFonts w:ascii="Arial Narrow" w:hAnsi="Arial Narrow"/>
        </w:rPr>
        <w:t xml:space="preserve">risíveis </w:t>
      </w:r>
      <w:r w:rsidR="0041262E" w:rsidRPr="0041262E">
        <w:rPr>
          <w:rFonts w:ascii="Arial Narrow" w:hAnsi="Arial Narrow"/>
        </w:rPr>
        <w:t>à luz dos ensinamentos e atitudes dos legion</w:t>
      </w:r>
      <w:r w:rsidR="0041262E">
        <w:rPr>
          <w:rFonts w:ascii="Arial Narrow" w:hAnsi="Arial Narrow"/>
        </w:rPr>
        <w:t>ários».</w:t>
      </w:r>
    </w:p>
  </w:footnote>
  <w:footnote w:id="147">
    <w:p w:rsidR="00837D5C" w:rsidRPr="00B3452D" w:rsidRDefault="00837D5C" w:rsidP="00837D5C">
      <w:pPr>
        <w:pStyle w:val="Textodenotaderodap"/>
        <w:rPr>
          <w:rFonts w:ascii="Arial Narrow" w:hAnsi="Arial Narrow"/>
        </w:rPr>
      </w:pPr>
      <w:r w:rsidRPr="00341472">
        <w:rPr>
          <w:rStyle w:val="Refdenotaderodap"/>
          <w:rFonts w:ascii="Arial Narrow" w:hAnsi="Arial Narrow"/>
        </w:rPr>
        <w:footnoteRef/>
      </w:r>
      <w:r w:rsidRPr="00B3452D">
        <w:rPr>
          <w:rFonts w:ascii="Arial Narrow" w:hAnsi="Arial Narrow"/>
        </w:rPr>
        <w:t xml:space="preserve"> H. Thomas (1965) 348-349.</w:t>
      </w:r>
      <w:r w:rsidR="00346642">
        <w:rPr>
          <w:rFonts w:ascii="Arial Narrow" w:hAnsi="Arial Narrow"/>
        </w:rPr>
        <w:t xml:space="preserve"> Na Rússia de hoje também os seguidores de Eduard Limonov, chefe do fascismo radical, usam a saudação </w:t>
      </w:r>
      <w:r w:rsidR="00346642" w:rsidRPr="00346642">
        <w:rPr>
          <w:rFonts w:ascii="Arial Narrow" w:hAnsi="Arial Narrow"/>
          <w:i/>
        </w:rPr>
        <w:t>«Da, smert’!»,</w:t>
      </w:r>
      <w:r w:rsidR="00346642">
        <w:rPr>
          <w:rFonts w:ascii="Arial Narrow" w:hAnsi="Arial Narrow"/>
        </w:rPr>
        <w:t xml:space="preserve"> </w:t>
      </w:r>
      <w:r w:rsidR="00346642" w:rsidRPr="00346642">
        <w:rPr>
          <w:rFonts w:ascii="Arial Narrow" w:hAnsi="Arial Narrow"/>
          <w:i/>
        </w:rPr>
        <w:t>Sim, morte!</w:t>
      </w:r>
      <w:r w:rsidR="00346642">
        <w:rPr>
          <w:rFonts w:ascii="Arial Narrow" w:hAnsi="Arial Narrow"/>
        </w:rPr>
        <w:t xml:space="preserve"> Ver </w:t>
      </w:r>
      <w:r w:rsidR="00346642" w:rsidRPr="00716121">
        <w:rPr>
          <w:rFonts w:ascii="Arial Narrow" w:hAnsi="Arial Narrow"/>
        </w:rPr>
        <w:t xml:space="preserve">S. D. Shenfield (2001) </w:t>
      </w:r>
      <w:r w:rsidR="008B6305" w:rsidRPr="00716121">
        <w:rPr>
          <w:rFonts w:ascii="Arial Narrow" w:hAnsi="Arial Narrow"/>
        </w:rPr>
        <w:t xml:space="preserve">205 e </w:t>
      </w:r>
      <w:r w:rsidR="00346642" w:rsidRPr="00716121">
        <w:rPr>
          <w:rFonts w:ascii="Arial Narrow" w:hAnsi="Arial Narrow"/>
        </w:rPr>
        <w:t>211.</w:t>
      </w:r>
    </w:p>
  </w:footnote>
  <w:footnote w:id="148">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H. P. Monteiro [s. d.] 17.</w:t>
      </w:r>
    </w:p>
  </w:footnote>
  <w:footnote w:id="149">
    <w:p w:rsidR="00837D5C" w:rsidRPr="00341472"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Para a descrição do incidente de 12 de Outubro de 1936 na Universidade de Salamanca, incluindo as citações, sigo H. Thomas (1965) 442-444.</w:t>
      </w:r>
      <w:r w:rsidR="00093A7A">
        <w:rPr>
          <w:rFonts w:ascii="Arial Narrow" w:hAnsi="Arial Narrow"/>
        </w:rPr>
        <w:t xml:space="preserve"> Ver também </w:t>
      </w:r>
      <w:r w:rsidR="00093A7A" w:rsidRPr="00093A7A">
        <w:rPr>
          <w:rFonts w:ascii="Arial Narrow" w:hAnsi="Arial Narrow"/>
        </w:rPr>
        <w:t>G. Jackson (1967)</w:t>
      </w:r>
      <w:r w:rsidR="00093A7A">
        <w:rPr>
          <w:rFonts w:ascii="Arial Narrow" w:hAnsi="Arial Narrow"/>
        </w:rPr>
        <w:t xml:space="preserve"> 300</w:t>
      </w:r>
      <w:r w:rsidR="00094E2C">
        <w:rPr>
          <w:rFonts w:ascii="Arial Narrow" w:hAnsi="Arial Narrow"/>
        </w:rPr>
        <w:t>-301.</w:t>
      </w:r>
    </w:p>
  </w:footnote>
  <w:footnote w:id="15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J. M. Valverde (1957) 201-211.</w:t>
      </w:r>
    </w:p>
  </w:footnote>
  <w:footnote w:id="15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M. Unamuno (1966) 131, 134; id. (1996) 144, 149. Em todas as citações desta obra recorro ao original para corrigir a tradução brasileira</w:t>
      </w:r>
      <w:r w:rsidR="007B0484">
        <w:rPr>
          <w:rFonts w:ascii="Arial Narrow" w:hAnsi="Arial Narrow"/>
        </w:rPr>
        <w:t>,</w:t>
      </w:r>
      <w:r w:rsidRPr="00341472">
        <w:rPr>
          <w:rFonts w:ascii="Arial Narrow" w:hAnsi="Arial Narrow"/>
        </w:rPr>
        <w:t xml:space="preserve"> </w:t>
      </w:r>
      <w:r w:rsidR="007B0484">
        <w:rPr>
          <w:rFonts w:ascii="Arial Narrow" w:hAnsi="Arial Narrow"/>
        </w:rPr>
        <w:t xml:space="preserve">assim como </w:t>
      </w:r>
      <w:r w:rsidR="00556F78">
        <w:rPr>
          <w:rFonts w:ascii="Arial Narrow" w:hAnsi="Arial Narrow"/>
        </w:rPr>
        <w:t>a</w:t>
      </w:r>
      <w:r w:rsidR="007B0484">
        <w:rPr>
          <w:rFonts w:ascii="Arial Narrow" w:hAnsi="Arial Narrow"/>
        </w:rPr>
        <w:t xml:space="preserve"> adapto </w:t>
      </w:r>
      <w:r w:rsidRPr="00341472">
        <w:rPr>
          <w:rFonts w:ascii="Arial Narrow" w:hAnsi="Arial Narrow"/>
        </w:rPr>
        <w:t>ao português usado em Portugal.</w:t>
      </w:r>
    </w:p>
  </w:footnote>
  <w:footnote w:id="15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A. Llorente Hernández (1995) 194, 216-218. Este autor observ</w:t>
      </w:r>
      <w:r>
        <w:rPr>
          <w:rFonts w:ascii="Arial Narrow" w:hAnsi="Arial Narrow"/>
        </w:rPr>
        <w:t>ou</w:t>
      </w:r>
      <w:r w:rsidRPr="00341472">
        <w:rPr>
          <w:rFonts w:ascii="Arial Narrow" w:hAnsi="Arial Narrow"/>
        </w:rPr>
        <w:t>, no entanto (pág. 218), que em Espanha «a estética das ruínas [...] esteve mais na intenção do que nas realizações».</w:t>
      </w:r>
    </w:p>
  </w:footnote>
  <w:footnote w:id="15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Declarações de Francisco Sert, sobrinho do pintor, citadas em id., ibid., 189.</w:t>
      </w:r>
    </w:p>
  </w:footnote>
  <w:footnote w:id="154">
    <w:p w:rsidR="00314F34" w:rsidRPr="00341472" w:rsidRDefault="00314F34" w:rsidP="00314F34">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rPr>
        <w:t xml:space="preserve"> Hanns Johst, o autor da peça, havia passado do expressionismo ao </w:t>
      </w:r>
      <w:r>
        <w:rPr>
          <w:rFonts w:ascii="Arial Narrow" w:hAnsi="Arial Narrow"/>
        </w:rPr>
        <w:t>nacional-socialismo</w:t>
      </w:r>
      <w:r w:rsidRPr="00341472">
        <w:rPr>
          <w:rFonts w:ascii="Arial Narrow" w:hAnsi="Arial Narrow"/>
        </w:rPr>
        <w:t xml:space="preserve"> tomando o caminho mais curto, o do misticismo. Ver J.-M. Palmier (1976 a) I 352, 380 e 400.</w:t>
      </w:r>
      <w:r>
        <w:rPr>
          <w:rFonts w:ascii="Arial Narrow" w:hAnsi="Arial Narrow"/>
        </w:rPr>
        <w:t xml:space="preserve"> Mais exactamente, o original diz «engatilho a minha Browning». No entanto, o sentido da frase não se torna claro numa tradução, dadas as implicações da palavra </w:t>
      </w:r>
      <w:r w:rsidRPr="00700A7B">
        <w:rPr>
          <w:rFonts w:ascii="Arial Narrow" w:hAnsi="Arial Narrow"/>
          <w:i/>
        </w:rPr>
        <w:t>cultura</w:t>
      </w:r>
      <w:r>
        <w:rPr>
          <w:rFonts w:ascii="Arial Narrow" w:hAnsi="Arial Narrow"/>
        </w:rPr>
        <w:t xml:space="preserve"> na área ideológica germânica; vejo o personagem mais facilmente a dizer que engatilhava a Browning contra a </w:t>
      </w:r>
      <w:r w:rsidRPr="00AA7694">
        <w:rPr>
          <w:rFonts w:ascii="Arial Narrow" w:hAnsi="Arial Narrow"/>
          <w:i/>
        </w:rPr>
        <w:t>civilização</w:t>
      </w:r>
      <w:r>
        <w:rPr>
          <w:rFonts w:ascii="Arial Narrow" w:hAnsi="Arial Narrow"/>
        </w:rPr>
        <w:t xml:space="preserve"> ou a </w:t>
      </w:r>
      <w:r w:rsidRPr="00AA7694">
        <w:rPr>
          <w:rFonts w:ascii="Arial Narrow" w:hAnsi="Arial Narrow"/>
          <w:i/>
        </w:rPr>
        <w:t>política</w:t>
      </w:r>
      <w:r>
        <w:rPr>
          <w:rFonts w:ascii="Arial Narrow" w:hAnsi="Arial Narrow"/>
        </w:rPr>
        <w:t xml:space="preserve"> do que contra a </w:t>
      </w:r>
      <w:r w:rsidRPr="00AA7694">
        <w:rPr>
          <w:rFonts w:ascii="Arial Narrow" w:hAnsi="Arial Narrow"/>
          <w:i/>
        </w:rPr>
        <w:t>cultura</w:t>
      </w:r>
      <w:r>
        <w:rPr>
          <w:rFonts w:ascii="Arial Narrow" w:hAnsi="Arial Narrow"/>
          <w:i/>
        </w:rPr>
        <w:t>,</w:t>
      </w:r>
      <w:r>
        <w:rPr>
          <w:rFonts w:ascii="Arial Narrow" w:hAnsi="Arial Narrow"/>
        </w:rPr>
        <w:t xml:space="preserve"> tanto mais que ele estava a vociferar contra os princípios herdados da revolução francesa. A este respeito ler, por exemplo, </w:t>
      </w:r>
      <w:r w:rsidRPr="007C045E">
        <w:rPr>
          <w:rFonts w:ascii="Arial Narrow" w:hAnsi="Arial Narrow"/>
        </w:rPr>
        <w:t xml:space="preserve">W. Lepenies (2006) </w:t>
      </w:r>
      <w:r w:rsidRPr="007C045E">
        <w:rPr>
          <w:rFonts w:ascii="Arial Narrow" w:hAnsi="Arial Narrow"/>
          <w:i/>
        </w:rPr>
        <w:t>passim</w:t>
      </w:r>
      <w:r w:rsidRPr="007C045E">
        <w:rPr>
          <w:rFonts w:ascii="Arial Narrow" w:hAnsi="Arial Narrow"/>
        </w:rPr>
        <w:t xml:space="preserve">. E Wolf Lepenies indicou (pág. 41) que durante a primeira guerra mundial Rathenau — que era o oposto do personagem de Johst — dissera que a palavra </w:t>
      </w:r>
      <w:r w:rsidRPr="007C045E">
        <w:rPr>
          <w:rFonts w:ascii="Arial Narrow" w:hAnsi="Arial Narrow"/>
          <w:i/>
        </w:rPr>
        <w:t>cultura</w:t>
      </w:r>
      <w:r w:rsidRPr="007C045E">
        <w:rPr>
          <w:rFonts w:ascii="Arial Narrow" w:hAnsi="Arial Narrow"/>
        </w:rPr>
        <w:t xml:space="preserve"> devia ser banida do vocabulário alemão.</w:t>
      </w:r>
    </w:p>
  </w:footnote>
  <w:footnote w:id="155">
    <w:p w:rsidR="00F12341" w:rsidRPr="00F12341" w:rsidRDefault="00F12341" w:rsidP="00F12341">
      <w:pPr>
        <w:pStyle w:val="Textodenotaderodap"/>
        <w:ind w:firstLine="708"/>
        <w:rPr>
          <w:rFonts w:ascii="Arial Narrow" w:hAnsi="Arial Narrow"/>
          <w:lang w:val="en-US"/>
        </w:rPr>
      </w:pPr>
      <w:r w:rsidRPr="00341472">
        <w:rPr>
          <w:rStyle w:val="Refdenotaderodap"/>
          <w:rFonts w:ascii="Arial Narrow" w:hAnsi="Arial Narrow"/>
        </w:rPr>
        <w:footnoteRef/>
      </w:r>
      <w:r w:rsidRPr="00341472">
        <w:rPr>
          <w:rFonts w:ascii="Arial Narrow" w:hAnsi="Arial Narrow"/>
          <w:lang w:val="en-GB"/>
        </w:rPr>
        <w:t xml:space="preserve"> </w:t>
      </w:r>
      <w:r w:rsidRPr="00221AF6">
        <w:rPr>
          <w:rFonts w:ascii="Arial Narrow" w:hAnsi="Arial Narrow"/>
          <w:lang w:val="en-US"/>
        </w:rPr>
        <w:t>M. Unamuno</w:t>
      </w:r>
      <w:r w:rsidRPr="00341472">
        <w:rPr>
          <w:rFonts w:ascii="Arial Narrow" w:hAnsi="Arial Narrow"/>
          <w:lang w:val="en-GB"/>
        </w:rPr>
        <w:t xml:space="preserve"> (1966) 97, 99; id. </w:t>
      </w:r>
      <w:r w:rsidRPr="00F12341">
        <w:rPr>
          <w:rFonts w:ascii="Arial Narrow" w:hAnsi="Arial Narrow"/>
          <w:lang w:val="en-US"/>
        </w:rPr>
        <w:t>(1996) 106, 108.</w:t>
      </w:r>
    </w:p>
  </w:footnote>
  <w:footnote w:id="156">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221AF6">
        <w:rPr>
          <w:rFonts w:ascii="Arial Narrow" w:hAnsi="Arial Narrow"/>
          <w:lang w:val="en-US"/>
        </w:rPr>
        <w:t xml:space="preserve"> </w:t>
      </w:r>
      <w:r w:rsidR="00F12341">
        <w:rPr>
          <w:rFonts w:ascii="Arial Narrow" w:hAnsi="Arial Narrow"/>
          <w:lang w:val="en-US"/>
        </w:rPr>
        <w:t xml:space="preserve">Id. </w:t>
      </w:r>
      <w:r w:rsidRPr="00221AF6">
        <w:rPr>
          <w:rFonts w:ascii="Arial Narrow" w:hAnsi="Arial Narrow"/>
          <w:lang w:val="en-US"/>
        </w:rPr>
        <w:t xml:space="preserve">(1966) 81; id. </w:t>
      </w:r>
      <w:r w:rsidRPr="00341472">
        <w:rPr>
          <w:rFonts w:ascii="Arial Narrow" w:hAnsi="Arial Narrow"/>
          <w:lang w:val="en-GB"/>
        </w:rPr>
        <w:t>(1996) 87-88.</w:t>
      </w:r>
    </w:p>
  </w:footnote>
  <w:footnote w:id="157">
    <w:p w:rsidR="00837D5C" w:rsidRPr="00221AF6"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221AF6">
        <w:rPr>
          <w:rFonts w:ascii="Arial Narrow" w:hAnsi="Arial Narrow"/>
        </w:rPr>
        <w:t xml:space="preserve"> Id. (1966) 7; id. (1996) 1.</w:t>
      </w:r>
    </w:p>
  </w:footnote>
  <w:footnote w:id="15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221AF6">
        <w:rPr>
          <w:rFonts w:ascii="Arial Narrow" w:hAnsi="Arial Narrow"/>
        </w:rPr>
        <w:t xml:space="preserve"> Id. (1966) 192; id. </w:t>
      </w:r>
      <w:r w:rsidRPr="00341472">
        <w:rPr>
          <w:rFonts w:ascii="Arial Narrow" w:hAnsi="Arial Narrow"/>
        </w:rPr>
        <w:t>(1996) 215. «O que, a rigor, ansiamos para depois da morte é continuar a viver esta vida, esta mesma vida mortal, mas sem os seus males, sem o tédio e sem a morte», escreveu Unamuno em (1966) 197 e (1996) 221. E voltou ao tema</w:t>
      </w:r>
      <w:r w:rsidR="00281F59">
        <w:rPr>
          <w:rFonts w:ascii="Arial Narrow" w:hAnsi="Arial Narrow"/>
        </w:rPr>
        <w:t xml:space="preserve"> (</w:t>
      </w:r>
      <w:r w:rsidR="00281F59" w:rsidRPr="00341472">
        <w:rPr>
          <w:rFonts w:ascii="Arial Narrow" w:hAnsi="Arial Narrow"/>
        </w:rPr>
        <w:t>pág. 239 ou pág. 274</w:t>
      </w:r>
      <w:r w:rsidR="00281F59">
        <w:rPr>
          <w:rFonts w:ascii="Arial Narrow" w:hAnsi="Arial Narrow"/>
        </w:rPr>
        <w:t>):</w:t>
      </w:r>
      <w:r w:rsidRPr="00341472">
        <w:rPr>
          <w:rFonts w:ascii="Arial Narrow" w:hAnsi="Arial Narrow"/>
        </w:rPr>
        <w:t xml:space="preserve"> «Se a outra vida é algo, há-de ser a continuação desta, e somente como a sua continuação mais ou menos depurada a imagina o nosso anseio».</w:t>
      </w:r>
    </w:p>
  </w:footnote>
  <w:footnote w:id="15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37; id. (1996) 36.</w:t>
      </w:r>
    </w:p>
  </w:footnote>
  <w:footnote w:id="16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36; id. (1996) 35. E escreveu</w:t>
      </w:r>
      <w:r w:rsidR="002E364A">
        <w:rPr>
          <w:rFonts w:ascii="Arial Narrow" w:hAnsi="Arial Narrow"/>
        </w:rPr>
        <w:t xml:space="preserve"> (</w:t>
      </w:r>
      <w:r w:rsidR="002E364A" w:rsidRPr="00341472">
        <w:rPr>
          <w:rFonts w:ascii="Arial Narrow" w:hAnsi="Arial Narrow"/>
        </w:rPr>
        <w:t>pág. 258 ou pág. 297</w:t>
      </w:r>
      <w:r w:rsidR="002E364A">
        <w:rPr>
          <w:rFonts w:ascii="Arial Narrow" w:hAnsi="Arial Narrow"/>
        </w:rPr>
        <w:t>)</w:t>
      </w:r>
      <w:r w:rsidRPr="00341472">
        <w:rPr>
          <w:rFonts w:ascii="Arial Narrow" w:hAnsi="Arial Narrow"/>
        </w:rPr>
        <w:t xml:space="preserve">: «A verdade concreta e real, não metódica e ideal, é: </w:t>
      </w:r>
      <w:r w:rsidRPr="00341472">
        <w:rPr>
          <w:rFonts w:ascii="Arial Narrow" w:hAnsi="Arial Narrow"/>
          <w:i/>
        </w:rPr>
        <w:t>Homo sum, ergo cogito</w:t>
      </w:r>
      <w:r w:rsidRPr="00341472">
        <w:rPr>
          <w:rFonts w:ascii="Arial Narrow" w:hAnsi="Arial Narrow"/>
        </w:rPr>
        <w:t>. Sentir-se homem é mais imediato do que pensar».</w:t>
      </w:r>
    </w:p>
  </w:footnote>
  <w:footnote w:id="16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262; id. (1996) 301.</w:t>
      </w:r>
    </w:p>
  </w:footnote>
  <w:footnote w:id="16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33; id. (1996) 31.</w:t>
      </w:r>
    </w:p>
  </w:footnote>
  <w:footnote w:id="16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35; id. (1996) 33. Na tradução brasileira </w:t>
      </w:r>
      <w:r w:rsidR="00152054">
        <w:rPr>
          <w:rFonts w:ascii="Arial Narrow" w:hAnsi="Arial Narrow"/>
        </w:rPr>
        <w:t xml:space="preserve">surge </w:t>
      </w:r>
      <w:r w:rsidRPr="00341472">
        <w:rPr>
          <w:rFonts w:ascii="Arial Narrow" w:hAnsi="Arial Narrow"/>
        </w:rPr>
        <w:t>um «não» numa frase que no original se apresenta afirmativa.</w:t>
      </w:r>
    </w:p>
  </w:footnote>
  <w:footnote w:id="164">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82; id. (1996) 88.</w:t>
      </w:r>
    </w:p>
  </w:footnote>
  <w:footnote w:id="165">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61; id. (1996) 64.</w:t>
      </w:r>
    </w:p>
  </w:footnote>
  <w:footnote w:id="166">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37; id. </w:t>
      </w:r>
      <w:r w:rsidRPr="00341472">
        <w:rPr>
          <w:rFonts w:ascii="Arial Narrow" w:hAnsi="Arial Narrow"/>
        </w:rPr>
        <w:t>(1996) 35.</w:t>
      </w:r>
    </w:p>
  </w:footnote>
  <w:footnote w:id="167">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154; id. (1996) 171-172 (sub. orig.). Na versão brasileira surge «instituições» no lugar de «intuições».</w:t>
      </w:r>
    </w:p>
  </w:footnote>
  <w:footnote w:id="16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Ver sobretudo o sexto capítulo desta obra.</w:t>
      </w:r>
    </w:p>
  </w:footnote>
  <w:footnote w:id="169">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99; id. (1996) 108.</w:t>
      </w:r>
    </w:p>
  </w:footnote>
  <w:footnote w:id="170">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219; id. (1996) 249-250.</w:t>
      </w:r>
    </w:p>
  </w:footnote>
  <w:footnote w:id="171">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95; id. (1996) 103.</w:t>
      </w:r>
    </w:p>
  </w:footnote>
  <w:footnote w:id="172">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95-96; id. (1996) 104.</w:t>
      </w:r>
    </w:p>
  </w:footnote>
  <w:footnote w:id="173">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96, 97; id. (1996) 104, 105.</w:t>
      </w:r>
    </w:p>
  </w:footnote>
  <w:footnote w:id="174">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104 e segs.; id. (1996) 114 e segs.</w:t>
      </w:r>
    </w:p>
  </w:footnote>
  <w:footnote w:id="175">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108-109; id. (1996) 119.</w:t>
      </w:r>
    </w:p>
  </w:footnote>
  <w:footnote w:id="176">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99; id. (1996) 108 (sub. orig.).</w:t>
      </w:r>
    </w:p>
  </w:footnote>
  <w:footnote w:id="177">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111; id. (1996) 122.</w:t>
      </w:r>
    </w:p>
  </w:footnote>
  <w:footnote w:id="178">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82; id. (1996) 88-89.</w:t>
      </w:r>
    </w:p>
  </w:footnote>
  <w:footnote w:id="179">
    <w:p w:rsidR="00837D5C" w:rsidRPr="00837D5C"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110; id. </w:t>
      </w:r>
      <w:r w:rsidRPr="00837D5C">
        <w:rPr>
          <w:rFonts w:ascii="Arial Narrow" w:hAnsi="Arial Narrow"/>
        </w:rPr>
        <w:t>(1996) 121.</w:t>
      </w:r>
    </w:p>
  </w:footnote>
  <w:footnote w:id="18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rPr>
        <w:t xml:space="preserve"> Id. (1966) 178; id. </w:t>
      </w:r>
      <w:r w:rsidRPr="00341472">
        <w:rPr>
          <w:rFonts w:ascii="Arial Narrow" w:hAnsi="Arial Narrow"/>
        </w:rPr>
        <w:t>(1996) 200. A versão brasileira apresenta «ilógicos» em vez de «alógicos».</w:t>
      </w:r>
    </w:p>
  </w:footnote>
  <w:footnote w:id="181">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126-127; id. (1996) 139.</w:t>
      </w:r>
    </w:p>
  </w:footnote>
  <w:footnote w:id="182">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257; id. (1996) 295. G. Lukács (1980) </w:t>
      </w:r>
      <w:r w:rsidRPr="00341472">
        <w:rPr>
          <w:rFonts w:ascii="Arial Narrow" w:hAnsi="Arial Narrow"/>
          <w:i/>
        </w:rPr>
        <w:t>passim</w:t>
      </w:r>
      <w:r w:rsidRPr="00341472">
        <w:rPr>
          <w:rFonts w:ascii="Arial Narrow" w:hAnsi="Arial Narrow"/>
        </w:rPr>
        <w:t xml:space="preserve"> mostrou que todo o pensamento irracionalista procede por analogias.</w:t>
      </w:r>
    </w:p>
  </w:footnote>
  <w:footnote w:id="183">
    <w:p w:rsidR="00837D5C" w:rsidRPr="00837D5C"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837D5C">
        <w:rPr>
          <w:rFonts w:ascii="Arial Narrow" w:hAnsi="Arial Narrow"/>
          <w:lang w:val="en-US"/>
        </w:rPr>
        <w:t xml:space="preserve"> M. Unamuno (1966) 178; id. (1996) 199.</w:t>
      </w:r>
    </w:p>
  </w:footnote>
  <w:footnote w:id="184">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lang w:val="en-US"/>
        </w:rPr>
        <w:t xml:space="preserve"> Id. (1966) 134; id. </w:t>
      </w:r>
      <w:r w:rsidRPr="00341472">
        <w:rPr>
          <w:rFonts w:ascii="Arial Narrow" w:hAnsi="Arial Narrow"/>
        </w:rPr>
        <w:t xml:space="preserve">(1996) 149. Ver </w:t>
      </w:r>
      <w:r w:rsidR="00920FF2">
        <w:rPr>
          <w:rFonts w:ascii="Arial Narrow" w:hAnsi="Arial Narrow"/>
        </w:rPr>
        <w:t>ainda</w:t>
      </w:r>
      <w:r w:rsidRPr="00341472">
        <w:rPr>
          <w:rFonts w:ascii="Arial Narrow" w:hAnsi="Arial Narrow"/>
        </w:rPr>
        <w:t xml:space="preserve"> as págs. 133, 146-147, 159 ou as págs. 147, 162-163, 178.</w:t>
      </w:r>
    </w:p>
  </w:footnote>
  <w:footnote w:id="185">
    <w:p w:rsidR="00837D5C" w:rsidRPr="00837D5C"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130; id. </w:t>
      </w:r>
      <w:r w:rsidRPr="00837D5C">
        <w:rPr>
          <w:rFonts w:ascii="Arial Narrow" w:hAnsi="Arial Narrow"/>
        </w:rPr>
        <w:t>(1996) 143.</w:t>
      </w:r>
    </w:p>
  </w:footnote>
  <w:footnote w:id="186">
    <w:p w:rsidR="00837D5C" w:rsidRPr="00837D5C"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rPr>
        <w:t xml:space="preserve"> Id. (1966) 140, 143, 144-145; id. (1996) 155, 157-158, 160-161.</w:t>
      </w:r>
    </w:p>
  </w:footnote>
  <w:footnote w:id="187">
    <w:p w:rsidR="00837D5C" w:rsidRPr="00837D5C"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rPr>
        <w:t xml:space="preserve"> Id. (1966) 159, 175, 221-222; id. (1996) 178, 195, 252.</w:t>
      </w:r>
    </w:p>
  </w:footnote>
  <w:footnote w:id="188">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rPr>
        <w:t xml:space="preserve"> Id. (1966) 214; id. </w:t>
      </w:r>
      <w:r w:rsidRPr="00341472">
        <w:rPr>
          <w:rFonts w:ascii="Arial Narrow" w:hAnsi="Arial Narrow"/>
        </w:rPr>
        <w:t>(1996) 242.</w:t>
      </w:r>
    </w:p>
  </w:footnote>
  <w:footnote w:id="189">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Unamuno referiu em (1966) 95 e (1996) 103 o «desespero sentimental e volitivo» e observou </w:t>
      </w:r>
      <w:r w:rsidR="00EC2D91">
        <w:rPr>
          <w:rFonts w:ascii="Arial Narrow" w:hAnsi="Arial Narrow"/>
        </w:rPr>
        <w:t>(</w:t>
      </w:r>
      <w:r w:rsidR="00EC2D91" w:rsidRPr="00341472">
        <w:rPr>
          <w:rFonts w:ascii="Arial Narrow" w:hAnsi="Arial Narrow"/>
        </w:rPr>
        <w:t>págs. 114 ou 126</w:t>
      </w:r>
      <w:r w:rsidR="00EC2D91">
        <w:rPr>
          <w:rFonts w:ascii="Arial Narrow" w:hAnsi="Arial Narrow"/>
        </w:rPr>
        <w:t xml:space="preserve">) </w:t>
      </w:r>
      <w:r w:rsidRPr="00341472">
        <w:rPr>
          <w:rFonts w:ascii="Arial Narrow" w:hAnsi="Arial Narrow"/>
        </w:rPr>
        <w:t>que «muitos dos grandes heróis, talvez os maiores, foram desesperados, e [...], por desespero, realizaram as suas façanhas».</w:t>
      </w:r>
    </w:p>
  </w:footnote>
  <w:footnote w:id="190">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A. Malraux (1983) 462.</w:t>
      </w:r>
    </w:p>
  </w:footnote>
  <w:footnote w:id="191">
    <w:p w:rsidR="00837D5C" w:rsidRPr="00AF5DFB" w:rsidRDefault="00837D5C" w:rsidP="00837D5C">
      <w:pPr>
        <w:pStyle w:val="Textodenotaderodap"/>
        <w:rPr>
          <w:rFonts w:ascii="Arial Narrow" w:hAnsi="Arial Narrow"/>
        </w:rPr>
      </w:pPr>
      <w:r w:rsidRPr="00341472">
        <w:rPr>
          <w:rStyle w:val="Refdenotaderodap"/>
          <w:rFonts w:ascii="Arial Narrow" w:hAnsi="Arial Narrow"/>
        </w:rPr>
        <w:footnoteRef/>
      </w:r>
      <w:r w:rsidRPr="00341472">
        <w:rPr>
          <w:rFonts w:ascii="Arial Narrow" w:hAnsi="Arial Narrow"/>
          <w:lang w:val="en-GB"/>
        </w:rPr>
        <w:t xml:space="preserve"> M. García Venero (1967) 64; S. G. Payne (1961) 50; H. R. Southworth (1967) 65, 173.</w:t>
      </w:r>
      <w:r w:rsidR="00DF7383">
        <w:rPr>
          <w:rFonts w:ascii="Arial Narrow" w:hAnsi="Arial Narrow"/>
          <w:lang w:val="en-GB"/>
        </w:rPr>
        <w:t xml:space="preserve"> </w:t>
      </w:r>
      <w:r w:rsidR="00DF7383" w:rsidRPr="00AF5DFB">
        <w:rPr>
          <w:rFonts w:ascii="Arial Narrow" w:hAnsi="Arial Narrow"/>
        </w:rPr>
        <w:t xml:space="preserve">Já por ocasião das eleições de Novembro de 1933, segundo </w:t>
      </w:r>
      <w:r w:rsidR="00DF7383" w:rsidRPr="00DF7383">
        <w:rPr>
          <w:rFonts w:ascii="Arial Narrow" w:hAnsi="Arial Narrow"/>
        </w:rPr>
        <w:t>G. Jackson (1967)</w:t>
      </w:r>
      <w:r w:rsidR="00DF7383">
        <w:rPr>
          <w:rFonts w:ascii="Arial Narrow" w:hAnsi="Arial Narrow"/>
        </w:rPr>
        <w:t xml:space="preserve"> 301, Unamuno dizia que só o fascismo podia salvar a Espanha.</w:t>
      </w:r>
    </w:p>
  </w:footnote>
  <w:footnote w:id="192">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M. Unamuno (1966) 7; id. (1996) 1.</w:t>
      </w:r>
    </w:p>
  </w:footnote>
  <w:footnote w:id="193">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14; id. (1996) 9-10.</w:t>
      </w:r>
    </w:p>
  </w:footnote>
  <w:footnote w:id="194">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15; id. (1996) 10-11.</w:t>
      </w:r>
    </w:p>
  </w:footnote>
  <w:footnote w:id="195">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14; id. (1996) 9.</w:t>
      </w:r>
    </w:p>
  </w:footnote>
  <w:footnote w:id="196">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7; id. (1996) 1-2.</w:t>
      </w:r>
    </w:p>
  </w:footnote>
  <w:footnote w:id="197">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256-257; id. (1996) 295.</w:t>
      </w:r>
    </w:p>
  </w:footnote>
  <w:footnote w:id="198">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256; id. (1996) 294.</w:t>
      </w:r>
    </w:p>
  </w:footnote>
  <w:footnote w:id="199">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256-257; id. (1996) 294-295.</w:t>
      </w:r>
    </w:p>
  </w:footnote>
  <w:footnote w:id="200">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126; id. (1996) 139.</w:t>
      </w:r>
    </w:p>
  </w:footnote>
  <w:footnote w:id="201">
    <w:p w:rsidR="00837D5C" w:rsidRPr="00341472" w:rsidRDefault="00837D5C" w:rsidP="00837D5C">
      <w:pPr>
        <w:pStyle w:val="Textodenotaderodap"/>
        <w:ind w:firstLine="708"/>
        <w:rPr>
          <w:rFonts w:ascii="Arial Narrow" w:hAnsi="Arial Narrow"/>
          <w:lang w:val="en-GB"/>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257; id. (1996) 296.</w:t>
      </w:r>
    </w:p>
  </w:footnote>
  <w:footnote w:id="202">
    <w:p w:rsidR="00837D5C" w:rsidRPr="00837D5C"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lang w:val="en-GB"/>
        </w:rPr>
        <w:t xml:space="preserve"> </w:t>
      </w:r>
      <w:smartTag w:uri="urn:schemas-microsoft-com:office:smarttags" w:element="State">
        <w:smartTag w:uri="urn:schemas-microsoft-com:office:smarttags" w:element="place">
          <w:r w:rsidRPr="00341472">
            <w:rPr>
              <w:rFonts w:ascii="Arial Narrow" w:hAnsi="Arial Narrow"/>
              <w:lang w:val="en-GB"/>
            </w:rPr>
            <w:t>Id.</w:t>
          </w:r>
        </w:smartTag>
      </w:smartTag>
      <w:r w:rsidRPr="00341472">
        <w:rPr>
          <w:rFonts w:ascii="Arial Narrow" w:hAnsi="Arial Narrow"/>
          <w:lang w:val="en-GB"/>
        </w:rPr>
        <w:t xml:space="preserve"> (1966) 245; id. </w:t>
      </w:r>
      <w:r w:rsidRPr="00837D5C">
        <w:rPr>
          <w:rFonts w:ascii="Arial Narrow" w:hAnsi="Arial Narrow"/>
        </w:rPr>
        <w:t>(1996) 281.</w:t>
      </w:r>
    </w:p>
  </w:footnote>
  <w:footnote w:id="203">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rPr>
        <w:t xml:space="preserve"> Id. (1966) 226; id. </w:t>
      </w:r>
      <w:r w:rsidRPr="00341472">
        <w:rPr>
          <w:rFonts w:ascii="Arial Narrow" w:hAnsi="Arial Narrow"/>
        </w:rPr>
        <w:t>(1996) 257.</w:t>
      </w:r>
    </w:p>
  </w:footnote>
  <w:footnote w:id="204">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233; id. (1996) 266-267. Ver ainda as págs. 39-40, 178 ou 38, 199.</w:t>
      </w:r>
    </w:p>
  </w:footnote>
  <w:footnote w:id="205">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237; id. (1996) 271.</w:t>
      </w:r>
    </w:p>
  </w:footnote>
  <w:footnote w:id="206">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341472">
        <w:rPr>
          <w:rFonts w:ascii="Arial Narrow" w:hAnsi="Arial Narrow"/>
        </w:rPr>
        <w:t xml:space="preserve"> Id. (1966) 233; id. (1996) 266.</w:t>
      </w:r>
    </w:p>
  </w:footnote>
  <w:footnote w:id="207">
    <w:p w:rsidR="00837D5C" w:rsidRPr="00341472" w:rsidRDefault="00837D5C" w:rsidP="00837D5C">
      <w:pPr>
        <w:pStyle w:val="Textodenotaderodap"/>
        <w:ind w:firstLine="708"/>
        <w:rPr>
          <w:rFonts w:ascii="Arial Narrow" w:hAnsi="Arial Narrow"/>
          <w:lang w:val="es-ES"/>
        </w:rPr>
      </w:pPr>
      <w:r w:rsidRPr="00341472">
        <w:rPr>
          <w:rStyle w:val="Refdenotaderodap"/>
          <w:rFonts w:ascii="Arial Narrow" w:hAnsi="Arial Narrow"/>
        </w:rPr>
        <w:footnoteRef/>
      </w:r>
      <w:r w:rsidRPr="00341472">
        <w:rPr>
          <w:rFonts w:ascii="Arial Narrow" w:hAnsi="Arial Narrow"/>
        </w:rPr>
        <w:t xml:space="preserve"> «Deus revelou-se sobretudo na guerra», leio em id. </w:t>
      </w:r>
      <w:r w:rsidRPr="00341472">
        <w:rPr>
          <w:rFonts w:ascii="Arial Narrow" w:hAnsi="Arial Narrow"/>
          <w:lang w:val="es-ES"/>
        </w:rPr>
        <w:t>(1966) 234 e (1996) 268.</w:t>
      </w:r>
    </w:p>
  </w:footnote>
  <w:footnote w:id="208">
    <w:p w:rsidR="00837D5C" w:rsidRPr="00837D5C"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341472">
        <w:rPr>
          <w:rFonts w:ascii="Arial Narrow" w:hAnsi="Arial Narrow"/>
          <w:lang w:val="es-ES"/>
        </w:rPr>
        <w:t xml:space="preserve"> A. Río Cisneros et al. </w:t>
      </w:r>
      <w:r w:rsidRPr="00837D5C">
        <w:rPr>
          <w:rFonts w:ascii="Arial Narrow" w:hAnsi="Arial Narrow"/>
          <w:lang w:val="en-US"/>
        </w:rPr>
        <w:t>(orgs. 1945) 87.</w:t>
      </w:r>
    </w:p>
  </w:footnote>
  <w:footnote w:id="209">
    <w:p w:rsidR="00837D5C" w:rsidRPr="00837D5C" w:rsidRDefault="00837D5C" w:rsidP="00837D5C">
      <w:pPr>
        <w:pStyle w:val="Textodenotaderodap"/>
        <w:ind w:firstLine="708"/>
        <w:rPr>
          <w:rFonts w:ascii="Arial Narrow" w:hAnsi="Arial Narrow"/>
          <w:lang w:val="en-US"/>
        </w:rPr>
      </w:pPr>
      <w:r w:rsidRPr="00341472">
        <w:rPr>
          <w:rStyle w:val="Refdenotaderodap"/>
          <w:rFonts w:ascii="Arial Narrow" w:hAnsi="Arial Narrow"/>
        </w:rPr>
        <w:footnoteRef/>
      </w:r>
      <w:r w:rsidRPr="00837D5C">
        <w:rPr>
          <w:rFonts w:ascii="Arial Narrow" w:hAnsi="Arial Narrow"/>
          <w:lang w:val="en-US"/>
        </w:rPr>
        <w:t xml:space="preserve"> M. Unamuno (1966) 234; id. (1996) 267.</w:t>
      </w:r>
    </w:p>
  </w:footnote>
  <w:footnote w:id="210">
    <w:p w:rsidR="00837D5C" w:rsidRPr="00341472" w:rsidRDefault="00837D5C" w:rsidP="00837D5C">
      <w:pPr>
        <w:pStyle w:val="Textodenotaderodap"/>
        <w:ind w:firstLine="708"/>
        <w:rPr>
          <w:rFonts w:ascii="Arial Narrow" w:hAnsi="Arial Narrow"/>
        </w:rPr>
      </w:pPr>
      <w:r w:rsidRPr="00341472">
        <w:rPr>
          <w:rStyle w:val="Refdenotaderodap"/>
          <w:rFonts w:ascii="Arial Narrow" w:hAnsi="Arial Narrow"/>
        </w:rPr>
        <w:footnoteRef/>
      </w:r>
      <w:r w:rsidRPr="00837D5C">
        <w:rPr>
          <w:rFonts w:ascii="Arial Narrow" w:hAnsi="Arial Narrow"/>
          <w:lang w:val="en-US"/>
        </w:rPr>
        <w:t xml:space="preserve"> Id. (1966) 234; id. </w:t>
      </w:r>
      <w:r w:rsidRPr="00341472">
        <w:rPr>
          <w:rFonts w:ascii="Arial Narrow" w:hAnsi="Arial Narrow"/>
        </w:rPr>
        <w:t>(1996) 268. Unamuno prolongara aqui um tema de Nietzsche, como se vê em G. Lukács (1980) 327.</w:t>
      </w:r>
    </w:p>
  </w:footnote>
  <w:footnote w:id="211">
    <w:p w:rsidR="00837D5C" w:rsidRPr="00341472" w:rsidRDefault="00837D5C" w:rsidP="00837D5C">
      <w:pPr>
        <w:pStyle w:val="Textodenotaderodap"/>
        <w:ind w:firstLine="708"/>
        <w:rPr>
          <w:rFonts w:ascii="Arial Narrow" w:hAnsi="Arial Narrow"/>
          <w:lang w:val="es-ES"/>
        </w:rPr>
      </w:pPr>
      <w:r w:rsidRPr="00341472">
        <w:rPr>
          <w:rStyle w:val="Refdenotaderodap"/>
          <w:rFonts w:ascii="Arial Narrow" w:hAnsi="Arial Narrow"/>
        </w:rPr>
        <w:footnoteRef/>
      </w:r>
      <w:r w:rsidRPr="00341472">
        <w:rPr>
          <w:rFonts w:ascii="Arial Narrow" w:hAnsi="Arial Narrow"/>
          <w:lang w:val="es-ES"/>
        </w:rPr>
        <w:t xml:space="preserve"> M. Unamuno (1966) 234, 265; id. (1996) 268, 305.</w:t>
      </w:r>
    </w:p>
  </w:footnote>
  <w:footnote w:id="212">
    <w:p w:rsidR="00837D5C" w:rsidRPr="00341472" w:rsidRDefault="00837D5C" w:rsidP="00837D5C">
      <w:pPr>
        <w:pStyle w:val="Textodenotaderodap"/>
        <w:rPr>
          <w:rFonts w:ascii="Arial Narrow" w:hAnsi="Arial Narrow"/>
          <w:lang w:val="es-ES"/>
        </w:rPr>
      </w:pPr>
      <w:r w:rsidRPr="00341472">
        <w:rPr>
          <w:rStyle w:val="Refdenotaderodap"/>
          <w:rFonts w:ascii="Arial Narrow" w:hAnsi="Arial Narrow"/>
        </w:rPr>
        <w:footnoteRef/>
      </w:r>
      <w:r w:rsidRPr="00341472">
        <w:rPr>
          <w:rFonts w:ascii="Arial Narrow" w:hAnsi="Arial Narrow"/>
          <w:lang w:val="es-ES"/>
        </w:rPr>
        <w:t xml:space="preserve"> M. García Venero (1967) 303.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37D5C"/>
    <w:rsid w:val="0000262D"/>
    <w:rsid w:val="00003792"/>
    <w:rsid w:val="00005FE9"/>
    <w:rsid w:val="00007EB3"/>
    <w:rsid w:val="00010689"/>
    <w:rsid w:val="00010E21"/>
    <w:rsid w:val="000153F4"/>
    <w:rsid w:val="00017569"/>
    <w:rsid w:val="00020E38"/>
    <w:rsid w:val="00021AF7"/>
    <w:rsid w:val="00022BCD"/>
    <w:rsid w:val="00023D69"/>
    <w:rsid w:val="00025F19"/>
    <w:rsid w:val="000273E0"/>
    <w:rsid w:val="00031A92"/>
    <w:rsid w:val="000343E4"/>
    <w:rsid w:val="0003597B"/>
    <w:rsid w:val="00036057"/>
    <w:rsid w:val="000366BB"/>
    <w:rsid w:val="00036B3F"/>
    <w:rsid w:val="00037543"/>
    <w:rsid w:val="00041ABB"/>
    <w:rsid w:val="00046A96"/>
    <w:rsid w:val="00046B4D"/>
    <w:rsid w:val="000504B2"/>
    <w:rsid w:val="00052480"/>
    <w:rsid w:val="0005284C"/>
    <w:rsid w:val="0005467F"/>
    <w:rsid w:val="00057904"/>
    <w:rsid w:val="00060ED2"/>
    <w:rsid w:val="0006300C"/>
    <w:rsid w:val="00063AC4"/>
    <w:rsid w:val="000656D1"/>
    <w:rsid w:val="00071FE9"/>
    <w:rsid w:val="000764D3"/>
    <w:rsid w:val="000802CC"/>
    <w:rsid w:val="00083D96"/>
    <w:rsid w:val="000840D9"/>
    <w:rsid w:val="00090ADC"/>
    <w:rsid w:val="000936DC"/>
    <w:rsid w:val="00093A7A"/>
    <w:rsid w:val="00094E2C"/>
    <w:rsid w:val="00096701"/>
    <w:rsid w:val="000A3220"/>
    <w:rsid w:val="000A3DFE"/>
    <w:rsid w:val="000A7647"/>
    <w:rsid w:val="000A7EA2"/>
    <w:rsid w:val="000B1C3B"/>
    <w:rsid w:val="000B34E9"/>
    <w:rsid w:val="000B3BDE"/>
    <w:rsid w:val="000C4AF4"/>
    <w:rsid w:val="000C6418"/>
    <w:rsid w:val="000C6E79"/>
    <w:rsid w:val="000D0E7E"/>
    <w:rsid w:val="000D1987"/>
    <w:rsid w:val="000D23F6"/>
    <w:rsid w:val="000D4C57"/>
    <w:rsid w:val="000D7555"/>
    <w:rsid w:val="000E054D"/>
    <w:rsid w:val="000E0EE5"/>
    <w:rsid w:val="000E4C86"/>
    <w:rsid w:val="000F3ACA"/>
    <w:rsid w:val="00100CAA"/>
    <w:rsid w:val="00103B30"/>
    <w:rsid w:val="00103FEB"/>
    <w:rsid w:val="00104E21"/>
    <w:rsid w:val="00106F88"/>
    <w:rsid w:val="001113C1"/>
    <w:rsid w:val="00114310"/>
    <w:rsid w:val="001149C2"/>
    <w:rsid w:val="00120010"/>
    <w:rsid w:val="00121090"/>
    <w:rsid w:val="00123BF7"/>
    <w:rsid w:val="001251DF"/>
    <w:rsid w:val="00125B6D"/>
    <w:rsid w:val="00126C5F"/>
    <w:rsid w:val="001275C8"/>
    <w:rsid w:val="001332B6"/>
    <w:rsid w:val="00136638"/>
    <w:rsid w:val="00141DC8"/>
    <w:rsid w:val="00142296"/>
    <w:rsid w:val="00144197"/>
    <w:rsid w:val="0014571A"/>
    <w:rsid w:val="00151185"/>
    <w:rsid w:val="001511E4"/>
    <w:rsid w:val="001517FC"/>
    <w:rsid w:val="00152054"/>
    <w:rsid w:val="0015242C"/>
    <w:rsid w:val="00152939"/>
    <w:rsid w:val="001545D0"/>
    <w:rsid w:val="00161CD3"/>
    <w:rsid w:val="00161F3E"/>
    <w:rsid w:val="00164E43"/>
    <w:rsid w:val="00166069"/>
    <w:rsid w:val="00170734"/>
    <w:rsid w:val="00173B28"/>
    <w:rsid w:val="00180ADC"/>
    <w:rsid w:val="00184416"/>
    <w:rsid w:val="00187339"/>
    <w:rsid w:val="00196D16"/>
    <w:rsid w:val="00197755"/>
    <w:rsid w:val="001A00FD"/>
    <w:rsid w:val="001A2F0E"/>
    <w:rsid w:val="001A413C"/>
    <w:rsid w:val="001A469C"/>
    <w:rsid w:val="001A538D"/>
    <w:rsid w:val="001B473D"/>
    <w:rsid w:val="001B7870"/>
    <w:rsid w:val="001C111D"/>
    <w:rsid w:val="001C6C36"/>
    <w:rsid w:val="001E2D7F"/>
    <w:rsid w:val="001E4299"/>
    <w:rsid w:val="001E5504"/>
    <w:rsid w:val="001E60E8"/>
    <w:rsid w:val="001E6C4F"/>
    <w:rsid w:val="001F0A55"/>
    <w:rsid w:val="001F3BDA"/>
    <w:rsid w:val="001F4130"/>
    <w:rsid w:val="001F41C8"/>
    <w:rsid w:val="001F6547"/>
    <w:rsid w:val="001F6EE5"/>
    <w:rsid w:val="001F7761"/>
    <w:rsid w:val="0020203A"/>
    <w:rsid w:val="00203935"/>
    <w:rsid w:val="00204A54"/>
    <w:rsid w:val="0021012D"/>
    <w:rsid w:val="002101F2"/>
    <w:rsid w:val="00213125"/>
    <w:rsid w:val="00217B51"/>
    <w:rsid w:val="00221497"/>
    <w:rsid w:val="00221AF6"/>
    <w:rsid w:val="00221D9C"/>
    <w:rsid w:val="00224704"/>
    <w:rsid w:val="00227BC5"/>
    <w:rsid w:val="00231CDE"/>
    <w:rsid w:val="0023584C"/>
    <w:rsid w:val="002412AB"/>
    <w:rsid w:val="0024377B"/>
    <w:rsid w:val="00243EDC"/>
    <w:rsid w:val="00260944"/>
    <w:rsid w:val="00262E01"/>
    <w:rsid w:val="0026416F"/>
    <w:rsid w:val="002668E1"/>
    <w:rsid w:val="00267192"/>
    <w:rsid w:val="00274AB7"/>
    <w:rsid w:val="00275A74"/>
    <w:rsid w:val="00275A77"/>
    <w:rsid w:val="00281F59"/>
    <w:rsid w:val="00282741"/>
    <w:rsid w:val="002860D2"/>
    <w:rsid w:val="00286C67"/>
    <w:rsid w:val="002901DD"/>
    <w:rsid w:val="00295548"/>
    <w:rsid w:val="00296B77"/>
    <w:rsid w:val="002A0C19"/>
    <w:rsid w:val="002A3012"/>
    <w:rsid w:val="002B7B99"/>
    <w:rsid w:val="002C2BD7"/>
    <w:rsid w:val="002C6258"/>
    <w:rsid w:val="002C637C"/>
    <w:rsid w:val="002D542F"/>
    <w:rsid w:val="002D5F09"/>
    <w:rsid w:val="002E00A2"/>
    <w:rsid w:val="002E1DC4"/>
    <w:rsid w:val="002E24C5"/>
    <w:rsid w:val="002E2F61"/>
    <w:rsid w:val="002E364A"/>
    <w:rsid w:val="002E4D4E"/>
    <w:rsid w:val="002E620F"/>
    <w:rsid w:val="003008C6"/>
    <w:rsid w:val="00307880"/>
    <w:rsid w:val="00311B4F"/>
    <w:rsid w:val="00314F34"/>
    <w:rsid w:val="003172E9"/>
    <w:rsid w:val="00317382"/>
    <w:rsid w:val="0032132F"/>
    <w:rsid w:val="00322DFA"/>
    <w:rsid w:val="003249E6"/>
    <w:rsid w:val="00326F32"/>
    <w:rsid w:val="00327421"/>
    <w:rsid w:val="00332442"/>
    <w:rsid w:val="00332902"/>
    <w:rsid w:val="00332A6C"/>
    <w:rsid w:val="003352D6"/>
    <w:rsid w:val="00341C13"/>
    <w:rsid w:val="00346642"/>
    <w:rsid w:val="00347540"/>
    <w:rsid w:val="003510EF"/>
    <w:rsid w:val="00351205"/>
    <w:rsid w:val="0035233A"/>
    <w:rsid w:val="003523FB"/>
    <w:rsid w:val="00353384"/>
    <w:rsid w:val="00354459"/>
    <w:rsid w:val="00360232"/>
    <w:rsid w:val="00363608"/>
    <w:rsid w:val="00363F73"/>
    <w:rsid w:val="003664E6"/>
    <w:rsid w:val="00371194"/>
    <w:rsid w:val="00372D07"/>
    <w:rsid w:val="00374CB3"/>
    <w:rsid w:val="00377AAB"/>
    <w:rsid w:val="00382E23"/>
    <w:rsid w:val="00386441"/>
    <w:rsid w:val="00387C93"/>
    <w:rsid w:val="003905F0"/>
    <w:rsid w:val="003923DC"/>
    <w:rsid w:val="00392F9A"/>
    <w:rsid w:val="003A032A"/>
    <w:rsid w:val="003A0402"/>
    <w:rsid w:val="003A0866"/>
    <w:rsid w:val="003A54C8"/>
    <w:rsid w:val="003A56AB"/>
    <w:rsid w:val="003A772B"/>
    <w:rsid w:val="003B73C5"/>
    <w:rsid w:val="003C3F9C"/>
    <w:rsid w:val="003C54A3"/>
    <w:rsid w:val="003D03AD"/>
    <w:rsid w:val="003D1265"/>
    <w:rsid w:val="003D12DE"/>
    <w:rsid w:val="003D2F65"/>
    <w:rsid w:val="003D40BF"/>
    <w:rsid w:val="003D436B"/>
    <w:rsid w:val="003D57DC"/>
    <w:rsid w:val="003E061B"/>
    <w:rsid w:val="003E52CC"/>
    <w:rsid w:val="003F0590"/>
    <w:rsid w:val="003F12E9"/>
    <w:rsid w:val="003F15DF"/>
    <w:rsid w:val="003F2961"/>
    <w:rsid w:val="003F3440"/>
    <w:rsid w:val="003F5D0F"/>
    <w:rsid w:val="003F717D"/>
    <w:rsid w:val="00400783"/>
    <w:rsid w:val="004023DF"/>
    <w:rsid w:val="00402AA3"/>
    <w:rsid w:val="00410B25"/>
    <w:rsid w:val="0041262E"/>
    <w:rsid w:val="00413129"/>
    <w:rsid w:val="00414932"/>
    <w:rsid w:val="00414C80"/>
    <w:rsid w:val="00425A2D"/>
    <w:rsid w:val="00425E13"/>
    <w:rsid w:val="00426C3C"/>
    <w:rsid w:val="00430B64"/>
    <w:rsid w:val="004316E0"/>
    <w:rsid w:val="00435A3A"/>
    <w:rsid w:val="004379D6"/>
    <w:rsid w:val="00443281"/>
    <w:rsid w:val="00445200"/>
    <w:rsid w:val="0044751C"/>
    <w:rsid w:val="004507D7"/>
    <w:rsid w:val="00450D13"/>
    <w:rsid w:val="00451465"/>
    <w:rsid w:val="0045215A"/>
    <w:rsid w:val="00453958"/>
    <w:rsid w:val="00460FD6"/>
    <w:rsid w:val="00464A24"/>
    <w:rsid w:val="00464F9A"/>
    <w:rsid w:val="004651F6"/>
    <w:rsid w:val="004735C5"/>
    <w:rsid w:val="00474FF2"/>
    <w:rsid w:val="00475747"/>
    <w:rsid w:val="0047586F"/>
    <w:rsid w:val="00475E73"/>
    <w:rsid w:val="00481B1B"/>
    <w:rsid w:val="00483D54"/>
    <w:rsid w:val="00494309"/>
    <w:rsid w:val="00495806"/>
    <w:rsid w:val="0049779D"/>
    <w:rsid w:val="004A2B20"/>
    <w:rsid w:val="004A2F57"/>
    <w:rsid w:val="004A4FA3"/>
    <w:rsid w:val="004A53DC"/>
    <w:rsid w:val="004A7C73"/>
    <w:rsid w:val="004B0542"/>
    <w:rsid w:val="004B50E8"/>
    <w:rsid w:val="004C554C"/>
    <w:rsid w:val="004D0E39"/>
    <w:rsid w:val="004E32E9"/>
    <w:rsid w:val="004F191F"/>
    <w:rsid w:val="004F1F95"/>
    <w:rsid w:val="004F25EA"/>
    <w:rsid w:val="004F458F"/>
    <w:rsid w:val="004F6F1B"/>
    <w:rsid w:val="0050143E"/>
    <w:rsid w:val="0050160B"/>
    <w:rsid w:val="005038CC"/>
    <w:rsid w:val="00507335"/>
    <w:rsid w:val="00511F0F"/>
    <w:rsid w:val="00513141"/>
    <w:rsid w:val="00517F64"/>
    <w:rsid w:val="005201EC"/>
    <w:rsid w:val="005227AE"/>
    <w:rsid w:val="0052722D"/>
    <w:rsid w:val="00531B51"/>
    <w:rsid w:val="0053276F"/>
    <w:rsid w:val="00535E24"/>
    <w:rsid w:val="0053689E"/>
    <w:rsid w:val="00554568"/>
    <w:rsid w:val="005564D8"/>
    <w:rsid w:val="00556F78"/>
    <w:rsid w:val="005706D3"/>
    <w:rsid w:val="005733B2"/>
    <w:rsid w:val="0058036A"/>
    <w:rsid w:val="005815C7"/>
    <w:rsid w:val="005828BF"/>
    <w:rsid w:val="005838A8"/>
    <w:rsid w:val="00583DBA"/>
    <w:rsid w:val="00585B36"/>
    <w:rsid w:val="00590ED5"/>
    <w:rsid w:val="005946DA"/>
    <w:rsid w:val="00596B45"/>
    <w:rsid w:val="005A014A"/>
    <w:rsid w:val="005A1246"/>
    <w:rsid w:val="005A3124"/>
    <w:rsid w:val="005A3F53"/>
    <w:rsid w:val="005A5762"/>
    <w:rsid w:val="005B09D2"/>
    <w:rsid w:val="005B6006"/>
    <w:rsid w:val="005B67B1"/>
    <w:rsid w:val="005B6F8C"/>
    <w:rsid w:val="005B7502"/>
    <w:rsid w:val="005C1D53"/>
    <w:rsid w:val="005C2BE8"/>
    <w:rsid w:val="005C44A4"/>
    <w:rsid w:val="005C56E5"/>
    <w:rsid w:val="005D02AF"/>
    <w:rsid w:val="005D2018"/>
    <w:rsid w:val="005D7683"/>
    <w:rsid w:val="005E0053"/>
    <w:rsid w:val="005E1EDA"/>
    <w:rsid w:val="005E41C8"/>
    <w:rsid w:val="005E4310"/>
    <w:rsid w:val="005E6B8A"/>
    <w:rsid w:val="005F01F8"/>
    <w:rsid w:val="005F3593"/>
    <w:rsid w:val="005F4ED3"/>
    <w:rsid w:val="005F59C3"/>
    <w:rsid w:val="00600360"/>
    <w:rsid w:val="00600B23"/>
    <w:rsid w:val="00602529"/>
    <w:rsid w:val="006026EF"/>
    <w:rsid w:val="00605A41"/>
    <w:rsid w:val="006071F4"/>
    <w:rsid w:val="006079B8"/>
    <w:rsid w:val="0061030E"/>
    <w:rsid w:val="00612BBD"/>
    <w:rsid w:val="006137A2"/>
    <w:rsid w:val="006147AF"/>
    <w:rsid w:val="00615239"/>
    <w:rsid w:val="00617BF2"/>
    <w:rsid w:val="0062039C"/>
    <w:rsid w:val="00622186"/>
    <w:rsid w:val="00624CE3"/>
    <w:rsid w:val="00633BC6"/>
    <w:rsid w:val="00635760"/>
    <w:rsid w:val="00642590"/>
    <w:rsid w:val="00652C4C"/>
    <w:rsid w:val="0065457C"/>
    <w:rsid w:val="00654FBB"/>
    <w:rsid w:val="00655D64"/>
    <w:rsid w:val="00656990"/>
    <w:rsid w:val="00656E31"/>
    <w:rsid w:val="00660513"/>
    <w:rsid w:val="006613AC"/>
    <w:rsid w:val="00661D27"/>
    <w:rsid w:val="0066267A"/>
    <w:rsid w:val="006733B1"/>
    <w:rsid w:val="00673EE0"/>
    <w:rsid w:val="006779F7"/>
    <w:rsid w:val="0068051B"/>
    <w:rsid w:val="00683414"/>
    <w:rsid w:val="006841F3"/>
    <w:rsid w:val="006952B2"/>
    <w:rsid w:val="00696068"/>
    <w:rsid w:val="006A0E4A"/>
    <w:rsid w:val="006A152D"/>
    <w:rsid w:val="006A2422"/>
    <w:rsid w:val="006A25E5"/>
    <w:rsid w:val="006A4772"/>
    <w:rsid w:val="006A4B32"/>
    <w:rsid w:val="006A6D1D"/>
    <w:rsid w:val="006A7670"/>
    <w:rsid w:val="006A7E3D"/>
    <w:rsid w:val="006B1823"/>
    <w:rsid w:val="006B18D7"/>
    <w:rsid w:val="006B460E"/>
    <w:rsid w:val="006B4C50"/>
    <w:rsid w:val="006B67DA"/>
    <w:rsid w:val="006C28FA"/>
    <w:rsid w:val="006C63FE"/>
    <w:rsid w:val="006D091D"/>
    <w:rsid w:val="006D0D9F"/>
    <w:rsid w:val="006D3DB3"/>
    <w:rsid w:val="006D5120"/>
    <w:rsid w:val="006E019A"/>
    <w:rsid w:val="006E3BA8"/>
    <w:rsid w:val="006F781B"/>
    <w:rsid w:val="00700A7B"/>
    <w:rsid w:val="00704696"/>
    <w:rsid w:val="00706676"/>
    <w:rsid w:val="00711771"/>
    <w:rsid w:val="00715E9D"/>
    <w:rsid w:val="00716121"/>
    <w:rsid w:val="007178DF"/>
    <w:rsid w:val="00721C07"/>
    <w:rsid w:val="00722B9A"/>
    <w:rsid w:val="0072554E"/>
    <w:rsid w:val="00726DA1"/>
    <w:rsid w:val="00727EED"/>
    <w:rsid w:val="007301C7"/>
    <w:rsid w:val="00732A51"/>
    <w:rsid w:val="00732B3E"/>
    <w:rsid w:val="00732C30"/>
    <w:rsid w:val="00733082"/>
    <w:rsid w:val="0074088B"/>
    <w:rsid w:val="007416AE"/>
    <w:rsid w:val="00742679"/>
    <w:rsid w:val="00746206"/>
    <w:rsid w:val="007522CE"/>
    <w:rsid w:val="00753E97"/>
    <w:rsid w:val="007619A7"/>
    <w:rsid w:val="00762E0E"/>
    <w:rsid w:val="00766C6D"/>
    <w:rsid w:val="007770E7"/>
    <w:rsid w:val="0077723B"/>
    <w:rsid w:val="007802BF"/>
    <w:rsid w:val="0078308E"/>
    <w:rsid w:val="00787591"/>
    <w:rsid w:val="007917F2"/>
    <w:rsid w:val="007B0484"/>
    <w:rsid w:val="007B0E58"/>
    <w:rsid w:val="007B3543"/>
    <w:rsid w:val="007C027B"/>
    <w:rsid w:val="007C045E"/>
    <w:rsid w:val="007C456C"/>
    <w:rsid w:val="007D0337"/>
    <w:rsid w:val="007D0DE2"/>
    <w:rsid w:val="007D1986"/>
    <w:rsid w:val="007D759A"/>
    <w:rsid w:val="007E0AD6"/>
    <w:rsid w:val="007E2673"/>
    <w:rsid w:val="007E2E6E"/>
    <w:rsid w:val="007E4507"/>
    <w:rsid w:val="007E7027"/>
    <w:rsid w:val="007F1FB5"/>
    <w:rsid w:val="007F5672"/>
    <w:rsid w:val="007F5BEF"/>
    <w:rsid w:val="0080062D"/>
    <w:rsid w:val="00802AD0"/>
    <w:rsid w:val="00805404"/>
    <w:rsid w:val="0080671A"/>
    <w:rsid w:val="00806E36"/>
    <w:rsid w:val="00807594"/>
    <w:rsid w:val="00812805"/>
    <w:rsid w:val="0081356C"/>
    <w:rsid w:val="00815387"/>
    <w:rsid w:val="00815D59"/>
    <w:rsid w:val="00817B57"/>
    <w:rsid w:val="00820E2B"/>
    <w:rsid w:val="00823F77"/>
    <w:rsid w:val="008260D6"/>
    <w:rsid w:val="00834A7A"/>
    <w:rsid w:val="00836309"/>
    <w:rsid w:val="0083736A"/>
    <w:rsid w:val="008377FF"/>
    <w:rsid w:val="0083789E"/>
    <w:rsid w:val="00837D5C"/>
    <w:rsid w:val="008417B5"/>
    <w:rsid w:val="0084393D"/>
    <w:rsid w:val="00844D71"/>
    <w:rsid w:val="00851CF3"/>
    <w:rsid w:val="0085421C"/>
    <w:rsid w:val="00854612"/>
    <w:rsid w:val="0086457E"/>
    <w:rsid w:val="008659E1"/>
    <w:rsid w:val="00867D76"/>
    <w:rsid w:val="008707C6"/>
    <w:rsid w:val="00871744"/>
    <w:rsid w:val="00872516"/>
    <w:rsid w:val="0087429A"/>
    <w:rsid w:val="008746E2"/>
    <w:rsid w:val="0087609A"/>
    <w:rsid w:val="00876603"/>
    <w:rsid w:val="00877043"/>
    <w:rsid w:val="00881660"/>
    <w:rsid w:val="008816B1"/>
    <w:rsid w:val="0088531B"/>
    <w:rsid w:val="00886412"/>
    <w:rsid w:val="0089103C"/>
    <w:rsid w:val="00893893"/>
    <w:rsid w:val="008978F2"/>
    <w:rsid w:val="00897BED"/>
    <w:rsid w:val="008A5ABB"/>
    <w:rsid w:val="008A6AFA"/>
    <w:rsid w:val="008B0F71"/>
    <w:rsid w:val="008B5B8E"/>
    <w:rsid w:val="008B6305"/>
    <w:rsid w:val="008B6AE6"/>
    <w:rsid w:val="008B7C52"/>
    <w:rsid w:val="008C2852"/>
    <w:rsid w:val="008C339A"/>
    <w:rsid w:val="008D4C81"/>
    <w:rsid w:val="008E796D"/>
    <w:rsid w:val="008E7F94"/>
    <w:rsid w:val="008F2916"/>
    <w:rsid w:val="008F2FC2"/>
    <w:rsid w:val="008F38C6"/>
    <w:rsid w:val="008F39A9"/>
    <w:rsid w:val="008F5CC3"/>
    <w:rsid w:val="00905CFB"/>
    <w:rsid w:val="00914784"/>
    <w:rsid w:val="00915693"/>
    <w:rsid w:val="0091655E"/>
    <w:rsid w:val="00917921"/>
    <w:rsid w:val="00917E2D"/>
    <w:rsid w:val="00920FF2"/>
    <w:rsid w:val="009214E8"/>
    <w:rsid w:val="009250E6"/>
    <w:rsid w:val="00925526"/>
    <w:rsid w:val="00943A6E"/>
    <w:rsid w:val="00944E63"/>
    <w:rsid w:val="00947027"/>
    <w:rsid w:val="00953E38"/>
    <w:rsid w:val="00955964"/>
    <w:rsid w:val="00956937"/>
    <w:rsid w:val="009602D2"/>
    <w:rsid w:val="00961B86"/>
    <w:rsid w:val="009622C3"/>
    <w:rsid w:val="00965812"/>
    <w:rsid w:val="0097324F"/>
    <w:rsid w:val="009741B5"/>
    <w:rsid w:val="00977347"/>
    <w:rsid w:val="00980B8E"/>
    <w:rsid w:val="00981AC5"/>
    <w:rsid w:val="00987532"/>
    <w:rsid w:val="00990E9A"/>
    <w:rsid w:val="00993A83"/>
    <w:rsid w:val="00997569"/>
    <w:rsid w:val="00997D96"/>
    <w:rsid w:val="009A1B4E"/>
    <w:rsid w:val="009A304D"/>
    <w:rsid w:val="009A392C"/>
    <w:rsid w:val="009A51BF"/>
    <w:rsid w:val="009A7CC9"/>
    <w:rsid w:val="009B290F"/>
    <w:rsid w:val="009B2D77"/>
    <w:rsid w:val="009B3B2E"/>
    <w:rsid w:val="009B46D7"/>
    <w:rsid w:val="009C4267"/>
    <w:rsid w:val="009C431B"/>
    <w:rsid w:val="009C4C34"/>
    <w:rsid w:val="009C6F88"/>
    <w:rsid w:val="009C71D5"/>
    <w:rsid w:val="009D1169"/>
    <w:rsid w:val="009D243B"/>
    <w:rsid w:val="009E1F8D"/>
    <w:rsid w:val="009E3214"/>
    <w:rsid w:val="009E4BA9"/>
    <w:rsid w:val="009E50AF"/>
    <w:rsid w:val="009F1173"/>
    <w:rsid w:val="00A016E3"/>
    <w:rsid w:val="00A02C9F"/>
    <w:rsid w:val="00A109DE"/>
    <w:rsid w:val="00A13CAB"/>
    <w:rsid w:val="00A14024"/>
    <w:rsid w:val="00A15CF1"/>
    <w:rsid w:val="00A21ED7"/>
    <w:rsid w:val="00A25281"/>
    <w:rsid w:val="00A36360"/>
    <w:rsid w:val="00A3714A"/>
    <w:rsid w:val="00A375DD"/>
    <w:rsid w:val="00A41C2D"/>
    <w:rsid w:val="00A44349"/>
    <w:rsid w:val="00A47854"/>
    <w:rsid w:val="00A61DD0"/>
    <w:rsid w:val="00A65A29"/>
    <w:rsid w:val="00A718B9"/>
    <w:rsid w:val="00A7196A"/>
    <w:rsid w:val="00A77048"/>
    <w:rsid w:val="00A82A97"/>
    <w:rsid w:val="00A87847"/>
    <w:rsid w:val="00A91B40"/>
    <w:rsid w:val="00A929E8"/>
    <w:rsid w:val="00A95458"/>
    <w:rsid w:val="00AA2236"/>
    <w:rsid w:val="00AA4B09"/>
    <w:rsid w:val="00AA62AB"/>
    <w:rsid w:val="00AA700B"/>
    <w:rsid w:val="00AA7694"/>
    <w:rsid w:val="00AB0ACC"/>
    <w:rsid w:val="00AB0CFE"/>
    <w:rsid w:val="00AB31C0"/>
    <w:rsid w:val="00AB53B3"/>
    <w:rsid w:val="00AB6E17"/>
    <w:rsid w:val="00AB777A"/>
    <w:rsid w:val="00AC73C2"/>
    <w:rsid w:val="00AD00A7"/>
    <w:rsid w:val="00AD3A3C"/>
    <w:rsid w:val="00AD5D83"/>
    <w:rsid w:val="00AE3187"/>
    <w:rsid w:val="00AE7680"/>
    <w:rsid w:val="00AF0CB6"/>
    <w:rsid w:val="00AF2A8A"/>
    <w:rsid w:val="00AF4102"/>
    <w:rsid w:val="00AF474B"/>
    <w:rsid w:val="00AF5DFB"/>
    <w:rsid w:val="00AF6017"/>
    <w:rsid w:val="00B02155"/>
    <w:rsid w:val="00B02525"/>
    <w:rsid w:val="00B033BE"/>
    <w:rsid w:val="00B0639D"/>
    <w:rsid w:val="00B06491"/>
    <w:rsid w:val="00B112CD"/>
    <w:rsid w:val="00B1303C"/>
    <w:rsid w:val="00B14125"/>
    <w:rsid w:val="00B14A34"/>
    <w:rsid w:val="00B15893"/>
    <w:rsid w:val="00B2034C"/>
    <w:rsid w:val="00B20CEB"/>
    <w:rsid w:val="00B30442"/>
    <w:rsid w:val="00B3342F"/>
    <w:rsid w:val="00B3452D"/>
    <w:rsid w:val="00B41814"/>
    <w:rsid w:val="00B475F4"/>
    <w:rsid w:val="00B501F4"/>
    <w:rsid w:val="00B60721"/>
    <w:rsid w:val="00B629A5"/>
    <w:rsid w:val="00B636B6"/>
    <w:rsid w:val="00B63955"/>
    <w:rsid w:val="00B6569D"/>
    <w:rsid w:val="00B663E2"/>
    <w:rsid w:val="00B66AED"/>
    <w:rsid w:val="00B71535"/>
    <w:rsid w:val="00B74F61"/>
    <w:rsid w:val="00B75EF2"/>
    <w:rsid w:val="00B77339"/>
    <w:rsid w:val="00B834AD"/>
    <w:rsid w:val="00B84E73"/>
    <w:rsid w:val="00B9251F"/>
    <w:rsid w:val="00B92887"/>
    <w:rsid w:val="00B936F8"/>
    <w:rsid w:val="00B976C9"/>
    <w:rsid w:val="00BA1177"/>
    <w:rsid w:val="00BA2420"/>
    <w:rsid w:val="00BA2A0F"/>
    <w:rsid w:val="00BA4456"/>
    <w:rsid w:val="00BA4FD6"/>
    <w:rsid w:val="00BA6843"/>
    <w:rsid w:val="00BB05D4"/>
    <w:rsid w:val="00BB1AC8"/>
    <w:rsid w:val="00BB2548"/>
    <w:rsid w:val="00BB25B8"/>
    <w:rsid w:val="00BB40C2"/>
    <w:rsid w:val="00BC2F42"/>
    <w:rsid w:val="00BD101E"/>
    <w:rsid w:val="00BD21F8"/>
    <w:rsid w:val="00BD29CD"/>
    <w:rsid w:val="00BD2B5A"/>
    <w:rsid w:val="00BD36C0"/>
    <w:rsid w:val="00BD4B5A"/>
    <w:rsid w:val="00BD69EA"/>
    <w:rsid w:val="00BD79CF"/>
    <w:rsid w:val="00BE432C"/>
    <w:rsid w:val="00BE783E"/>
    <w:rsid w:val="00BF1D5B"/>
    <w:rsid w:val="00BF2521"/>
    <w:rsid w:val="00BF2BA3"/>
    <w:rsid w:val="00BF2EF4"/>
    <w:rsid w:val="00BF2FC9"/>
    <w:rsid w:val="00BF4A48"/>
    <w:rsid w:val="00BF6BB0"/>
    <w:rsid w:val="00BF6BD1"/>
    <w:rsid w:val="00C00A5E"/>
    <w:rsid w:val="00C0349C"/>
    <w:rsid w:val="00C041B5"/>
    <w:rsid w:val="00C30157"/>
    <w:rsid w:val="00C30387"/>
    <w:rsid w:val="00C319AD"/>
    <w:rsid w:val="00C321D5"/>
    <w:rsid w:val="00C35111"/>
    <w:rsid w:val="00C35E83"/>
    <w:rsid w:val="00C402EA"/>
    <w:rsid w:val="00C42C1E"/>
    <w:rsid w:val="00C45726"/>
    <w:rsid w:val="00C47795"/>
    <w:rsid w:val="00C52528"/>
    <w:rsid w:val="00C52B70"/>
    <w:rsid w:val="00C53063"/>
    <w:rsid w:val="00C55D0D"/>
    <w:rsid w:val="00C56A82"/>
    <w:rsid w:val="00C56B8A"/>
    <w:rsid w:val="00C56EDB"/>
    <w:rsid w:val="00C6147A"/>
    <w:rsid w:val="00C63D8C"/>
    <w:rsid w:val="00C6429A"/>
    <w:rsid w:val="00C6444F"/>
    <w:rsid w:val="00C64FF0"/>
    <w:rsid w:val="00C65F06"/>
    <w:rsid w:val="00C660A7"/>
    <w:rsid w:val="00C76641"/>
    <w:rsid w:val="00C802B8"/>
    <w:rsid w:val="00C8137B"/>
    <w:rsid w:val="00C84265"/>
    <w:rsid w:val="00C87B6E"/>
    <w:rsid w:val="00C87C69"/>
    <w:rsid w:val="00C9131D"/>
    <w:rsid w:val="00C91BEF"/>
    <w:rsid w:val="00C922A0"/>
    <w:rsid w:val="00C92F2B"/>
    <w:rsid w:val="00C93F85"/>
    <w:rsid w:val="00C94186"/>
    <w:rsid w:val="00C949BA"/>
    <w:rsid w:val="00C96EFC"/>
    <w:rsid w:val="00C97952"/>
    <w:rsid w:val="00CA12ED"/>
    <w:rsid w:val="00CA629E"/>
    <w:rsid w:val="00CB0153"/>
    <w:rsid w:val="00CB4C29"/>
    <w:rsid w:val="00CB4C6C"/>
    <w:rsid w:val="00CB503A"/>
    <w:rsid w:val="00CB7D73"/>
    <w:rsid w:val="00CC36D5"/>
    <w:rsid w:val="00CC5FB2"/>
    <w:rsid w:val="00CC62AF"/>
    <w:rsid w:val="00CC7330"/>
    <w:rsid w:val="00CD11B4"/>
    <w:rsid w:val="00CD2FFF"/>
    <w:rsid w:val="00CD7AB3"/>
    <w:rsid w:val="00CE11E5"/>
    <w:rsid w:val="00CE171C"/>
    <w:rsid w:val="00CE1EF3"/>
    <w:rsid w:val="00CE3865"/>
    <w:rsid w:val="00CE39D6"/>
    <w:rsid w:val="00CE7AD4"/>
    <w:rsid w:val="00CF048B"/>
    <w:rsid w:val="00CF07E5"/>
    <w:rsid w:val="00CF4540"/>
    <w:rsid w:val="00D10C28"/>
    <w:rsid w:val="00D11229"/>
    <w:rsid w:val="00D12938"/>
    <w:rsid w:val="00D1501C"/>
    <w:rsid w:val="00D156AA"/>
    <w:rsid w:val="00D222F4"/>
    <w:rsid w:val="00D26B5C"/>
    <w:rsid w:val="00D3298E"/>
    <w:rsid w:val="00D35A04"/>
    <w:rsid w:val="00D36F52"/>
    <w:rsid w:val="00D40872"/>
    <w:rsid w:val="00D41314"/>
    <w:rsid w:val="00D45240"/>
    <w:rsid w:val="00D565DB"/>
    <w:rsid w:val="00D63DFE"/>
    <w:rsid w:val="00D63F2C"/>
    <w:rsid w:val="00D71652"/>
    <w:rsid w:val="00D71D8D"/>
    <w:rsid w:val="00D772CB"/>
    <w:rsid w:val="00D81DE3"/>
    <w:rsid w:val="00D82743"/>
    <w:rsid w:val="00D853F3"/>
    <w:rsid w:val="00D8652F"/>
    <w:rsid w:val="00D91F40"/>
    <w:rsid w:val="00DA417C"/>
    <w:rsid w:val="00DA5011"/>
    <w:rsid w:val="00DA60EC"/>
    <w:rsid w:val="00DB1F8C"/>
    <w:rsid w:val="00DB4141"/>
    <w:rsid w:val="00DC1F79"/>
    <w:rsid w:val="00DC3A39"/>
    <w:rsid w:val="00DC6237"/>
    <w:rsid w:val="00DC7D95"/>
    <w:rsid w:val="00DD58C9"/>
    <w:rsid w:val="00DD71BB"/>
    <w:rsid w:val="00DE0A18"/>
    <w:rsid w:val="00DE476E"/>
    <w:rsid w:val="00DF124E"/>
    <w:rsid w:val="00DF1BED"/>
    <w:rsid w:val="00DF1FD9"/>
    <w:rsid w:val="00DF7383"/>
    <w:rsid w:val="00E013DA"/>
    <w:rsid w:val="00E040D4"/>
    <w:rsid w:val="00E04A94"/>
    <w:rsid w:val="00E04E0D"/>
    <w:rsid w:val="00E125E5"/>
    <w:rsid w:val="00E12B46"/>
    <w:rsid w:val="00E134E3"/>
    <w:rsid w:val="00E147BC"/>
    <w:rsid w:val="00E15458"/>
    <w:rsid w:val="00E21A27"/>
    <w:rsid w:val="00E25855"/>
    <w:rsid w:val="00E26B30"/>
    <w:rsid w:val="00E26BE0"/>
    <w:rsid w:val="00E35578"/>
    <w:rsid w:val="00E41223"/>
    <w:rsid w:val="00E42DCF"/>
    <w:rsid w:val="00E4591A"/>
    <w:rsid w:val="00E460AB"/>
    <w:rsid w:val="00E464D0"/>
    <w:rsid w:val="00E515A8"/>
    <w:rsid w:val="00E5316C"/>
    <w:rsid w:val="00E53473"/>
    <w:rsid w:val="00E54A8E"/>
    <w:rsid w:val="00E55832"/>
    <w:rsid w:val="00E60EFE"/>
    <w:rsid w:val="00E61CD8"/>
    <w:rsid w:val="00E62C8B"/>
    <w:rsid w:val="00E62D91"/>
    <w:rsid w:val="00E640AF"/>
    <w:rsid w:val="00E648D7"/>
    <w:rsid w:val="00E678D6"/>
    <w:rsid w:val="00E72A62"/>
    <w:rsid w:val="00E7515E"/>
    <w:rsid w:val="00E76683"/>
    <w:rsid w:val="00E803C5"/>
    <w:rsid w:val="00E816F1"/>
    <w:rsid w:val="00E90C24"/>
    <w:rsid w:val="00E91CCC"/>
    <w:rsid w:val="00E95553"/>
    <w:rsid w:val="00E967B8"/>
    <w:rsid w:val="00EA0D82"/>
    <w:rsid w:val="00EA1C55"/>
    <w:rsid w:val="00EA6C93"/>
    <w:rsid w:val="00EB73A6"/>
    <w:rsid w:val="00EB7858"/>
    <w:rsid w:val="00EC2D91"/>
    <w:rsid w:val="00EC53DF"/>
    <w:rsid w:val="00EC594D"/>
    <w:rsid w:val="00EC6129"/>
    <w:rsid w:val="00ED14FC"/>
    <w:rsid w:val="00ED3D92"/>
    <w:rsid w:val="00ED563C"/>
    <w:rsid w:val="00ED67DF"/>
    <w:rsid w:val="00ED6D34"/>
    <w:rsid w:val="00EE1A79"/>
    <w:rsid w:val="00EE1E7A"/>
    <w:rsid w:val="00EE21C7"/>
    <w:rsid w:val="00EE4EA9"/>
    <w:rsid w:val="00EE6553"/>
    <w:rsid w:val="00EE6B92"/>
    <w:rsid w:val="00EF00F8"/>
    <w:rsid w:val="00EF05EF"/>
    <w:rsid w:val="00EF23CB"/>
    <w:rsid w:val="00EF2470"/>
    <w:rsid w:val="00EF5470"/>
    <w:rsid w:val="00F02553"/>
    <w:rsid w:val="00F057A7"/>
    <w:rsid w:val="00F10813"/>
    <w:rsid w:val="00F11C5C"/>
    <w:rsid w:val="00F12341"/>
    <w:rsid w:val="00F21840"/>
    <w:rsid w:val="00F21C0E"/>
    <w:rsid w:val="00F21F45"/>
    <w:rsid w:val="00F238E3"/>
    <w:rsid w:val="00F274AE"/>
    <w:rsid w:val="00F307CE"/>
    <w:rsid w:val="00F3368F"/>
    <w:rsid w:val="00F33EF1"/>
    <w:rsid w:val="00F45C26"/>
    <w:rsid w:val="00F46D02"/>
    <w:rsid w:val="00F47458"/>
    <w:rsid w:val="00F51A0B"/>
    <w:rsid w:val="00F5205B"/>
    <w:rsid w:val="00F53782"/>
    <w:rsid w:val="00F544CB"/>
    <w:rsid w:val="00F550DA"/>
    <w:rsid w:val="00F60712"/>
    <w:rsid w:val="00F60AFA"/>
    <w:rsid w:val="00F6224F"/>
    <w:rsid w:val="00F67B29"/>
    <w:rsid w:val="00F7034A"/>
    <w:rsid w:val="00F716C3"/>
    <w:rsid w:val="00F71CD8"/>
    <w:rsid w:val="00F75B15"/>
    <w:rsid w:val="00F82909"/>
    <w:rsid w:val="00F83142"/>
    <w:rsid w:val="00F85D1D"/>
    <w:rsid w:val="00F86797"/>
    <w:rsid w:val="00F91957"/>
    <w:rsid w:val="00F92ED1"/>
    <w:rsid w:val="00F939D1"/>
    <w:rsid w:val="00F96196"/>
    <w:rsid w:val="00F964BF"/>
    <w:rsid w:val="00FA09D9"/>
    <w:rsid w:val="00FA2D6F"/>
    <w:rsid w:val="00FB1A80"/>
    <w:rsid w:val="00FB49A8"/>
    <w:rsid w:val="00FB4C96"/>
    <w:rsid w:val="00FB7578"/>
    <w:rsid w:val="00FC1DDA"/>
    <w:rsid w:val="00FD0696"/>
    <w:rsid w:val="00FD06B2"/>
    <w:rsid w:val="00FD1D43"/>
    <w:rsid w:val="00FE2B08"/>
    <w:rsid w:val="00FE5D00"/>
    <w:rsid w:val="00FE6C1E"/>
    <w:rsid w:val="00FE7E32"/>
    <w:rsid w:val="00FF004E"/>
    <w:rsid w:val="00FF0129"/>
    <w:rsid w:val="00FF0962"/>
    <w:rsid w:val="00FF0A4F"/>
    <w:rsid w:val="00FF3C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37D5C"/>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837D5C"/>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837D5C"/>
    <w:rPr>
      <w:lang w:val="pt-PT" w:eastAsia="zh-CN"/>
    </w:rPr>
  </w:style>
  <w:style w:type="paragraph" w:styleId="Rodap">
    <w:name w:val="footer"/>
    <w:basedOn w:val="Normal"/>
    <w:link w:val="RodapChar"/>
    <w:rsid w:val="00837D5C"/>
    <w:pPr>
      <w:tabs>
        <w:tab w:val="center" w:pos="4320"/>
        <w:tab w:val="right" w:pos="8640"/>
      </w:tabs>
      <w:ind w:firstLine="720"/>
    </w:pPr>
    <w:rPr>
      <w:rFonts w:ascii="Times New Roman" w:hAnsi="Times New Roman"/>
      <w:noProof w:val="0"/>
      <w:lang w:eastAsia="zh-CN"/>
    </w:rPr>
  </w:style>
  <w:style w:type="character" w:customStyle="1" w:styleId="RodapChar">
    <w:name w:val="Rodapé Char"/>
    <w:basedOn w:val="Fontepargpadro"/>
    <w:link w:val="Rodap"/>
    <w:rsid w:val="00837D5C"/>
    <w:rPr>
      <w:sz w:val="24"/>
      <w:szCs w:val="24"/>
      <w:lang w:val="pt-PT" w:eastAsia="zh-CN"/>
    </w:rPr>
  </w:style>
  <w:style w:type="paragraph" w:styleId="Ttulo">
    <w:name w:val="Title"/>
    <w:basedOn w:val="Normal"/>
    <w:link w:val="TtuloChar"/>
    <w:qFormat/>
    <w:rsid w:val="00837D5C"/>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837D5C"/>
    <w:rPr>
      <w:b/>
      <w:bCs/>
      <w:kern w:val="28"/>
      <w:sz w:val="32"/>
      <w:szCs w:val="32"/>
      <w:lang w:val="pt-PT" w:eastAsia="zh-CN"/>
    </w:rPr>
  </w:style>
  <w:style w:type="character" w:styleId="Refdenotaderodap">
    <w:name w:val="footnote reference"/>
    <w:basedOn w:val="Fontepargpadro"/>
    <w:semiHidden/>
    <w:rsid w:val="00837D5C"/>
    <w:rPr>
      <w:vertAlign w:val="superscript"/>
    </w:rPr>
  </w:style>
  <w:style w:type="character" w:styleId="Nmerodepgina">
    <w:name w:val="page number"/>
    <w:basedOn w:val="Fontepargpadro"/>
    <w:rsid w:val="00837D5C"/>
  </w:style>
  <w:style w:type="paragraph" w:styleId="Recuodecorpodetexto">
    <w:name w:val="Body Text Indent"/>
    <w:basedOn w:val="Normal"/>
    <w:link w:val="RecuodecorpodetextoChar"/>
    <w:rsid w:val="00837D5C"/>
    <w:pPr>
      <w:keepNext/>
      <w:tabs>
        <w:tab w:val="left" w:pos="720"/>
        <w:tab w:val="left" w:pos="3312"/>
      </w:tabs>
      <w:spacing w:before="720" w:after="360"/>
      <w:ind w:firstLine="720"/>
    </w:pPr>
    <w:rPr>
      <w:rFonts w:ascii="Times New Roman" w:hAnsi="Times New Roman"/>
      <w:b/>
      <w:bCs/>
      <w:noProof w:val="0"/>
      <w:sz w:val="28"/>
      <w:szCs w:val="28"/>
      <w:lang w:eastAsia="zh-CN"/>
    </w:rPr>
  </w:style>
  <w:style w:type="character" w:customStyle="1" w:styleId="RecuodecorpodetextoChar">
    <w:name w:val="Recuo de corpo de texto Char"/>
    <w:basedOn w:val="Fontepargpadro"/>
    <w:link w:val="Recuodecorpodetexto"/>
    <w:rsid w:val="00837D5C"/>
    <w:rPr>
      <w:b/>
      <w:bCs/>
      <w:sz w:val="28"/>
      <w:szCs w:val="28"/>
      <w:lang w:val="pt-PT" w:eastAsia="zh-CN"/>
    </w:rPr>
  </w:style>
  <w:style w:type="paragraph" w:styleId="Cabealho">
    <w:name w:val="header"/>
    <w:basedOn w:val="Normal"/>
    <w:link w:val="CabealhoChar"/>
    <w:uiPriority w:val="99"/>
    <w:semiHidden/>
    <w:unhideWhenUsed/>
    <w:rsid w:val="00ED67DF"/>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ED67DF"/>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B74E2-717E-4C14-8449-A7451156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4006</TotalTime>
  <Pages>61</Pages>
  <Words>23410</Words>
  <Characters>133443</Characters>
  <Application>Microsoft Office Word</Application>
  <DocSecurity>0</DocSecurity>
  <Lines>1112</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574</cp:revision>
  <dcterms:created xsi:type="dcterms:W3CDTF">2010-10-07T00:40:00Z</dcterms:created>
  <dcterms:modified xsi:type="dcterms:W3CDTF">2015-05-20T13:43:00Z</dcterms:modified>
</cp:coreProperties>
</file>