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01A" w:rsidRPr="006742F2" w:rsidRDefault="008F101A" w:rsidP="007A2801">
      <w:pPr>
        <w:pStyle w:val="Ttulo"/>
        <w:spacing w:before="3000" w:after="960"/>
        <w:rPr>
          <w:rFonts w:ascii="Arial Narrow" w:hAnsi="Arial Narrow"/>
        </w:rPr>
      </w:pPr>
      <w:r w:rsidRPr="006742F2">
        <w:rPr>
          <w:rFonts w:ascii="Arial Narrow" w:hAnsi="Arial Narrow"/>
        </w:rPr>
        <w:t>Parte 6</w:t>
      </w:r>
      <w:r w:rsidRPr="006742F2">
        <w:rPr>
          <w:rFonts w:ascii="Arial Narrow" w:hAnsi="Arial Narrow"/>
        </w:rPr>
        <w:br/>
      </w:r>
      <w:r w:rsidR="00AC6882">
        <w:rPr>
          <w:rFonts w:ascii="Arial Narrow" w:hAnsi="Arial Narrow"/>
        </w:rPr>
        <w:t>METAMORFOSES DO FASCISMO</w:t>
      </w:r>
    </w:p>
    <w:p w:rsidR="008F101A" w:rsidRPr="006742F2" w:rsidRDefault="008F101A" w:rsidP="008F101A">
      <w:pPr>
        <w:pStyle w:val="Ttulo"/>
        <w:spacing w:before="0" w:after="960"/>
        <w:rPr>
          <w:rFonts w:ascii="Arial Narrow" w:hAnsi="Arial Narrow"/>
        </w:rPr>
      </w:pPr>
      <w:r w:rsidRPr="006742F2">
        <w:rPr>
          <w:rFonts w:ascii="Arial Narrow" w:hAnsi="Arial Narrow"/>
        </w:rPr>
        <w:br w:type="page"/>
      </w:r>
      <w:r w:rsidRPr="006742F2">
        <w:rPr>
          <w:rFonts w:ascii="Arial Narrow" w:hAnsi="Arial Narrow"/>
        </w:rPr>
        <w:lastRenderedPageBreak/>
        <w:t>Capítulo 1</w:t>
      </w:r>
      <w:r w:rsidRPr="006742F2">
        <w:rPr>
          <w:rFonts w:ascii="Arial Narrow" w:hAnsi="Arial Narrow"/>
        </w:rPr>
        <w:br/>
        <w:t>O FASCISMO SEM NOME</w:t>
      </w:r>
    </w:p>
    <w:p w:rsidR="008F101A" w:rsidRPr="006742F2" w:rsidRDefault="008F101A" w:rsidP="00AE3613">
      <w:pPr>
        <w:pStyle w:val="Recuodecorpodetexto"/>
        <w:ind w:firstLine="0"/>
        <w:jc w:val="center"/>
        <w:rPr>
          <w:rFonts w:ascii="Arial Narrow" w:hAnsi="Arial Narrow"/>
        </w:rPr>
      </w:pPr>
      <w:r w:rsidRPr="006742F2">
        <w:rPr>
          <w:rFonts w:ascii="Arial Narrow" w:hAnsi="Arial Narrow"/>
        </w:rPr>
        <w:t>1. A dissimulação ideológica do fascismo permitiu-lhe uma existência larvar</w:t>
      </w:r>
    </w:p>
    <w:p w:rsidR="008F101A" w:rsidRDefault="008F101A" w:rsidP="008F101A">
      <w:r w:rsidRPr="006742F2">
        <w:t xml:space="preserve">Após a segunda guerra mundial a forma mais </w:t>
      </w:r>
      <w:r w:rsidR="004172CA">
        <w:t>nociva</w:t>
      </w:r>
      <w:r w:rsidRPr="006742F2">
        <w:t xml:space="preserve"> de fascismo tem sido a sua existência larvar. </w:t>
      </w:r>
      <w:r w:rsidR="004172CA">
        <w:t>Os fascismos foram der</w:t>
      </w:r>
      <w:r w:rsidR="006B7D9F">
        <w:t>r</w:t>
      </w:r>
      <w:r w:rsidR="004172CA">
        <w:t xml:space="preserve">otados nos campos de batalha e nas cidades bombardeadas muito antes de as suas contradições os terem derrubado ou sequer enfraquecido. Para agravar a situação, </w:t>
      </w:r>
      <w:r w:rsidR="004172CA" w:rsidRPr="006742F2">
        <w:t xml:space="preserve">a </w:t>
      </w:r>
      <w:r w:rsidRPr="006742F2">
        <w:t xml:space="preserve">vitória aliada não levou a uma crítica da ideologia fascista, mas à sua supressão material. Montou-se uma colossal operação de censura, que atingiu inclusivamente os precursores do fascismo, fazendo cair no esquecimento autores que haviam na sua época gozado de notoriedade ou, quando tal se revelou impossível, expurgando </w:t>
      </w:r>
      <w:r w:rsidR="006B7D9F">
        <w:t>algumas</w:t>
      </w:r>
      <w:r w:rsidRPr="006742F2">
        <w:t xml:space="preserve"> teses do corpo de ideias defendido por intocáveis celebridades. </w:t>
      </w:r>
    </w:p>
    <w:p w:rsidR="008F101A" w:rsidRDefault="008F101A" w:rsidP="008F101A">
      <w:r w:rsidRPr="00473F8B">
        <w:t xml:space="preserve">É elucidativo observar que do lado ocidental aquelas medidas </w:t>
      </w:r>
      <w:r>
        <w:t xml:space="preserve">censórias </w:t>
      </w:r>
      <w:r w:rsidRPr="00473F8B">
        <w:t xml:space="preserve">foram inauguradas, ou pelo menos conduzidas, por forças conservadoras, as mesmas que até 1939 haviam feito a apologia da ordem mussoliniana e defendido uma estratégia conciliatória relativamente </w:t>
      </w:r>
      <w:r w:rsidR="006B7D9F">
        <w:t xml:space="preserve">ao Terceiro Reich </w:t>
      </w:r>
      <w:r w:rsidRPr="00473F8B">
        <w:t xml:space="preserve">e que, com o começo da guerra fria, usaram antigos fascistas para melhor combater o comunismo de feição soviética. E a esquerda, cuja propensão à tesourada doutrinária é por demais conhecida, considerando progressista tudo o que se apresentasse como um ataque ao fascismo, apoiou alegremente as medidas </w:t>
      </w:r>
      <w:r>
        <w:t xml:space="preserve">de censura </w:t>
      </w:r>
      <w:r w:rsidRPr="00473F8B">
        <w:t xml:space="preserve">e empenhou-se em aplicá-las </w:t>
      </w:r>
      <w:r w:rsidR="00CE15E9">
        <w:t xml:space="preserve">e </w:t>
      </w:r>
      <w:r w:rsidR="007166E2">
        <w:t>reforçá</w:t>
      </w:r>
      <w:r w:rsidR="00CE15E9">
        <w:t xml:space="preserve">-las </w:t>
      </w:r>
      <w:r w:rsidRPr="00473F8B">
        <w:t>por conta própria. Não era a primeira vez, não será a última, que as boas intenções aparentes da esquerda servem finalidades contrárias. Os dirigentes soviéticos, com a sua corte de discípulos</w:t>
      </w:r>
      <w:r w:rsidR="007166E2">
        <w:t xml:space="preserve"> e apoiantes interessados</w:t>
      </w:r>
      <w:r w:rsidRPr="00473F8B">
        <w:t>, tinham de fazer esquecer que antes de inaugurarem a estratégia d</w:t>
      </w:r>
      <w:r w:rsidR="007166E2">
        <w:t>as</w:t>
      </w:r>
      <w:r w:rsidRPr="00473F8B">
        <w:t xml:space="preserve"> Frentes Populares haviam assinado um pacto de amizade com o governo fascista italiano e evitado cuidadosamente quaisquer críticas públicas a Mussolini</w:t>
      </w:r>
      <w:r w:rsidRPr="00473F8B">
        <w:rPr>
          <w:vertAlign w:val="superscript"/>
        </w:rPr>
        <w:footnoteReference w:id="1"/>
      </w:r>
      <w:r w:rsidRPr="00473F8B">
        <w:t xml:space="preserve"> e haviam patrocinado na Alemanha a </w:t>
      </w:r>
      <w:r w:rsidR="00A2417D">
        <w:t xml:space="preserve">conjugação de forças </w:t>
      </w:r>
      <w:r w:rsidRPr="00473F8B">
        <w:t xml:space="preserve">dos comunistas com os </w:t>
      </w:r>
      <w:r w:rsidR="00A2417D">
        <w:t xml:space="preserve">nacionais-socialistas </w:t>
      </w:r>
      <w:r w:rsidRPr="00473F8B">
        <w:t>contra a social-democracia, e que antes de se</w:t>
      </w:r>
      <w:r>
        <w:t>rem</w:t>
      </w:r>
      <w:r w:rsidRPr="00473F8B">
        <w:t xml:space="preserve"> lança</w:t>
      </w:r>
      <w:r>
        <w:t>dos</w:t>
      </w:r>
      <w:r w:rsidRPr="00473F8B">
        <w:t xml:space="preserve"> na Grande Guerra Patriótica tinham assinado com os governantes do Reich os tratados de não-agressão e de amizade, cooperação e demarcação e feito o possível por sabotar o esforço </w:t>
      </w:r>
      <w:r w:rsidRPr="00473F8B">
        <w:lastRenderedPageBreak/>
        <w:t xml:space="preserve">militar aliado. </w:t>
      </w:r>
      <w:r w:rsidRPr="001F6757">
        <w:t>O mais curioso é que esta obliteração da memória não se deveu apenas à esquerda oficial mas igualmente a alguns meios da extrema-esquerda radical</w:t>
      </w:r>
      <w:r>
        <w:t>.</w:t>
      </w:r>
      <w:r w:rsidRPr="001F6757">
        <w:t xml:space="preserve"> </w:t>
      </w:r>
    </w:p>
    <w:p w:rsidR="008F101A" w:rsidRDefault="008F101A" w:rsidP="008F101A">
      <w:r w:rsidRPr="00DB3D8D">
        <w:t xml:space="preserve">Afinal, são muitos os que têm alguma coisa a esconder ou, </w:t>
      </w:r>
      <w:r w:rsidR="00D77EC8">
        <w:t>mais grave</w:t>
      </w:r>
      <w:r w:rsidRPr="00DB3D8D">
        <w:t xml:space="preserve"> ainda, a esquecer</w:t>
      </w:r>
      <w:r>
        <w:t>.</w:t>
      </w:r>
      <w:r w:rsidRPr="00DB3D8D">
        <w:t xml:space="preserve"> </w:t>
      </w:r>
      <w:r w:rsidRPr="001F6757">
        <w:t xml:space="preserve">Diversas correntes da esquerda </w:t>
      </w:r>
      <w:r>
        <w:t xml:space="preserve">precisam de </w:t>
      </w:r>
      <w:r w:rsidRPr="001F6757">
        <w:t xml:space="preserve">apagar a teia de confluências e interferências e sobreposições que levou </w:t>
      </w:r>
      <w:r w:rsidR="00A2417D">
        <w:t xml:space="preserve">à </w:t>
      </w:r>
      <w:r w:rsidR="00D77EC8">
        <w:t>união</w:t>
      </w:r>
      <w:r w:rsidR="00A2417D">
        <w:t xml:space="preserve"> do sindicalismo revolucionário </w:t>
      </w:r>
      <w:r w:rsidR="00D77EC8">
        <w:t xml:space="preserve">com </w:t>
      </w:r>
      <w:r w:rsidR="00A2417D">
        <w:t xml:space="preserve">o nacionalismo e </w:t>
      </w:r>
      <w:r w:rsidR="004172CA">
        <w:t>suscitou</w:t>
      </w:r>
      <w:r w:rsidR="007166E2">
        <w:t xml:space="preserve"> </w:t>
      </w:r>
      <w:r w:rsidR="00931460">
        <w:t xml:space="preserve">a </w:t>
      </w:r>
      <w:r w:rsidR="00931460" w:rsidRPr="001F6757">
        <w:t>criação de um espaço de difusão do fascismo</w:t>
      </w:r>
      <w:r w:rsidR="00A2417D">
        <w:t>.</w:t>
      </w:r>
      <w:r w:rsidRPr="001F6757">
        <w:t xml:space="preserve"> </w:t>
      </w:r>
      <w:r w:rsidR="00A2417D">
        <w:t xml:space="preserve">Tal </w:t>
      </w:r>
      <w:r>
        <w:t xml:space="preserve">como do outro lado é necessário ocultar </w:t>
      </w:r>
      <w:r w:rsidR="00D77EC8">
        <w:t xml:space="preserve">o que existe de comum entre </w:t>
      </w:r>
      <w:r w:rsidRPr="00DB3D8D">
        <w:t xml:space="preserve">a génese </w:t>
      </w:r>
      <w:r w:rsidR="00D77EC8" w:rsidRPr="00DB3D8D">
        <w:t xml:space="preserve">das doutrinas liberais </w:t>
      </w:r>
      <w:r w:rsidR="00D77EC8">
        <w:t xml:space="preserve">e </w:t>
      </w:r>
      <w:r w:rsidRPr="00DB3D8D">
        <w:t>das doutrinas fascistas.</w:t>
      </w:r>
      <w:r>
        <w:t xml:space="preserve"> Os ideólogos </w:t>
      </w:r>
      <w:r w:rsidRPr="001F6757">
        <w:t>conservadores obnubila</w:t>
      </w:r>
      <w:r>
        <w:t>m</w:t>
      </w:r>
      <w:r w:rsidRPr="001F6757">
        <w:t xml:space="preserve"> que o fascismo se incluiu legitimamente n</w:t>
      </w:r>
      <w:r w:rsidR="007166E2">
        <w:t xml:space="preserve">a tradição de </w:t>
      </w:r>
      <w:r w:rsidRPr="001F6757">
        <w:t xml:space="preserve">elitismo das democracias e que o racismo </w:t>
      </w:r>
      <w:r w:rsidR="00A2417D">
        <w:t xml:space="preserve">hitleriano </w:t>
      </w:r>
      <w:r w:rsidRPr="001F6757">
        <w:t>teve as suas raízes nas especulações linguísticas do romantismo germânico e nas teorias</w:t>
      </w:r>
      <w:r w:rsidR="00A2417D">
        <w:t>,</w:t>
      </w:r>
      <w:r w:rsidRPr="001F6757">
        <w:t xml:space="preserve"> </w:t>
      </w:r>
      <w:r w:rsidR="00A2417D">
        <w:t xml:space="preserve">consideradas </w:t>
      </w:r>
      <w:r w:rsidRPr="001F6757">
        <w:t>científicas</w:t>
      </w:r>
      <w:r w:rsidR="00A2417D">
        <w:t>,</w:t>
      </w:r>
      <w:r w:rsidRPr="001F6757">
        <w:t xml:space="preserve"> </w:t>
      </w:r>
      <w:r w:rsidR="00A2417D">
        <w:t>dos eugenistas</w:t>
      </w:r>
      <w:r w:rsidRPr="001F6757">
        <w:t>.</w:t>
      </w:r>
      <w:r>
        <w:t xml:space="preserve"> </w:t>
      </w:r>
      <w:r w:rsidR="00D743F6" w:rsidRPr="00237599">
        <w:t xml:space="preserve">Aliás, Houston Stewart Chamberlain, o mais directo precursor da doutrina racial </w:t>
      </w:r>
      <w:r w:rsidR="00D743F6">
        <w:t>do Terceiro Reich</w:t>
      </w:r>
      <w:r w:rsidR="00D743F6" w:rsidRPr="00237599">
        <w:t>, definira o século XIX como «século da filologia» e «século das raças»</w:t>
      </w:r>
      <w:r w:rsidR="00D743F6" w:rsidRPr="00237599">
        <w:rPr>
          <w:vertAlign w:val="superscript"/>
        </w:rPr>
        <w:footnoteReference w:id="2"/>
      </w:r>
      <w:r w:rsidR="00D743F6" w:rsidRPr="00237599">
        <w:t xml:space="preserve">. </w:t>
      </w:r>
      <w:r w:rsidRPr="00237599">
        <w:t xml:space="preserve">Desta maneira podem hoje apresentar-se como se </w:t>
      </w:r>
      <w:r w:rsidR="00D77EC8">
        <w:t>tivessem sido</w:t>
      </w:r>
      <w:r w:rsidRPr="00237599">
        <w:t xml:space="preserve"> </w:t>
      </w:r>
      <w:r w:rsidR="007166E2">
        <w:t xml:space="preserve">uma invenção do </w:t>
      </w:r>
      <w:r w:rsidR="00C67A1C">
        <w:t>nacional-socialis</w:t>
      </w:r>
      <w:r w:rsidR="007166E2">
        <w:t>mo</w:t>
      </w:r>
      <w:r w:rsidRPr="00237599">
        <w:t xml:space="preserve"> algumas concepções que tinham curso nos meios cultos europeus e norte-americanos do final do século XIX e das primeiras décadas do século XX. </w:t>
      </w:r>
      <w:r w:rsidR="00C67A1C" w:rsidRPr="00237599">
        <w:t xml:space="preserve">Quando </w:t>
      </w:r>
      <w:r w:rsidRPr="00237599">
        <w:t xml:space="preserve">sabemos que os arquivos norte-americanos expurgaram </w:t>
      </w:r>
      <w:r w:rsidR="000F2706">
        <w:t>certos</w:t>
      </w:r>
      <w:r w:rsidRPr="00237599">
        <w:t xml:space="preserve"> panfletos de propaganda eugenista mais estridente, conhecidos hoje só porque foram guardados </w:t>
      </w:r>
      <w:r w:rsidR="007166E2">
        <w:t>nos</w:t>
      </w:r>
      <w:r w:rsidRPr="00237599">
        <w:t xml:space="preserve"> arquivos britânicos</w:t>
      </w:r>
      <w:r w:rsidRPr="00237599">
        <w:rPr>
          <w:vertAlign w:val="superscript"/>
        </w:rPr>
        <w:footnoteReference w:id="3"/>
      </w:r>
      <w:r w:rsidRPr="00237599">
        <w:t>, podemos avaliar o grau atingido pela obliteração da memória</w:t>
      </w:r>
      <w:r>
        <w:t>.</w:t>
      </w:r>
      <w:r w:rsidRPr="00237599">
        <w:t xml:space="preserve"> </w:t>
      </w:r>
    </w:p>
    <w:p w:rsidR="008F101A" w:rsidRDefault="008F101A" w:rsidP="008F101A">
      <w:r w:rsidRPr="00237599">
        <w:t xml:space="preserve">O mesmo programa censório, e com resultados igualmente nocivos, atingiu os autores </w:t>
      </w:r>
      <w:r>
        <w:t xml:space="preserve">propriamente </w:t>
      </w:r>
      <w:r w:rsidRPr="00237599">
        <w:t>fascistas</w:t>
      </w:r>
      <w:r w:rsidR="00FA30B8">
        <w:t>,</w:t>
      </w:r>
      <w:r w:rsidRPr="00237599">
        <w:t xml:space="preserve"> </w:t>
      </w:r>
      <w:r w:rsidR="00FA30B8">
        <w:t xml:space="preserve">cujos </w:t>
      </w:r>
      <w:r w:rsidRPr="00237599">
        <w:t xml:space="preserve">livros desapareceram das livrarias e foram retirados de </w:t>
      </w:r>
      <w:r w:rsidR="001D7CDF">
        <w:t>numerosas</w:t>
      </w:r>
      <w:r w:rsidRPr="00237599">
        <w:t xml:space="preserve"> bibliotecas. </w:t>
      </w:r>
      <w:r w:rsidR="00FA30B8">
        <w:t>Na Alemanha as autoridades ocupantes confiscaram e destruíram os manuais escolares</w:t>
      </w:r>
      <w:r w:rsidR="008160CB">
        <w:t>,</w:t>
      </w:r>
      <w:r w:rsidR="00FA30B8">
        <w:t xml:space="preserve"> </w:t>
      </w:r>
      <w:r w:rsidR="008160CB">
        <w:t xml:space="preserve">incluindo os </w:t>
      </w:r>
      <w:r w:rsidR="00FA30B8">
        <w:t>que difundiam as teses nacional-socialistas sobre biologia e ecologia</w:t>
      </w:r>
      <w:r w:rsidR="00FA30B8">
        <w:rPr>
          <w:rStyle w:val="Refdenotaderodap"/>
        </w:rPr>
        <w:footnoteReference w:id="4"/>
      </w:r>
      <w:r w:rsidR="00FA30B8">
        <w:t xml:space="preserve">. </w:t>
      </w:r>
      <w:r w:rsidRPr="00237599">
        <w:t>Em França logo no começo de 1945 os livreiros receberam ordem para não ter à venda obras colaboracionistas, defensoras do regime de Pétain ou anti-semitas e as devolverem aos editores</w:t>
      </w:r>
      <w:r w:rsidRPr="00237599">
        <w:rPr>
          <w:vertAlign w:val="superscript"/>
        </w:rPr>
        <w:footnoteReference w:id="5"/>
      </w:r>
      <w:r w:rsidRPr="00237599">
        <w:t xml:space="preserve">. </w:t>
      </w:r>
      <w:r w:rsidR="00161CF2">
        <w:t>Medidas equivalentes foram tomadas na Bélgica</w:t>
      </w:r>
      <w:r w:rsidR="00161CF2">
        <w:rPr>
          <w:rStyle w:val="Refdenotaderodap"/>
        </w:rPr>
        <w:footnoteReference w:id="6"/>
      </w:r>
      <w:r w:rsidR="00161CF2">
        <w:t xml:space="preserve">. </w:t>
      </w:r>
      <w:r>
        <w:t>Importantes</w:t>
      </w:r>
      <w:r w:rsidRPr="002D0727">
        <w:t xml:space="preserve"> colecções de pintura e escultura de inspiração </w:t>
      </w:r>
      <w:r w:rsidR="00C67A1C">
        <w:t>nacional-socialista</w:t>
      </w:r>
      <w:r w:rsidRPr="002D0727">
        <w:t xml:space="preserve"> ficaram inacessíveis ao público</w:t>
      </w:r>
      <w:r w:rsidRPr="002D0727">
        <w:rPr>
          <w:vertAlign w:val="superscript"/>
        </w:rPr>
        <w:footnoteReference w:id="7"/>
      </w:r>
      <w:r w:rsidRPr="002D0727">
        <w:t xml:space="preserve"> </w:t>
      </w:r>
      <w:r>
        <w:t>e</w:t>
      </w:r>
      <w:r w:rsidR="000D6F74">
        <w:t>, um exemplo entre outros,</w:t>
      </w:r>
      <w:r>
        <w:t xml:space="preserve"> em </w:t>
      </w:r>
      <w:r w:rsidRPr="002D0727">
        <w:t>Novembro de 1974</w:t>
      </w:r>
      <w:r>
        <w:t xml:space="preserve"> </w:t>
      </w:r>
      <w:r w:rsidRPr="002D0727">
        <w:t xml:space="preserve">a esquerda radical </w:t>
      </w:r>
      <w:r>
        <w:t xml:space="preserve">protestou </w:t>
      </w:r>
      <w:r w:rsidRPr="002D0727">
        <w:t>em Frankfurt</w:t>
      </w:r>
      <w:r>
        <w:t xml:space="preserve"> </w:t>
      </w:r>
      <w:r w:rsidRPr="002D0727">
        <w:t xml:space="preserve">contra a abertura de uma exposição dedicada ao tema da arte </w:t>
      </w:r>
      <w:r w:rsidR="00C67A1C">
        <w:t>do Terceiro Reich</w:t>
      </w:r>
      <w:r w:rsidRPr="002D0727">
        <w:t xml:space="preserve"> enquanto instrumento de dominação</w:t>
      </w:r>
      <w:r w:rsidRPr="002D0727">
        <w:rPr>
          <w:vertAlign w:val="superscript"/>
        </w:rPr>
        <w:footnoteReference w:id="8"/>
      </w:r>
      <w:r>
        <w:t>.</w:t>
      </w:r>
      <w:r w:rsidRPr="002D0727">
        <w:t xml:space="preserve"> </w:t>
      </w:r>
      <w:r w:rsidRPr="00237599">
        <w:t xml:space="preserve">Por todo o lado os filmes mais explicitamente fascistas deixaram de ser exibidos em </w:t>
      </w:r>
      <w:r w:rsidRPr="00237599">
        <w:lastRenderedPageBreak/>
        <w:t>salas comerciais e só raras vezes as cinematecas os projecta</w:t>
      </w:r>
      <w:r w:rsidR="00CE7B09">
        <w:t>r</w:t>
      </w:r>
      <w:r w:rsidR="001D7CDF">
        <w:t>a</w:t>
      </w:r>
      <w:r w:rsidRPr="00237599">
        <w:t>m</w:t>
      </w:r>
      <w:r w:rsidRPr="00237599">
        <w:rPr>
          <w:vertAlign w:val="superscript"/>
        </w:rPr>
        <w:footnoteReference w:id="9"/>
      </w:r>
      <w:r>
        <w:t>.</w:t>
      </w:r>
      <w:r w:rsidRPr="00237599">
        <w:t xml:space="preserve"> </w:t>
      </w:r>
      <w:r>
        <w:t xml:space="preserve">Foram ainda certos </w:t>
      </w:r>
      <w:r w:rsidRPr="00CA6769">
        <w:t>meios da extrema-esquerda que numa universidade parisiense tentaram boicotar a exibição de documentários sobre o fascismo e a exibição crítica de filmes fascistas durante um curso sobre este tema realizado em 1974 e 1975 por um conjunto de professores e escritores marxistas ou de inspiração marxista, exteriores às várias ortodoxias</w:t>
      </w:r>
      <w:r w:rsidRPr="00CA6769">
        <w:rPr>
          <w:vertAlign w:val="superscript"/>
        </w:rPr>
        <w:footnoteReference w:id="10"/>
      </w:r>
      <w:r w:rsidRPr="00CA6769">
        <w:t>. Um dos visados lastimou «uma certa incapacidade de certas correntes da extrema-esquerda de compreender a necessidade de estudar o fascismo [...]»</w:t>
      </w:r>
      <w:r w:rsidRPr="00CA6769">
        <w:rPr>
          <w:vertAlign w:val="superscript"/>
        </w:rPr>
        <w:footnoteReference w:id="11"/>
      </w:r>
      <w:r w:rsidRPr="00CA6769">
        <w:t>. O que sobretudo indignava os vociferadores era a exibição de testemunhos mostrando o apoio de massas de que os regimes fascistas haviam beneficiado. «A classe operária é pura», gritavam eles</w:t>
      </w:r>
      <w:r w:rsidRPr="00CA6769">
        <w:rPr>
          <w:vertAlign w:val="superscript"/>
        </w:rPr>
        <w:footnoteReference w:id="12"/>
      </w:r>
      <w:r w:rsidRPr="00CA6769">
        <w:t>, e tal como aqueles adversários de Galileo que outrora se tinham recusado a espreitar pela luneta, também estes não queriam olhar as imagens.</w:t>
      </w:r>
      <w:r>
        <w:t xml:space="preserve"> </w:t>
      </w:r>
      <w:r w:rsidR="000F2706">
        <w:t xml:space="preserve">Nos dias em que escrevo </w:t>
      </w:r>
      <w:r w:rsidRPr="00DB3D8D">
        <w:t>as atitudes não mudaram</w:t>
      </w:r>
      <w:r w:rsidR="00C67A1C">
        <w:t>, se não é que pioraram</w:t>
      </w:r>
      <w:r w:rsidRPr="00DB3D8D">
        <w:t>.</w:t>
      </w:r>
      <w:r>
        <w:t xml:space="preserve"> </w:t>
      </w:r>
    </w:p>
    <w:p w:rsidR="008F101A" w:rsidRPr="00237599" w:rsidRDefault="008F101A" w:rsidP="008F101A">
      <w:r w:rsidRPr="00237599">
        <w:t xml:space="preserve">As histórias da arte ou da literatura omitem os nomes dos artistas plásticos e dos escritores que atingiram a celebridade </w:t>
      </w:r>
      <w:r w:rsidR="001D3DF1">
        <w:t>n</w:t>
      </w:r>
      <w:r w:rsidRPr="00237599">
        <w:t>o Terceiro Reich</w:t>
      </w:r>
      <w:r w:rsidRPr="00237599">
        <w:rPr>
          <w:vertAlign w:val="superscript"/>
        </w:rPr>
        <w:footnoteReference w:id="13"/>
      </w:r>
      <w:r w:rsidRPr="00237599">
        <w:t xml:space="preserve">, o que talvez tenha mais inconvenientes para o conhecimento do fascismo do que da estética, mas verdadeiramente grave é o facto de ser sistematicamente escamoteado dessas histórias, das enciclopédias e das biografias correntes o empenho com que tantos artistas, entre os mais reputados das vanguardas europeias, celebraram a prosápia mussoliniana. As obras sobre o futurismo italiano ou o vorticismo inglês abordam na grande maioria dos casos uma corrente estética ignorando que ela era, ao mesmo tempo e inseparavelmente, uma corrente </w:t>
      </w:r>
      <w:r w:rsidR="001D3DF1">
        <w:t xml:space="preserve">política </w:t>
      </w:r>
      <w:r w:rsidRPr="00237599">
        <w:t xml:space="preserve">fascista. </w:t>
      </w:r>
      <w:r w:rsidR="00703554">
        <w:t>E</w:t>
      </w:r>
      <w:r w:rsidR="00FD6D8F">
        <w:t>, para me ater aos dois maiores nomes,</w:t>
      </w:r>
      <w:r w:rsidR="00703554">
        <w:t xml:space="preserve"> como pode</w:t>
      </w:r>
      <w:r w:rsidR="0037727B">
        <w:t>rão</w:t>
      </w:r>
      <w:r w:rsidR="00703554">
        <w:t xml:space="preserve"> compreender-se os romances de Céline </w:t>
      </w:r>
      <w:r w:rsidR="00932A34">
        <w:t xml:space="preserve">sem ler </w:t>
      </w:r>
      <w:r w:rsidR="00703554">
        <w:t xml:space="preserve">as </w:t>
      </w:r>
      <w:r w:rsidR="00703554" w:rsidRPr="00C82A49">
        <w:rPr>
          <w:i/>
        </w:rPr>
        <w:t>Bagatelles pour un Massacre</w:t>
      </w:r>
      <w:r w:rsidR="00703554">
        <w:t xml:space="preserve">, </w:t>
      </w:r>
      <w:r w:rsidR="00F419E3" w:rsidRPr="00CC185F">
        <w:rPr>
          <w:i/>
        </w:rPr>
        <w:t>L’École des Cadavres</w:t>
      </w:r>
      <w:r w:rsidR="00F419E3">
        <w:t xml:space="preserve"> e </w:t>
      </w:r>
      <w:r w:rsidR="00703554" w:rsidRPr="00C82A49">
        <w:rPr>
          <w:i/>
        </w:rPr>
        <w:t>Les Beaux Draps</w:t>
      </w:r>
      <w:r w:rsidR="00703554">
        <w:t xml:space="preserve"> ou </w:t>
      </w:r>
      <w:r w:rsidR="000F2706">
        <w:t>como pode</w:t>
      </w:r>
      <w:r w:rsidR="0037727B">
        <w:t>rá</w:t>
      </w:r>
      <w:r w:rsidR="000F2706">
        <w:t xml:space="preserve"> </w:t>
      </w:r>
      <w:r w:rsidR="00703554">
        <w:t xml:space="preserve">abordar-se a poesia de Ezra Pound em desconhecimento das palestras que proferiu na Rádio Roma entre </w:t>
      </w:r>
      <w:r w:rsidR="00EC28CE">
        <w:t>1941 e 1943</w:t>
      </w:r>
      <w:r w:rsidR="00FD6D8F">
        <w:t>?</w:t>
      </w:r>
      <w:r w:rsidR="00EC28CE">
        <w:t xml:space="preserve"> Mais modestamente, </w:t>
      </w:r>
      <w:r w:rsidR="00EC28CE" w:rsidRPr="00237599">
        <w:t xml:space="preserve">com </w:t>
      </w:r>
      <w:r w:rsidRPr="00237599">
        <w:t xml:space="preserve">que cómica seriedade os pensadores e chefes políticos da actual democracia portuguesa promovem a santuário da consciência nacional os poetas e pintores do grupo do </w:t>
      </w:r>
      <w:r w:rsidRPr="00237599">
        <w:rPr>
          <w:i/>
        </w:rPr>
        <w:t>Orpheu,</w:t>
      </w:r>
      <w:r w:rsidRPr="00237599">
        <w:t xml:space="preserve"> apesar de </w:t>
      </w:r>
      <w:r w:rsidR="00FD6D8F">
        <w:t xml:space="preserve">entre </w:t>
      </w:r>
      <w:r w:rsidRPr="00237599">
        <w:t>eles se terem contado os primeiros a introduzir no seu país os temas do fascismo radical</w:t>
      </w:r>
      <w:r w:rsidRPr="00237599">
        <w:rPr>
          <w:vertAlign w:val="superscript"/>
        </w:rPr>
        <w:footnoteReference w:id="14"/>
      </w:r>
      <w:r w:rsidRPr="00237599">
        <w:t xml:space="preserve">! E um grande número de personalidades </w:t>
      </w:r>
      <w:r w:rsidRPr="00237599">
        <w:lastRenderedPageBreak/>
        <w:t>intelectuais que pontificaram na França das décadas de 1950 e 1960 deixou esbater-se no conveniente esquecimento o período formador das suas concepções, durante a década de 1930, quando eram movidas pelo militantismo plebeu de Doriot ou, mais sofisticadamente, frequentavam a tecnocracia inspirada por Marcel Déat. Nem os libertários escapam a este afã de adulteração, pois quantas são as antologias de textos de Sorel e dos demais sindicalistas revolucionários cujos prefácios e notas tenham o cuidado de mencionar claramente o destino des</w:t>
      </w:r>
      <w:r w:rsidR="001D3DF1">
        <w:t>t</w:t>
      </w:r>
      <w:r w:rsidRPr="00237599">
        <w:t>as figuras? Seria necessário ocupar durante vári</w:t>
      </w:r>
      <w:r w:rsidR="001D3DF1">
        <w:t>o</w:t>
      </w:r>
      <w:r w:rsidRPr="00237599">
        <w:t xml:space="preserve">s </w:t>
      </w:r>
      <w:r w:rsidR="001D3DF1">
        <w:t xml:space="preserve">anos </w:t>
      </w:r>
      <w:r w:rsidRPr="00237599">
        <w:t>consideráve</w:t>
      </w:r>
      <w:r w:rsidR="00750720">
        <w:t>is</w:t>
      </w:r>
      <w:r w:rsidRPr="00237599">
        <w:t xml:space="preserve"> equipa</w:t>
      </w:r>
      <w:r w:rsidR="00750720">
        <w:t>s</w:t>
      </w:r>
      <w:r w:rsidRPr="00237599">
        <w:t xml:space="preserve"> de </w:t>
      </w:r>
      <w:r w:rsidR="00C867F6">
        <w:t>pesquisadores</w:t>
      </w:r>
      <w:r w:rsidRPr="00237599">
        <w:t xml:space="preserve"> para traçar, nos silêncios do presente, a história de um ocultamento deliberado</w:t>
      </w:r>
      <w:r w:rsidR="00750720">
        <w:t xml:space="preserve"> e </w:t>
      </w:r>
      <w:r w:rsidR="00750720" w:rsidRPr="00237599">
        <w:t xml:space="preserve">repor nos devidos termos </w:t>
      </w:r>
      <w:r w:rsidR="00750720">
        <w:t>o que foi uma complexa teia de relações</w:t>
      </w:r>
      <w:r w:rsidR="00750720" w:rsidRPr="00237599">
        <w:t>.</w:t>
      </w:r>
      <w:r w:rsidR="00750720">
        <w:t xml:space="preserve"> </w:t>
      </w:r>
    </w:p>
    <w:p w:rsidR="008F101A" w:rsidRDefault="008F101A" w:rsidP="008F101A">
      <w:pPr>
        <w:tabs>
          <w:tab w:val="left" w:pos="720"/>
          <w:tab w:val="left" w:pos="3312"/>
        </w:tabs>
      </w:pPr>
      <w:r>
        <w:t>A</w:t>
      </w:r>
      <w:r w:rsidRPr="00401089">
        <w:t xml:space="preserve"> censura sistemática da ideologia, acompanhada pelo facto de </w:t>
      </w:r>
      <w:r w:rsidR="006A131D">
        <w:t>muit</w:t>
      </w:r>
      <w:r w:rsidRPr="00401089">
        <w:t>os ideólogos terem desaparecido d</w:t>
      </w:r>
      <w:r w:rsidR="00D041A3">
        <w:t>a</w:t>
      </w:r>
      <w:r w:rsidRPr="00401089">
        <w:t xml:space="preserve"> cena, </w:t>
      </w:r>
      <w:r w:rsidR="00597E0E">
        <w:t xml:space="preserve">ou porque foram </w:t>
      </w:r>
      <w:r w:rsidR="00FE634E">
        <w:t>condenados à morte</w:t>
      </w:r>
      <w:r w:rsidR="00597E0E">
        <w:t xml:space="preserve"> ou porque se reciclaram, </w:t>
      </w:r>
      <w:r w:rsidRPr="00401089">
        <w:t>levou a que numerosos historiadores e estudiosos da política, cujo universo se reduz à documentação disponível nas bibliotecas e às interpretações veiculadas pelas edi</w:t>
      </w:r>
      <w:r>
        <w:t>ções</w:t>
      </w:r>
      <w:r w:rsidRPr="00401089">
        <w:t xml:space="preserve"> universitárias, passassem a considerar que no fascismo teria prevalecido a prática, quando, pelo contrário, a especificidade </w:t>
      </w:r>
      <w:r w:rsidR="007E69BC">
        <w:t>—</w:t>
      </w:r>
      <w:r w:rsidRPr="00401089">
        <w:t xml:space="preserve"> ou o enigma </w:t>
      </w:r>
      <w:r w:rsidR="007E69BC">
        <w:t>—</w:t>
      </w:r>
      <w:r w:rsidRPr="00401089">
        <w:t xml:space="preserve"> do fascismo</w:t>
      </w:r>
      <w:r w:rsidR="007E69BC">
        <w:t xml:space="preserve"> </w:t>
      </w:r>
      <w:r w:rsidRPr="00401089">
        <w:t xml:space="preserve">consistiu em ter subsumido a prática à ideologia. Quanto aos especialistas que abordam o fascismo como um corpo de ideias, são tão </w:t>
      </w:r>
      <w:r w:rsidR="0014224A">
        <w:t xml:space="preserve">raros </w:t>
      </w:r>
      <w:r w:rsidRPr="00401089">
        <w:t>os que não as desnaturam, que mal reconhecemos naquelas análises algum traço da inspiração originária.</w:t>
      </w:r>
      <w:r>
        <w:t xml:space="preserve"> </w:t>
      </w:r>
      <w:r w:rsidR="00FE634E">
        <w:t xml:space="preserve">Sobram muito poucos que tenham sabido reconstituir a ideologia fascista e situar o fascismo na rede de relações </w:t>
      </w:r>
      <w:r w:rsidR="006A131D">
        <w:t xml:space="preserve">políticas </w:t>
      </w:r>
      <w:r w:rsidR="00FE634E">
        <w:t>que ocupou, o que os torna tanto mais merecedores d</w:t>
      </w:r>
      <w:r w:rsidR="00995903">
        <w:t>a nossa gratidão</w:t>
      </w:r>
      <w:r w:rsidR="00FE634E">
        <w:t xml:space="preserve">. </w:t>
      </w:r>
    </w:p>
    <w:p w:rsidR="008F101A" w:rsidRDefault="008F101A" w:rsidP="008F101A">
      <w:pPr>
        <w:tabs>
          <w:tab w:val="left" w:pos="720"/>
          <w:tab w:val="left" w:pos="3312"/>
        </w:tabs>
      </w:pPr>
      <w:r w:rsidRPr="006742F2">
        <w:t>Es</w:t>
      </w:r>
      <w:r w:rsidR="00FE634E">
        <w:t>s</w:t>
      </w:r>
      <w:r w:rsidRPr="006742F2">
        <w:t>e processo generalizado de dissimulação correspondeu aos interesses de muitíssima gente demasiado comprometida com os regimes fascistas, que logo após o final da guerra procur</w:t>
      </w:r>
      <w:r>
        <w:t>ou</w:t>
      </w:r>
      <w:r w:rsidRPr="006742F2">
        <w:t xml:space="preserve"> fazer com as suas pessoas o mesmo que era feito com as suas ideias </w:t>
      </w:r>
      <w:r w:rsidR="007E69BC">
        <w:t>—</w:t>
      </w:r>
      <w:r w:rsidRPr="006742F2">
        <w:t xml:space="preserve"> forjar identidades falsas, esconder-se, passar despercebida, mudar de pele. </w:t>
      </w:r>
      <w:r w:rsidR="007E69BC">
        <w:t xml:space="preserve">Não me refiro apenas a escritores e filósofos, mas igualmente a administradores e economistas e </w:t>
      </w:r>
      <w:r w:rsidR="00597E0E">
        <w:t>antropólogos</w:t>
      </w:r>
      <w:r w:rsidR="007E69BC">
        <w:t xml:space="preserve">, para nem falar dos biólogos que levaram para as universidades e institutos de pesquisa das democracias os conhecimentos que haviam armazenado nos principais institutos raciais do Terceiro Reich. </w:t>
      </w:r>
      <w:r w:rsidR="007E69BC" w:rsidRPr="00473F8B">
        <w:t xml:space="preserve">Para </w:t>
      </w:r>
      <w:r w:rsidR="007E69BC">
        <w:t xml:space="preserve">aqueles </w:t>
      </w:r>
      <w:r w:rsidRPr="00473F8B">
        <w:t>que continuaram fiéis</w:t>
      </w:r>
      <w:r>
        <w:t>,</w:t>
      </w:r>
      <w:r w:rsidRPr="00473F8B">
        <w:t xml:space="preserve"> </w:t>
      </w:r>
      <w:r>
        <w:t>a</w:t>
      </w:r>
      <w:r w:rsidRPr="00473F8B">
        <w:t xml:space="preserve"> esponja passada </w:t>
      </w:r>
      <w:r w:rsidR="007E69BC">
        <w:t>discretamente</w:t>
      </w:r>
      <w:r w:rsidRPr="00473F8B">
        <w:t xml:space="preserve"> sobre as suas </w:t>
      </w:r>
      <w:r>
        <w:t>doutrinas</w:t>
      </w:r>
      <w:r w:rsidRPr="00473F8B">
        <w:t xml:space="preserve"> constituiu um incalculável benefício, permitindo-lhes reorganizarem-se na sombra e prosseguir as mesmas aspirações em novos termos e com novos temas. </w:t>
      </w:r>
    </w:p>
    <w:p w:rsidR="0025767B" w:rsidRDefault="0025767B" w:rsidP="0025767B">
      <w:pPr>
        <w:tabs>
          <w:tab w:val="left" w:pos="720"/>
          <w:tab w:val="left" w:pos="3312"/>
        </w:tabs>
      </w:pPr>
      <w:r w:rsidRPr="006742F2">
        <w:lastRenderedPageBreak/>
        <w:t xml:space="preserve">Talvez nem tivesse passado uma década sobre o final da guerra, ainda estava viva e de boa saúde a esmagadora maioria dos que haviam sobrado da carnificina, e já </w:t>
      </w:r>
      <w:r>
        <w:t xml:space="preserve">aquilo que os jornalistas denominam opinião pública, e que é na realidade a opinião </w:t>
      </w:r>
      <w:r w:rsidR="00FF71F9">
        <w:t>desejada por</w:t>
      </w:r>
      <w:r>
        <w:t xml:space="preserve"> quem lhes paga, </w:t>
      </w:r>
      <w:r w:rsidRPr="006742F2">
        <w:t xml:space="preserve">tinha </w:t>
      </w:r>
      <w:r>
        <w:t>cancelado a memória d</w:t>
      </w:r>
      <w:r w:rsidRPr="006742F2">
        <w:t xml:space="preserve">o conteúdo </w:t>
      </w:r>
      <w:r w:rsidR="00CD2F56">
        <w:t xml:space="preserve">programático e </w:t>
      </w:r>
      <w:r w:rsidRPr="006742F2">
        <w:t xml:space="preserve">ideológico dos fascismos. </w:t>
      </w:r>
      <w:r w:rsidR="00A00AF1">
        <w:t xml:space="preserve">Começou a dizer-se em todo os tons que </w:t>
      </w:r>
      <w:r w:rsidR="00A00AF1" w:rsidRPr="006742F2">
        <w:t xml:space="preserve">o </w:t>
      </w:r>
      <w:r w:rsidRPr="006742F2">
        <w:t xml:space="preserve">único defeito de Mussolini fora o de ter feito a guerra do lado errado e o imperdoável pecado de Hitler consistira em ter levado demasiado longe a sua ideia fixa de exterminar os judeus. Esta visão desnaturada dos acontecimentos foi o resultado mais caricatural </w:t>
      </w:r>
      <w:r>
        <w:t>da</w:t>
      </w:r>
      <w:r w:rsidRPr="006742F2">
        <w:t xml:space="preserve"> sistemática censura que obscurece</w:t>
      </w:r>
      <w:r>
        <w:t>u</w:t>
      </w:r>
      <w:r w:rsidRPr="006742F2">
        <w:t xml:space="preserve"> o corpo doutrinário dos fascismos. O resultado mais dramático foi a infiltração operada pelas ideias fascistas, tanto mais fácil quanto rarissimamente se apresentam como tais. </w:t>
      </w:r>
      <w:r w:rsidR="00B56AB8">
        <w:t xml:space="preserve">A prova de que o fascismo não constituiu </w:t>
      </w:r>
      <w:r w:rsidRPr="006742F2">
        <w:t xml:space="preserve">uma anomalia na evolução do capitalismo, </w:t>
      </w:r>
      <w:r w:rsidR="00B56AB8">
        <w:t xml:space="preserve">que tivesse sido depois </w:t>
      </w:r>
      <w:r w:rsidRPr="006742F2">
        <w:t xml:space="preserve">corrigida pelo curso da história, </w:t>
      </w:r>
      <w:r w:rsidR="00B56AB8">
        <w:t xml:space="preserve">é que ele </w:t>
      </w:r>
      <w:r w:rsidRPr="006742F2">
        <w:t xml:space="preserve">foi assimilado pelos regimes que </w:t>
      </w:r>
      <w:r w:rsidR="00597E0E">
        <w:t xml:space="preserve">o venceram e </w:t>
      </w:r>
      <w:r w:rsidRPr="006742F2">
        <w:t xml:space="preserve">lhe sucederam. </w:t>
      </w:r>
    </w:p>
    <w:p w:rsidR="004552BE" w:rsidRPr="0086235D" w:rsidRDefault="00754703" w:rsidP="008F101A">
      <w:pPr>
        <w:tabs>
          <w:tab w:val="left" w:pos="720"/>
          <w:tab w:val="left" w:pos="3312"/>
        </w:tabs>
        <w:rPr>
          <w:dstrike/>
        </w:rPr>
      </w:pPr>
      <w:r w:rsidRPr="0025767B">
        <w:t>A ignorância em que quase tod</w:t>
      </w:r>
      <w:r>
        <w:t xml:space="preserve">as as pessoas são </w:t>
      </w:r>
      <w:r w:rsidRPr="0025767B">
        <w:t>mantid</w:t>
      </w:r>
      <w:r>
        <w:t>as</w:t>
      </w:r>
      <w:r w:rsidRPr="0025767B">
        <w:t xml:space="preserve"> relativamente ao objecto da aversão faz com que ele raramente seja identificado quando surge na vida corrente, e por isso, ao mesmo tempo que a sociedade contemporânea exorciza o fascismo, incorpora-o.</w:t>
      </w:r>
      <w:r>
        <w:t xml:space="preserve"> </w:t>
      </w:r>
      <w:r w:rsidR="00C62619">
        <w:t xml:space="preserve">Todavia, </w:t>
      </w:r>
      <w:r w:rsidR="0025767B">
        <w:t xml:space="preserve">nos </w:t>
      </w:r>
      <w:r w:rsidR="00C632FF">
        <w:t xml:space="preserve">últimos anos </w:t>
      </w:r>
      <w:r w:rsidR="00CB6A82">
        <w:t xml:space="preserve">têm sido </w:t>
      </w:r>
      <w:r w:rsidR="00C632FF">
        <w:t>ma</w:t>
      </w:r>
      <w:r w:rsidR="00C62619">
        <w:t>ss</w:t>
      </w:r>
      <w:r w:rsidR="00C632FF">
        <w:t>i</w:t>
      </w:r>
      <w:r w:rsidR="00DE372D">
        <w:t>v</w:t>
      </w:r>
      <w:r w:rsidR="00C632FF">
        <w:t xml:space="preserve">amente </w:t>
      </w:r>
      <w:r w:rsidR="00CB6A82">
        <w:t xml:space="preserve">colocados </w:t>
      </w:r>
      <w:r w:rsidR="00C632FF">
        <w:t>na internet os clássicos do fascismo que haviam sido expurgados da</w:t>
      </w:r>
      <w:r w:rsidR="00597E0E">
        <w:t>s</w:t>
      </w:r>
      <w:r w:rsidR="00C632FF">
        <w:t xml:space="preserve"> bibliotecas e que as grandes editoras se recusam a publicar</w:t>
      </w:r>
      <w:r w:rsidR="00DE372D">
        <w:t xml:space="preserve"> de novo</w:t>
      </w:r>
      <w:r w:rsidR="00C632FF">
        <w:t>. Não pode dizer</w:t>
      </w:r>
      <w:r w:rsidR="00597E0E">
        <w:t>-se</w:t>
      </w:r>
      <w:r w:rsidR="00C632FF">
        <w:t xml:space="preserve"> que </w:t>
      </w:r>
      <w:r w:rsidR="00066E24">
        <w:t xml:space="preserve">aquela supressão continue a vigorar, </w:t>
      </w:r>
      <w:r w:rsidR="00373CBB">
        <w:t xml:space="preserve">obras que antes eram </w:t>
      </w:r>
      <w:r w:rsidR="00C62619">
        <w:t xml:space="preserve">raridades estão </w:t>
      </w:r>
      <w:r w:rsidR="00373CBB">
        <w:t xml:space="preserve">agora </w:t>
      </w:r>
      <w:r w:rsidR="00C62619">
        <w:t xml:space="preserve">amplamente disponíveis </w:t>
      </w:r>
      <w:r w:rsidR="00066E24">
        <w:t>e</w:t>
      </w:r>
      <w:r w:rsidR="008941A2">
        <w:t>,</w:t>
      </w:r>
      <w:r w:rsidR="00066E24">
        <w:t xml:space="preserve"> no entanto</w:t>
      </w:r>
      <w:r w:rsidR="008941A2">
        <w:t>,</w:t>
      </w:r>
      <w:r w:rsidR="00066E24">
        <w:t xml:space="preserve"> a situação da historiografia não se alterou e essas obras </w:t>
      </w:r>
      <w:r w:rsidR="00826C03">
        <w:t xml:space="preserve">continuam a ser descuradas. É que a censura não explica tudo. </w:t>
      </w:r>
    </w:p>
    <w:p w:rsidR="008F101A" w:rsidRPr="006742F2" w:rsidRDefault="006660D9" w:rsidP="008F101A">
      <w:pPr>
        <w:tabs>
          <w:tab w:val="left" w:pos="720"/>
          <w:tab w:val="left" w:pos="3312"/>
        </w:tabs>
      </w:pPr>
      <w:r w:rsidRPr="00ED5455">
        <w:t xml:space="preserve">Ivan Ilin, um </w:t>
      </w:r>
      <w:r>
        <w:t xml:space="preserve">emigrado </w:t>
      </w:r>
      <w:r w:rsidRPr="00ED5455">
        <w:t xml:space="preserve">russo de extrema-direita com simpatia pelo fascismo, </w:t>
      </w:r>
      <w:r>
        <w:t xml:space="preserve">observou pouco depois da segunda guerra mundial que o fascismo </w:t>
      </w:r>
      <w:r w:rsidR="001672D8">
        <w:t xml:space="preserve">certamente </w:t>
      </w:r>
      <w:r>
        <w:t>reapareceria, mas seria conveniente então escolher outro nome, porque os seus inimigos haviam tornado odiosa a denominação originária</w:t>
      </w:r>
      <w:r>
        <w:rPr>
          <w:rStyle w:val="Refdenotaderodap"/>
        </w:rPr>
        <w:footnoteReference w:id="15"/>
      </w:r>
      <w:r>
        <w:t xml:space="preserve">. Com efeito, </w:t>
      </w:r>
      <w:r w:rsidRPr="006742F2">
        <w:t xml:space="preserve">existem </w:t>
      </w:r>
      <w:r w:rsidR="008F101A" w:rsidRPr="006742F2">
        <w:t xml:space="preserve">hoje «milhares de homens que são fascistas sem o saber», diagnosticou </w:t>
      </w:r>
      <w:r w:rsidR="001606E3">
        <w:t xml:space="preserve">no começo da década de 1960 Maurice Bardèche, </w:t>
      </w:r>
      <w:r w:rsidR="008F101A" w:rsidRPr="006742F2">
        <w:t xml:space="preserve">um fascista francês de carregado </w:t>
      </w:r>
      <w:r w:rsidR="008F101A" w:rsidRPr="006742F2">
        <w:rPr>
          <w:i/>
        </w:rPr>
        <w:t>pedigree,</w:t>
      </w:r>
      <w:r w:rsidR="008F101A" w:rsidRPr="006742F2">
        <w:t xml:space="preserve"> para concluir com notável candura, profetizando que «sem dúvida o próprio termo “fascismo” há-de perecer sob o peso de demasiadas calúnias [...] Que importa a palavra? [...] Com outro nome, com outro rosto, e decerto sem nada que seja a projecção do passado, imagem de um filho que não reconheceremos, [...] a ordem de Esparta renascerá [...]»</w:t>
      </w:r>
      <w:r w:rsidR="008F101A" w:rsidRPr="006742F2">
        <w:rPr>
          <w:rStyle w:val="Refdenotaderodap"/>
        </w:rPr>
        <w:footnoteReference w:id="16"/>
      </w:r>
      <w:r w:rsidR="008F101A" w:rsidRPr="006742F2">
        <w:t>.</w:t>
      </w:r>
      <w:r w:rsidR="001606E3">
        <w:t xml:space="preserve"> </w:t>
      </w:r>
      <w:r w:rsidR="003A6FB9">
        <w:t xml:space="preserve">E </w:t>
      </w:r>
      <w:r w:rsidR="003A6FB9" w:rsidRPr="006742F2">
        <w:t>depois de verificar que o fascismo está muito mais difundido do que geralmente se imagina</w:t>
      </w:r>
      <w:r w:rsidR="003A6FB9">
        <w:t>, Bardèche observou que</w:t>
      </w:r>
      <w:r w:rsidR="003A6FB9" w:rsidRPr="006742F2">
        <w:t xml:space="preserve"> «desde que a palavra </w:t>
      </w:r>
      <w:r w:rsidR="003A6FB9" w:rsidRPr="006742F2">
        <w:rPr>
          <w:i/>
        </w:rPr>
        <w:t>fascismo</w:t>
      </w:r>
      <w:r w:rsidR="003A6FB9" w:rsidRPr="006742F2">
        <w:t xml:space="preserve"> não seja pronunciada, não faltam os </w:t>
      </w:r>
      <w:r w:rsidR="003A6FB9" w:rsidRPr="006742F2">
        <w:lastRenderedPageBreak/>
        <w:t>candidatos ao fascismo»</w:t>
      </w:r>
      <w:r w:rsidR="003A6FB9">
        <w:rPr>
          <w:rStyle w:val="Refdenotaderodap"/>
        </w:rPr>
        <w:footnoteReference w:id="17"/>
      </w:r>
      <w:r w:rsidR="003A6FB9">
        <w:t>.</w:t>
      </w:r>
      <w:r w:rsidR="003A6FB9" w:rsidRPr="006742F2">
        <w:t xml:space="preserve"> </w:t>
      </w:r>
      <w:r w:rsidR="008F101A" w:rsidRPr="006742F2">
        <w:t xml:space="preserve">Os grandes temas do fascismo, desarticulados do seu referencial, penetraram todo o espectro de opiniões e comportamentos da sociedade contemporânea, </w:t>
      </w:r>
      <w:r w:rsidR="008F101A">
        <w:t>não só da direita e da esquerda</w:t>
      </w:r>
      <w:r w:rsidR="008F101A" w:rsidRPr="006742F2">
        <w:t xml:space="preserve"> mas mesmo daqueles, e são a maioria, que julgam não profess</w:t>
      </w:r>
      <w:r w:rsidR="00E52A77">
        <w:t xml:space="preserve">ar nenhumas ideias políticas. E </w:t>
      </w:r>
      <w:r w:rsidR="008F101A" w:rsidRPr="006742F2">
        <w:t xml:space="preserve">certamente, nos seus termos estritos, essas ideias não são políticas, porque este é um fascismo sem nome. Mas não corresponderá ele, por isso mesmo, à essência do fascismo? </w:t>
      </w:r>
    </w:p>
    <w:p w:rsidR="008F101A" w:rsidRPr="006742F2" w:rsidRDefault="008F101A" w:rsidP="003115A6">
      <w:pPr>
        <w:keepNext/>
        <w:spacing w:before="720" w:after="360"/>
        <w:ind w:firstLine="0"/>
        <w:jc w:val="center"/>
        <w:rPr>
          <w:b/>
          <w:sz w:val="28"/>
        </w:rPr>
      </w:pPr>
      <w:r w:rsidRPr="006742F2">
        <w:rPr>
          <w:b/>
          <w:sz w:val="28"/>
        </w:rPr>
        <w:t>2. França: Os fascistas na resistência antifascista</w:t>
      </w:r>
    </w:p>
    <w:p w:rsidR="008F101A" w:rsidRPr="006742F2" w:rsidRDefault="008F101A" w:rsidP="008F101A">
      <w:r w:rsidRPr="006742F2">
        <w:t>Em Londres foi uma meia dúzia de gatos pingados quem na primeira hora apoiou a France Libre, quando Charles de Gaulle, subsecretário de Estado da Defesa do extinto governo e graduado temporariamente em general de brigada, recusou os armistícios com o Reich e com a Itália e proclamou a dissidência contra o novo governo francês. De todos os militares que haviam conseguido ser evacuados de Narvik e de Dunkerque e tinham sido transportados para a Grã-Bretanha, pou</w:t>
      </w:r>
      <w:r>
        <w:t>quíssim</w:t>
      </w:r>
      <w:r w:rsidRPr="006742F2">
        <w:t>os se juntaram à France Libre. Em Junho de 1940 estavam em Inglaterra cerca de 500 oficiais e 18.000 marinheiros franceses, e só ficaram com de Gaulle duas dezenas de oficiais e duas centenas de marinheiros, optando os outros pelo regresso ao país</w:t>
      </w:r>
      <w:r w:rsidRPr="006742F2">
        <w:rPr>
          <w:rStyle w:val="Refdenotaderodap"/>
        </w:rPr>
        <w:footnoteReference w:id="18"/>
      </w:r>
      <w:r w:rsidRPr="006742F2">
        <w:t xml:space="preserve">. </w:t>
      </w:r>
      <w:r w:rsidRPr="005E2496">
        <w:t xml:space="preserve">A situação não foi melhor na marinha mercante, porque </w:t>
      </w:r>
      <w:r>
        <w:t>apenas</w:t>
      </w:r>
      <w:r w:rsidRPr="005E2496">
        <w:t xml:space="preserve"> cinco por cento dos navios franceses se pu</w:t>
      </w:r>
      <w:r>
        <w:t>s</w:t>
      </w:r>
      <w:r w:rsidRPr="005E2496">
        <w:t xml:space="preserve">eram à disposição de Londres, tendo os restantes obedecido </w:t>
      </w:r>
      <w:r>
        <w:t>a</w:t>
      </w:r>
      <w:r w:rsidR="00946322">
        <w:t>o</w:t>
      </w:r>
      <w:r>
        <w:t xml:space="preserve"> </w:t>
      </w:r>
      <w:r w:rsidR="00946322">
        <w:t xml:space="preserve">governo de </w:t>
      </w:r>
      <w:r>
        <w:t>Vichy e voltado a França, enquanto noventa por cento da frota mercante norueguesa rejeitara as ordens do governo colaboracionista e dirigira-se para portos aliados depois da invasão da Noruega</w:t>
      </w:r>
      <w:r>
        <w:rPr>
          <w:rStyle w:val="Refdenotaderodap"/>
        </w:rPr>
        <w:footnoteReference w:id="19"/>
      </w:r>
      <w:r>
        <w:t xml:space="preserve">. </w:t>
      </w:r>
      <w:r w:rsidRPr="00761B09">
        <w:t xml:space="preserve">O isolamento foi durável. </w:t>
      </w:r>
      <w:r w:rsidR="00EF4D53">
        <w:t>Quando forças britânicas acompanhadas por forças da France Libre tentaram desembarcar em Dakar, em Setembro de 1940, foram rechaçadas pela guarnição, que se manteve fiel a</w:t>
      </w:r>
      <w:r w:rsidR="00946322">
        <w:t xml:space="preserve"> </w:t>
      </w:r>
      <w:r w:rsidR="00EF4D53">
        <w:t>Vichy</w:t>
      </w:r>
      <w:r w:rsidR="00EF4D53">
        <w:rPr>
          <w:rStyle w:val="Refdenotaderodap"/>
        </w:rPr>
        <w:footnoteReference w:id="20"/>
      </w:r>
      <w:r w:rsidR="00EF4D53">
        <w:t xml:space="preserve">. </w:t>
      </w:r>
      <w:r w:rsidR="00946322">
        <w:t>E após</w:t>
      </w:r>
      <w:r w:rsidR="00946322" w:rsidRPr="006742F2">
        <w:t xml:space="preserve"> </w:t>
      </w:r>
      <w:r w:rsidRPr="006742F2">
        <w:t>os sangrentos confrontos de Junho e Julho de 1941, que levaram à derrota das tropas de Vichy na Síria e no Líbano perante as forças invasoras do império britânico e da France Libre, oitenta e cinco por cento dos militares franceses até então estacionados nesses territórios preferiram ser repatriados do que seguir com de Gaulle</w:t>
      </w:r>
      <w:r w:rsidRPr="006742F2">
        <w:rPr>
          <w:rStyle w:val="Refdenotaderodap"/>
        </w:rPr>
        <w:footnoteReference w:id="21"/>
      </w:r>
      <w:r w:rsidRPr="006742F2">
        <w:t xml:space="preserve">. Mesmo no final de 1942, já depois do desembarque aliado no Norte de África, só 100 dos 2.000 marinheiros franceses internados em Alexandria aderiram ao movimento gaullista, </w:t>
      </w:r>
      <w:r w:rsidRPr="006742F2">
        <w:lastRenderedPageBreak/>
        <w:t>voltando os restantes ao país</w:t>
      </w:r>
      <w:r w:rsidRPr="006742F2">
        <w:rPr>
          <w:rStyle w:val="Refdenotaderodap"/>
        </w:rPr>
        <w:footnoteReference w:id="22"/>
      </w:r>
      <w:r w:rsidRPr="006742F2">
        <w:t>. Junto a de Gaulle não se via nenhum nome soante da política, da administração pública, dos negócios, sequer das letras ou do jornalismo</w:t>
      </w:r>
      <w:r w:rsidRPr="006742F2">
        <w:rPr>
          <w:rStyle w:val="Refdenotaderodap"/>
        </w:rPr>
        <w:footnoteReference w:id="23"/>
      </w:r>
      <w:r w:rsidRPr="006742F2">
        <w:t xml:space="preserve">. E </w:t>
      </w:r>
      <w:r>
        <w:t xml:space="preserve">embora </w:t>
      </w:r>
      <w:r w:rsidRPr="006742F2">
        <w:t>se encontra</w:t>
      </w:r>
      <w:r>
        <w:t>sse</w:t>
      </w:r>
      <w:r w:rsidRPr="006742F2">
        <w:t xml:space="preserve">m alguns republicanos, defensores do regime parlamentar, aquele punhado de gente vinha sobretudo da direita e </w:t>
      </w:r>
      <w:r w:rsidR="009621BE">
        <w:t>até</w:t>
      </w:r>
      <w:r w:rsidRPr="006742F2">
        <w:t xml:space="preserve"> da extrema-direita, contando-se entre eles antigos </w:t>
      </w:r>
      <w:r w:rsidRPr="006742F2">
        <w:rPr>
          <w:i/>
        </w:rPr>
        <w:t>cagoulards,</w:t>
      </w:r>
      <w:r w:rsidRPr="006742F2">
        <w:t xml:space="preserve"> aderentes à Action Française, pessoas que sempre se tinham oposto à Terceira República</w:t>
      </w:r>
      <w:r w:rsidRPr="006742F2">
        <w:rPr>
          <w:rStyle w:val="Refdenotaderodap"/>
        </w:rPr>
        <w:footnoteReference w:id="24"/>
      </w:r>
      <w:r w:rsidRPr="006742F2">
        <w:t>. O próprio de Gaulle havia sido profundamente influenciado pelas doutrinas de Charles Maurras</w:t>
      </w:r>
      <w:r w:rsidRPr="006742F2">
        <w:rPr>
          <w:rStyle w:val="Refdenotaderodap"/>
        </w:rPr>
        <w:footnoteReference w:id="25"/>
      </w:r>
      <w:r w:rsidRPr="006742F2">
        <w:t>. «Receando que os acusassem de simpatizar com o regime político perecido na tempestade, e ao qual era legítimo atribuir uma grande parte de responsabilidade no desastre, eles [os franceses de Londres] continuam por conta própria as acusações e os sarcasmos de que o cobria a extrema-direita antes da guerra», escreve</w:t>
      </w:r>
      <w:r>
        <w:t>u</w:t>
      </w:r>
      <w:r w:rsidRPr="006742F2">
        <w:t xml:space="preserve"> uma das maiores autoridades sobre a história da resistência francesa. «Este antiparlamentarismo foi um dos traços dominantes mais duradouros da France Libre»</w:t>
      </w:r>
      <w:r w:rsidRPr="006742F2">
        <w:rPr>
          <w:rStyle w:val="Refdenotaderodap"/>
        </w:rPr>
        <w:footnoteReference w:id="26"/>
      </w:r>
      <w:r w:rsidRPr="006742F2">
        <w:t>. Depois, e só depois, é que os socialistas começaram a aderir à dissidência gaullista; e mais tarde, após a espectacular ruptura do pacto germano-soviético, já noutro quadro e com outras condições, de Gaulle pôde beneficiar do apoio dos comunistas. Antes de 1942 a propaganda da France Libre jamais invocou o tema, ou sequer a palavra, da república</w:t>
      </w:r>
      <w:r w:rsidRPr="006742F2">
        <w:rPr>
          <w:rStyle w:val="Refdenotaderodap"/>
        </w:rPr>
        <w:footnoteReference w:id="27"/>
      </w:r>
      <w:r w:rsidRPr="006742F2">
        <w:t xml:space="preserve">. </w:t>
      </w:r>
      <w:r w:rsidR="009621BE">
        <w:t xml:space="preserve">Assim como </w:t>
      </w:r>
      <w:r w:rsidR="009621BE" w:rsidRPr="006742F2">
        <w:t xml:space="preserve">os </w:t>
      </w:r>
      <w:r w:rsidRPr="006742F2">
        <w:t xml:space="preserve">conselheiros de Pétain haviam denominado État Français o novo regime, para iludir as espinhosas questões institucionais e esquecer a república, essa mesma república era deixada de lado também em Londres por uma França que só se apelidava Livre. </w:t>
      </w:r>
    </w:p>
    <w:p w:rsidR="008F101A" w:rsidRPr="006742F2" w:rsidRDefault="008F101A" w:rsidP="008F101A">
      <w:r w:rsidRPr="006742F2">
        <w:t>Quando a France Libre, através dos seus representantes mais credenciados, se proclamava acima das classes sociais e interessada apenas na grandeza do país e na integridade do império colonial, não se tratava de um mero acordo táctico entre correntes políticas diferentes para derrubarem o inimigo comum. Mais do que situarem-se acima dos partidos, os primeiros gaullistas de Londres pronunciaram-se contra os partidos, e o seu nacionalismo era de um carácter que excluía a política como algo perturbante e enfraquecedor</w:t>
      </w:r>
      <w:r w:rsidRPr="006742F2">
        <w:rPr>
          <w:rStyle w:val="Refdenotaderodap"/>
        </w:rPr>
        <w:footnoteReference w:id="28"/>
      </w:r>
      <w:r w:rsidRPr="006742F2">
        <w:t xml:space="preserve">. </w:t>
      </w:r>
      <w:r w:rsidR="00BE4CC2" w:rsidRPr="006742F2">
        <w:t xml:space="preserve">Qual </w:t>
      </w:r>
      <w:r w:rsidRPr="006742F2">
        <w:t xml:space="preserve">a diferença, afinal, entre esta busca da unanimidade na esteira de um chefe incontestado e a doutrina fascista da unidade de acção de todas as forças sociais sob um comando supremo? Acima das classes e das divisões partidárias, com efeito, só podem vigorar ficções, e não são mais do que ficções a nação apresentada como uma entidade independente do poder de Estado e a mística de um chefe que não se explique pelas hierarquias burocráticas e pela manipulação </w:t>
      </w:r>
      <w:r w:rsidRPr="006742F2">
        <w:lastRenderedPageBreak/>
        <w:t xml:space="preserve">paternalista de clientelas. Os franceses livres de Londres foram, naqueles tempos iniciais da vitória germânica, o espelho dos fascistas tradicionalistas de Vichy ou quem sabe se até dos fascistas radicais de Paris. De um lado como do outro, projectando-se a política para o reino das fantasmagorias, era nos mesmos termos que se apresentava a salvação da França </w:t>
      </w:r>
      <w:r w:rsidR="00BE4CC2">
        <w:t>—</w:t>
      </w:r>
      <w:r w:rsidRPr="006742F2">
        <w:t xml:space="preserve"> como um ressurgimento espiritual</w:t>
      </w:r>
      <w:r w:rsidRPr="006742F2">
        <w:rPr>
          <w:rStyle w:val="Refdenotaderodap"/>
        </w:rPr>
        <w:footnoteReference w:id="29"/>
      </w:r>
      <w:r w:rsidRPr="006742F2">
        <w:t xml:space="preserve">. </w:t>
      </w:r>
    </w:p>
    <w:p w:rsidR="008F101A" w:rsidRPr="006742F2" w:rsidRDefault="008F101A" w:rsidP="008F101A">
      <w:r w:rsidRPr="006742F2">
        <w:t>E o que impedira a França de se mostrar em 1940 à altura do seu passado de glórias, senão a decadência interna? Não só os temas e os termos usa</w:t>
      </w:r>
      <w:r>
        <w:t xml:space="preserve">dos pela </w:t>
      </w:r>
      <w:r w:rsidRPr="006742F2">
        <w:t xml:space="preserve">extrema-direita ecoavam </w:t>
      </w:r>
      <w:r>
        <w:t>n</w:t>
      </w:r>
      <w:r w:rsidRPr="006742F2">
        <w:t>as críticas endereçadas por de Gaulle à Terceira República, à sua pretensa mediocridade política, à aparente desordem parlamentar, à alegada impotência do sistema partidário, ao clientelismo, aos escândalos e à corrupção</w:t>
      </w:r>
      <w:r w:rsidRPr="006742F2">
        <w:rPr>
          <w:rStyle w:val="Refdenotaderodap"/>
        </w:rPr>
        <w:footnoteReference w:id="30"/>
      </w:r>
      <w:r w:rsidRPr="006742F2">
        <w:t xml:space="preserve">, como a propaganda da France Libre chegou a explicar a crise do regime invocando uma crise da raça. </w:t>
      </w:r>
      <w:r w:rsidR="003040D6">
        <w:t xml:space="preserve">Por um lado, sentia-se o declínio demográfico, já que </w:t>
      </w:r>
      <w:r w:rsidR="003040D6" w:rsidRPr="00987FD3">
        <w:t>entre 1906 e 1931 a população global do país crescera somente 5,6% e a população activa aumentara apenas 2%</w:t>
      </w:r>
      <w:r w:rsidR="003040D6" w:rsidRPr="00987FD3">
        <w:rPr>
          <w:rStyle w:val="Refdenotaderodap"/>
        </w:rPr>
        <w:footnoteReference w:id="31"/>
      </w:r>
      <w:r w:rsidR="003040D6" w:rsidRPr="00987FD3">
        <w:t xml:space="preserve">. </w:t>
      </w:r>
      <w:r w:rsidR="003040D6">
        <w:t xml:space="preserve">E por outro lado? </w:t>
      </w:r>
      <w:r w:rsidRPr="006742F2">
        <w:t>«Afluíam ao nosso país milhares de franceses com um passado mais ou menos suspeito. A França convertia-se no esgoto da Europa</w:t>
      </w:r>
      <w:r w:rsidR="00DF5D1D">
        <w:t>», escrev</w:t>
      </w:r>
      <w:r w:rsidR="00493D84">
        <w:t>eu</w:t>
      </w:r>
      <w:r w:rsidR="00DF5D1D">
        <w:t xml:space="preserve"> em Londres, em 1942, alguém que assin</w:t>
      </w:r>
      <w:r w:rsidR="00493D84">
        <w:t>ou</w:t>
      </w:r>
      <w:r w:rsidR="00DF5D1D">
        <w:t xml:space="preserve"> </w:t>
      </w:r>
      <w:r w:rsidR="00DF5D1D" w:rsidRPr="00301D60">
        <w:rPr>
          <w:i/>
        </w:rPr>
        <w:t>Jacques, soldat de la France</w:t>
      </w:r>
      <w:r w:rsidR="00DF5D1D">
        <w:t>. «</w:t>
      </w:r>
      <w:r w:rsidRPr="006742F2">
        <w:t>Por todo o lado eles se infiltravam. Todos esses franceses de fresca data não pensavam como franceses e contribuíram para arruinar o sentimento nacional no nosso país»</w:t>
      </w:r>
      <w:r w:rsidRPr="006742F2">
        <w:rPr>
          <w:rStyle w:val="Refdenotaderodap"/>
        </w:rPr>
        <w:footnoteReference w:id="32"/>
      </w:r>
      <w:r w:rsidRPr="006742F2">
        <w:t xml:space="preserve">. Este retrato de declínio e dissolução de um povo não difere da maneira como Hitler apresentara a França em </w:t>
      </w:r>
      <w:r w:rsidRPr="006742F2">
        <w:rPr>
          <w:i/>
        </w:rPr>
        <w:t>Mein Kampf</w:t>
      </w:r>
      <w:r w:rsidRPr="006742F2">
        <w:t xml:space="preserve">. </w:t>
      </w:r>
    </w:p>
    <w:p w:rsidR="008F101A" w:rsidRPr="006742F2" w:rsidRDefault="008F101A" w:rsidP="008F101A">
      <w:r>
        <w:t xml:space="preserve">O </w:t>
      </w:r>
      <w:r w:rsidRPr="006742F2">
        <w:t xml:space="preserve">que indignava a France Libre não era </w:t>
      </w:r>
      <w:r>
        <w:t xml:space="preserve">o governo de </w:t>
      </w:r>
      <w:r w:rsidRPr="006742F2">
        <w:t>Vichy</w:t>
      </w:r>
      <w:r>
        <w:t xml:space="preserve"> ser fascista</w:t>
      </w:r>
      <w:r w:rsidRPr="006742F2">
        <w:t xml:space="preserve"> mas o facto de colaborar com o inimigo. E não era por ser fascista que o inimigo se tornara odiado, mas por ocupar três quintos do país. A aversão ao ocupante era expressa em termos que só se distinguiam do racismo nacional-socialista por serem de sinal inverso. «Nós não ignoramos que o alemão é o alemão», di</w:t>
      </w:r>
      <w:r>
        <w:t>sse</w:t>
      </w:r>
      <w:r w:rsidRPr="006742F2">
        <w:t xml:space="preserve"> o general de Gaulle num discurso de Outubro de 1941, remetendo nesta tautologia as circunstâncias da política para a perenidade da raça. «[...] esse povo desequilibrado precipitar-se-ia no crime com a primeira crise de medo ou de cólera»</w:t>
      </w:r>
      <w:r w:rsidRPr="006742F2">
        <w:rPr>
          <w:rStyle w:val="Refdenotaderodap"/>
        </w:rPr>
        <w:footnoteReference w:id="33"/>
      </w:r>
      <w:r w:rsidRPr="006742F2">
        <w:t>. O tema da «nocividade crónica do germanismo», para empregar as palavras que o general usou noutro discurso da mesma época</w:t>
      </w:r>
      <w:r w:rsidRPr="006742F2">
        <w:rPr>
          <w:rStyle w:val="Refdenotaderodap"/>
        </w:rPr>
        <w:footnoteReference w:id="34"/>
      </w:r>
      <w:r w:rsidRPr="006742F2">
        <w:t>, era um lugar-comum entre os franceses de Londres e também em alguns movimentos da resistência clandestina no interior do país, quando reduziam o nacional-</w:t>
      </w:r>
      <w:r w:rsidRPr="006742F2">
        <w:lastRenderedPageBreak/>
        <w:t>socialismo a uma manifestação do germanismo</w:t>
      </w:r>
      <w:r w:rsidRPr="006742F2">
        <w:rPr>
          <w:rStyle w:val="Refdenotaderodap"/>
        </w:rPr>
        <w:footnoteReference w:id="35"/>
      </w:r>
      <w:r w:rsidRPr="006742F2">
        <w:t>. E Raymond Aron, intelectual apreciado por muita gente e que consolidou a sua reputação na defesa da democracia, um dos poucos que em Londres se pronunciava contra o poder pessoal assumido por de Gaulle e o culto de que ele se rodeava, atribui</w:t>
      </w:r>
      <w:r>
        <w:t>u</w:t>
      </w:r>
      <w:r w:rsidRPr="006742F2">
        <w:t xml:space="preserve"> então com toda a seriedade o expansionismo hitleriano ao «demónio das aventuras» e à «loucura das grandezas» que habitariam a leste do Reno. O programa de destruição e pilhagem organizada a que Raymond Aron sonhava submeter a Alemanha depois da sua tão ambicionada derrota não se distinguia materialmente daquele que Hitler vitorioso aplicava nesse mesmo momento contra os eslavos e </w:t>
      </w:r>
      <w:r w:rsidR="00706D95" w:rsidRPr="006742F2">
        <w:t xml:space="preserve">daquele </w:t>
      </w:r>
      <w:r w:rsidRPr="006742F2">
        <w:t>que Morgenthau proporia mais tarde aos chefes de governo aliados. Será necessário, escrev</w:t>
      </w:r>
      <w:r>
        <w:t>eu</w:t>
      </w:r>
      <w:r w:rsidRPr="006742F2">
        <w:t xml:space="preserve"> Aron, «arrebatar ao Reich a maior quantidade possível de despojos: máquinas, matérias-primas, objectos preciosos, propriedade industrial, participações nos bancos e nas companhias de seguros»</w:t>
      </w:r>
      <w:r w:rsidRPr="006742F2">
        <w:rPr>
          <w:rStyle w:val="Refdenotaderodap"/>
        </w:rPr>
        <w:footnoteReference w:id="36"/>
      </w:r>
      <w:r w:rsidRPr="006742F2">
        <w:t xml:space="preserve"> </w:t>
      </w:r>
      <w:r w:rsidR="00752BEE">
        <w:t>—</w:t>
      </w:r>
      <w:r w:rsidRPr="006742F2">
        <w:t xml:space="preserve"> nada escapava à ganância do futuro mestre de sociologia política. </w:t>
      </w:r>
    </w:p>
    <w:p w:rsidR="008F101A" w:rsidRPr="006742F2" w:rsidRDefault="008F101A" w:rsidP="008F101A">
      <w:r>
        <w:t xml:space="preserve">Um </w:t>
      </w:r>
      <w:r w:rsidRPr="006742F2">
        <w:t>minucioso conhecedor destes debates ideológicos não deix</w:t>
      </w:r>
      <w:r>
        <w:t>ou</w:t>
      </w:r>
      <w:r w:rsidRPr="006742F2">
        <w:t xml:space="preserve"> lugar para dúvidas</w:t>
      </w:r>
      <w:r w:rsidR="0027271F">
        <w:t>:</w:t>
      </w:r>
      <w:r w:rsidRPr="006742F2">
        <w:t xml:space="preserve"> «Antiparlamentarismo, tendência para a xenofobia e em alguns casos para o anti-semitismo, culto da tradição, mito do chefe, nacionalismo um pouco limitado, atracção pelo partido único, todas estas características da France Libre [...] não deixam a dissidência de Londres a grande distância do État Français»</w:t>
      </w:r>
      <w:r w:rsidRPr="006742F2">
        <w:rPr>
          <w:rStyle w:val="Refdenotaderodap"/>
        </w:rPr>
        <w:footnoteReference w:id="37"/>
      </w:r>
      <w:r w:rsidRPr="006742F2">
        <w:t>. «As pessoas de que o general de Gaulle se rodeia em Londres são fascistas»</w:t>
      </w:r>
      <w:r>
        <w:t xml:space="preserve">, </w:t>
      </w:r>
      <w:r w:rsidRPr="006742F2">
        <w:t>confidenci</w:t>
      </w:r>
      <w:r>
        <w:t>ou</w:t>
      </w:r>
      <w:r w:rsidRPr="006742F2">
        <w:t xml:space="preserve"> um socialista exilado na Inglaterra desde os primeiros tempos</w:t>
      </w:r>
      <w:r w:rsidRPr="006742F2">
        <w:rPr>
          <w:rStyle w:val="Refdenotaderodap"/>
        </w:rPr>
        <w:footnoteReference w:id="38"/>
      </w:r>
      <w:r w:rsidRPr="006742F2">
        <w:t>. E como os Aliados não eram míopes, percebiam a situação. «Há quem, na América por exemplo, pergunte a si mesmo se os franceses de Londres não teriam simpatias pelo fascismo», escrev</w:t>
      </w:r>
      <w:r>
        <w:t>eu</w:t>
      </w:r>
      <w:r w:rsidRPr="006742F2">
        <w:t xml:space="preserve"> Simone Weil em 1943, quando participava activamente na resistência londrina</w:t>
      </w:r>
      <w:r w:rsidRPr="00A523C9">
        <w:rPr>
          <w:vertAlign w:val="superscript"/>
        </w:rPr>
        <w:footnoteReference w:id="39"/>
      </w:r>
      <w:r w:rsidRPr="006742F2">
        <w:t xml:space="preserve">. </w:t>
      </w:r>
      <w:r>
        <w:t>As</w:t>
      </w:r>
      <w:r w:rsidRPr="006742F2">
        <w:t xml:space="preserve"> inquietações </w:t>
      </w:r>
      <w:r>
        <w:t>generalizaram-se</w:t>
      </w:r>
      <w:r w:rsidRPr="006742F2">
        <w:t>. «No estrangeiro era feita por vezes [à France Libre] a acusação de fascismo, e até em Londres sucedeu que a actuação do BCRA, por ocasião de obscuras rivalidades entre serviços especiais, fosse comparada à da Gestapo»</w:t>
      </w:r>
      <w:r w:rsidRPr="006742F2">
        <w:rPr>
          <w:rStyle w:val="Refdenotaderodap"/>
        </w:rPr>
        <w:footnoteReference w:id="40"/>
      </w:r>
      <w:r w:rsidRPr="006742F2">
        <w:t xml:space="preserve"> </w:t>
      </w:r>
      <w:r w:rsidR="0027271F">
        <w:t>—</w:t>
      </w:r>
      <w:r w:rsidRPr="006742F2">
        <w:t xml:space="preserve"> o que não espanta, porque esse departamento, encarregado da espionagem e contra-espionagem gaullista, era dirigido pelo capitão André Dewavrin, dito coronel Passy, um dos chefes daquela sinistra rede clandestina de bandos fascistas que existira durante o Front Populaire e que o sensacionalismo jornalístico </w:t>
      </w:r>
      <w:r w:rsidRPr="006742F2">
        <w:lastRenderedPageBreak/>
        <w:t xml:space="preserve">havia denominado </w:t>
      </w:r>
      <w:r w:rsidRPr="006742F2">
        <w:rPr>
          <w:i/>
        </w:rPr>
        <w:t>La Cagoule</w:t>
      </w:r>
      <w:r>
        <w:t>.</w:t>
      </w:r>
      <w:r w:rsidRPr="006742F2">
        <w:t xml:space="preserve"> </w:t>
      </w:r>
      <w:r>
        <w:t xml:space="preserve">Naturalmente, </w:t>
      </w:r>
      <w:r w:rsidRPr="00A523C9">
        <w:t xml:space="preserve">Dewavrin </w:t>
      </w:r>
      <w:r w:rsidRPr="006742F2">
        <w:t>escolhia agora entre os antigos cúmplices alguns dos seus colaboradores mais próximos</w:t>
      </w:r>
      <w:r w:rsidRPr="006742F2">
        <w:rPr>
          <w:rStyle w:val="Refdenotaderodap"/>
        </w:rPr>
        <w:footnoteReference w:id="41"/>
      </w:r>
      <w:r w:rsidRPr="006742F2">
        <w:t xml:space="preserve">. </w:t>
      </w:r>
    </w:p>
    <w:p w:rsidR="008F101A" w:rsidRPr="006742F2" w:rsidRDefault="008F101A" w:rsidP="008F101A">
      <w:r w:rsidRPr="006742F2">
        <w:t xml:space="preserve">E a própria resistência, o que foi ela? </w:t>
      </w:r>
    </w:p>
    <w:p w:rsidR="008F101A" w:rsidRPr="006742F2" w:rsidRDefault="008F101A" w:rsidP="008F101A">
      <w:r w:rsidRPr="006742F2">
        <w:t>O general de Gaulle e os seus adeptos esperavam tudo menos que se tivesse formado no interior da França uma acção clandestina e civil</w:t>
      </w:r>
      <w:r w:rsidRPr="006742F2">
        <w:rPr>
          <w:rStyle w:val="Refdenotaderodap"/>
        </w:rPr>
        <w:footnoteReference w:id="42"/>
      </w:r>
      <w:r w:rsidRPr="006742F2">
        <w:t xml:space="preserve">, e </w:t>
      </w:r>
      <w:r w:rsidR="00A32060">
        <w:t>de então</w:t>
      </w:r>
      <w:r w:rsidRPr="006742F2">
        <w:t xml:space="preserve"> em diante procuraram retirar-lhe quaisquer implicações de ordem social ou política e esforçaram-se por reduzi-la a funções militares auxiliares. «[...] vista de Londres ou de Argel», escreve</w:t>
      </w:r>
      <w:r>
        <w:t>u</w:t>
      </w:r>
      <w:r w:rsidRPr="006742F2">
        <w:t xml:space="preserve"> </w:t>
      </w:r>
      <w:r w:rsidR="00A32060">
        <w:t>um especialista</w:t>
      </w:r>
      <w:r w:rsidRPr="006742F2">
        <w:t xml:space="preserve">, «a clandestinidade aparece obscuramente como uma espécie de nebulosa, cuja fermentação assusta tanto quanto a sua fragilidade inquieta. Convém, por um lado, confiar-lhe somente </w:t>
      </w:r>
      <w:r w:rsidRPr="006742F2">
        <w:rPr>
          <w:i/>
        </w:rPr>
        <w:t>tarefas proporcionais às suas possibilidades</w:t>
      </w:r>
      <w:r w:rsidRPr="006742F2">
        <w:t xml:space="preserve"> e, por outro lado, no seu próprio interesse, </w:t>
      </w:r>
      <w:r w:rsidRPr="006742F2">
        <w:rPr>
          <w:i/>
        </w:rPr>
        <w:t>enquadrá-la e dirigi-la</w:t>
      </w:r>
      <w:r w:rsidRPr="006742F2">
        <w:t>»</w:t>
      </w:r>
      <w:r w:rsidRPr="006742F2">
        <w:rPr>
          <w:rStyle w:val="Refdenotaderodap"/>
        </w:rPr>
        <w:footnoteReference w:id="43"/>
      </w:r>
      <w:r w:rsidRPr="006742F2">
        <w:t xml:space="preserve">. </w:t>
      </w:r>
      <w:r w:rsidR="003B147E" w:rsidRPr="006742F2">
        <w:t xml:space="preserve">Mesmo </w:t>
      </w:r>
      <w:r w:rsidRPr="006742F2">
        <w:t>os seus promotores dentro da França se surpreenderam com o desenvolvimento posterior da resistência, de tão escassa e débil que ela foi de início</w:t>
      </w:r>
      <w:r w:rsidRPr="006742F2">
        <w:rPr>
          <w:rStyle w:val="Refdenotaderodap"/>
        </w:rPr>
        <w:footnoteReference w:id="44"/>
      </w:r>
      <w:r w:rsidRPr="006742F2">
        <w:t>. Tal como observou impiedosamente Simone Weil, «a França entrou na via da resistência mais lentamente, mais tarde do que a maior parte dos países ocupados [...]»</w:t>
      </w:r>
      <w:r w:rsidRPr="006742F2">
        <w:rPr>
          <w:rStyle w:val="Refdenotaderodap"/>
        </w:rPr>
        <w:footnoteReference w:id="45"/>
      </w:r>
      <w:r w:rsidRPr="006742F2">
        <w:t>. Nos primeiros tempos a imprensa clandestina reproduzia profecias de Nostradamus e de Santa Odília</w:t>
      </w:r>
      <w:r w:rsidRPr="006742F2">
        <w:rPr>
          <w:rStyle w:val="Refdenotaderodap"/>
        </w:rPr>
        <w:footnoteReference w:id="46"/>
      </w:r>
      <w:r w:rsidRPr="006742F2">
        <w:t xml:space="preserve">, e só nessa linguagem obscura conseguia encontrar indícios de um êxito futuro que tudo </w:t>
      </w:r>
      <w:r w:rsidR="003B147E">
        <w:t>n</w:t>
      </w:r>
      <w:r w:rsidRPr="006742F2">
        <w:t>a época parecia desmentir. A santa era padroeira da Alsácia</w:t>
      </w:r>
      <w:r w:rsidRPr="006742F2">
        <w:rPr>
          <w:rStyle w:val="Refdenotaderodap"/>
        </w:rPr>
        <w:footnoteReference w:id="47"/>
      </w:r>
      <w:r w:rsidRPr="006742F2">
        <w:t xml:space="preserve">, que os vencedores haviam anexado de novo, e </w:t>
      </w:r>
      <w:r>
        <w:t xml:space="preserve">quem sabe se </w:t>
      </w:r>
      <w:r w:rsidRPr="006742F2">
        <w:t>no reino dos céus ela se indigna</w:t>
      </w:r>
      <w:r>
        <w:t>ria</w:t>
      </w:r>
      <w:r w:rsidRPr="006742F2">
        <w:t xml:space="preserve"> </w:t>
      </w:r>
      <w:r>
        <w:t xml:space="preserve">com as </w:t>
      </w:r>
      <w:r w:rsidRPr="006742F2">
        <w:t>convulsões geopolíticas da sua província</w:t>
      </w:r>
      <w:r>
        <w:t>?</w:t>
      </w:r>
      <w:r w:rsidRPr="006742F2">
        <w:t xml:space="preserve"> </w:t>
      </w:r>
    </w:p>
    <w:p w:rsidR="008F101A" w:rsidRPr="006742F2" w:rsidRDefault="008F101A" w:rsidP="008F101A">
      <w:r w:rsidRPr="006742F2">
        <w:t>A resistência acusava os autores do armistício de terem traído o aliado britânico e passado para o campo do Reich, mas em que situação fica</w:t>
      </w:r>
      <w:r w:rsidR="00FE1838">
        <w:t>r</w:t>
      </w:r>
      <w:r w:rsidRPr="006742F2">
        <w:t>am os resistentes do interior e os franceses de Londres quando, logo nos primeiros dias de Julho de 1940, a marinha de guerra britânica atac</w:t>
      </w:r>
      <w:r>
        <w:t>ou</w:t>
      </w:r>
      <w:r w:rsidRPr="006742F2">
        <w:t xml:space="preserve"> a esquadra francesa na Argélia e deix</w:t>
      </w:r>
      <w:r>
        <w:t>ou</w:t>
      </w:r>
      <w:r w:rsidRPr="006742F2">
        <w:t xml:space="preserve"> quase mil e trezentos marinheiros mortos, daquela que então era ainda formalmente uma aliada sua</w:t>
      </w:r>
      <w:r w:rsidRPr="006742F2">
        <w:rPr>
          <w:rStyle w:val="Refdenotaderodap"/>
        </w:rPr>
        <w:footnoteReference w:id="48"/>
      </w:r>
      <w:r w:rsidRPr="006742F2">
        <w:t xml:space="preserve">? </w:t>
      </w:r>
      <w:r w:rsidRPr="00AB1AE6">
        <w:t xml:space="preserve">Ou quando os aviões britânicos e norte-americanos bombardeavam as cidades da França e as grandes instalações </w:t>
      </w:r>
      <w:r w:rsidRPr="00AB1AE6">
        <w:lastRenderedPageBreak/>
        <w:t>industriais, matando mais de sessenta mil civis, um número de vítimas superior ao provocado entre a população civil britânica pelos ataques da Luftwaffe</w:t>
      </w:r>
      <w:r w:rsidRPr="00AB1AE6">
        <w:rPr>
          <w:rStyle w:val="Refdenotaderodap"/>
        </w:rPr>
        <w:footnoteReference w:id="49"/>
      </w:r>
      <w:r w:rsidRPr="00AB1AE6">
        <w:t xml:space="preserve">? </w:t>
      </w:r>
      <w:r w:rsidRPr="00AB1AE6">
        <w:rPr>
          <w:i/>
        </w:rPr>
        <w:t>«C’est l’Anglais qui nous a fait ça!»,</w:t>
      </w:r>
      <w:r w:rsidRPr="00AB1AE6">
        <w:t xml:space="preserve"> proclamavam cartazes afixados pelas autoridades ocupantes, representando uma família sem abrigo, entre os escombros de uma cidade bombardeada. «Foi o Inglês quem nos fez isto!», e a força da mensagem residia no contraste entre o soldado francês desenhado realistamente em primeiro plano, ferido, a farda rota, a expressão de desespero no rosto, e o oficial britânico, arrogante e risonho no seu uniforme impecável, delineado no fundo entre as ruínas fumegantes</w:t>
      </w:r>
      <w:r w:rsidRPr="00AB1AE6">
        <w:rPr>
          <w:rStyle w:val="Refdenotaderodap"/>
        </w:rPr>
        <w:footnoteReference w:id="50"/>
      </w:r>
      <w:r w:rsidRPr="00AB1AE6">
        <w:t xml:space="preserve">. A propagando </w:t>
      </w:r>
      <w:r w:rsidR="00D821B3">
        <w:t>atingia o alvo</w:t>
      </w:r>
      <w:r w:rsidRPr="00AB1AE6">
        <w:t>, pois que simpatia poderia a população comum sentir para com libertadores mais mortíferos do que o ocupante?</w:t>
      </w:r>
      <w:r w:rsidR="001F2142">
        <w:t xml:space="preserve"> E se </w:t>
      </w:r>
      <w:r w:rsidRPr="001F2142">
        <w:t>«</w:t>
      </w:r>
      <w:r w:rsidR="001F2142" w:rsidRPr="001F2142">
        <w:t xml:space="preserve">os </w:t>
      </w:r>
      <w:r w:rsidRPr="001F2142">
        <w:t xml:space="preserve">resistentes [foram] unânimes a deplorar o carácter prejudicial desses bombardeamentos e a contestar a sua utilidade», </w:t>
      </w:r>
      <w:r w:rsidR="001F2142">
        <w:t xml:space="preserve">como </w:t>
      </w:r>
      <w:r w:rsidRPr="001F2142">
        <w:t>escreveu um historiador</w:t>
      </w:r>
      <w:r w:rsidRPr="001F2142">
        <w:rPr>
          <w:rStyle w:val="Refdenotaderodap"/>
        </w:rPr>
        <w:footnoteReference w:id="51"/>
      </w:r>
      <w:r w:rsidR="001F2142">
        <w:t xml:space="preserve">, o certo é que o </w:t>
      </w:r>
      <w:r w:rsidR="001F2142" w:rsidRPr="001F2142">
        <w:t>fizeram</w:t>
      </w:r>
      <w:r w:rsidR="001F2142">
        <w:t xml:space="preserve"> </w:t>
      </w:r>
      <w:r w:rsidRPr="001F2142">
        <w:t>sobretudo na correspondência privada e nas mensagens secretas que dirigiam a Londres</w:t>
      </w:r>
      <w:r w:rsidR="001F2142">
        <w:t>;</w:t>
      </w:r>
      <w:r w:rsidRPr="001F2142">
        <w:t xml:space="preserve"> </w:t>
      </w:r>
      <w:r w:rsidR="001F2142" w:rsidRPr="001F2142">
        <w:t xml:space="preserve">mas </w:t>
      </w:r>
      <w:r w:rsidRPr="001F2142">
        <w:t>em público, na propaganda clandestina, apesar de um ou outro protesto mais claro, foi às meias desculpas que recorreram e às justificativas nada convincentes de quem está muito pouco convencido</w:t>
      </w:r>
      <w:r w:rsidRPr="001F2142">
        <w:rPr>
          <w:rStyle w:val="Refdenotaderodap"/>
        </w:rPr>
        <w:footnoteReference w:id="52"/>
      </w:r>
      <w:r w:rsidRPr="006742F2">
        <w:t xml:space="preserve">. </w:t>
      </w:r>
    </w:p>
    <w:p w:rsidR="008F101A" w:rsidRPr="006742F2" w:rsidRDefault="008F101A" w:rsidP="008F101A">
      <w:r w:rsidRPr="006742F2">
        <w:t>Talvez isto ajude a compreender a falta de entusiasmo que durante muito tempo a imprensa clandestina da resistência revelou pela figura do general de Gaulle</w:t>
      </w:r>
      <w:r w:rsidRPr="006742F2">
        <w:rPr>
          <w:rStyle w:val="Refdenotaderodap"/>
        </w:rPr>
        <w:footnoteReference w:id="53"/>
      </w:r>
      <w:r w:rsidRPr="006742F2">
        <w:t>. A resistência podia decerto apoiar-se no desprezo ou na raiva surda que a esmagadora maioria da população manifestava para com todos os que haviam convertido o desastre num negócio e obtinham graças ao ocupante benefícios económicos e carreiras políticas que nunca haviam conseguido de outro modo, mas como ignorar a extraordinária popularidade que até uma data muito tardia, quase até ao último momento, rodeou o mito e a pessoa do marechal Pétain? Ainda em Abril de 1944 ele era saudado entusiasticamente por multidões de parisienses, escassos quatro meses antes de a capital ser libertada</w:t>
      </w:r>
      <w:r w:rsidRPr="006742F2">
        <w:rPr>
          <w:rStyle w:val="Refdenotaderodap"/>
        </w:rPr>
        <w:footnoteReference w:id="54"/>
      </w:r>
      <w:r w:rsidRPr="006742F2">
        <w:t xml:space="preserve">. O ódio ao inimigo e a honra do país seriam, sem dúvida, temas muito bonitos para muitas pessoas, mas não foram eles que mobilizaram os ânimos, e a resistência, enquanto movimento de massas, vegetou até que o Serviço de Trabalho Obrigatório, a partir de Fevereiro de 1943, lançasse no </w:t>
      </w:r>
      <w:r w:rsidRPr="006742F2">
        <w:rPr>
          <w:i/>
        </w:rPr>
        <w:t>maquis</w:t>
      </w:r>
      <w:r w:rsidRPr="006742F2">
        <w:t xml:space="preserve"> milhares e milhares de fugitivos das vilas e </w:t>
      </w:r>
      <w:r w:rsidRPr="006742F2">
        <w:lastRenderedPageBreak/>
        <w:t>das cidades</w:t>
      </w:r>
      <w:r w:rsidRPr="006742F2">
        <w:rPr>
          <w:rStyle w:val="Refdenotaderodap"/>
        </w:rPr>
        <w:footnoteReference w:id="55"/>
      </w:r>
      <w:r>
        <w:t>, vinte mil</w:t>
      </w:r>
      <w:r w:rsidRPr="00943B3A">
        <w:t xml:space="preserve"> </w:t>
      </w:r>
      <w:r>
        <w:t xml:space="preserve">homens armados </w:t>
      </w:r>
      <w:r w:rsidRPr="00943B3A">
        <w:t>em Maio de 1944</w:t>
      </w:r>
      <w:r>
        <w:t xml:space="preserve">, a crer nos cálculos das autoridades </w:t>
      </w:r>
      <w:r w:rsidR="0001690D">
        <w:t>germânicas</w:t>
      </w:r>
      <w:r>
        <w:rPr>
          <w:rStyle w:val="Refdenotaderodap"/>
        </w:rPr>
        <w:footnoteReference w:id="56"/>
      </w:r>
      <w:r w:rsidRPr="006742F2">
        <w:t xml:space="preserve">. </w:t>
      </w:r>
    </w:p>
    <w:p w:rsidR="008F101A" w:rsidRPr="006742F2" w:rsidRDefault="008F101A" w:rsidP="008F101A">
      <w:r w:rsidRPr="006742F2">
        <w:t>«É para não partirem para a Alemanha que jovens e operários buscam um refúgio nos campos e nas montanhas», confirm</w:t>
      </w:r>
      <w:r>
        <w:t>ou</w:t>
      </w:r>
      <w:r w:rsidRPr="006742F2">
        <w:t xml:space="preserve"> um especialista. «Pela primeira vez, a propaganda da resistência podia ser levada a efeito num terreno extremamente sólido. [...] sem que o tivesse procurado, a resistência encontrava-se perante uma </w:t>
      </w:r>
      <w:r w:rsidRPr="006742F2">
        <w:rPr>
          <w:i/>
        </w:rPr>
        <w:t>acção de massas</w:t>
      </w:r>
      <w:r w:rsidRPr="006742F2">
        <w:t xml:space="preserve"> [...]»</w:t>
      </w:r>
      <w:r w:rsidRPr="006742F2">
        <w:rPr>
          <w:rStyle w:val="Refdenotaderodap"/>
        </w:rPr>
        <w:footnoteReference w:id="57"/>
      </w:r>
      <w:r w:rsidRPr="006742F2">
        <w:t>. Esta enorme multiplicação do número de fugitivos e rebeldes, que conferiu à resistência a sua força definitiva, não se deveu aos apelos exteriores dos gaullistas nem à propaganda interna da acção clandestina</w:t>
      </w:r>
      <w:r>
        <w:t xml:space="preserve">, mesmo daquela que estava habituada a lidar com </w:t>
      </w:r>
      <w:r w:rsidR="003A1224">
        <w:t>os trabalhadores</w:t>
      </w:r>
      <w:r w:rsidRPr="006742F2">
        <w:t xml:space="preserve">. «Tal como os movimentos da resistência, também os comunistas não tinham previsto o afluxo </w:t>
      </w:r>
      <w:r w:rsidR="008313EA">
        <w:t>massiv</w:t>
      </w:r>
      <w:r w:rsidRPr="006742F2">
        <w:t>o às montanhas e aos campos de refractários ao Serviço de Trabalho Obrigatório»</w:t>
      </w:r>
      <w:r w:rsidRPr="006742F2">
        <w:rPr>
          <w:rStyle w:val="Refdenotaderodap"/>
        </w:rPr>
        <w:footnoteReference w:id="58"/>
      </w:r>
      <w:r w:rsidRPr="006742F2">
        <w:t xml:space="preserve">. O principal factor de mobilização consistiu no programa de requisição forçada de mão-de-obra prosseguido implacavelmente pelas autoridades do Reich. A alteração da base social do movimento teve repercussões mais importantes ainda do que a sua ampliação numérica. Eram os </w:t>
      </w:r>
      <w:r w:rsidR="003A1224">
        <w:t>operários</w:t>
      </w:r>
      <w:r w:rsidRPr="006742F2">
        <w:t xml:space="preserve"> da indústria as vítimas preferenciais, se bem que não exclusivas, do Serviço de Trabalho Obrigatório</w:t>
      </w:r>
      <w:r w:rsidRPr="006742F2">
        <w:rPr>
          <w:rStyle w:val="Refdenotaderodap"/>
        </w:rPr>
        <w:footnoteReference w:id="59"/>
      </w:r>
      <w:r w:rsidRPr="006742F2">
        <w:t>. Foram eles que</w:t>
      </w:r>
      <w:r w:rsidR="00FA6E8C">
        <w:t>m</w:t>
      </w:r>
      <w:r w:rsidRPr="006742F2">
        <w:t xml:space="preserve"> se esconde</w:t>
      </w:r>
      <w:r w:rsidR="00FA6E8C">
        <w:t>u</w:t>
      </w:r>
      <w:r w:rsidRPr="006742F2">
        <w:t xml:space="preserve"> nos </w:t>
      </w:r>
      <w:r w:rsidRPr="006742F2">
        <w:rPr>
          <w:i/>
        </w:rPr>
        <w:t>maquis,</w:t>
      </w:r>
      <w:r w:rsidRPr="006742F2">
        <w:t xml:space="preserve"> que</w:t>
      </w:r>
      <w:r w:rsidR="00FA6E8C">
        <w:t>m</w:t>
      </w:r>
      <w:r w:rsidRPr="006742F2">
        <w:t xml:space="preserve"> se arm</w:t>
      </w:r>
      <w:r w:rsidR="00FA6E8C">
        <w:t>ou</w:t>
      </w:r>
      <w:r w:rsidRPr="006742F2">
        <w:t xml:space="preserve"> e transport</w:t>
      </w:r>
      <w:r w:rsidR="00FA6E8C">
        <w:t>ou</w:t>
      </w:r>
      <w:r w:rsidRPr="006742F2">
        <w:t xml:space="preserve"> para a resistência um anseio de renovação social que até esse momento havia sido ignorado, e que o estado-maior gaullista se esforçou primeiro por reprimir e em seguida por recuperar através dos temas de um neocorporativismo de sabor keynesiano. Quando a derrota do Eixo se afigurava plausível e a libertação da França já não parecia um sonho, a posição oficial dos movimentos de resistência, expressa no início de 1943 através de um inquérito prosseguido por um dos seus órgãos coordenadores, o Comité Général d’Études, estipul</w:t>
      </w:r>
      <w:r>
        <w:t>ou</w:t>
      </w:r>
      <w:r w:rsidRPr="006742F2">
        <w:t xml:space="preserve"> que «embora a Carta do Trabalho deva ser revogada, é impossível restabelecer imediatamente o regime do tempo de paz. Com efeito, as circunstâncias excluem qualquer possibilidade de conflitos agudos. A legislação excepcional de tempo de guerra (decretos de 27 de Outubro e de 10 de Novembro de 1939) deverá, portanto, ser mantida no que diz respeito à designação dos delegados operários, ao modo de revisão dos acordos colectivos, à supressão dos processos de conciliação e de arbitragem e ao modo de fixação dos salários». Como se estas declarações não fossem </w:t>
      </w:r>
      <w:r w:rsidRPr="006742F2">
        <w:lastRenderedPageBreak/>
        <w:t>suficientemente claras, outra passagem do mesmo relatório insist</w:t>
      </w:r>
      <w:r>
        <w:t>iu</w:t>
      </w:r>
      <w:r w:rsidRPr="006742F2">
        <w:t xml:space="preserve"> em afirmar que «o restabelecimento da liberdade sindical deve conciliar-se com uma autoridade firme»</w:t>
      </w:r>
      <w:r w:rsidRPr="006742F2">
        <w:rPr>
          <w:rStyle w:val="Refdenotaderodap"/>
        </w:rPr>
        <w:footnoteReference w:id="60"/>
      </w:r>
      <w:r w:rsidRPr="006742F2">
        <w:t xml:space="preserve">. Mas nem era possível entusiasmar a população trabalhadora prometendo-lhe a continuação do autoritarismo de Vichy nas relações laborais nem os operários que se haviam escondido, organizado e armado nos </w:t>
      </w:r>
      <w:r w:rsidRPr="006742F2">
        <w:rPr>
          <w:i/>
        </w:rPr>
        <w:t>maquis</w:t>
      </w:r>
      <w:r w:rsidRPr="006742F2">
        <w:t xml:space="preserve"> aceitariam uma tal situação. </w:t>
      </w:r>
    </w:p>
    <w:p w:rsidR="008F101A" w:rsidRPr="006742F2" w:rsidRDefault="008F101A" w:rsidP="008F101A">
      <w:r w:rsidRPr="006742F2">
        <w:t>Os movimentos de resistência na metrópole e, em Argel, os políticos e técnicos que rodeavam de Gaulle foram levados a conceber um plano de reformas sociais consoante aquilo que na época era corrente chamar economia dirigida</w:t>
      </w:r>
      <w:r w:rsidRPr="006742F2">
        <w:rPr>
          <w:rStyle w:val="Refdenotaderodap"/>
        </w:rPr>
        <w:footnoteReference w:id="61"/>
      </w:r>
      <w:r w:rsidRPr="006742F2">
        <w:t>. Não se tratava apenas de utilizar a capacidade de intervenção governamental para mobilizar investimentos, padronizar os processos de fabrico e, em geral, organizar a produção. A integração da burocracia sindical no aparelho de Estado e a abolição progressiva da miséria afiguravam-se indispensáveis a uma estratégia que, no plano económico, pretendia usar a elevada propensão dos trabalhadores ao consumo para estimular a actividade produtiva e, no plano político, se esforçava por impedir o movimento operário de ultrapassar os limites da disciplina capitalista, ao mesmo tempo que procurava legitimar com a efervescência popular as novas formas de centrali</w:t>
      </w:r>
      <w:r w:rsidR="00637E79">
        <w:t xml:space="preserve">smo estatal </w:t>
      </w:r>
      <w:r w:rsidRPr="006742F2">
        <w:t xml:space="preserve">tecnocrático. </w:t>
      </w:r>
      <w:r w:rsidR="00637E79">
        <w:t>A</w:t>
      </w:r>
      <w:r w:rsidRPr="006742F2">
        <w:t xml:space="preserve">s preocupações mais imediatas vinham da necessidade de aproveitar o dinamismo social dos trabalhadores, mas sem deixar que se transformasse numa revolução. </w:t>
      </w:r>
    </w:p>
    <w:p w:rsidR="008F101A" w:rsidRPr="006742F2" w:rsidRDefault="008F101A" w:rsidP="008F101A">
      <w:r w:rsidRPr="006742F2">
        <w:t>«É necessário que a insurreição não se converta em anarquia generalizada», lê-se no relatório de um enviado da France Libre em Novembro de 1943, «se quisermos evitar que a ordem seja mantida em França por outros que não nós»</w:t>
      </w:r>
      <w:r w:rsidRPr="006742F2">
        <w:rPr>
          <w:rStyle w:val="Refdenotaderodap"/>
        </w:rPr>
        <w:footnoteReference w:id="62"/>
      </w:r>
      <w:r w:rsidRPr="006742F2">
        <w:t>. E, em Argel, de Gaulle preparava-se, logo que o território europeu da França começasse a ser libertado, para designar comissários da república que teriam a mesma amplitude de poderes que os prefeitos regionais nomeados em Vichy por Darlan</w:t>
      </w:r>
      <w:r w:rsidRPr="006742F2">
        <w:rPr>
          <w:rStyle w:val="Refdenotaderodap"/>
        </w:rPr>
        <w:footnoteReference w:id="63"/>
      </w:r>
      <w:r w:rsidRPr="006742F2">
        <w:t xml:space="preserve">. A continuidade administrativa entre os dois regimes permitiria </w:t>
      </w:r>
      <w:r w:rsidR="001C407A">
        <w:t>—</w:t>
      </w:r>
      <w:r w:rsidRPr="006742F2">
        <w:t xml:space="preserve"> assim o esperava o general </w:t>
      </w:r>
      <w:r w:rsidR="001C407A">
        <w:t>—</w:t>
      </w:r>
      <w:r w:rsidRPr="006742F2">
        <w:t xml:space="preserve"> ultrapassar em velocidade os chefes da resistência interior. Discursando em Argel em Março de 1944, nas vésperas da libertação, de Gaulle preveni</w:t>
      </w:r>
      <w:r>
        <w:t>u</w:t>
      </w:r>
      <w:r w:rsidRPr="006742F2">
        <w:t>: «Tudo terá de ser feito dentro da ordem. Não deverá existir nenhuma autoridade pública que não decorra do poder responsável. Qualquer formação artificial de poder exterior ao governo não será tolerada e está de antemão reprovada»</w:t>
      </w:r>
      <w:r w:rsidRPr="006742F2">
        <w:rPr>
          <w:rStyle w:val="Refdenotaderodap"/>
        </w:rPr>
        <w:footnoteReference w:id="64"/>
      </w:r>
      <w:r w:rsidRPr="006742F2">
        <w:t>. Mas não era só de Gaulle e os emigrados que o rodeavam quem temia uma mobilização incontrolável da classe trabalhadora, e os mesmos receios explicam a actuação e as hesitações de muitos chefes da resistência. «No seu íntimo», observ</w:t>
      </w:r>
      <w:r>
        <w:t>ou</w:t>
      </w:r>
      <w:r w:rsidRPr="006742F2">
        <w:t xml:space="preserve"> </w:t>
      </w:r>
      <w:r w:rsidR="00204C7C">
        <w:t>um</w:t>
      </w:r>
      <w:r w:rsidRPr="006742F2">
        <w:t xml:space="preserve"> </w:t>
      </w:r>
      <w:r w:rsidRPr="006742F2">
        <w:lastRenderedPageBreak/>
        <w:t>historiador, «numerosos responsáveis dos movimentos de resistência temiam as teorias e os métodos que conduziam as massas à acção, em vez de os aprovar e aplicar»</w:t>
      </w:r>
      <w:r w:rsidRPr="006742F2">
        <w:rPr>
          <w:rStyle w:val="Refdenotaderodap"/>
        </w:rPr>
        <w:footnoteReference w:id="65"/>
      </w:r>
      <w:r w:rsidRPr="006742F2">
        <w:t>. Em Junho de 1944, no auge dos combates em território francês, o general Koenig, comandante militar das FFI, ou seja, da resistência armada, envi</w:t>
      </w:r>
      <w:r>
        <w:t>ou</w:t>
      </w:r>
      <w:r w:rsidRPr="006742F2">
        <w:t xml:space="preserve"> um telegrama ordenando aos delegados militares: «travar ao máximo actividade guerrilhas»</w:t>
      </w:r>
      <w:r w:rsidRPr="006742F2">
        <w:rPr>
          <w:rStyle w:val="Refdenotaderodap"/>
        </w:rPr>
        <w:footnoteReference w:id="66"/>
      </w:r>
      <w:r w:rsidRPr="006742F2">
        <w:t xml:space="preserve">. </w:t>
      </w:r>
    </w:p>
    <w:p w:rsidR="008F101A" w:rsidRPr="006742F2" w:rsidRDefault="008F101A" w:rsidP="008F101A">
      <w:r w:rsidRPr="006742F2">
        <w:t>Vão temor, o de presumir que as tropas anglo-americanas acabadas de desembarcar e sem mãos a medir se ocupassem de conservar a ordem, quando bastava o Partido Comunista para manter a revolução dentro de estreitos limites. «É impossível encontrar mais ordem, no sentido burguês da palavra, do que entre os comunistas», escreveu um membro de Libération Nord ao analisar as questões técnicas da insurreição</w:t>
      </w:r>
      <w:r w:rsidRPr="006742F2">
        <w:rPr>
          <w:rStyle w:val="Refdenotaderodap"/>
        </w:rPr>
        <w:footnoteReference w:id="67"/>
      </w:r>
      <w:r w:rsidRPr="006742F2">
        <w:t>. E em Novembro de 1943 um dos jornais clandestinos do PCF adverti</w:t>
      </w:r>
      <w:r>
        <w:t>u</w:t>
      </w:r>
      <w:r w:rsidRPr="006742F2">
        <w:t xml:space="preserve"> </w:t>
      </w:r>
      <w:r w:rsidRPr="006742F2">
        <w:rPr>
          <w:i/>
        </w:rPr>
        <w:t>L’Insurgé,</w:t>
      </w:r>
      <w:r w:rsidRPr="006742F2">
        <w:t xml:space="preserve"> órgão dos socialistas de esquerda e trotskizantes que seguiam a orientação política de Marceau Pivert: «No momento em que o inimigo oprime o nosso país, todos os divisionistas, tanto sob pretexto de anticapitalismo como de anticomunismo, são hitlerianos»</w:t>
      </w:r>
      <w:r w:rsidRPr="006742F2">
        <w:rPr>
          <w:rStyle w:val="Refdenotaderodap"/>
        </w:rPr>
        <w:footnoteReference w:id="68"/>
      </w:r>
      <w:r w:rsidRPr="006742F2">
        <w:t xml:space="preserve">. Para os comunistas franceses, tal como havia sucedido com os seus correligionários espanhóis após o levantamento dos generais, a guerra suspendera a </w:t>
      </w:r>
      <w:r>
        <w:t>luta</w:t>
      </w:r>
      <w:r w:rsidRPr="006742F2">
        <w:t xml:space="preserve"> social e os anticapitalistas não eram inimigos menores do que os outros. Nem eram inimigos menos presentes, também, porque no </w:t>
      </w:r>
      <w:r w:rsidRPr="006742F2">
        <w:rPr>
          <w:i/>
        </w:rPr>
        <w:t>maquis</w:t>
      </w:r>
      <w:r w:rsidRPr="006742F2">
        <w:t xml:space="preserve"> e logo a seguir à libertação os destacamentos conduzidos ou inspirados pelos comunistas voltaram as espingardas contra os adeptos da revolução social, em episódios pouco celebrados desta saga tão contraditória. Os anarco-sindicalistas espanhóis que se tinham refugiado em França no final da guerra civil deram um importante contributo para as actividades da resistência e foram numerosos os que pegaram em armas, mas alguns deles acabaram assassinados por </w:t>
      </w:r>
      <w:r w:rsidRPr="006742F2">
        <w:rPr>
          <w:i/>
        </w:rPr>
        <w:t>maquisards</w:t>
      </w:r>
      <w:r w:rsidRPr="006742F2">
        <w:t xml:space="preserve"> do Partido Comunista Espanhol e por destacamentos dos FTPF comandados pelos comunistas franceses</w:t>
      </w:r>
      <w:r w:rsidRPr="006742F2">
        <w:rPr>
          <w:rStyle w:val="Refdenotaderodap"/>
        </w:rPr>
        <w:footnoteReference w:id="69"/>
      </w:r>
      <w:r w:rsidRPr="006742F2">
        <w:t xml:space="preserve">. Sucedeu mesmo, em Outubro de 1944, que trabalhadores entrassem em greve, ou ameaçassem fazê-lo, para obter a libertação de anarquistas que haviam sido presos por </w:t>
      </w:r>
      <w:r w:rsidRPr="006742F2">
        <w:rPr>
          <w:i/>
        </w:rPr>
        <w:t>maquis</w:t>
      </w:r>
      <w:r w:rsidRPr="006742F2">
        <w:t xml:space="preserve"> comunistas e estavam em </w:t>
      </w:r>
      <w:r w:rsidR="000A1526">
        <w:t>perigo</w:t>
      </w:r>
      <w:r w:rsidRPr="006742F2">
        <w:t xml:space="preserve"> de morte</w:t>
      </w:r>
      <w:r w:rsidRPr="006742F2">
        <w:rPr>
          <w:rStyle w:val="Refdenotaderodap"/>
        </w:rPr>
        <w:footnoteReference w:id="70"/>
      </w:r>
      <w:r w:rsidRPr="006742F2">
        <w:t xml:space="preserve">. Devemos reler a esta luz as numerosas menções ao fuzilamento de grupos de </w:t>
      </w:r>
      <w:r w:rsidRPr="006742F2">
        <w:rPr>
          <w:i/>
        </w:rPr>
        <w:t>maquisards</w:t>
      </w:r>
      <w:r w:rsidRPr="006742F2">
        <w:t xml:space="preserve"> por outras forças da resistência, sob a acusação de se entregarem ao «banditismo»</w:t>
      </w:r>
      <w:r w:rsidRPr="006742F2">
        <w:rPr>
          <w:rStyle w:val="Refdenotaderodap"/>
        </w:rPr>
        <w:footnoteReference w:id="71"/>
      </w:r>
      <w:r w:rsidRPr="006742F2">
        <w:t xml:space="preserve">. As pessoas </w:t>
      </w:r>
      <w:r w:rsidRPr="006742F2">
        <w:lastRenderedPageBreak/>
        <w:t xml:space="preserve">condenadas sumariamente e sem recurso eram ladrões ou expropriadores? E onde se podia traçar, numa época de tantas convulsões, a linha que distinguisse a mera cobiça pessoal de uma ambição, mesmo difusa, de vingança social? Antes de mais, os chefes da resistência </w:t>
      </w:r>
      <w:r w:rsidR="00A461C4">
        <w:t xml:space="preserve">pretendiam </w:t>
      </w:r>
      <w:r w:rsidRPr="006742F2">
        <w:t xml:space="preserve">conter dentro dos limites da acção política uma luta que inevitavelmente tendia a alargar-se à esfera social e económica. O risco podia parecer grande, com efeito, de mobilizar a população comum contra o ocupante, sem que ela se lançasse com igual denodo contra a exploração. Se o Partido Comunista conseguiu realizar este equilíbrio não o deveu só à sua disciplina interna e à sua capacidade de enquadramento, mas a tensões muito mais profundas, subjacentes à própria constituição dos </w:t>
      </w:r>
      <w:r w:rsidRPr="006742F2">
        <w:rPr>
          <w:i/>
        </w:rPr>
        <w:t>maquis</w:t>
      </w:r>
      <w:r w:rsidRPr="006742F2">
        <w:t xml:space="preserve">. </w:t>
      </w:r>
    </w:p>
    <w:p w:rsidR="008F101A" w:rsidRPr="006742F2" w:rsidRDefault="008F101A" w:rsidP="008F101A">
      <w:r w:rsidRPr="006742F2">
        <w:t xml:space="preserve">Contra quem podiam os </w:t>
      </w:r>
      <w:r w:rsidRPr="006742F2">
        <w:rPr>
          <w:i/>
        </w:rPr>
        <w:t>maquisards</w:t>
      </w:r>
      <w:r w:rsidRPr="006742F2">
        <w:t xml:space="preserve"> prosseguir um desejo ardente de reformas ou até de revolução? Quando vemos a resistência interior analisar as causas da derrota, era raro que a atribuíssem a um declínio racial, como sucedia com alguma propaganda dos franceses de Londres. É certo que um dos animadores do movimento Défense de la France consider</w:t>
      </w:r>
      <w:r>
        <w:t>ou</w:t>
      </w:r>
      <w:r w:rsidRPr="006742F2">
        <w:t>, no começo de 1942, que os judeus teriam de dar boas provas de si mesmos para serem aceites como cidadãos</w:t>
      </w:r>
      <w:r w:rsidRPr="006742F2">
        <w:rPr>
          <w:rStyle w:val="Refdenotaderodap"/>
        </w:rPr>
        <w:footnoteReference w:id="72"/>
      </w:r>
      <w:r w:rsidRPr="006742F2">
        <w:t>, e alguns meses depois um dirigente da Organisation Civile et Militaire preocup</w:t>
      </w:r>
      <w:r>
        <w:t>ou</w:t>
      </w:r>
      <w:r w:rsidRPr="006742F2">
        <w:t>-se com a necessidade de «afrancesar» os judeus e reflecti</w:t>
      </w:r>
      <w:r>
        <w:t>u</w:t>
      </w:r>
      <w:r w:rsidRPr="006742F2">
        <w:t xml:space="preserve"> sobre a «experiência nefasta» do Front Populaire, que entregara o governo ao judeu Blum</w:t>
      </w:r>
      <w:r w:rsidRPr="006742F2">
        <w:rPr>
          <w:rStyle w:val="Refdenotaderodap"/>
        </w:rPr>
        <w:footnoteReference w:id="73"/>
      </w:r>
      <w:r w:rsidRPr="006742F2">
        <w:t>. Mas este tipo de posições era minoritário na resistência e a maior parte dos movimentos atribuía a derrota à incompetência dos chefes militares, uma incompetência tão colossal que para alguns só poderia explicar</w:t>
      </w:r>
      <w:r w:rsidR="008405B5">
        <w:t>-se</w:t>
      </w:r>
      <w:r w:rsidRPr="006742F2">
        <w:t xml:space="preserve"> pela traição, assimilada à traição das demais elites. A França era, no começo do conflito, lia-se em 1943 num órgão clandestino da esquerda cristã, «um país dividido contra si próprio, em situação de guerra civil. Certos franceses tinham perdido a noção de quem era o inimigo. Para certos oficiais o inimigo eram os seus próprios soldados. [...] Foi no seu próprio povo que uma parte da burguesia francesa viu o inimigo»</w:t>
      </w:r>
      <w:r w:rsidRPr="006742F2">
        <w:rPr>
          <w:rStyle w:val="Refdenotaderodap"/>
        </w:rPr>
        <w:footnoteReference w:id="74"/>
      </w:r>
      <w:r w:rsidRPr="006742F2">
        <w:t>. E em 1942 e 1943 Libération Sud escrev</w:t>
      </w:r>
      <w:r>
        <w:t>eu</w:t>
      </w:r>
      <w:r w:rsidRPr="006742F2">
        <w:t xml:space="preserve"> que uma grande parte da burguesia, aterrada com o movimento dos trabalhadores, se sentira mais próxima de Hitler do que do povo francês</w:t>
      </w:r>
      <w:r w:rsidRPr="006742F2">
        <w:rPr>
          <w:rStyle w:val="Refdenotaderodap"/>
        </w:rPr>
        <w:footnoteReference w:id="75"/>
      </w:r>
      <w:r w:rsidRPr="006742F2">
        <w:t xml:space="preserve">. </w:t>
      </w:r>
    </w:p>
    <w:p w:rsidR="008F101A" w:rsidRPr="006742F2" w:rsidRDefault="008F101A" w:rsidP="008F101A">
      <w:r w:rsidRPr="006742F2">
        <w:t>Este tipo de análises explicava a derrota de 1940 pela posição das forças reaccionárias na luta entre classes, mas que conclusões práticas se poderiam tirar daí na França</w:t>
      </w:r>
      <w:r w:rsidR="00D6563B">
        <w:t xml:space="preserve"> ocupada</w:t>
      </w:r>
      <w:r w:rsidRPr="006742F2">
        <w:t xml:space="preserve">, quando as classes dominantes do país se haviam dividido entre a confiança na ordem de Vichy e o desagrado perante a hegemonia germânica, e quando os movimentos de resistência juntavam </w:t>
      </w:r>
      <w:r w:rsidRPr="006742F2">
        <w:lastRenderedPageBreak/>
        <w:t xml:space="preserve">pessoas de todos os passados, de todos os matizes, de todos os estratos sociais? Um grande industrial e magnate do comércio, Lemaigre-Dubreuil, que dirigira uma das associações mais activas na agitação de extrema-direita em 1933-1935 e havia sido </w:t>
      </w:r>
      <w:r w:rsidRPr="006742F2">
        <w:rPr>
          <w:i/>
        </w:rPr>
        <w:t>cagoulard</w:t>
      </w:r>
      <w:r w:rsidRPr="006742F2">
        <w:t xml:space="preserve"> durante o Front Populaire, colaborava desde 1940 com os serviços de informação norte-americanos e contribui</w:t>
      </w:r>
      <w:r w:rsidR="00D6563B">
        <w:t>u</w:t>
      </w:r>
      <w:r w:rsidRPr="006742F2">
        <w:t xml:space="preserve"> em seguida para a criação das condições favoráveis ao desembarque dos Aliados no Norte de África</w:t>
      </w:r>
      <w:r w:rsidRPr="006742F2">
        <w:rPr>
          <w:rStyle w:val="Refdenotaderodap"/>
        </w:rPr>
        <w:footnoteReference w:id="76"/>
      </w:r>
      <w:r w:rsidRPr="006742F2">
        <w:t>. Não seria natural, então, que muitos resistentes contrapusessem a imagem dos bons empresários patriotas à dos maus especuladores que enriqueciam com a fome do povo e as encomendas dos alemães? É certo que Lemaigre-Dubreuil tecia as suas manobras em torno do general Giraud, num meio que apenas se distinguia do conservadorismo de Vichy por ser favorável aos Aliados, e em 1944 encontramo-lo em Espanha, fugido da Argélia</w:t>
      </w:r>
      <w:r w:rsidRPr="006742F2">
        <w:rPr>
          <w:rStyle w:val="Refdenotaderodap"/>
        </w:rPr>
        <w:footnoteReference w:id="77"/>
      </w:r>
      <w:r w:rsidRPr="006742F2">
        <w:t>. Mas quando vemos Charles Schneider, um dos grandes patrões da siderurgia, receber no seu gabinete o representante de um dos maiores grupos da resistência, animado e controlado pelo Partido Comunista, e discutir com ele a sabotagem destinada a imobilizar a sua própria fábrica</w:t>
      </w:r>
      <w:r w:rsidRPr="006742F2">
        <w:rPr>
          <w:rStyle w:val="Refdenotaderodap"/>
        </w:rPr>
        <w:footnoteReference w:id="78"/>
      </w:r>
      <w:r w:rsidRPr="006742F2">
        <w:t xml:space="preserve">, constatamos até que ponto se iam atenuando clivagens sociais que suporíamos profundas. Mesmo que a memória dos trabalhadores guardasse um sentimento de classe, o futuro anunciava-se como uma aspiração de unidade nacional. </w:t>
      </w:r>
    </w:p>
    <w:p w:rsidR="008F101A" w:rsidRPr="006742F2" w:rsidRDefault="008F101A" w:rsidP="008F101A">
      <w:r w:rsidRPr="006742F2">
        <w:t xml:space="preserve">Decerto nem todos os resistentes se deixaram seduzir pelas ilusões patrióticas e em Brest, em 1943 e 1944, um punhado de trotskistas </w:t>
      </w:r>
      <w:r w:rsidR="00D546C8">
        <w:t xml:space="preserve">conseguiu </w:t>
      </w:r>
      <w:r w:rsidR="00033356">
        <w:t>escap</w:t>
      </w:r>
      <w:r w:rsidR="00D546C8">
        <w:t>ar</w:t>
      </w:r>
      <w:r w:rsidRPr="006742F2">
        <w:t xml:space="preserve"> durante mais de um ano às perseguições da Gestapo e das variadas polícias francesas e junt</w:t>
      </w:r>
      <w:r w:rsidR="00033356">
        <w:t>ou</w:t>
      </w:r>
      <w:r w:rsidRPr="006742F2">
        <w:t xml:space="preserve"> numa mesma organização clandestina algumas dezenas de militares </w:t>
      </w:r>
      <w:r w:rsidR="00F416B2">
        <w:t>do Reich</w:t>
      </w:r>
      <w:r w:rsidRPr="006742F2">
        <w:t xml:space="preserve"> e de activistas franceses, </w:t>
      </w:r>
      <w:r>
        <w:t>com um</w:t>
      </w:r>
      <w:r w:rsidRPr="006742F2">
        <w:t xml:space="preserve"> </w:t>
      </w:r>
      <w:r>
        <w:t xml:space="preserve">programa </w:t>
      </w:r>
      <w:r w:rsidRPr="006742F2">
        <w:t>antifascista comum</w:t>
      </w:r>
      <w:r w:rsidRPr="006742F2">
        <w:rPr>
          <w:rStyle w:val="Refdenotaderodap"/>
        </w:rPr>
        <w:footnoteReference w:id="79"/>
      </w:r>
      <w:r w:rsidRPr="006742F2">
        <w:t xml:space="preserve">. Mas os internacionalistas permaneceram isolados da </w:t>
      </w:r>
      <w:r>
        <w:t>restante resistência</w:t>
      </w:r>
      <w:r w:rsidRPr="006742F2">
        <w:t xml:space="preserve"> e além disso eram os </w:t>
      </w:r>
      <w:r w:rsidRPr="006742F2">
        <w:rPr>
          <w:i/>
        </w:rPr>
        <w:t>maquis</w:t>
      </w:r>
      <w:r w:rsidRPr="006742F2">
        <w:t xml:space="preserve"> que se ampliavam, não os movimentos clandestinos das cidades, reduzidos a um escasso número de participantes. Entre os </w:t>
      </w:r>
      <w:r w:rsidRPr="006742F2">
        <w:rPr>
          <w:i/>
        </w:rPr>
        <w:t>maquisards</w:t>
      </w:r>
      <w:r w:rsidRPr="006742F2">
        <w:t xml:space="preserve"> a insatisfação operária foi precipitada no quadro estrito da luta patriótica, e se assim se conferiu inevitavelmente aos objectivos nacionalistas um extremismo de acção, abrindo-os a um horizonte social, ao mesmo tempo encerraram-se as reivindicações sociais na ambiguidade supraclassista da nação. </w:t>
      </w:r>
      <w:r w:rsidR="00615BBB">
        <w:t xml:space="preserve">Uma vez mais o social e o nacional se cruzaram, com os riscos conhecidos. </w:t>
      </w:r>
      <w:r w:rsidRPr="006742F2">
        <w:t xml:space="preserve">A tal ponto que </w:t>
      </w:r>
      <w:r w:rsidR="00033356">
        <w:t xml:space="preserve">perante </w:t>
      </w:r>
      <w:r w:rsidRPr="006742F2">
        <w:t xml:space="preserve">a literatura empenhada no combate à ocupação </w:t>
      </w:r>
      <w:r w:rsidR="00F416B2">
        <w:t xml:space="preserve">o público virou as costas a </w:t>
      </w:r>
      <w:r w:rsidR="00F416B2" w:rsidRPr="00F416B2">
        <w:rPr>
          <w:i/>
        </w:rPr>
        <w:t>Le Piège,</w:t>
      </w:r>
      <w:r w:rsidR="00F416B2">
        <w:t xml:space="preserve"> de Emmanuel Bove, </w:t>
      </w:r>
      <w:r w:rsidR="00033356">
        <w:t>que escalpelizava impiedosamente as contra</w:t>
      </w:r>
      <w:r w:rsidR="00D56508">
        <w:t>d</w:t>
      </w:r>
      <w:r w:rsidR="00033356">
        <w:t xml:space="preserve">ições da resistência, </w:t>
      </w:r>
      <w:r w:rsidR="00F416B2">
        <w:t xml:space="preserve">e </w:t>
      </w:r>
      <w:r w:rsidR="00033356">
        <w:t>deu a</w:t>
      </w:r>
      <w:r w:rsidRPr="006742F2">
        <w:t xml:space="preserve"> proeminência à novela de Vercors </w:t>
      </w:r>
      <w:r w:rsidRPr="006742F2">
        <w:rPr>
          <w:i/>
        </w:rPr>
        <w:t>Le Silence de la Mer,</w:t>
      </w:r>
      <w:r w:rsidRPr="006742F2">
        <w:t xml:space="preserve"> em </w:t>
      </w:r>
      <w:r w:rsidRPr="006742F2">
        <w:lastRenderedPageBreak/>
        <w:t>que os personagens franceses, um velho e a sua sobrinha, op</w:t>
      </w:r>
      <w:r w:rsidR="004274BF">
        <w:t>unham</w:t>
      </w:r>
      <w:r w:rsidRPr="006742F2">
        <w:t xml:space="preserve"> um obstinado mutismo a um oficial alemão, apesar de ele não ser </w:t>
      </w:r>
      <w:r w:rsidR="00F416B2">
        <w:t>nacional-socialista</w:t>
      </w:r>
      <w:r w:rsidRPr="006742F2">
        <w:t xml:space="preserve">. Numa guerra que ultrapassara a noção de pátrias e prosseguia no plano ideológico, a esmagadora maioria dos resistentes reviu-se numa obra que celebrava o nacionalismo. </w:t>
      </w:r>
    </w:p>
    <w:p w:rsidR="008F101A" w:rsidRPr="006742F2" w:rsidRDefault="008F101A" w:rsidP="008F101A">
      <w:r w:rsidRPr="006742F2">
        <w:t>Simone Weil fornece um curioso exemplo desta evolução. Em 1936 ela havia-se juntado aos anarquistas espanhóis na guerra civil, embora os prevenisse de que as suas convicções pacifistas a impediriam de usar a espingarda que lhe fora atribuída, até que o azeite a ferver de uma frigideira desastradamente derramado a queimou gravemente e a fez abandonar a Espanha. Em 1943 vamos encontrá-la a participar na resistência de Londres, e num longo capítulo de uma obra redigida nesta ocasião ela defendeu a conveniência de fundir o movimento operário com o nacionalismo, apresentando a dedicação à pátria como um dos principais factores de um enraizamento necessário para contrariar os efeitos da alienação dos trabalhadores</w:t>
      </w:r>
      <w:r w:rsidRPr="006742F2">
        <w:rPr>
          <w:rStyle w:val="Refdenotaderodap"/>
        </w:rPr>
        <w:footnoteReference w:id="80"/>
      </w:r>
      <w:r w:rsidRPr="006742F2">
        <w:t>. «Há quem, na América por exemplo, pergunte a si mesmo se os franceses de Londres não teriam simpatias pelo fascismo</w:t>
      </w:r>
      <w:r w:rsidR="00CC03E9">
        <w:t>», escreveu ela</w:t>
      </w:r>
      <w:r w:rsidRPr="006742F2">
        <w:t xml:space="preserve">. </w:t>
      </w:r>
      <w:r w:rsidR="00CC03E9">
        <w:t>«</w:t>
      </w:r>
      <w:r w:rsidRPr="006742F2">
        <w:t>A questão assim fica muito mal colocada. [...] O problema consiste em saber se os franceses de Londres possuem os meios necessários para impedir que o povo de França resvale para o fascismo e para evitar ao mesmo tempo que ele se precipite quer no comunismo quer na desordem»</w:t>
      </w:r>
      <w:r w:rsidRPr="006742F2">
        <w:rPr>
          <w:rStyle w:val="Refdenotaderodap"/>
        </w:rPr>
        <w:footnoteReference w:id="81"/>
      </w:r>
      <w:r w:rsidRPr="006742F2">
        <w:t>. Que solução propunha Simone Weil? A derrota e a ocupação haviam permitido a ressurreição do sentimento nacional, que se encontrava extinto entre os operários desde a primeira guerra mundial. «Não poderá existir um movimento operário sadio se não tiver à sua disposição uma doutrina que confira um lugar à noção de pátria, e um lugar determinado, quer dizer, limitado»</w:t>
      </w:r>
      <w:r w:rsidRPr="006742F2">
        <w:rPr>
          <w:rStyle w:val="Refdenotaderodap"/>
        </w:rPr>
        <w:footnoteReference w:id="82"/>
      </w:r>
      <w:r w:rsidRPr="006742F2">
        <w:t>. Também a juventude burguesa havia deixado de ser patriota, porque o seu ódio aos operários era tal que preferiram a vitória do estrangeiro contra os operários do que a vitória da França com eles. Era necessário, todavia, «inventar um patriotismo novo». «Neste momento o mundo precisa de um patriotismo novo»</w:t>
      </w:r>
      <w:r w:rsidRPr="006742F2">
        <w:rPr>
          <w:rStyle w:val="Refdenotaderodap"/>
        </w:rPr>
        <w:footnoteReference w:id="83"/>
      </w:r>
      <w:r w:rsidRPr="006742F2">
        <w:t>. Para isso a primeira condição consistia em abandonar as glórias imperiais, que esmagavam outros nacionalismos considerados por Simone Weil tão legítimos como o seu próprio. «Na actual confusão de pensamentos e sentimentos acerca da ideia de pátria, teremos nós qualquer garantia de que o sacrifício de um soldado francês em África obedeça a uma inspiração mais pura do que o de um soldado alemão na Rússia? Actualmente não a temos»</w:t>
      </w:r>
      <w:r w:rsidRPr="006742F2">
        <w:rPr>
          <w:rStyle w:val="Refdenotaderodap"/>
        </w:rPr>
        <w:footnoteReference w:id="84"/>
      </w:r>
      <w:r w:rsidRPr="006742F2">
        <w:t xml:space="preserve">. Pela mesma razão era urgente abandonar o colonialismo interno, que construíra a nação </w:t>
      </w:r>
      <w:r w:rsidRPr="006742F2">
        <w:lastRenderedPageBreak/>
        <w:t>francesa sobre a erradicação das identidades regionais. Pouco importava que os ocupantes naciona</w:t>
      </w:r>
      <w:r w:rsidR="00460613">
        <w:t>l</w:t>
      </w:r>
      <w:r w:rsidRPr="006742F2">
        <w:t>-socialistas vissem com simpatia os movimentos autonomistas regionais</w:t>
      </w:r>
      <w:r>
        <w:t>;</w:t>
      </w:r>
      <w:r w:rsidRPr="006742F2">
        <w:t xml:space="preserve"> e quanto à doutrina regionalista do governo de Vichy, o seu único defeito era o de não passa</w:t>
      </w:r>
      <w:r>
        <w:t>r</w:t>
      </w:r>
      <w:r w:rsidRPr="006742F2">
        <w:t xml:space="preserve"> à prática. «No desânimo, na desorientação, na solidão, no desenraizamento em que os franceses se encontram, todas as fidelidades, todas as ligações devem ser conservadas como tesouros raríssimos e infinitamente preciosos [...]»</w:t>
      </w:r>
      <w:r w:rsidRPr="006742F2">
        <w:rPr>
          <w:rStyle w:val="Refdenotaderodap"/>
        </w:rPr>
        <w:footnoteReference w:id="85"/>
      </w:r>
      <w:r w:rsidRPr="006742F2">
        <w:t>. Ao anunciar, em suma, «a concepção de um patriotismo subordinado à justiça»</w:t>
      </w:r>
      <w:r w:rsidRPr="006742F2">
        <w:rPr>
          <w:rStyle w:val="Refdenotaderodap"/>
        </w:rPr>
        <w:footnoteReference w:id="86"/>
      </w:r>
      <w:r w:rsidRPr="006742F2">
        <w:t xml:space="preserve">, Simone Weil estava a defender, contra o nacional-socialismo, um nacionalismo social. </w:t>
      </w:r>
    </w:p>
    <w:p w:rsidR="008F101A" w:rsidRPr="006742F2" w:rsidRDefault="008F101A" w:rsidP="008F101A">
      <w:r w:rsidRPr="006742F2">
        <w:t>Estranha santa laica, obcecada por alcançar uma coerência prática que se confundisse com o sacrifício físico, e que pereceu por isso, Simone Weil reinventou o nacionalismo num vôo místico, evocando «a compaixão pela pátria»</w:t>
      </w:r>
      <w:r w:rsidRPr="006742F2">
        <w:rPr>
          <w:rStyle w:val="Refdenotaderodap"/>
        </w:rPr>
        <w:footnoteReference w:id="87"/>
      </w:r>
      <w:r w:rsidRPr="006742F2">
        <w:t xml:space="preserve"> e «um patriotismo inspirado pela compaixão»</w:t>
      </w:r>
      <w:r w:rsidRPr="006742F2">
        <w:rPr>
          <w:rStyle w:val="Refdenotaderodap"/>
        </w:rPr>
        <w:footnoteReference w:id="88"/>
      </w:r>
      <w:r w:rsidRPr="006742F2">
        <w:t xml:space="preserve"> que transpusessem em termos de humildade cristã uma França que até então se afirmara como imperial. A elevada estatura moral de Simone Weil dá a este programa uma singular importância enquanto indício, mas sem efeitos práticos imediatos, porque ela morreu em 1943 de tuberculose e desnutrição voluntária, e aquele livro só </w:t>
      </w:r>
      <w:r w:rsidR="00EA5131">
        <w:t>foi</w:t>
      </w:r>
      <w:r w:rsidRPr="006742F2">
        <w:t xml:space="preserve"> publicado pela primeira vez seis anos depois. Alheios a qualquer misticismo e operando num plano rasteiro, por isto mesmo eficaz, os socialistas e os comunistas sofreram uma evolução convergente sem precisarem de reinventar o nacionalismo. Bastou-lhes o de sempre. O Partido Socialista, ao reconstituir-se na clandestinidade, dotou-se de outros princípios e de um novo programa e abandonou os últimos relentos de internacionalismo que tinham podido perdurar no que se havia denominado Secção Francesa da Internacional Operária</w:t>
      </w:r>
      <w:r w:rsidRPr="006742F2">
        <w:rPr>
          <w:rStyle w:val="Refdenotaderodap"/>
        </w:rPr>
        <w:footnoteReference w:id="89"/>
      </w:r>
      <w:r w:rsidRPr="006742F2">
        <w:t xml:space="preserve">. Mas é o Partido Comunista que aqui sobretudo interessa considerar. Um membro responsável da resistência, Georges Oudard, fundador de La France Intérieure, escreveu </w:t>
      </w:r>
      <w:r w:rsidR="001306CB" w:rsidRPr="006742F2">
        <w:t xml:space="preserve">que </w:t>
      </w:r>
      <w:r w:rsidRPr="006742F2">
        <w:t xml:space="preserve">a partir do momento em que a ruptura do pacto germano-soviético lançou </w:t>
      </w:r>
      <w:r w:rsidR="001306CB" w:rsidRPr="006742F2">
        <w:t xml:space="preserve">os comunistas </w:t>
      </w:r>
      <w:r w:rsidRPr="006742F2">
        <w:t>contra o ocupante «eles pensam como franceses e agem como patriotas»</w:t>
      </w:r>
      <w:r w:rsidRPr="006742F2">
        <w:rPr>
          <w:rStyle w:val="Refdenotaderodap"/>
        </w:rPr>
        <w:footnoteReference w:id="90"/>
      </w:r>
      <w:r w:rsidRPr="006742F2">
        <w:t>. E Gilbert Renault, dito Rémy, formado na Action Française e chefe também de um agrupamento da resistência, muito bem informado sobre o estado de espírito reinante na base do movimento, anunciou aos gaullistas de Londres que «da luta nasceu um Partido Comunista Francês que nunca mais se dissociará da França»</w:t>
      </w:r>
      <w:r w:rsidRPr="006742F2">
        <w:rPr>
          <w:rStyle w:val="Refdenotaderodap"/>
        </w:rPr>
        <w:footnoteReference w:id="91"/>
      </w:r>
      <w:r w:rsidRPr="006742F2">
        <w:t xml:space="preserve">. Tiveram razão. O internacionalismo comunista dos primeiros tempos, que a política staliniana convertera num mero antipatriotismo </w:t>
      </w:r>
      <w:r w:rsidRPr="006742F2">
        <w:lastRenderedPageBreak/>
        <w:t>por fidelidade à União Soviética, foi definitivamente transformado em nacionalismo pela resistência</w:t>
      </w:r>
      <w:r w:rsidRPr="006742F2">
        <w:rPr>
          <w:rStyle w:val="Refdenotaderodap"/>
        </w:rPr>
        <w:footnoteReference w:id="92"/>
      </w:r>
      <w:r w:rsidRPr="006742F2">
        <w:t>. Enquanto durou o pacto germano-soviético os comunistas recusaram à guerra qualquer carácter ideológico e denunciaram-na como uma chacina promovida por imperialismos rivais. Um enorme oportunismo estava subjacente a esta visão, mas dissimulava-se sob uma análise prosseguida em termos estritos de interesse de classe, que hoje se lê como das raras prosas lúcidas escritas naqueles tempos em que a exactidão dos significados parecia ter ainda menos valor do que as vidas humanas</w:t>
      </w:r>
      <w:r w:rsidRPr="006742F2">
        <w:rPr>
          <w:rStyle w:val="Refdenotaderodap"/>
        </w:rPr>
        <w:footnoteReference w:id="93"/>
      </w:r>
      <w:r w:rsidRPr="006742F2">
        <w:t xml:space="preserve">. Desde a </w:t>
      </w:r>
      <w:r w:rsidRPr="006742F2">
        <w:rPr>
          <w:i/>
        </w:rPr>
        <w:t>drôle de guerre</w:t>
      </w:r>
      <w:r w:rsidRPr="006742F2">
        <w:t xml:space="preserve"> até Junho de 1941, observ</w:t>
      </w:r>
      <w:r>
        <w:t>ou um historiador</w:t>
      </w:r>
      <w:r w:rsidRPr="006742F2">
        <w:t xml:space="preserve">, «o Partido [Comunista] não se aproveita das duas reacções colectivas que a ocupação faz surgir à tona da sociedade </w:t>
      </w:r>
      <w:r w:rsidR="001E5F73">
        <w:t>—</w:t>
      </w:r>
      <w:r w:rsidRPr="006742F2">
        <w:t xml:space="preserve"> a xenofobia e o patriotismo»</w:t>
      </w:r>
      <w:r w:rsidRPr="006742F2">
        <w:rPr>
          <w:rStyle w:val="Refdenotaderodap"/>
        </w:rPr>
        <w:footnoteReference w:id="94"/>
      </w:r>
      <w:r w:rsidRPr="006742F2">
        <w:t xml:space="preserve">. Tudo mudou, porém, quando as tropas do Reich adentraram as fronteiras soviéticas. Os comunistas franceses lançaram-se a partir de então na resistência com bagagens e, tanto quanto possível, com armas. «A Internacional Comunista foi dissolvida», </w:t>
      </w:r>
      <w:r>
        <w:t xml:space="preserve">proclamou </w:t>
      </w:r>
      <w:r w:rsidRPr="006742F2">
        <w:t>em Junho de 1943 um órgão do PCF, «porque constituía um obstáculo ao desenvolvimento dos partidos comunistas em partidos comunistas nacionais»</w:t>
      </w:r>
      <w:r w:rsidRPr="006742F2">
        <w:rPr>
          <w:rStyle w:val="Refdenotaderodap"/>
        </w:rPr>
        <w:footnoteReference w:id="95"/>
      </w:r>
      <w:r w:rsidRPr="006742F2">
        <w:t xml:space="preserve">. </w:t>
      </w:r>
    </w:p>
    <w:p w:rsidR="008F101A" w:rsidRPr="006742F2" w:rsidRDefault="008F101A" w:rsidP="008F101A">
      <w:r w:rsidRPr="006742F2">
        <w:t>A dissidência gaullista e a resistência interior renova</w:t>
      </w:r>
      <w:r>
        <w:t xml:space="preserve">ram </w:t>
      </w:r>
      <w:r w:rsidRPr="006742F2">
        <w:t>a direita insuflando-lhe o ânimo e o radicalismo da esquerda, que os fascistas de Vichy eram demasiado tíbios para encetar e que os fascistas vocifera</w:t>
      </w:r>
      <w:r>
        <w:t>nt</w:t>
      </w:r>
      <w:r w:rsidRPr="006742F2">
        <w:t xml:space="preserve">es de Paris não tinham capacidade para prosseguir à escala de todo o país. O quadro desta fusão não </w:t>
      </w:r>
      <w:r>
        <w:t>foi</w:t>
      </w:r>
      <w:r w:rsidRPr="006742F2">
        <w:t xml:space="preserve"> outro senão o nacionalismo, e a France Libre e a resistência eram mais imediatamente nacionalistas, porque defensoras da autonomia do país, do que os colaboracionistas, sustentados politicamente pelo aparelho militar e administrativo do ocupante. </w:t>
      </w:r>
      <w:r>
        <w:t xml:space="preserve">Nesta perspectiva </w:t>
      </w:r>
      <w:r w:rsidRPr="006742F2">
        <w:t xml:space="preserve">talvez pareça menos estranho que no seu diário dos últimos tempos de vida um colaboracionista lúcido, Pierre Drieu </w:t>
      </w:r>
      <w:r w:rsidR="008C2545" w:rsidRPr="006742F2">
        <w:t xml:space="preserve">La </w:t>
      </w:r>
      <w:r w:rsidRPr="006742F2">
        <w:t xml:space="preserve">Rochelle, tivesse observado, numa página datada de 18 de Fevereiro de 1945, </w:t>
      </w:r>
      <w:r w:rsidR="00715EAA">
        <w:t xml:space="preserve">um mês </w:t>
      </w:r>
      <w:r w:rsidR="00715EAA" w:rsidRPr="006742F2">
        <w:t xml:space="preserve">antes de se suicidar, </w:t>
      </w:r>
      <w:r w:rsidRPr="006742F2">
        <w:t>que podia surgir da resistência um fascismo francês porque «1º) ela é composta por pequeno</w:t>
      </w:r>
      <w:r w:rsidR="006F3EB3">
        <w:t>s</w:t>
      </w:r>
      <w:r w:rsidRPr="006742F2">
        <w:t>-burgueses ultra-nacionalistas; 2º) estes pequeno</w:t>
      </w:r>
      <w:r w:rsidR="006F3EB3">
        <w:t>s</w:t>
      </w:r>
      <w:r w:rsidRPr="006742F2">
        <w:t xml:space="preserve">-burgueses têm de enfrentar à direita e à esquerda os reaccionários e os comunistas; 3º) eles exercem, sob o ponto de vista do orgulho nacional, a vigilância tirânica de uma minoria perante a massa informe; 4º) querendo o socialismo, eles querem-no sem o querer; querem o socialismo liberal, o que é a fórmula primitiva de todo o estatismo fascista; 5º) os </w:t>
      </w:r>
      <w:r w:rsidRPr="006742F2">
        <w:lastRenderedPageBreak/>
        <w:t>católicos infiltraram-se entre eles, o que levará fatalmente a um conflito a propósito das questões de educação e de juventude»</w:t>
      </w:r>
      <w:r w:rsidRPr="006742F2">
        <w:rPr>
          <w:rStyle w:val="Refdenotaderodap"/>
        </w:rPr>
        <w:footnoteReference w:id="96"/>
      </w:r>
      <w:r w:rsidRPr="006742F2">
        <w:t>. Passada uma década e meia, um sobrevivente do colaboracionismo parisiense</w:t>
      </w:r>
      <w:r w:rsidR="00DE10FD">
        <w:t>,</w:t>
      </w:r>
      <w:r w:rsidRPr="006742F2">
        <w:t xml:space="preserve"> </w:t>
      </w:r>
      <w:r w:rsidR="00DE10FD">
        <w:t xml:space="preserve">Maurice Bardèche, </w:t>
      </w:r>
      <w:r w:rsidRPr="006742F2">
        <w:t>considerava ainda que a libertação da França «teria podido resultar, ou deveria resultar, segundo alguns dos seus actores, num regime fascista, e é possível que ela tivesse sido um fascismo abortado [...]»</w:t>
      </w:r>
      <w:r w:rsidRPr="006742F2">
        <w:rPr>
          <w:rStyle w:val="Refdenotaderodap"/>
        </w:rPr>
        <w:footnoteReference w:id="97"/>
      </w:r>
      <w:r w:rsidRPr="006742F2">
        <w:t xml:space="preserve">. </w:t>
      </w:r>
      <w:r w:rsidR="005D3C0F">
        <w:t>Afinal, observou ele</w:t>
      </w:r>
      <w:r w:rsidR="00DD0188">
        <w:t xml:space="preserve"> depois</w:t>
      </w:r>
      <w:r w:rsidR="005D3C0F">
        <w:t>, «</w:t>
      </w:r>
      <w:r w:rsidR="00E40555">
        <w:t xml:space="preserve">a maioria dos nossos contemporâneos precisou </w:t>
      </w:r>
      <w:r w:rsidR="005D3C0F">
        <w:t>de quase vinte anos para descobri</w:t>
      </w:r>
      <w:r w:rsidR="00E40555">
        <w:t>r</w:t>
      </w:r>
      <w:r w:rsidR="005D3C0F">
        <w:t xml:space="preserve"> que era menor a dist</w:t>
      </w:r>
      <w:r w:rsidR="00E40555">
        <w:t>â</w:t>
      </w:r>
      <w:r w:rsidR="005D3C0F">
        <w:t>ncia entre um combatente da resistência e um combatente do fascismo do que entre um combatente da resistência e um especulador da resistência»</w:t>
      </w:r>
      <w:r w:rsidR="00E40555">
        <w:rPr>
          <w:rStyle w:val="Refdenotaderodap"/>
        </w:rPr>
        <w:footnoteReference w:id="98"/>
      </w:r>
      <w:r w:rsidR="005D3C0F">
        <w:t xml:space="preserve">. </w:t>
      </w:r>
    </w:p>
    <w:p w:rsidR="008F101A" w:rsidRPr="006742F2" w:rsidRDefault="008F101A" w:rsidP="008F101A">
      <w:r w:rsidRPr="006742F2">
        <w:t>A resistência foi animada por republicanos e por gente de esquerda, socialistas e sindicalistas, por católicos também, mais tarde pelos comunistas. Mas é necessário não esquecer que desde o primeiro momento contou com a participação da direita mais extrema</w:t>
      </w:r>
      <w:r w:rsidR="0045143B">
        <w:t xml:space="preserve"> e de certo fascismo</w:t>
      </w:r>
      <w:r w:rsidRPr="006742F2">
        <w:t>. «Sobretudo na zona norte», escreve</w:t>
      </w:r>
      <w:r>
        <w:t>u</w:t>
      </w:r>
      <w:r w:rsidRPr="006742F2">
        <w:t xml:space="preserve"> </w:t>
      </w:r>
      <w:r>
        <w:t>um</w:t>
      </w:r>
      <w:r w:rsidRPr="006742F2">
        <w:t xml:space="preserve"> especialista, «os movimentos de resistência tiveram a sua extrema-direita, vinda do Parti Social Français ou até da Action Française, e que estava na origem de grupos como a Armée des Volontaires, Ceux de la Libération, Ceux de la Résistance e da Organisation Civile et Militaire. Foram frequentemente os primeiros a lançar-se no combate, e na inexperiência do princípio sofreram duros golpes, pouco restando deles em 1944»</w:t>
      </w:r>
      <w:r w:rsidRPr="006742F2">
        <w:rPr>
          <w:rStyle w:val="Refdenotaderodap"/>
        </w:rPr>
        <w:footnoteReference w:id="99"/>
      </w:r>
      <w:r w:rsidRPr="006742F2">
        <w:t xml:space="preserve">. Mas a </w:t>
      </w:r>
      <w:r w:rsidR="00F10D28">
        <w:t xml:space="preserve">resistência da </w:t>
      </w:r>
      <w:r w:rsidRPr="006742F2">
        <w:t xml:space="preserve">extrema-direita </w:t>
      </w:r>
      <w:r w:rsidR="0045143B">
        <w:t xml:space="preserve">e </w:t>
      </w:r>
      <w:r w:rsidR="00F10D28">
        <w:t xml:space="preserve">do </w:t>
      </w:r>
      <w:r w:rsidR="0045143B">
        <w:t>fascis</w:t>
      </w:r>
      <w:r w:rsidR="00F10D28">
        <w:t>mo</w:t>
      </w:r>
      <w:r w:rsidR="0045143B">
        <w:t xml:space="preserve"> </w:t>
      </w:r>
      <w:r w:rsidRPr="006742F2">
        <w:t xml:space="preserve">não </w:t>
      </w:r>
      <w:r w:rsidR="00F10D28">
        <w:t xml:space="preserve">esteve </w:t>
      </w:r>
      <w:r w:rsidRPr="006742F2">
        <w:t xml:space="preserve">activa apenas na zona de ocupação, e o Parti Social Français </w:t>
      </w:r>
      <w:r w:rsidR="00FE41B0">
        <w:t>—</w:t>
      </w:r>
      <w:r w:rsidRPr="006742F2">
        <w:t xml:space="preserve"> nome que as Croix-de-Feu, chefiadas pelo coronel de La Rocque, haviam adoptado após a dissolução formal das ligas </w:t>
      </w:r>
      <w:r w:rsidR="00FE41B0">
        <w:t>—</w:t>
      </w:r>
      <w:r w:rsidRPr="006742F2">
        <w:t xml:space="preserve"> forneceu igualmente uma parte dos membros de Combat, que veio a converter-se num dos movimentos mais importantes da zona administrada pelo governo de Vichy</w:t>
      </w:r>
      <w:r w:rsidRPr="006742F2">
        <w:rPr>
          <w:rStyle w:val="Refdenotaderodap"/>
        </w:rPr>
        <w:footnoteReference w:id="100"/>
      </w:r>
      <w:r w:rsidRPr="006742F2">
        <w:t>. Aliás, parece que até ser preso pela Gestapo em Março de 1943 de La Rocque teria colaborado com os serviços secretos britânicos, embora mantendo-se indefectivelmente oposto ao general de Gaulle</w:t>
      </w:r>
      <w:r w:rsidRPr="006742F2">
        <w:rPr>
          <w:rStyle w:val="Refdenotaderodap"/>
        </w:rPr>
        <w:footnoteReference w:id="101"/>
      </w:r>
      <w:r w:rsidRPr="006742F2">
        <w:t>. E em Outubro de 1942 o vice-presidente do PSF abandonou Vichy e transferiu-se para os gaullistas de Londres</w:t>
      </w:r>
      <w:r w:rsidRPr="006742F2">
        <w:rPr>
          <w:rStyle w:val="Refdenotaderodap"/>
        </w:rPr>
        <w:footnoteReference w:id="102"/>
      </w:r>
      <w:r w:rsidRPr="006742F2">
        <w:t xml:space="preserve">. Neste ambiente compreende-se que um mês depois de as tropas do Reich se terem lançado ao assalto da União Soviética ainda Les Petites Ailes de France insistisse na fatalidade histórica de uma coligação entre Hitler e Stalin, invocando argumentos devidos à «pena vigilante </w:t>
      </w:r>
      <w:r w:rsidRPr="006742F2">
        <w:lastRenderedPageBreak/>
        <w:t>de Charles Maurras»</w:t>
      </w:r>
      <w:r w:rsidRPr="006742F2">
        <w:rPr>
          <w:rStyle w:val="Refdenotaderodap"/>
        </w:rPr>
        <w:footnoteReference w:id="103"/>
      </w:r>
      <w:r w:rsidRPr="006742F2">
        <w:t>. Estas Asinhas haviam tido na zona sul a mesma origem de Combat e voaram depois para a zona administrada pelo invasor, onde deram continuidade às teses da Action Française, precisamente a mais directa inspiradora do fascismo paternalista e rústico do Marechal. Poderemos estranhar que Jacques Deb</w:t>
      </w:r>
      <w:r w:rsidR="00D528AD">
        <w:t>û</w:t>
      </w:r>
      <w:r w:rsidRPr="006742F2">
        <w:t>-Bridel, membro do Conselho Nacional da Resistência, tivesse sido militante da Action Française e passado depois pelo Faisceau</w:t>
      </w:r>
      <w:r w:rsidRPr="006742F2">
        <w:rPr>
          <w:rStyle w:val="Refdenotaderodap"/>
        </w:rPr>
        <w:footnoteReference w:id="104"/>
      </w:r>
      <w:r w:rsidRPr="006742F2">
        <w:t xml:space="preserve">? </w:t>
      </w:r>
    </w:p>
    <w:p w:rsidR="008F101A" w:rsidRPr="006742F2" w:rsidRDefault="008F101A" w:rsidP="008F101A">
      <w:r w:rsidRPr="006742F2">
        <w:t xml:space="preserve">Também é curioso seguir o destino dos implicados na </w:t>
      </w:r>
      <w:r w:rsidRPr="006742F2">
        <w:rPr>
          <w:i/>
        </w:rPr>
        <w:t>Cagoule</w:t>
      </w:r>
      <w:r w:rsidRPr="006742F2">
        <w:t xml:space="preserve">. No final de 1937 a polícia havia desarticulado a conspiração e prendido ou dispersado os organizadores. Com a assinatura do armistício, em Junho de 1940, alguns deles contaram-se entre os mais activos colaboracionistas de Paris, o que parecia ser o seu lugar natural, enquanto outros entraram nos gabinetes de Vichy. Mas será surpreendente que não fossem poucos, nem dos menores, os que militaram na resistência? O duque Pozzo di Borgo, fundador de um dos bandos que iniciaram a </w:t>
      </w:r>
      <w:r w:rsidRPr="006742F2">
        <w:rPr>
          <w:i/>
        </w:rPr>
        <w:t>Cagoule,</w:t>
      </w:r>
      <w:r w:rsidRPr="006742F2">
        <w:t xml:space="preserve"> foi um resistente muito activo, tal como o foi também o inacreditável doutor Martin, esse maníaco da espionagem por conta própria, que poucos anos antes participara na direcção do principal comité </w:t>
      </w:r>
      <w:r w:rsidRPr="006742F2">
        <w:rPr>
          <w:i/>
        </w:rPr>
        <w:t>cagoulard,</w:t>
      </w:r>
      <w:r w:rsidRPr="006742F2">
        <w:t xml:space="preserve"> onde assumira a responsabilidade pelo sector de informação. E o comandante Georges Loustaunau-Lacau não se sentiu impedido de fundar um movimento de resistência pelo facto de ter dirigido os </w:t>
      </w:r>
      <w:r w:rsidRPr="006742F2">
        <w:rPr>
          <w:i/>
        </w:rPr>
        <w:t>cagoulards</w:t>
      </w:r>
      <w:r w:rsidRPr="006742F2">
        <w:t xml:space="preserve"> das forças armadas, que </w:t>
      </w:r>
      <w:r w:rsidR="00415CAE">
        <w:t>planeavam</w:t>
      </w:r>
      <w:r w:rsidRPr="006742F2">
        <w:t xml:space="preserve"> a formação de grupos de combate clandestinos e armazenavam secretamente armas roubadas nos depósitos militares, nem pelo facto de ter mantido em 1938 contactos estreitos com o Parti Populaire Français, a principal organização fascista da época. Mas talvez nenhum </w:t>
      </w:r>
      <w:r w:rsidRPr="006742F2">
        <w:rPr>
          <w:i/>
        </w:rPr>
        <w:t>cagoulard</w:t>
      </w:r>
      <w:r w:rsidRPr="006742F2">
        <w:t xml:space="preserve"> tivesse atingido uma posição de tão elevada responsabilidade como o capitão Dewavrin, conhecido sob o nome de coronel Passy, que se juntou à dissidência de Londres para chefiar o BCRA, o serviço secreto gaullista</w:t>
      </w:r>
      <w:r w:rsidRPr="006742F2">
        <w:rPr>
          <w:rStyle w:val="Refdenotaderodap"/>
        </w:rPr>
        <w:footnoteReference w:id="105"/>
      </w:r>
      <w:r w:rsidRPr="006742F2">
        <w:t xml:space="preserve">. A perícia que eles e tantos outros haviam adquirido ou aperfeiçoado na luta clandestina contra o odiado governo do Front Populaire, sob o temor pânico de uma insurreição proletária, foi mais tarde posta ao serviço do combate subterrâneo contra os ocupantes </w:t>
      </w:r>
      <w:r w:rsidR="00302331">
        <w:t>germânicos</w:t>
      </w:r>
      <w:r w:rsidR="00302331" w:rsidRPr="006742F2">
        <w:t xml:space="preserve"> </w:t>
      </w:r>
      <w:r w:rsidRPr="006742F2">
        <w:t xml:space="preserve">e os fascistas franceses seus aliados. E quando a Gestapo, em Janeiro de 1944, matou Eugène Deloncle, que tinha sido o chefe supremo da </w:t>
      </w:r>
      <w:r w:rsidRPr="006742F2">
        <w:rPr>
          <w:i/>
        </w:rPr>
        <w:t>Cagoule</w:t>
      </w:r>
      <w:r w:rsidRPr="006742F2">
        <w:t xml:space="preserve"> e fora durante algum tempo uma das três principais figuras do colaboracionismo parisiense, não será que, além de quaisquer outros motivos, os </w:t>
      </w:r>
      <w:r w:rsidR="006B5D9A">
        <w:t>nacionais-socialistas</w:t>
      </w:r>
      <w:r w:rsidRPr="006742F2">
        <w:t xml:space="preserve"> recea</w:t>
      </w:r>
      <w:r w:rsidR="006B5D9A">
        <w:t>sse</w:t>
      </w:r>
      <w:r w:rsidRPr="006742F2">
        <w:t xml:space="preserve">m que ele tivesse mantido ou reatado as relações com os antigos colegas de conspiração e, começando a derrota do Reich a afigurar-se inevitável, pretendesse mudar de campo ou arranjar uma terceira alternativa? </w:t>
      </w:r>
      <w:r>
        <w:t xml:space="preserve">Com </w:t>
      </w:r>
      <w:r>
        <w:lastRenderedPageBreak/>
        <w:t xml:space="preserve">efeito, em Outubro e Novembro de 1943, boletins confidenciais emanados de uma agência noticiosa muito ligada aos ocupantes acusaram os </w:t>
      </w:r>
      <w:r w:rsidRPr="0006772E">
        <w:rPr>
          <w:i/>
        </w:rPr>
        <w:t>cagoulards</w:t>
      </w:r>
      <w:r>
        <w:t xml:space="preserve"> de serem responsáveis pelas simpatias que, aos olhos dos fascistas de Paris, a gente de Vichy nutria pelos britânicos, por de Gaulle ou por Giraud</w:t>
      </w:r>
      <w:r>
        <w:rPr>
          <w:rStyle w:val="Refdenotaderodap"/>
        </w:rPr>
        <w:footnoteReference w:id="106"/>
      </w:r>
      <w:r>
        <w:t xml:space="preserve">. </w:t>
      </w:r>
      <w:r w:rsidRPr="006742F2">
        <w:t>O comandante Loustaunau-Lacau escreveu, depois da guerra, que procurara levar Deloncle a prestar à resistência informações de ordem militar</w:t>
      </w:r>
      <w:r w:rsidRPr="006742F2">
        <w:rPr>
          <w:rStyle w:val="Refdenotaderodap"/>
        </w:rPr>
        <w:footnoteReference w:id="107"/>
      </w:r>
      <w:r>
        <w:t>. E alguns historiadores admitira</w:t>
      </w:r>
      <w:r w:rsidRPr="006742F2">
        <w:t xml:space="preserve">m que Deloncle tivesse começado a trabalhar para a Abwehr e participasse nas conspirações que este organismo tecia contra Hitler, assegurando as relações entre o almirante Darlan e o almirante Canaris, ou que chegasse mesmo a encontrar-se, através de Lemaigre-Dubreuil, seu antigo colega da </w:t>
      </w:r>
      <w:r w:rsidRPr="006742F2">
        <w:rPr>
          <w:i/>
        </w:rPr>
        <w:t>Cagoule,</w:t>
      </w:r>
      <w:r w:rsidRPr="006742F2">
        <w:t xml:space="preserve"> com um representante do general Giraud</w:t>
      </w:r>
      <w:r w:rsidRPr="006742F2">
        <w:rPr>
          <w:rStyle w:val="Refdenotaderodap"/>
        </w:rPr>
        <w:footnoteReference w:id="108"/>
      </w:r>
      <w:r w:rsidRPr="006742F2">
        <w:t xml:space="preserve">. Afinal, talvez Loustaunau-Lacau não estivesse a atribuir demasiada importância aos seus antigos correligionários quando declarou, numa das audiências do processo instaurado em 1948 contra a </w:t>
      </w:r>
      <w:r>
        <w:rPr>
          <w:i/>
        </w:rPr>
        <w:t>C</w:t>
      </w:r>
      <w:r w:rsidRPr="006742F2">
        <w:rPr>
          <w:i/>
        </w:rPr>
        <w:t>agoule,</w:t>
      </w:r>
      <w:r w:rsidRPr="006742F2">
        <w:t xml:space="preserve"> que «sem os homens da </w:t>
      </w:r>
      <w:r w:rsidRPr="006742F2">
        <w:rPr>
          <w:i/>
        </w:rPr>
        <w:t>Cagoule</w:t>
      </w:r>
      <w:r w:rsidRPr="006742F2">
        <w:t xml:space="preserve"> o general de Gaulle não teria sido mais do que uma voz impotente»</w:t>
      </w:r>
      <w:r w:rsidRPr="006742F2">
        <w:rPr>
          <w:rStyle w:val="Refdenotaderodap"/>
        </w:rPr>
        <w:footnoteReference w:id="109"/>
      </w:r>
      <w:r w:rsidRPr="006742F2">
        <w:t xml:space="preserve">. </w:t>
      </w:r>
    </w:p>
    <w:p w:rsidR="008F101A" w:rsidRPr="006742F2" w:rsidRDefault="008F101A" w:rsidP="008F101A">
      <w:r w:rsidRPr="006742F2">
        <w:t xml:space="preserve">A participação dos fascistas antialemães na luta contra o ocupante não foi marginal nem as outras correntes políticas lhes voltaram </w:t>
      </w:r>
      <w:r w:rsidR="00A61178">
        <w:t xml:space="preserve">as </w:t>
      </w:r>
      <w:r w:rsidRPr="006742F2">
        <w:t>costas, porque só gradualmente, e graças à dura experiência dos factos, a resistência se separou de Vichy. O historiador que melhor nos pode guiar afirm</w:t>
      </w:r>
      <w:r>
        <w:t>ou</w:t>
      </w:r>
      <w:r w:rsidRPr="006742F2">
        <w:t xml:space="preserve"> que «perante o État Français, os movimentos da resistência interior não adoptaram imediatamente a atitude de ruptura absolutamente clara que foi tomada pela rival, a France Libre, ou pelas vítimas, os comunistas. Houve quem acreditasse durante muito tempo que a política de Vichy não era senão uma resistência disfarçada sob as aparências da colaboração»</w:t>
      </w:r>
      <w:r w:rsidRPr="006742F2">
        <w:rPr>
          <w:rStyle w:val="Refdenotaderodap"/>
        </w:rPr>
        <w:footnoteReference w:id="110"/>
      </w:r>
      <w:r w:rsidRPr="006742F2">
        <w:t xml:space="preserve">. Neste caso a oposição ao ocupante agia com a convicção de que estava a escrever e a fazer aquilo que Pétain não podia dizer e só muito dissimuladamente conseguiria realizar. Partilhada por alguns com sinceridade, esta expectativa reforçava a aura de prestígio que envolvia </w:t>
      </w:r>
      <w:r w:rsidR="009033DD" w:rsidRPr="006742F2">
        <w:t xml:space="preserve">o velho marechal </w:t>
      </w:r>
      <w:r w:rsidRPr="006742F2">
        <w:t xml:space="preserve">e acrescentava mais um mito aos muitos de que </w:t>
      </w:r>
      <w:r w:rsidR="009033DD">
        <w:t xml:space="preserve">ele </w:t>
      </w:r>
      <w:r w:rsidRPr="006742F2">
        <w:t xml:space="preserve">se rodeava. O cordão umbilical que uniu a resistência às novas autoridades da França foi duradouro e difícil de romper, e contribuiu também para difundir as opiniões da extrema-direita </w:t>
      </w:r>
      <w:r w:rsidR="009033DD">
        <w:t xml:space="preserve">e do fascismo </w:t>
      </w:r>
      <w:r w:rsidRPr="006742F2">
        <w:t xml:space="preserve">entre aqueles que mais corajosamente se pronunciavam contra o invasor. Até ao princípio de 1942 o jornal clandestino </w:t>
      </w:r>
      <w:r w:rsidRPr="006742F2">
        <w:rPr>
          <w:i/>
        </w:rPr>
        <w:t>Combat,</w:t>
      </w:r>
      <w:r w:rsidRPr="006742F2">
        <w:t xml:space="preserve"> órgão do movimento com o mesmo nome, publicava sistematicamente em destaque na primeira página citações de Pétain</w:t>
      </w:r>
      <w:r w:rsidRPr="006742F2">
        <w:rPr>
          <w:rStyle w:val="Refdenotaderodap"/>
        </w:rPr>
        <w:footnoteReference w:id="111"/>
      </w:r>
      <w:r w:rsidRPr="006742F2">
        <w:t xml:space="preserve">. Por outro lado, não é </w:t>
      </w:r>
      <w:r w:rsidRPr="006742F2">
        <w:lastRenderedPageBreak/>
        <w:t>decerto ocasional que um dos resistentes que durante mais tempo sustentou o mito de Pétain, defendendo-o ainda em Junho de 1944, e que consider</w:t>
      </w:r>
      <w:r>
        <w:t>ou</w:t>
      </w:r>
      <w:r w:rsidRPr="006742F2">
        <w:t xml:space="preserve"> «benévolo» o fascismo salazarista, possivelmente porque a política externa portuguesa era mais anglófila do que germanófila, se recusasse a acreditar na existência de sentimentos antinazis no Reich e incluísse todo o povo germânico numa mesma condenação xenófoba</w:t>
      </w:r>
      <w:r w:rsidRPr="006742F2">
        <w:rPr>
          <w:rStyle w:val="Refdenotaderodap"/>
        </w:rPr>
        <w:footnoteReference w:id="112"/>
      </w:r>
      <w:r w:rsidRPr="006742F2">
        <w:t xml:space="preserve">. </w:t>
      </w:r>
    </w:p>
    <w:p w:rsidR="008F101A" w:rsidRPr="006742F2" w:rsidRDefault="008F101A" w:rsidP="008F101A">
      <w:r w:rsidRPr="006742F2">
        <w:t>A</w:t>
      </w:r>
      <w:r w:rsidR="0082672F">
        <w:t>s</w:t>
      </w:r>
      <w:r w:rsidRPr="006742F2">
        <w:t xml:space="preserve"> perspectiva</w:t>
      </w:r>
      <w:r w:rsidR="0082672F">
        <w:t>s</w:t>
      </w:r>
      <w:r w:rsidRPr="006742F2">
        <w:t xml:space="preserve"> </w:t>
      </w:r>
      <w:r w:rsidR="00A61178">
        <w:t>fascista</w:t>
      </w:r>
      <w:r w:rsidR="0082672F">
        <w:t>s</w:t>
      </w:r>
      <w:r w:rsidR="00A61178">
        <w:t xml:space="preserve"> </w:t>
      </w:r>
      <w:r w:rsidRPr="006742F2">
        <w:t>no combate pela libertação do país condicionava</w:t>
      </w:r>
      <w:r w:rsidR="0082672F">
        <w:t>m</w:t>
      </w:r>
      <w:r w:rsidRPr="006742F2">
        <w:t xml:space="preserve"> igua</w:t>
      </w:r>
      <w:r w:rsidR="0082672F">
        <w:t>is</w:t>
      </w:r>
      <w:r w:rsidRPr="006742F2">
        <w:t xml:space="preserve"> ponto</w:t>
      </w:r>
      <w:r w:rsidR="0082672F">
        <w:t>s</w:t>
      </w:r>
      <w:r w:rsidRPr="006742F2">
        <w:t xml:space="preserve"> de vista nas questões internas. Muitos membros da resistência nutriam uma forte simpatia pela organização política, económica e social do État Français. «Em vez de defendermos a respeito de tudo a posição oposta à das suas palavras de ordem, devemos conservar muitos dos pensamentos lançados pela propaganda da Revolução Nacional, embora transformando-os em verdades», escrev</w:t>
      </w:r>
      <w:r>
        <w:t>eu</w:t>
      </w:r>
      <w:r w:rsidRPr="006742F2">
        <w:t xml:space="preserve"> Simone Weil, é certo que em Inglaterra, mas depois de ter participado na resistência </w:t>
      </w:r>
      <w:r w:rsidR="00A61178">
        <w:t>d</w:t>
      </w:r>
      <w:r w:rsidRPr="006742F2">
        <w:t>a zona sul. «Aliás», acrescentou, «a Terceira República foi condenada num texto emanado oficialmente de Londres; a partir de então ela dificilmente pode ser invocada como um fundamento de legitimidade»</w:t>
      </w:r>
      <w:r w:rsidRPr="006742F2">
        <w:rPr>
          <w:rStyle w:val="Refdenotaderodap"/>
        </w:rPr>
        <w:footnoteReference w:id="113"/>
      </w:r>
      <w:r w:rsidRPr="006742F2">
        <w:t>. A representação por categorias profissionais e a solidariedade entre patrões e operários no quadro das empresas, que constituíam um dos traços definidores do sistema corporativo, foram incluídas por diversas correntes de opinião da resistência nos projectos de organização política e económica da França futura</w:t>
      </w:r>
      <w:r w:rsidRPr="006742F2">
        <w:rPr>
          <w:rStyle w:val="Refdenotaderodap"/>
        </w:rPr>
        <w:footnoteReference w:id="114"/>
      </w:r>
      <w:r w:rsidRPr="006742F2">
        <w:t>. «Mesmo os sindicalis</w:t>
      </w:r>
      <w:r>
        <w:t>tas de Libération Nord», observou</w:t>
      </w:r>
      <w:r w:rsidRPr="006742F2">
        <w:t xml:space="preserve"> um historiador, «preconizavam uma variante da teoria corporativista do regime: “O sindicato livre na profissão organizada e no Estado soberano”»</w:t>
      </w:r>
      <w:r w:rsidRPr="006742F2">
        <w:rPr>
          <w:rStyle w:val="Refdenotaderodap"/>
        </w:rPr>
        <w:footnoteReference w:id="115"/>
      </w:r>
      <w:r w:rsidRPr="006742F2">
        <w:t>. E o movimento Défense de la France, ao reflectir sobre a orientação demográfica e familiar que conviria adoptar depois de concluída a guerra, declarou que «a este respeito, a política de Vichy deve ser prosseguida e reforçada»</w:t>
      </w:r>
      <w:r w:rsidRPr="006742F2">
        <w:rPr>
          <w:rStyle w:val="Refdenotaderodap"/>
        </w:rPr>
        <w:footnoteReference w:id="116"/>
      </w:r>
      <w:r w:rsidRPr="006742F2">
        <w:t>. Aliás, é difícil encontrar uma expressão mais adequada da dialéctica fascista de promoção social do que num artigo de um dos fundadores de Défense de la France, publicado clandestinamente em Fevereiro de 1943. «Não se trata de abater uma classe», escreveu ele, «mas um estado de espírito. Importa-nos pouco a origem social dos homens de amanhã. Só conta a sua atitude perante a vida. [...] Nenhuma classe pode constituir a totalidade da elite, mas existe em todas as classes uma elite que temos de destacar»</w:t>
      </w:r>
      <w:r w:rsidRPr="006742F2">
        <w:rPr>
          <w:rStyle w:val="Refdenotaderodap"/>
        </w:rPr>
        <w:footnoteReference w:id="117"/>
      </w:r>
      <w:r w:rsidRPr="006742F2">
        <w:t xml:space="preserve">. Nada mais lógico. Se o facto de ser fascista não a impedia de ser ao mesmo tempo antialemã, por que razão </w:t>
      </w:r>
      <w:r w:rsidR="00A61178">
        <w:t xml:space="preserve">essa vertente </w:t>
      </w:r>
      <w:r w:rsidRPr="006742F2">
        <w:t xml:space="preserve">da resistência haveria de supor que o </w:t>
      </w:r>
      <w:r w:rsidRPr="006742F2">
        <w:lastRenderedPageBreak/>
        <w:t xml:space="preserve">fascismo da administração de Vichy a condenasse a vegetar na órbita de Hitler? E assim o nacionalismo </w:t>
      </w:r>
      <w:r w:rsidR="00A61178">
        <w:t xml:space="preserve">emanado do fascismo </w:t>
      </w:r>
      <w:r w:rsidRPr="006742F2">
        <w:t>serviu para legitim</w:t>
      </w:r>
      <w:r>
        <w:t xml:space="preserve">ar </w:t>
      </w:r>
      <w:r w:rsidR="00415064" w:rsidRPr="006742F2">
        <w:t>perante a restante resistência</w:t>
      </w:r>
      <w:r w:rsidR="00415064">
        <w:t xml:space="preserve"> </w:t>
      </w:r>
      <w:r w:rsidR="0082672F">
        <w:t xml:space="preserve">as </w:t>
      </w:r>
      <w:r w:rsidR="00415064">
        <w:t>noções fascistas</w:t>
      </w:r>
      <w:r w:rsidRPr="006742F2">
        <w:t xml:space="preserve">. </w:t>
      </w:r>
    </w:p>
    <w:p w:rsidR="008F101A" w:rsidRPr="006742F2" w:rsidRDefault="008F101A" w:rsidP="008F101A">
      <w:r>
        <w:t>Um</w:t>
      </w:r>
      <w:r w:rsidRPr="006742F2">
        <w:t xml:space="preserve"> minucioso conhecedor destes problemas, depois de recordar que «de início, a resistência clandestina era apolítica, meramente patriótica», pretende</w:t>
      </w:r>
      <w:r>
        <w:t>u</w:t>
      </w:r>
      <w:r w:rsidRPr="006742F2">
        <w:t xml:space="preserve"> que «a evolução de Vichy impediu o desenvolvimento de uma resistência “de direita”» e insist</w:t>
      </w:r>
      <w:r>
        <w:t>iu</w:t>
      </w:r>
      <w:r w:rsidRPr="006742F2">
        <w:t xml:space="preserve"> que «a extrema-direita nunca está inteiramente ausente da resistência, mas forma aí uma minoria reduzida, que não faz ouvir a sua voz e renuncia a muitas das suas opiniões, ou até mesmo dos seus preconceitos, ao aceitar o programa do Conselho Nacional da Resistência»</w:t>
      </w:r>
      <w:r w:rsidRPr="006742F2">
        <w:rPr>
          <w:rStyle w:val="Refdenotaderodap"/>
        </w:rPr>
        <w:footnoteReference w:id="118"/>
      </w:r>
      <w:r w:rsidRPr="006742F2">
        <w:t xml:space="preserve">. Na aparência foi talvez o que sucedeu, mas tratou-se de um processo mais subtil, e na verdade </w:t>
      </w:r>
      <w:r w:rsidR="00B22866">
        <w:t xml:space="preserve">não só </w:t>
      </w:r>
      <w:r w:rsidRPr="006742F2">
        <w:t>a extrema-direita</w:t>
      </w:r>
      <w:r w:rsidR="00415064">
        <w:t xml:space="preserve"> </w:t>
      </w:r>
      <w:r w:rsidR="00B22866">
        <w:t>como</w:t>
      </w:r>
      <w:r w:rsidR="00415064">
        <w:t xml:space="preserve"> </w:t>
      </w:r>
      <w:r w:rsidR="00B22866">
        <w:t xml:space="preserve">certo </w:t>
      </w:r>
      <w:r w:rsidR="00415064">
        <w:t>fascismo</w:t>
      </w:r>
      <w:r w:rsidRPr="006742F2">
        <w:t xml:space="preserve">, sem etiquetas mas com os seus temas e as suas doutrinas, nunca deixaram de permear uma resistência que cada vez mais se pretendia de esquerda. </w:t>
      </w:r>
    </w:p>
    <w:p w:rsidR="008F101A" w:rsidRPr="006742F2" w:rsidRDefault="008F101A" w:rsidP="008F101A">
      <w:r w:rsidRPr="006742F2">
        <w:t>Mesmo o Front National, criado por iniciativa do Partido Comunista e mantido sob o seu controlo directo, aceitou nas suas fileiras membros de agrupamentos fascistas como o Parti Social Français</w:t>
      </w:r>
      <w:r w:rsidRPr="006742F2">
        <w:rPr>
          <w:rStyle w:val="Refdenotaderodap"/>
        </w:rPr>
        <w:footnoteReference w:id="119"/>
      </w:r>
      <w:r w:rsidRPr="006742F2">
        <w:t xml:space="preserve">, e </w:t>
      </w:r>
      <w:r w:rsidR="005F5B39">
        <w:t xml:space="preserve">esta </w:t>
      </w:r>
      <w:r w:rsidRPr="006742F2">
        <w:t>penetração teve repercussões tanto mais vastas quanto foi essa a única organização da resistência a actuar ao mesmo tempo na zona ocupada e na zona livre, conseguindo talvez ultrapassar em importância as suas congéneres</w:t>
      </w:r>
      <w:r w:rsidRPr="006742F2">
        <w:rPr>
          <w:rStyle w:val="Refdenotaderodap"/>
        </w:rPr>
        <w:footnoteReference w:id="120"/>
      </w:r>
      <w:r w:rsidRPr="006742F2">
        <w:t>. Não se tratou apenas de um acordo táctico entre os comunistas e um cert</w:t>
      </w:r>
      <w:r w:rsidR="00F21D64">
        <w:t>o</w:t>
      </w:r>
      <w:r w:rsidRPr="006742F2">
        <w:t xml:space="preserve"> </w:t>
      </w:r>
      <w:r w:rsidR="00F21D64">
        <w:t>fascismo</w:t>
      </w:r>
      <w:r w:rsidRPr="006742F2">
        <w:t xml:space="preserve">, pois as simpatias tinham raízes mais profundas, embora </w:t>
      </w:r>
      <w:r>
        <w:t>bastante</w:t>
      </w:r>
      <w:r w:rsidRPr="006742F2">
        <w:t xml:space="preserve"> esquecidas. Na jornada fascista de 6 de Fevereiro de 1934 em Paris, essa estranha sublevação que, apesar de derrotada, derrotou o governo e levou à demissão do presidente do Conselho e à constituição de um novo governo de carácter autoritário, durante essas horas em que as ligas fascistas bradavam e se agitavam contra a Terceira República, não parece terem sido raros os militantes do Partido Comunista que se juntaram aos manifestantes</w:t>
      </w:r>
      <w:r w:rsidRPr="006742F2">
        <w:rPr>
          <w:rStyle w:val="Refdenotaderodap"/>
        </w:rPr>
        <w:footnoteReference w:id="121"/>
      </w:r>
      <w:r w:rsidRPr="006742F2">
        <w:t xml:space="preserve">. </w:t>
      </w:r>
      <w:r w:rsidR="00EE6887">
        <w:t>Um jornalista que presenciou os acontecimentos classificou-os como «uma tentativa de golpe fascista que os comunistas, intencionalmente ou não, auxiliaram»</w:t>
      </w:r>
      <w:r w:rsidR="00EE6887">
        <w:rPr>
          <w:rStyle w:val="Refdenotaderodap"/>
        </w:rPr>
        <w:footnoteReference w:id="122"/>
      </w:r>
      <w:r w:rsidR="00EE6887">
        <w:t xml:space="preserve">. </w:t>
      </w:r>
      <w:r w:rsidRPr="006742F2">
        <w:t>Depois, o 6 de Fevereiro serviu para precipitar a coligação das forças de esquerda que deu origem ao Front Populaire, e as clivagens políticas</w:t>
      </w:r>
      <w:r w:rsidR="00F21D64" w:rsidRPr="00F21D64">
        <w:t xml:space="preserve"> </w:t>
      </w:r>
      <w:r w:rsidR="00F21D64" w:rsidRPr="006742F2">
        <w:t>mudaram</w:t>
      </w:r>
      <w:r w:rsidRPr="006742F2">
        <w:t xml:space="preserve">. Mas talvez alguns se lembrassem ainda que o ódio demonstrado pelas ligas fascistas contra a república burguesa havia seduzido os comunistas. Os problemas, no entanto, eram agora outros, como </w:t>
      </w:r>
      <w:r w:rsidRPr="006742F2">
        <w:lastRenderedPageBreak/>
        <w:t>eram diferentes também os motivos de aliança. Um órgão da imprensa comunista clandestina proclam</w:t>
      </w:r>
      <w:r>
        <w:t>ou</w:t>
      </w:r>
      <w:r w:rsidRPr="006742F2">
        <w:t xml:space="preserve"> em 1941 que a Frente agruparia «todos os franceses que pensam como franceses e querem agir como franceses», o que no contexto significava, reconhece</w:t>
      </w:r>
      <w:r>
        <w:t>u</w:t>
      </w:r>
      <w:r w:rsidRPr="006742F2">
        <w:t xml:space="preserve"> candidamente o autor do artigo, ajudar a União Soviética a vencer o Reich</w:t>
      </w:r>
      <w:r w:rsidRPr="006742F2">
        <w:rPr>
          <w:rStyle w:val="Refdenotaderodap"/>
        </w:rPr>
        <w:footnoteReference w:id="123"/>
      </w:r>
      <w:r w:rsidRPr="006742F2">
        <w:t>. A voz autorizada de François Billoux, delegado do Partido Comunista à Assembleia Consultiva de Argel e ministro do Governo Provisório, anunci</w:t>
      </w:r>
      <w:r>
        <w:t>ou</w:t>
      </w:r>
      <w:r w:rsidRPr="006742F2">
        <w:t xml:space="preserve"> com toda a seriedade em Dezembro de 1943: «É possível ter pertencido a organizações fascistas ou pró-hitlerianas (PPF, </w:t>
      </w:r>
      <w:r w:rsidRPr="006742F2">
        <w:rPr>
          <w:i/>
        </w:rPr>
        <w:t>Cagoule</w:t>
      </w:r>
      <w:r w:rsidRPr="006742F2">
        <w:t>) e ser um bom patriota»</w:t>
      </w:r>
      <w:r w:rsidRPr="006742F2">
        <w:rPr>
          <w:rStyle w:val="Refdenotaderodap"/>
        </w:rPr>
        <w:footnoteReference w:id="124"/>
      </w:r>
      <w:r w:rsidRPr="006742F2">
        <w:t>. E André Marty, um dos chefes do PCF clandestino e uma das figuras mais conhecidas do comunismo mundial, escrev</w:t>
      </w:r>
      <w:r>
        <w:t>eu</w:t>
      </w:r>
      <w:r w:rsidRPr="006742F2">
        <w:t xml:space="preserve"> no mês seguinte: «Pouco nos interessa que um certo engenheiro ou professor tivesse sido há dez anos inimigo do Front Populaire, que um certo general ou almirante tivesse sido reaccionário ou até fascista. Se hoje eles lutam efectivamente contra o inimigo, o nosso partido ajuda-os e apoia-os com todas as suas forças»</w:t>
      </w:r>
      <w:r w:rsidRPr="006742F2">
        <w:rPr>
          <w:rStyle w:val="Refdenotaderodap"/>
        </w:rPr>
        <w:footnoteReference w:id="125"/>
      </w:r>
      <w:r w:rsidRPr="006742F2">
        <w:t xml:space="preserve">. Era com gente desta que engrossavam as fileiras do Front National. Como haviam mudado os ânimos e as necessidades! A Frente, que alguns anos antes inspirara entusiasmos sem conta quando tinha sido Popular, suscitava agora outras exaltações </w:t>
      </w:r>
      <w:r w:rsidR="005F5B39">
        <w:t>—</w:t>
      </w:r>
      <w:r w:rsidRPr="006742F2">
        <w:t xml:space="preserve"> ou quem sabe se as mesmas? </w:t>
      </w:r>
      <w:r w:rsidR="005F5B39">
        <w:t>—</w:t>
      </w:r>
      <w:r w:rsidRPr="006742F2">
        <w:t xml:space="preserve"> convertida no seu exacto oposto, uma Frente Nacional. A posição dos comunistas perante </w:t>
      </w:r>
      <w:r w:rsidR="00F21D64">
        <w:t xml:space="preserve">o fascismo </w:t>
      </w:r>
      <w:r w:rsidRPr="006742F2">
        <w:t>antialemã</w:t>
      </w:r>
      <w:r w:rsidR="00F21D64">
        <w:t>o</w:t>
      </w:r>
      <w:r w:rsidRPr="006742F2">
        <w:t xml:space="preserve"> ficou mais clara ainda num artigo publicado nos primeiros meses de 1944 e assinado por Jacques Duclos, outro dos dirigentes máximos do partido, que cumpria ao mesmo tempo as discretas funções de principal homem de confiança de Moscovo no interior do </w:t>
      </w:r>
      <w:r w:rsidRPr="006742F2">
        <w:rPr>
          <w:i/>
        </w:rPr>
        <w:t>bureau</w:t>
      </w:r>
      <w:r w:rsidRPr="006742F2">
        <w:t xml:space="preserve"> político. Agora já não se tratava apenas do Front Nacional e era o próprio partido a anunciar que abriria as suas fileiras a novos militantes, «a todos os homens de boa vontade que, embora não tenham ainda assimilado a sua doutrina, aplicam as suas directrizes, católicos, socialistas, radicais, antigos membros do Parti Social Français»</w:t>
      </w:r>
      <w:r w:rsidRPr="006742F2">
        <w:rPr>
          <w:rStyle w:val="Refdenotaderodap"/>
        </w:rPr>
        <w:footnoteReference w:id="126"/>
      </w:r>
      <w:r w:rsidRPr="006742F2">
        <w:t xml:space="preserve">. </w:t>
      </w:r>
    </w:p>
    <w:p w:rsidR="008F101A" w:rsidRPr="006742F2" w:rsidRDefault="008F101A" w:rsidP="008F101A">
      <w:r w:rsidRPr="006742F2">
        <w:t xml:space="preserve">Esta aliança com a extrema-direita </w:t>
      </w:r>
      <w:r w:rsidR="00F21D64">
        <w:t xml:space="preserve">antialemã e com o fascismo antialemão </w:t>
      </w:r>
      <w:r w:rsidRPr="006742F2">
        <w:t>explica que os representantes do Partido Comunista no Conselho Nacional da Resistência se tivessem juntado aos elementos mais conservadores deste órgão para se opor ao plano de socialização da economia proposto pelo secretário-geral clandestino do Partido Socialista</w:t>
      </w:r>
      <w:r w:rsidRPr="006742F2">
        <w:rPr>
          <w:rStyle w:val="Refdenotaderodap"/>
        </w:rPr>
        <w:footnoteReference w:id="127"/>
      </w:r>
      <w:r w:rsidRPr="006742F2">
        <w:t xml:space="preserve">. E quando, sob a coragem prestigiada e a fenomenal inépcia do general Giraud </w:t>
      </w:r>
      <w:r w:rsidR="00A145A1">
        <w:t xml:space="preserve">— «o general mais estúpido do exército francês, apesar de não faltarem concorrentes ao título», como o classificou </w:t>
      </w:r>
      <w:r w:rsidR="00422466">
        <w:t>Rebatet</w:t>
      </w:r>
      <w:r w:rsidR="00A145A1">
        <w:rPr>
          <w:rStyle w:val="Refdenotaderodap"/>
        </w:rPr>
        <w:footnoteReference w:id="128"/>
      </w:r>
      <w:r w:rsidR="00A145A1">
        <w:t xml:space="preserve"> — </w:t>
      </w:r>
      <w:r w:rsidRPr="006742F2">
        <w:t xml:space="preserve">numerosos elementos da ala moderada de Vichy procuraram garantir a sua hegemonia numa </w:t>
      </w:r>
      <w:r w:rsidRPr="006742F2">
        <w:lastRenderedPageBreak/>
        <w:t>Argélia libertada, ou ocupada, pelas tropas norte-americanas, o Partido Comunista e o seu Front National, em vez de participarem ao lado dos demais movimentos da resistência no apoio a de Gaulle, asseguraram a Giraud a sua benevolência e prestaram-lhe um discreto auxílio</w:t>
      </w:r>
      <w:r w:rsidRPr="006742F2">
        <w:rPr>
          <w:rStyle w:val="Refdenotaderodap"/>
        </w:rPr>
        <w:footnoteReference w:id="129"/>
      </w:r>
      <w:r w:rsidRPr="006742F2">
        <w:t>. É verdade que em conversa com um representante do PCF Giraud se record</w:t>
      </w:r>
      <w:r>
        <w:t>ara</w:t>
      </w:r>
      <w:r w:rsidRPr="006742F2">
        <w:t xml:space="preserve"> de não ser «inimigo dos operários, bem pelo contrário. Quando era criança, ao domingo, ia com a minha criada levar-lhes laranjas»</w:t>
      </w:r>
      <w:r w:rsidRPr="006742F2">
        <w:rPr>
          <w:rStyle w:val="Refdenotaderodap"/>
        </w:rPr>
        <w:footnoteReference w:id="130"/>
      </w:r>
      <w:r w:rsidRPr="006742F2">
        <w:t>. Seria a mesma filantropia que o conduziu a aliar-se ao Front National para liberta</w:t>
      </w:r>
      <w:r>
        <w:t>r</w:t>
      </w:r>
      <w:r w:rsidRPr="006742F2">
        <w:t xml:space="preserve"> a Córsega e deixar os comunistas instalarem-se à frente de todos os municípios da ilha</w:t>
      </w:r>
      <w:r w:rsidRPr="006742F2">
        <w:rPr>
          <w:rStyle w:val="Refdenotaderodap"/>
        </w:rPr>
        <w:footnoteReference w:id="131"/>
      </w:r>
      <w:r w:rsidRPr="006742F2">
        <w:t xml:space="preserve">? Como se o pétainismo espúrio representado por Giraud, e reduzido ao eixo conservador em que o exército se conjugava com a Igreja, encontrasse nos comunistas, no seu partido, nos seus sindicatos e nas suas milícias do </w:t>
      </w:r>
      <w:r w:rsidRPr="006742F2">
        <w:rPr>
          <w:i/>
        </w:rPr>
        <w:t>maquis</w:t>
      </w:r>
      <w:r w:rsidRPr="006742F2">
        <w:t xml:space="preserve"> </w:t>
      </w:r>
      <w:r w:rsidR="00EE1BA9">
        <w:t>o</w:t>
      </w:r>
      <w:r w:rsidRPr="006742F2">
        <w:t xml:space="preserve"> eixo radical necessário para ressuscitar o nacional-bolchevismo e reproduzir nos novos tempos a articulação definidora do fascismo. </w:t>
      </w:r>
    </w:p>
    <w:p w:rsidR="008F101A" w:rsidRPr="006742F2" w:rsidRDefault="00EE1BA9" w:rsidP="008F101A">
      <w:r w:rsidRPr="006742F2">
        <w:t xml:space="preserve">Maurice de </w:t>
      </w:r>
      <w:r w:rsidR="008F101A" w:rsidRPr="006742F2">
        <w:t xml:space="preserve">Vlaminck, apesar de ter sido na abertura do século um dos fundadores da «arte degenerada», ao mesmo tempo que defendia o anarquismo e colaborava em </w:t>
      </w:r>
      <w:r w:rsidR="008F101A" w:rsidRPr="006742F2">
        <w:rPr>
          <w:i/>
        </w:rPr>
        <w:t>Le Libertaire</w:t>
      </w:r>
      <w:r w:rsidR="008F101A" w:rsidRPr="006742F2">
        <w:rPr>
          <w:rStyle w:val="Refdenotaderodap"/>
        </w:rPr>
        <w:footnoteReference w:id="132"/>
      </w:r>
      <w:r w:rsidR="008F101A" w:rsidRPr="006742F2">
        <w:t xml:space="preserve">, frequentou mais tarde, durante a ocupação </w:t>
      </w:r>
      <w:r w:rsidR="002A1F78">
        <w:t>germ</w:t>
      </w:r>
      <w:r w:rsidR="005A771F">
        <w:t>â</w:t>
      </w:r>
      <w:r w:rsidR="002A1F78">
        <w:t>nica</w:t>
      </w:r>
      <w:r w:rsidR="008F101A" w:rsidRPr="006742F2">
        <w:t>, os salões do embaixador Abetz e fez as devidas mesuras a Arno Breker e aos seus mármores heróicos. Em Novembro de 1941 estava ele em Berlim, a convite de Albert Speer, para se extasiar perante as maquetes dos novos projectos arquitectónicos do Reich</w:t>
      </w:r>
      <w:r w:rsidR="008F101A">
        <w:t>,</w:t>
      </w:r>
      <w:r w:rsidR="008F101A" w:rsidRPr="006742F2">
        <w:t xml:space="preserve"> e ei-lo pouco depois a denunciar num jornal de Paris a «perversão de espírito» e o «amoralismo» de Picasso, acusando-o de impotência estética e de mascarar a sua ausência de carácter numa rapsódia de referências alheias</w:t>
      </w:r>
      <w:r w:rsidR="008F101A" w:rsidRPr="006742F2">
        <w:rPr>
          <w:rStyle w:val="Refdenotaderodap"/>
        </w:rPr>
        <w:footnoteReference w:id="133"/>
      </w:r>
      <w:r w:rsidR="008F101A" w:rsidRPr="006742F2">
        <w:t xml:space="preserve">. </w:t>
      </w:r>
      <w:r w:rsidR="00085BA7" w:rsidRPr="006742F2">
        <w:t xml:space="preserve">Vlaminck </w:t>
      </w:r>
      <w:r w:rsidR="00085BA7">
        <w:t>escondeu-se quando chegou a libertação</w:t>
      </w:r>
      <w:r w:rsidR="00085BA7">
        <w:rPr>
          <w:rStyle w:val="Refdenotaderodap"/>
        </w:rPr>
        <w:footnoteReference w:id="134"/>
      </w:r>
      <w:r w:rsidR="00085BA7">
        <w:t xml:space="preserve"> e </w:t>
      </w:r>
      <w:r w:rsidR="00085BA7" w:rsidRPr="006742F2">
        <w:t xml:space="preserve">de </w:t>
      </w:r>
      <w:r w:rsidR="008F101A" w:rsidRPr="006742F2">
        <w:t xml:space="preserve">entre os artistas plásticos mais reputados foi </w:t>
      </w:r>
      <w:r w:rsidR="00085BA7">
        <w:t xml:space="preserve">ele </w:t>
      </w:r>
      <w:r w:rsidR="008F101A" w:rsidRPr="006742F2">
        <w:t xml:space="preserve">o único condenado por colaboracionismo, </w:t>
      </w:r>
      <w:r w:rsidR="008F101A">
        <w:t xml:space="preserve">sofrendo </w:t>
      </w:r>
      <w:r w:rsidR="008F101A" w:rsidRPr="006742F2">
        <w:t>aliás uma pena meramente simbólica</w:t>
      </w:r>
      <w:r w:rsidR="008F101A" w:rsidRPr="006742F2">
        <w:rPr>
          <w:rStyle w:val="Refdenotaderodap"/>
        </w:rPr>
        <w:footnoteReference w:id="135"/>
      </w:r>
      <w:r w:rsidR="008F101A" w:rsidRPr="006742F2">
        <w:t xml:space="preserve">. </w:t>
      </w:r>
      <w:r w:rsidR="005659DB">
        <w:t>Pois</w:t>
      </w:r>
      <w:r w:rsidR="008F101A" w:rsidRPr="006742F2">
        <w:t xml:space="preserve"> é dele, do mesmo Vlaminck, que eu vi no Museu de Chartres uma </w:t>
      </w:r>
      <w:r w:rsidR="008F101A" w:rsidRPr="006742F2">
        <w:rPr>
          <w:i/>
        </w:rPr>
        <w:t>Nature morte à «L’Humanité»</w:t>
      </w:r>
      <w:r w:rsidR="008F101A" w:rsidRPr="006742F2">
        <w:t xml:space="preserve">, pintada cinco anos após a libertação e onde se destaca, em primeiro plano, à </w:t>
      </w:r>
      <w:r w:rsidR="008F101A" w:rsidRPr="006742F2">
        <w:lastRenderedPageBreak/>
        <w:t xml:space="preserve">esquerda, o jornal do PCF. Fê-la com a inegável mestria que tinha do pincel e da curvatura de espinha? Talvez nem isto sequer, e só com um certo cinismo </w:t>
      </w:r>
      <w:r w:rsidR="008F101A" w:rsidRPr="006742F2">
        <w:rPr>
          <w:i/>
        </w:rPr>
        <w:t>désabusé,</w:t>
      </w:r>
      <w:r w:rsidR="008F101A" w:rsidRPr="006742F2">
        <w:t xml:space="preserve"> com a convicção de que tudo se equivale e nada vale. Não se tratou apenas de um caso pessoal de oportunismo sem escrúpulos ou do rancor ácido de um artista ultrapassado pelas inovações que ajudara a criar. </w:t>
      </w:r>
      <w:r w:rsidR="00252A13">
        <w:t>O colaboracionista Lucien Combelle</w:t>
      </w:r>
      <w:r w:rsidR="007449E0">
        <w:t>,</w:t>
      </w:r>
      <w:r w:rsidR="00252A13">
        <w:t xml:space="preserve"> </w:t>
      </w:r>
      <w:r w:rsidR="007449E0">
        <w:t xml:space="preserve">por exemplo, </w:t>
      </w:r>
      <w:r w:rsidR="00252A13">
        <w:t>contou mais tarde que pouco antes de se suicidar Drieu La Rochelle o aconselhara, se escapasse de ser condenado à morte, a aderir ao PCF, por defend</w:t>
      </w:r>
      <w:r w:rsidR="007449E0">
        <w:t>er</w:t>
      </w:r>
      <w:r w:rsidR="00252A13">
        <w:t xml:space="preserve"> um «socialismo orgulhoso, viril»</w:t>
      </w:r>
      <w:r w:rsidR="00614059">
        <w:rPr>
          <w:rStyle w:val="Refdenotaderodap"/>
        </w:rPr>
        <w:footnoteReference w:id="136"/>
      </w:r>
      <w:r w:rsidR="00252A13">
        <w:t xml:space="preserve">. </w:t>
      </w:r>
      <w:r w:rsidR="008F101A" w:rsidRPr="006742F2">
        <w:t xml:space="preserve">Estas aparentes mudanças de cento e oitenta graus foram partilhadas por muita gente e encontram a regra e a explicação no Front National, dirigido pelo Partido Comunista. </w:t>
      </w:r>
    </w:p>
    <w:p w:rsidR="008F101A" w:rsidRPr="006742F2" w:rsidRDefault="008F101A" w:rsidP="008F101A">
      <w:r w:rsidRPr="006742F2">
        <w:t xml:space="preserve">Depois da libertação, as pessoas vindas de todos os quadrantes, que durante os tempos perigosos haviam acamaradado nos mesmos movimentos e se tinham ajudado perante os mesmos inimigos, voltaram </w:t>
      </w:r>
      <w:r w:rsidR="00782D3B">
        <w:t xml:space="preserve">em muitos </w:t>
      </w:r>
      <w:r w:rsidRPr="006742F2">
        <w:t xml:space="preserve">casos aos seus campos de origem. Mas no regresso modificaram-nos profundamente e deram à vida política francesa um carácter diferente do que havia possuído antes da guerra. </w:t>
      </w:r>
      <w:r>
        <w:t>Um</w:t>
      </w:r>
      <w:r w:rsidRPr="006742F2">
        <w:t xml:space="preserve"> historiador resum</w:t>
      </w:r>
      <w:r>
        <w:t>iu</w:t>
      </w:r>
      <w:r w:rsidRPr="006742F2">
        <w:t xml:space="preserve"> o que se passou</w:t>
      </w:r>
      <w:r w:rsidR="005659DB">
        <w:t>:</w:t>
      </w:r>
      <w:r w:rsidRPr="006742F2">
        <w:t xml:space="preserve"> «O estratagema do Front National podia ter como efeito atrair para os comunistas elementos que anteriormente lhes eram hostis ou indiferentes; mas podia ter também o contra-efeito de “nacionalizar” elementos comunistas. De maneira contraditória e simultânea, ambos os resultados foram alcançados»</w:t>
      </w:r>
      <w:r w:rsidRPr="006742F2">
        <w:rPr>
          <w:rStyle w:val="Refdenotaderodap"/>
        </w:rPr>
        <w:footnoteReference w:id="137"/>
      </w:r>
      <w:r w:rsidRPr="006742F2">
        <w:t>. Léon Blum, lúcido como tantas vezes soube ser, e que do confinamento orientava a reconstrução do Partido Socialista, escrev</w:t>
      </w:r>
      <w:r>
        <w:t>eu</w:t>
      </w:r>
      <w:r w:rsidRPr="006742F2">
        <w:t xml:space="preserve"> clandestinamente a de Gaulle, em Março de 1943: «Depois de libertada a França, terminará o papel desempenhado pelos movimentos de resistência. [...] Graças a eles ter-se-á formado espontaneamente uma elite nova e jovem. [...] Mas os homens que compõem esta elite deverão repartir-se pelos diferentes partidos, renovando-os e rejuvenescendo-os, e continuando a impregná-los, na sua diversidade, de uma solidariedade profunda, de um verdadeiro espírito de unidade francesa»</w:t>
      </w:r>
      <w:r w:rsidRPr="006742F2">
        <w:rPr>
          <w:rStyle w:val="Refdenotaderodap"/>
        </w:rPr>
        <w:footnoteReference w:id="138"/>
      </w:r>
      <w:r w:rsidRPr="006742F2">
        <w:t>. Foi uma previsão acertada e a resistência serviu para gerar uma perspectiva nacionalista comum nos partidos que ocuparam o espaço político da libertação. Ao mesmo tempo, tanto Blum como o novo secretário-geral do Partido Socialista, Daniel Mayer, regozijavam-se por ouvir em todas as formações da resistência o eco do socialismo</w:t>
      </w:r>
      <w:r w:rsidRPr="006742F2">
        <w:rPr>
          <w:rStyle w:val="Refdenotaderodap"/>
        </w:rPr>
        <w:footnoteReference w:id="139"/>
      </w:r>
      <w:r w:rsidRPr="006742F2">
        <w:t>. Durante a luta contra o Reich, o nacionalismo e o socialismo haviam-se tornado património comum na França clandestina</w:t>
      </w:r>
      <w:r w:rsidR="00782D3B">
        <w:t>,</w:t>
      </w:r>
      <w:r w:rsidRPr="006742F2">
        <w:t xml:space="preserve"> </w:t>
      </w:r>
      <w:r w:rsidR="00782D3B">
        <w:t xml:space="preserve">que se libertaria do nacional-socialismo para fundar um nacionalismo social. </w:t>
      </w:r>
    </w:p>
    <w:p w:rsidR="008F101A" w:rsidRPr="006742F2" w:rsidRDefault="008F101A" w:rsidP="008F101A">
      <w:r w:rsidRPr="006742F2">
        <w:lastRenderedPageBreak/>
        <w:t xml:space="preserve">E assim </w:t>
      </w:r>
      <w:r w:rsidR="005659DB">
        <w:t>—</w:t>
      </w:r>
      <w:r w:rsidRPr="006742F2">
        <w:t xml:space="preserve"> paradoxo que foi o drama de tantos que gastaram naqueles anos a sua vida e as suas esperanças </w:t>
      </w:r>
      <w:r w:rsidR="005659DB">
        <w:t>—</w:t>
      </w:r>
      <w:r w:rsidRPr="006742F2">
        <w:t xml:space="preserve"> a resistência, ao triunfar contra o ocupante, transport</w:t>
      </w:r>
      <w:r>
        <w:t>ou</w:t>
      </w:r>
      <w:r w:rsidRPr="006742F2">
        <w:t xml:space="preserve"> para o pós-guerra o tema fundamental do fascismo. </w:t>
      </w:r>
    </w:p>
    <w:p w:rsidR="008F101A" w:rsidRPr="006742F2" w:rsidRDefault="008F101A" w:rsidP="002F7377">
      <w:pPr>
        <w:keepNext/>
        <w:tabs>
          <w:tab w:val="left" w:pos="720"/>
          <w:tab w:val="left" w:pos="3312"/>
        </w:tabs>
        <w:spacing w:before="720" w:after="360"/>
        <w:ind w:firstLine="0"/>
        <w:jc w:val="center"/>
        <w:rPr>
          <w:b/>
          <w:sz w:val="28"/>
        </w:rPr>
      </w:pPr>
      <w:r w:rsidRPr="006742F2">
        <w:rPr>
          <w:b/>
          <w:sz w:val="28"/>
        </w:rPr>
        <w:t>3. França: Os traços do fa</w:t>
      </w:r>
      <w:r w:rsidR="009E2EB5">
        <w:rPr>
          <w:b/>
          <w:sz w:val="28"/>
        </w:rPr>
        <w:t>scismo francês volatilizaram-se</w:t>
      </w:r>
      <w:r w:rsidR="009E2EB5">
        <w:rPr>
          <w:b/>
          <w:sz w:val="28"/>
        </w:rPr>
        <w:br/>
      </w:r>
      <w:r w:rsidRPr="006742F2">
        <w:rPr>
          <w:b/>
          <w:sz w:val="28"/>
        </w:rPr>
        <w:t xml:space="preserve">na </w:t>
      </w:r>
      <w:r w:rsidRPr="006742F2">
        <w:rPr>
          <w:b/>
          <w:i/>
          <w:sz w:val="28"/>
        </w:rPr>
        <w:t>Encyclopædia Universalis</w:t>
      </w:r>
    </w:p>
    <w:p w:rsidR="008F101A" w:rsidRPr="006742F2" w:rsidRDefault="00A51F24" w:rsidP="008F101A">
      <w:pPr>
        <w:tabs>
          <w:tab w:val="left" w:pos="720"/>
          <w:tab w:val="left" w:pos="3312"/>
        </w:tabs>
      </w:pPr>
      <w:r>
        <w:t xml:space="preserve">«Quanto menos se falar da </w:t>
      </w:r>
      <w:r w:rsidRPr="00A51F24">
        <w:rPr>
          <w:i/>
        </w:rPr>
        <w:t>intelligentsia</w:t>
      </w:r>
      <w:r>
        <w:t xml:space="preserve"> francesa durante a ocupação alemã, melhor», observou causticamente um historiador</w:t>
      </w:r>
      <w:r>
        <w:rPr>
          <w:rStyle w:val="Refdenotaderodap"/>
        </w:rPr>
        <w:footnoteReference w:id="140"/>
      </w:r>
      <w:r>
        <w:t xml:space="preserve">. Parece que o conselho foi escutado pela </w:t>
      </w:r>
      <w:r w:rsidRPr="006742F2">
        <w:rPr>
          <w:i/>
        </w:rPr>
        <w:t>Encyclopædia Universalis</w:t>
      </w:r>
      <w:r>
        <w:rPr>
          <w:i/>
        </w:rPr>
        <w:t>,</w:t>
      </w:r>
      <w:r w:rsidRPr="006742F2">
        <w:t xml:space="preserve"> </w:t>
      </w:r>
      <w:r>
        <w:t xml:space="preserve">pois </w:t>
      </w:r>
      <w:r w:rsidRPr="006742F2">
        <w:t xml:space="preserve">é </w:t>
      </w:r>
      <w:r w:rsidR="008F101A" w:rsidRPr="006742F2">
        <w:t xml:space="preserve">uma curiosa aventura seguir </w:t>
      </w:r>
      <w:r>
        <w:t xml:space="preserve">ali </w:t>
      </w:r>
      <w:r w:rsidR="008F101A" w:rsidRPr="006742F2">
        <w:t xml:space="preserve">o registo do fascismo francês durante a segunda guerra mundial. Começo pelo lugar mais óbvio, as rubricas referidas sob a epígrafe </w:t>
      </w:r>
      <w:r w:rsidR="008F101A" w:rsidRPr="006742F2">
        <w:rPr>
          <w:i/>
        </w:rPr>
        <w:t>«Collaboration»</w:t>
      </w:r>
      <w:r w:rsidR="008F101A" w:rsidRPr="006742F2">
        <w:rPr>
          <w:rStyle w:val="Refdenotaderodap"/>
        </w:rPr>
        <w:footnoteReference w:id="141"/>
      </w:r>
      <w:r w:rsidR="008F101A" w:rsidRPr="006742F2">
        <w:t xml:space="preserve">. Encontram-se indicados certos nomes significativos e poderia supor-se que quanto a Doriot e a Déat, os dois chefes rivais do colaboracionismo mais extremo, o veredicto da </w:t>
      </w:r>
      <w:r w:rsidR="008F101A" w:rsidRPr="006742F2">
        <w:rPr>
          <w:i/>
        </w:rPr>
        <w:t>Encyclopædia</w:t>
      </w:r>
      <w:r w:rsidR="008F101A" w:rsidRPr="006742F2">
        <w:t xml:space="preserve"> fosse inapelável. Mas o texto é reticente quando afirma, acerca de Doriot, que «é difícil proceder a um juízo comedido a respeito de um percurso excessivo sob todos os pontos de vista», ou é mesmo ambíguo, atribuindo à «vontade de poder» do personagem a sua carreira como fascista e como colaboracionista</w:t>
      </w:r>
      <w:r w:rsidR="008F101A" w:rsidRPr="006742F2">
        <w:rPr>
          <w:rStyle w:val="Refdenotaderodap"/>
        </w:rPr>
        <w:footnoteReference w:id="142"/>
      </w:r>
      <w:r w:rsidR="008F101A" w:rsidRPr="006742F2">
        <w:t>. O desejo de mandar, todavia, anima qualquer político, e não parece que um tão banal exercício de psicologia contribua alguma coisa para explicar o motivo que levou um dos mais importantes e precoces dirigentes do Partido Comunista, e sem dúvida um dos mais populares, a fundar o maior partido fascista francês. O mesmo subterfúgio é aplicado a propósito de Marcel Déat, pretendendo-se que «a sua instabilidade política, a sua ambição pessoal, tão cedo frustrada, desempenharam sem dúvida um papel considerável na determinação das suas escolhas políticas»</w:t>
      </w:r>
      <w:r w:rsidR="008F101A" w:rsidRPr="006742F2">
        <w:rPr>
          <w:rStyle w:val="Refdenotaderodap"/>
        </w:rPr>
        <w:footnoteReference w:id="143"/>
      </w:r>
      <w:r w:rsidR="008F101A" w:rsidRPr="006742F2">
        <w:t xml:space="preserve">. Em ambos os casos a opção fascista decorreria de traços de carácter, sem que haja qualquer reflexão sobre o cruzamento de tendências prevalecente no ambiente da época, como se se tratasse de autores de diários íntimos e não de chefes políticos de grande audiência. E assim o conluio com o ocupante, remetido a figuras individualizadas, transforma-se numa questão a que teria permanecido alheia a generalidade do meio social do país. </w:t>
      </w:r>
    </w:p>
    <w:p w:rsidR="008F101A" w:rsidRPr="006742F2" w:rsidRDefault="008F101A" w:rsidP="008F101A">
      <w:pPr>
        <w:tabs>
          <w:tab w:val="left" w:pos="720"/>
          <w:tab w:val="left" w:pos="3312"/>
        </w:tabs>
      </w:pPr>
      <w:r w:rsidRPr="006742F2">
        <w:t xml:space="preserve">Dos </w:t>
      </w:r>
      <w:r w:rsidR="003C6DCA">
        <w:t>romancistas</w:t>
      </w:r>
      <w:r w:rsidRPr="006742F2">
        <w:t xml:space="preserve"> franceses, apenas três aparecem mencionados no verbete </w:t>
      </w:r>
      <w:r w:rsidRPr="006742F2">
        <w:rPr>
          <w:i/>
        </w:rPr>
        <w:t>«Collaboration»</w:t>
      </w:r>
      <w:r w:rsidRPr="006742F2">
        <w:t xml:space="preserve">. Um deles, Jean Giono, foi, sob o ponto de vista que aqui me interessa, um </w:t>
      </w:r>
      <w:r w:rsidRPr="006742F2">
        <w:lastRenderedPageBreak/>
        <w:t xml:space="preserve">personagem menor. É certo que Drieu </w:t>
      </w:r>
      <w:r w:rsidR="008C2545" w:rsidRPr="006742F2">
        <w:t xml:space="preserve">La </w:t>
      </w:r>
      <w:r w:rsidRPr="006742F2">
        <w:t>Rochelle pôde comentar em 1942 «a sua aspiração íntima à saúde e à força», observando ainda que «este pacifista tem o gosto pela força, pela força verdadeira»</w:t>
      </w:r>
      <w:r w:rsidRPr="006742F2">
        <w:rPr>
          <w:rStyle w:val="Refdenotaderodap"/>
        </w:rPr>
        <w:footnoteReference w:id="144"/>
      </w:r>
      <w:r w:rsidRPr="006742F2">
        <w:t xml:space="preserve">. As oscilações de Giono entre uma colaboração moderada com os ocupantes e o distanciamento perante os aspectos mais extremos do fascismo foram partilhadas por vários outros escritores e artistas, além de muitíssimos cidadãos comuns. Também </w:t>
      </w:r>
      <w:r w:rsidR="003C6DCA" w:rsidRPr="006742F2">
        <w:t xml:space="preserve">Jean </w:t>
      </w:r>
      <w:r w:rsidRPr="006742F2">
        <w:t>Cocteau, por exemplo, teve o seu namoro episódico com os representantes intelectuais d</w:t>
      </w:r>
      <w:r w:rsidR="003C6DCA">
        <w:t xml:space="preserve">o Reich </w:t>
      </w:r>
      <w:r w:rsidRPr="006742F2">
        <w:t>sem que is</w:t>
      </w:r>
      <w:r>
        <w:t>t</w:t>
      </w:r>
      <w:r w:rsidRPr="006742F2">
        <w:t xml:space="preserve">o preocupe a </w:t>
      </w:r>
      <w:r w:rsidRPr="006742F2">
        <w:rPr>
          <w:i/>
        </w:rPr>
        <w:t>Encyclopædia Universalis,</w:t>
      </w:r>
      <w:r w:rsidRPr="006742F2">
        <w:t xml:space="preserve"> já que passa em silêncio es</w:t>
      </w:r>
      <w:r>
        <w:t>s</w:t>
      </w:r>
      <w:r w:rsidRPr="006742F2">
        <w:t>a faceta de um homem multímodo</w:t>
      </w:r>
      <w:r w:rsidRPr="006742F2">
        <w:rPr>
          <w:rStyle w:val="Refdenotaderodap"/>
        </w:rPr>
        <w:footnoteReference w:id="145"/>
      </w:r>
      <w:r w:rsidRPr="006742F2">
        <w:t>. E talvez não tivessem sido superficiais as inclinações de Cocteau, pois Orwell, escrevendo em 1942, incluiu-o com a maior naturalidade entre os apoiantes do fascismo</w:t>
      </w:r>
      <w:r w:rsidRPr="006742F2">
        <w:rPr>
          <w:rStyle w:val="Refdenotaderodap"/>
        </w:rPr>
        <w:footnoteReference w:id="146"/>
      </w:r>
      <w:r w:rsidRPr="006742F2">
        <w:t xml:space="preserve">. Mas o autor do verbete acerca de Giono, em vez de tomar tal ambiguidade como reflexo da época, prefere absolver o escritor com o argumento de que o auxílio prestado a judeus, comunistas e demais resistentes o ilibaria da sua participação </w:t>
      </w:r>
      <w:r w:rsidR="003C6DCA">
        <w:t>—</w:t>
      </w:r>
      <w:r w:rsidRPr="006742F2">
        <w:t xml:space="preserve"> que não foi menos real </w:t>
      </w:r>
      <w:r w:rsidR="003C6DCA">
        <w:t>—</w:t>
      </w:r>
      <w:r w:rsidRPr="006742F2">
        <w:t xml:space="preserve"> na vida artística sob a tutela das autoridades </w:t>
      </w:r>
      <w:r w:rsidR="003C6DCA">
        <w:t>naciona</w:t>
      </w:r>
      <w:r w:rsidR="00174E03">
        <w:t>l</w:t>
      </w:r>
      <w:r w:rsidR="003C6DCA">
        <w:t>-socialistas</w:t>
      </w:r>
      <w:r w:rsidRPr="006742F2">
        <w:rPr>
          <w:rStyle w:val="Refdenotaderodap"/>
        </w:rPr>
        <w:footnoteReference w:id="147"/>
      </w:r>
      <w:r w:rsidRPr="006742F2">
        <w:t xml:space="preserve">. Na história, porém, as contradições não existem para que um termo apague o outro, mas para que ambos se esclareçam reciprocamente. </w:t>
      </w:r>
    </w:p>
    <w:p w:rsidR="008F101A" w:rsidRPr="006742F2" w:rsidRDefault="008F101A" w:rsidP="008F101A">
      <w:pPr>
        <w:tabs>
          <w:tab w:val="left" w:pos="720"/>
          <w:tab w:val="left" w:pos="3312"/>
        </w:tabs>
      </w:pPr>
      <w:r w:rsidRPr="006742F2">
        <w:t xml:space="preserve">Os dois outros romancistas invocados no verbete </w:t>
      </w:r>
      <w:r w:rsidRPr="006742F2">
        <w:rPr>
          <w:i/>
        </w:rPr>
        <w:t>«Collaboration»</w:t>
      </w:r>
      <w:r w:rsidRPr="006742F2">
        <w:t xml:space="preserve"> são Céline e Lucien Rebatet. O caso de Céline pareceria indiscutível, desde os panfletos anti-semitas de 1937</w:t>
      </w:r>
      <w:r>
        <w:t>,</w:t>
      </w:r>
      <w:r w:rsidRPr="006742F2">
        <w:t xml:space="preserve"> 1938 </w:t>
      </w:r>
      <w:r>
        <w:t xml:space="preserve">e 1941 </w:t>
      </w:r>
      <w:r w:rsidRPr="006742F2">
        <w:t xml:space="preserve">até à prisão depois da guerra. E, no entanto, também aqui deparo com </w:t>
      </w:r>
      <w:r w:rsidR="008743E2">
        <w:t>estranhos</w:t>
      </w:r>
      <w:r w:rsidRPr="006742F2">
        <w:t xml:space="preserve"> pudores. O autor do artigo prefere explicar a raiva manifestada por Céline contra os judeus relegando-a «para a esfera da psicopatia pura e simples»</w:t>
      </w:r>
      <w:r w:rsidRPr="006742F2">
        <w:rPr>
          <w:rStyle w:val="Refdenotaderodap"/>
        </w:rPr>
        <w:footnoteReference w:id="148"/>
      </w:r>
      <w:r w:rsidRPr="006742F2">
        <w:t>. Porém o anti-semitismo t</w:t>
      </w:r>
      <w:r w:rsidR="002F4620">
        <w:t>e</w:t>
      </w:r>
      <w:r w:rsidRPr="006742F2">
        <w:t>m na França moderna uma linhagem nativa, desde Proudhon e Blanqui num extremo, e Gobineau no outro, e depois Georges Vacher de Lapouge e Gustave Le Bon, até à proliferação, na segunda metade da década de 1930, de livros, opúsculos, jornais, comícios e organizações anti-semitas, precisamente quando Céline escrevia os seus mais veementes ataques contra os judeus</w:t>
      </w:r>
      <w:r w:rsidRPr="006742F2">
        <w:rPr>
          <w:rStyle w:val="Refdenotaderodap"/>
        </w:rPr>
        <w:footnoteReference w:id="149"/>
      </w:r>
      <w:r w:rsidRPr="006742F2">
        <w:t xml:space="preserve">. O </w:t>
      </w:r>
      <w:r w:rsidRPr="006742F2">
        <w:rPr>
          <w:i/>
        </w:rPr>
        <w:t>affaire Dreyfus</w:t>
      </w:r>
      <w:r w:rsidRPr="006742F2">
        <w:t xml:space="preserve"> operara nos derradeiros anos do século XIX uma profunda clivagem do país em direita e esquerda, e a derrota que a direita sofrera então fora mil vezes agravada depois pelo triunfo eleitoral do Front Populaire. O judeu Léon Blum nas funções de primeiro-ministro em 1936 e 1937 aparecia à direita racista como a vingança do injustiçado judeu Dreyfus</w:t>
      </w:r>
      <w:r w:rsidR="00B40838">
        <w:t>.</w:t>
      </w:r>
      <w:r w:rsidRPr="006742F2">
        <w:t xml:space="preserve"> </w:t>
      </w:r>
      <w:r w:rsidR="004A24DD">
        <w:t xml:space="preserve">«O capitão Dreyfus é muito superior ao capitão Bonaparte», ironizou Céline em 1937, dedicando toda a </w:t>
      </w:r>
      <w:r w:rsidR="004A24DD">
        <w:lastRenderedPageBreak/>
        <w:t>página a estas duas frases, facto único naquele livro. «Conquistou a França e ficou com ela»</w:t>
      </w:r>
      <w:r w:rsidR="00B40838">
        <w:rPr>
          <w:rStyle w:val="Refdenotaderodap"/>
        </w:rPr>
        <w:footnoteReference w:id="150"/>
      </w:r>
      <w:r w:rsidR="004A24DD">
        <w:t xml:space="preserve">. </w:t>
      </w:r>
      <w:r w:rsidR="00112289">
        <w:t xml:space="preserve">Blum à cabeça do Front Populaire era </w:t>
      </w:r>
      <w:r w:rsidRPr="006742F2">
        <w:t>uma verdadeira provocação histórica, por isso os anos imediatamente anteriores à guerra presenciaram em França um delírio de anti-semitismo, explicável não por quaisquer influências de além-Reno mas pelas tradições e circunstâncias políticas do país. Céline esteve muito longe de constituir um caso isolado e só se destacou dos restantes anti-semitas franceses porque o seu ódio transmutou os judeus «numa espécie de mito gigantesco, um elemento cósmico irracional»</w:t>
      </w:r>
      <w:r w:rsidRPr="006742F2">
        <w:rPr>
          <w:rStyle w:val="Refdenotaderodap"/>
        </w:rPr>
        <w:footnoteReference w:id="151"/>
      </w:r>
      <w:r w:rsidRPr="006742F2">
        <w:t xml:space="preserve">, procedendo a uma operação ideológica equivalente à que o nacional-socialismo levara a cabo na Alemanha. Por mais incómodo que isto possa ser para alguns dos </w:t>
      </w:r>
      <w:r>
        <w:t xml:space="preserve">seus </w:t>
      </w:r>
      <w:r w:rsidRPr="006742F2">
        <w:t>actuais admiradores, as páginas de Céline</w:t>
      </w:r>
      <w:r w:rsidR="00A7765E">
        <w:t>,</w:t>
      </w:r>
      <w:r w:rsidRPr="006742F2">
        <w:t xml:space="preserve"> </w:t>
      </w:r>
      <w:r w:rsidR="00A7765E">
        <w:t xml:space="preserve">além de terem </w:t>
      </w:r>
      <w:r w:rsidRPr="006742F2">
        <w:t>servi</w:t>
      </w:r>
      <w:r w:rsidR="00A7765E">
        <w:t>do</w:t>
      </w:r>
      <w:r w:rsidRPr="006742F2">
        <w:t xml:space="preserve"> de bandeira ao fascismo francês</w:t>
      </w:r>
      <w:r w:rsidR="00173472">
        <w:t xml:space="preserve"> e ao anti-semitismo ululante</w:t>
      </w:r>
      <w:r w:rsidRPr="006742F2">
        <w:t xml:space="preserve">, foram </w:t>
      </w:r>
      <w:r w:rsidR="00173472">
        <w:t xml:space="preserve">ainda </w:t>
      </w:r>
      <w:r w:rsidRPr="006742F2">
        <w:t>uma fonte de inspiração para o racismo oficial e bem-pensante</w:t>
      </w:r>
      <w:r w:rsidR="00173472">
        <w:t xml:space="preserve">, nomeadamente pelas relações de amizade que o ligavam a </w:t>
      </w:r>
      <w:r w:rsidRPr="006742F2">
        <w:t>Georges Montandon, um professor da Escola de Antropologia que só a oposição dos alunos impediu que fosse designado para ministrar na Sorbonne o novo curso de Estudos Raciais</w:t>
      </w:r>
      <w:r w:rsidRPr="006742F2">
        <w:rPr>
          <w:rStyle w:val="Refdenotaderodap"/>
        </w:rPr>
        <w:footnoteReference w:id="152"/>
      </w:r>
      <w:r w:rsidRPr="006742F2">
        <w:t xml:space="preserve">. </w:t>
      </w:r>
      <w:r w:rsidR="00FC3AAD">
        <w:t>Céline chamou-lhe «esse tão irrepreensível cientista»</w:t>
      </w:r>
      <w:r w:rsidR="00570325">
        <w:rPr>
          <w:rStyle w:val="Refdenotaderodap"/>
        </w:rPr>
        <w:footnoteReference w:id="153"/>
      </w:r>
      <w:r w:rsidR="00FC3AAD">
        <w:t xml:space="preserve"> e</w:t>
      </w:r>
      <w:r w:rsidR="00570325">
        <w:t xml:space="preserve"> Montandon</w:t>
      </w:r>
      <w:r w:rsidR="00FC3AAD">
        <w:t>, referindo</w:t>
      </w:r>
      <w:r w:rsidR="00E85806">
        <w:t xml:space="preserve">-se à pretensa dominação judaica sobre a França, </w:t>
      </w:r>
      <w:r w:rsidR="00FC3AAD">
        <w:t xml:space="preserve">devolveu o elogio </w:t>
      </w:r>
      <w:r w:rsidR="00E85806">
        <w:t>escreve</w:t>
      </w:r>
      <w:r w:rsidR="00FC3AAD">
        <w:t>ndo</w:t>
      </w:r>
      <w:r w:rsidR="00E85806">
        <w:t xml:space="preserve"> que «os livros de </w:t>
      </w:r>
      <w:r w:rsidR="00E85806" w:rsidRPr="00F206FF">
        <w:t>Louis-Ferdinand Céline</w:t>
      </w:r>
      <w:r w:rsidR="00E85806">
        <w:t xml:space="preserve"> mostraram a uma luz trágica a gravidade do problema»</w:t>
      </w:r>
      <w:r w:rsidR="00E85806">
        <w:rPr>
          <w:rStyle w:val="Refdenotaderodap"/>
        </w:rPr>
        <w:footnoteReference w:id="154"/>
      </w:r>
      <w:r w:rsidR="00E85806">
        <w:t xml:space="preserve">. </w:t>
      </w:r>
      <w:r w:rsidRPr="006742F2">
        <w:t>Médico e higienista por profissão</w:t>
      </w:r>
      <w:r w:rsidR="00DB3E2A">
        <w:t xml:space="preserve"> — é útil </w:t>
      </w:r>
      <w:r w:rsidR="00F73958">
        <w:t>saber</w:t>
      </w:r>
      <w:r w:rsidR="00DB3E2A">
        <w:t xml:space="preserve"> que em alemão a eugenia era frequentemente denominada </w:t>
      </w:r>
      <w:r w:rsidR="00DB3E2A" w:rsidRPr="00DB3E2A">
        <w:rPr>
          <w:i/>
        </w:rPr>
        <w:t>Rassenhygiene,</w:t>
      </w:r>
      <w:r w:rsidR="00DB3E2A">
        <w:t xml:space="preserve"> literalmente </w:t>
      </w:r>
      <w:r w:rsidR="00F73958">
        <w:t>«</w:t>
      </w:r>
      <w:r w:rsidR="00DB3E2A">
        <w:t>higiene racial</w:t>
      </w:r>
      <w:r w:rsidR="00F73958">
        <w:t xml:space="preserve">», termo </w:t>
      </w:r>
      <w:r w:rsidR="00BE1E7E">
        <w:t xml:space="preserve">cunhado por Ploetz e provido de uma </w:t>
      </w:r>
      <w:r w:rsidR="00F73958">
        <w:t>conotação de extrema-direita especialmente forte</w:t>
      </w:r>
      <w:r w:rsidR="002C72A5">
        <w:rPr>
          <w:rStyle w:val="Refdenotaderodap"/>
        </w:rPr>
        <w:footnoteReference w:id="155"/>
      </w:r>
      <w:r w:rsidR="00DB3E2A">
        <w:t xml:space="preserve"> —</w:t>
      </w:r>
      <w:r w:rsidR="002F4620">
        <w:t xml:space="preserve"> </w:t>
      </w:r>
      <w:r w:rsidRPr="006742F2">
        <w:t>Céline vi</w:t>
      </w:r>
      <w:r w:rsidR="00595B96">
        <w:t>u</w:t>
      </w:r>
      <w:r w:rsidRPr="006742F2">
        <w:t>-se convertido em referência do racismo de pretensões científicas. E quando as autoridades germânicas, em Março de 1941, analisaram uma lista de personalidades para escolher entre elas o director de um Departamento Central Judaico, que aliás viria a chamar-se Comissariado Geral para as Questões Judaicas e organizou a perseguição aos judeus em França, o nome de Céline foi um dos incluídos, ao lado das figuras mais destacadas do anti-semitismo</w:t>
      </w:r>
      <w:r w:rsidRPr="006742F2">
        <w:rPr>
          <w:rStyle w:val="Refdenotaderodap"/>
        </w:rPr>
        <w:footnoteReference w:id="156"/>
      </w:r>
      <w:r w:rsidRPr="006742F2">
        <w:t xml:space="preserve">. «“Deixar-se enrabar pelos judeus é a nova Alsácia-Lorena”. Foi Céline quem o disse, o génio, o nosso único profeta, Louis-Ferdinand Bardamu, pai da Pátria. </w:t>
      </w:r>
      <w:r w:rsidRPr="006742F2">
        <w:rPr>
          <w:i/>
        </w:rPr>
        <w:t>Muy bien!</w:t>
      </w:r>
      <w:r w:rsidRPr="006742F2">
        <w:t>», escrev</w:t>
      </w:r>
      <w:r>
        <w:t>eu</w:t>
      </w:r>
      <w:r w:rsidRPr="006742F2">
        <w:t xml:space="preserve"> Rebatet durante a guerra, caloroso, entusiástico</w:t>
      </w:r>
      <w:r w:rsidRPr="006742F2">
        <w:rPr>
          <w:rStyle w:val="Refdenotaderodap"/>
        </w:rPr>
        <w:footnoteReference w:id="157"/>
      </w:r>
      <w:r w:rsidRPr="006742F2">
        <w:t xml:space="preserve">. </w:t>
      </w:r>
      <w:r w:rsidR="002A6CBE">
        <w:t xml:space="preserve">«É preciso desconfiar sempre dos judeus, mesmo depois de mortos», </w:t>
      </w:r>
      <w:r w:rsidR="002A6CBE">
        <w:lastRenderedPageBreak/>
        <w:t>prevenira Céline em 1937</w:t>
      </w:r>
      <w:r w:rsidR="002A6CBE">
        <w:rPr>
          <w:rStyle w:val="Refdenotaderodap"/>
        </w:rPr>
        <w:footnoteReference w:id="158"/>
      </w:r>
      <w:r w:rsidR="002A6CBE">
        <w:t xml:space="preserve">, e </w:t>
      </w:r>
      <w:r w:rsidR="002A6CBE" w:rsidRPr="006742F2">
        <w:t xml:space="preserve">mais </w:t>
      </w:r>
      <w:r w:rsidRPr="006742F2">
        <w:t xml:space="preserve">tarde, </w:t>
      </w:r>
      <w:r w:rsidR="008743E2">
        <w:t xml:space="preserve">quando </w:t>
      </w:r>
      <w:r w:rsidRPr="006742F2">
        <w:t xml:space="preserve">tudo </w:t>
      </w:r>
      <w:r w:rsidR="008743E2">
        <w:t xml:space="preserve">havia já </w:t>
      </w:r>
      <w:r w:rsidRPr="006742F2">
        <w:t xml:space="preserve">terminado, ainda se mostrava rancorosamente apegado ao mesmo tema. </w:t>
      </w:r>
      <w:r w:rsidRPr="006742F2">
        <w:rPr>
          <w:i/>
        </w:rPr>
        <w:t>«[...] je m’appellerais du bagne Dreyfus j’aurais du respect!... que je dis que je suis du bagne Gaston je fais marrer!...»</w:t>
      </w:r>
      <w:r w:rsidRPr="006742F2">
        <w:rPr>
          <w:rStyle w:val="Refdenotaderodap"/>
        </w:rPr>
        <w:footnoteReference w:id="159"/>
      </w:r>
      <w:r w:rsidRPr="006742F2">
        <w:t xml:space="preserve">. Ouso transpor para português esta linguagem intraduzível? «Fosse eu Dreyfus saído da cadeia, mostrar-me-iam respeito! Sou Zé Povinho saído da cadeia, riem-se de mim!». </w:t>
      </w:r>
      <w:r w:rsidR="00843729">
        <w:t xml:space="preserve">E foi tanto </w:t>
      </w:r>
      <w:r w:rsidR="009912B1">
        <w:t xml:space="preserve">Céline o </w:t>
      </w:r>
      <w:r w:rsidR="00DB56A3">
        <w:t>artesão d</w:t>
      </w:r>
      <w:r w:rsidR="00164A86">
        <w:t xml:space="preserve">as palavras </w:t>
      </w:r>
      <w:r w:rsidR="00843729">
        <w:t xml:space="preserve">como </w:t>
      </w:r>
      <w:r w:rsidR="009912B1">
        <w:t>Céline o racista que Ezra Pound enalteceu em duas palestras ao microfone d</w:t>
      </w:r>
      <w:r w:rsidR="00D1008B">
        <w:t>a</w:t>
      </w:r>
      <w:r w:rsidR="009912B1">
        <w:t xml:space="preserve"> Rádio Roma em </w:t>
      </w:r>
      <w:r w:rsidR="0067102A">
        <w:t>Maio de 1942</w:t>
      </w:r>
      <w:r w:rsidR="00935DF9">
        <w:rPr>
          <w:rStyle w:val="Refdenotaderodap"/>
        </w:rPr>
        <w:footnoteReference w:id="160"/>
      </w:r>
      <w:r w:rsidR="0067102A">
        <w:t xml:space="preserve">. </w:t>
      </w:r>
      <w:r w:rsidRPr="006742F2">
        <w:t xml:space="preserve">Mas a </w:t>
      </w:r>
      <w:r w:rsidRPr="006742F2">
        <w:rPr>
          <w:i/>
        </w:rPr>
        <w:t>Encyclopædia</w:t>
      </w:r>
      <w:r w:rsidRPr="006742F2">
        <w:t xml:space="preserve"> dilui</w:t>
      </w:r>
      <w:r w:rsidR="006C49C2">
        <w:t>u</w:t>
      </w:r>
      <w:r w:rsidRPr="006742F2">
        <w:t xml:space="preserve"> a teia compacta de uma cultura na inexplicabilidade dos casos individuais. </w:t>
      </w:r>
    </w:p>
    <w:p w:rsidR="008F101A" w:rsidRPr="006742F2" w:rsidRDefault="008F101A" w:rsidP="008F101A">
      <w:pPr>
        <w:tabs>
          <w:tab w:val="left" w:pos="720"/>
          <w:tab w:val="left" w:pos="3312"/>
        </w:tabs>
      </w:pPr>
      <w:r w:rsidRPr="006742F2">
        <w:t xml:space="preserve">As posições assumidas por Céline enquanto durou a ocupação </w:t>
      </w:r>
      <w:r w:rsidR="00C57407">
        <w:t>da França</w:t>
      </w:r>
      <w:r w:rsidRPr="006742F2">
        <w:t xml:space="preserve"> são apresentadas pelo seu biógrafo de uma maneira não só escandalosamente falsa como totalmente incoerente. Lemos que «nada prova, até agora, que o anti-semita Destouches [o nome verdadeiro do escritor] tivesse sido um autêntico colaboracionista»</w:t>
      </w:r>
      <w:r w:rsidRPr="006742F2">
        <w:rPr>
          <w:rStyle w:val="Refdenotaderodap"/>
        </w:rPr>
        <w:footnoteReference w:id="161"/>
      </w:r>
      <w:r w:rsidRPr="006742F2">
        <w:t xml:space="preserve">. Nada prova, com efeito. </w:t>
      </w:r>
      <w:r w:rsidR="009F596E">
        <w:t>Ele, que no prefácio de 1942 a</w:t>
      </w:r>
      <w:r w:rsidR="009F596E" w:rsidRPr="009F596E">
        <w:t xml:space="preserve"> </w:t>
      </w:r>
      <w:r w:rsidR="009F596E" w:rsidRPr="009F596E">
        <w:rPr>
          <w:i/>
        </w:rPr>
        <w:t>L’École des Cadavres</w:t>
      </w:r>
      <w:r w:rsidR="009F596E">
        <w:rPr>
          <w:i/>
        </w:rPr>
        <w:t>,</w:t>
      </w:r>
      <w:r w:rsidR="009F596E" w:rsidRPr="009F596E">
        <w:t xml:space="preserve"> </w:t>
      </w:r>
      <w:r w:rsidR="009F596E">
        <w:t>cuja primeira edição data de 1938, escreveu que esse livro foi «colaboracionista (antes d</w:t>
      </w:r>
      <w:r w:rsidR="003F631D">
        <w:t>e</w:t>
      </w:r>
      <w:r w:rsidR="009F596E">
        <w:t xml:space="preserve"> tempo)»</w:t>
      </w:r>
      <w:r w:rsidR="009B6EE6">
        <w:rPr>
          <w:rStyle w:val="Refdenotaderodap"/>
        </w:rPr>
        <w:footnoteReference w:id="162"/>
      </w:r>
      <w:r w:rsidR="009F596E">
        <w:t xml:space="preserve">. </w:t>
      </w:r>
      <w:r w:rsidRPr="006742F2">
        <w:t xml:space="preserve">«Eu quero ser o mais nazi de todos os colaboracionistas», escreveu </w:t>
      </w:r>
      <w:r w:rsidR="009F596E">
        <w:t>Céline</w:t>
      </w:r>
      <w:r w:rsidRPr="006742F2">
        <w:t xml:space="preserve"> no </w:t>
      </w:r>
      <w:r w:rsidRPr="006742F2">
        <w:rPr>
          <w:i/>
        </w:rPr>
        <w:t>Je Suis Partout,</w:t>
      </w:r>
      <w:r w:rsidRPr="006742F2">
        <w:t xml:space="preserve"> o principal jornal pró-nazi de Paris, «e proponho que todo</w:t>
      </w:r>
      <w:r w:rsidR="00C57407">
        <w:t>s os bastardos mediterrânicos a</w:t>
      </w:r>
      <w:r w:rsidRPr="006742F2">
        <w:t xml:space="preserve"> sul do Loire sejam lançados ao mar»</w:t>
      </w:r>
      <w:r w:rsidRPr="006742F2">
        <w:rPr>
          <w:rStyle w:val="Refdenotaderodap"/>
        </w:rPr>
        <w:footnoteReference w:id="163"/>
      </w:r>
      <w:r w:rsidRPr="006742F2">
        <w:t>. Os chefes do nacional-socialismo, que, embora sem possuírem os segredos da</w:t>
      </w:r>
      <w:r w:rsidRPr="006742F2">
        <w:rPr>
          <w:i/>
        </w:rPr>
        <w:t xml:space="preserve"> Encyclopædia,</w:t>
      </w:r>
      <w:r w:rsidRPr="006742F2">
        <w:t xml:space="preserve"> liam o que Céline escrevia e ouviam o que dizia, ignoravam candidamente que ele não seria um colaboracionista «autêntico», pois Rosenberg incluiu-o nas personalidades convidadas para o congresso anti-semita convocado para 1944 em Cracóvia, e cancelado aliás por decisão de Hitler</w:t>
      </w:r>
      <w:r w:rsidRPr="006742F2">
        <w:rPr>
          <w:rStyle w:val="Refdenotaderodap"/>
        </w:rPr>
        <w:footnoteReference w:id="164"/>
      </w:r>
      <w:r w:rsidRPr="006742F2">
        <w:t>. Embora fiquemos sem saber o que seria um colaboracionista não autêntico, são abundantes os testemunhos acerca das ideias defendidas pelo escritor durante a ocupação. Rebatet, admirador incondicional do Führer e um dos mais audíveis porta-vozes na campanha de apoio ao Reich, depois de imaginar com horror que se o exército francês tivesse resistido alguns meses mais em 1940 os bolchevistas e os judeus norte-americanos teriam possivelmente entrado na guerra e superado uma França e uma Alemanha exangues, record</w:t>
      </w:r>
      <w:r>
        <w:t>ou</w:t>
      </w:r>
      <w:r w:rsidRPr="006742F2">
        <w:t xml:space="preserve">: «Uma noite, durante aquele Inverno, à luz de candeeiro, num Montmartre coberto de neve, eu conversava com Céline a este respeito, e o admirável visionário ampliava ainda o quadro. As divisões de pretos americanos e as divisões kalmuks espalhavam-se pela Europa. Entre as suas </w:t>
      </w:r>
      <w:r w:rsidRPr="006742F2">
        <w:lastRenderedPageBreak/>
        <w:t>hordas pululavam judeus. Em breve haveria milhões de mestiços, o sonho dos judeus, todo o Ocidente a assemelhar-se aos judeus, a raça branca condenada à morte. Não há dúvida, toda uma raça pode depender assim de alguns fios do destino [...]»</w:t>
      </w:r>
      <w:r w:rsidRPr="006742F2">
        <w:rPr>
          <w:rStyle w:val="Refdenotaderodap"/>
        </w:rPr>
        <w:footnoteReference w:id="165"/>
      </w:r>
      <w:r w:rsidRPr="006742F2">
        <w:t xml:space="preserve">. Este mesmo Céline </w:t>
      </w:r>
      <w:r w:rsidR="007D778B">
        <w:t>—</w:t>
      </w:r>
      <w:r w:rsidRPr="006742F2">
        <w:t xml:space="preserve"> que, apesar de «único profeta» e «admirável visionário» para os fascistas, não seria um «colaboracionista autêntico» </w:t>
      </w:r>
      <w:r w:rsidR="007D778B">
        <w:t>—</w:t>
      </w:r>
      <w:r w:rsidRPr="006742F2">
        <w:t xml:space="preserve"> vêmo-lo depois, em 1944, pelas artes do seu engenhoso biógrafo, «consciente da derrota iminente da Alemanha e dos perigos que o ameaçam», a atravessar o território germânico numa tentativa frustrada de alcançar a Dinamarca</w:t>
      </w:r>
      <w:r w:rsidRPr="006742F2">
        <w:rPr>
          <w:rStyle w:val="Refdenotaderodap"/>
        </w:rPr>
        <w:footnoteReference w:id="166"/>
      </w:r>
      <w:r w:rsidRPr="006742F2">
        <w:t>. Na realidade aproveitou a oferta de asilo que as autoridades naciona</w:t>
      </w:r>
      <w:r w:rsidR="00460613">
        <w:t>l</w:t>
      </w:r>
      <w:r w:rsidRPr="006742F2">
        <w:t>-socialistas ofereceram em Agosto de 1944 aos seus mais notórios apoiantes</w:t>
      </w:r>
      <w:r w:rsidRPr="006742F2">
        <w:rPr>
          <w:rStyle w:val="Refdenotaderodap"/>
        </w:rPr>
        <w:footnoteReference w:id="167"/>
      </w:r>
      <w:r>
        <w:t>,</w:t>
      </w:r>
      <w:r w:rsidRPr="006742F2">
        <w:t xml:space="preserve"> pens</w:t>
      </w:r>
      <w:r>
        <w:t>and</w:t>
      </w:r>
      <w:r w:rsidRPr="006742F2">
        <w:t xml:space="preserve">o decerto que estaria livre no Reich das hordas de negros americanos, das hostes de mongóis bolchevistas e da proliferação de judeus universais, e imune também, muito mais imediatamente, aos incómodos que o aguardariam numa Paris libertada. Juntando-se em Sigmaringen a Pétain e aos demais notáveis do fascismo francês, acabou por nos deixar em </w:t>
      </w:r>
      <w:r w:rsidRPr="006742F2">
        <w:rPr>
          <w:i/>
        </w:rPr>
        <w:t>D’un Château l’autre</w:t>
      </w:r>
      <w:r w:rsidRPr="006742F2">
        <w:t xml:space="preserve"> um retrato inesquecível daquela absurda corte do crepúsculo. </w:t>
      </w:r>
    </w:p>
    <w:p w:rsidR="008F101A" w:rsidRPr="006742F2" w:rsidRDefault="008F101A" w:rsidP="008F101A">
      <w:pPr>
        <w:tabs>
          <w:tab w:val="left" w:pos="720"/>
          <w:tab w:val="left" w:pos="3312"/>
        </w:tabs>
      </w:pPr>
      <w:r w:rsidRPr="006742F2">
        <w:t xml:space="preserve">Ao menos quanto a </w:t>
      </w:r>
      <w:r w:rsidR="001151AC">
        <w:t xml:space="preserve">Lucien </w:t>
      </w:r>
      <w:r w:rsidRPr="006742F2">
        <w:t xml:space="preserve">Rebatet, autor de </w:t>
      </w:r>
      <w:r w:rsidRPr="006742F2">
        <w:rPr>
          <w:i/>
        </w:rPr>
        <w:t>Les Décombres,</w:t>
      </w:r>
      <w:r w:rsidRPr="006742F2">
        <w:t xml:space="preserve"> um dos maiores sucessos de livraria durante a ocupação</w:t>
      </w:r>
      <w:r w:rsidRPr="006742F2">
        <w:rPr>
          <w:rStyle w:val="Refdenotaderodap"/>
        </w:rPr>
        <w:footnoteReference w:id="168"/>
      </w:r>
      <w:r w:rsidRPr="006742F2">
        <w:t xml:space="preserve">, e que animou o último reduto dos intransigentes do colaboracionismo no </w:t>
      </w:r>
      <w:r w:rsidRPr="006742F2">
        <w:rPr>
          <w:i/>
        </w:rPr>
        <w:t>Je Suis Partout</w:t>
      </w:r>
      <w:r w:rsidRPr="006742F2">
        <w:t xml:space="preserve"> </w:t>
      </w:r>
      <w:r w:rsidR="00BF4729">
        <w:t xml:space="preserve">— «os epilépticos do </w:t>
      </w:r>
      <w:r w:rsidR="00BF4729" w:rsidRPr="00BF4729">
        <w:rPr>
          <w:i/>
        </w:rPr>
        <w:t>Je Suis Partout</w:t>
      </w:r>
      <w:r w:rsidR="00BF4729">
        <w:t xml:space="preserve">», como lhes chamou </w:t>
      </w:r>
      <w:r w:rsidR="0004702E" w:rsidRPr="00A145A1">
        <w:t>Cousteau</w:t>
      </w:r>
      <w:r w:rsidR="0004702E">
        <w:t>,</w:t>
      </w:r>
      <w:r w:rsidR="0004702E" w:rsidRPr="00A145A1">
        <w:t xml:space="preserve"> </w:t>
      </w:r>
      <w:r w:rsidR="00BF4729">
        <w:t>que em 1943 assumiu a direcção do semanário</w:t>
      </w:r>
      <w:r w:rsidR="00BF4729">
        <w:rPr>
          <w:rStyle w:val="Refdenotaderodap"/>
        </w:rPr>
        <w:footnoteReference w:id="169"/>
      </w:r>
      <w:r w:rsidR="00BF4729">
        <w:t xml:space="preserve"> — </w:t>
      </w:r>
      <w:r w:rsidRPr="006742F2">
        <w:t xml:space="preserve">poderia julgar-se que nem todas as boas, ou más, intenções da </w:t>
      </w:r>
      <w:r w:rsidRPr="006742F2">
        <w:rPr>
          <w:i/>
        </w:rPr>
        <w:t>Encyclopædia</w:t>
      </w:r>
      <w:r w:rsidRPr="006742F2">
        <w:t xml:space="preserve"> conseguiriam atenuar as posições políticas do escritor. E, no entanto, como as arestas foram polidas! «Colaboracionista tão contrário a Vichy </w:t>
      </w:r>
      <w:r w:rsidRPr="006742F2">
        <w:lastRenderedPageBreak/>
        <w:t>como anticlerical, esteve muito ligado aos meios alemães cultivados»</w:t>
      </w:r>
      <w:r w:rsidRPr="006742F2">
        <w:rPr>
          <w:rStyle w:val="Refdenotaderodap"/>
        </w:rPr>
        <w:footnoteReference w:id="170"/>
      </w:r>
      <w:r w:rsidRPr="006742F2">
        <w:t xml:space="preserve">. Porque é necessário distinguir, havia nazis e nazis </w:t>
      </w:r>
      <w:r w:rsidR="001151AC">
        <w:t>—</w:t>
      </w:r>
      <w:r w:rsidRPr="006742F2">
        <w:t xml:space="preserve"> e não será recomendável a colaboração entre gente culta? Já o abjecto irmão bastardo de Ivan Karamazov percorrera os caminhos sinuosos da tentação segredando que «é um prazer falar com pessoas inteligentes». Aliás, é estranho que </w:t>
      </w:r>
      <w:r w:rsidRPr="006742F2">
        <w:rPr>
          <w:i/>
        </w:rPr>
        <w:t>Gringoire</w:t>
      </w:r>
      <w:r w:rsidRPr="006742F2">
        <w:t xml:space="preserve"> seja o único órgão de imprensa mencionado na </w:t>
      </w:r>
      <w:r w:rsidRPr="006742F2">
        <w:rPr>
          <w:i/>
        </w:rPr>
        <w:t>Encyclopædia</w:t>
      </w:r>
      <w:r w:rsidRPr="006742F2">
        <w:t xml:space="preserve"> sob a epígrafe genérica de </w:t>
      </w:r>
      <w:r w:rsidRPr="006742F2">
        <w:rPr>
          <w:i/>
        </w:rPr>
        <w:t>«Collaboration»,</w:t>
      </w:r>
      <w:r w:rsidRPr="006742F2">
        <w:t xml:space="preserve"> não sendo menos curioso que o artigo dedicado a Rebatet não recorde a sua participação decisiva no </w:t>
      </w:r>
      <w:r w:rsidRPr="006742F2">
        <w:rPr>
          <w:i/>
        </w:rPr>
        <w:t>Je Suis Partout</w:t>
      </w:r>
      <w:r w:rsidRPr="006742F2">
        <w:t xml:space="preserve"> durante o período da ocupação. </w:t>
      </w:r>
    </w:p>
    <w:p w:rsidR="008F101A" w:rsidRPr="006742F2" w:rsidRDefault="008F101A" w:rsidP="008F101A">
      <w:pPr>
        <w:tabs>
          <w:tab w:val="left" w:pos="720"/>
          <w:tab w:val="left" w:pos="3312"/>
        </w:tabs>
      </w:pPr>
      <w:r w:rsidRPr="006742F2">
        <w:t xml:space="preserve">Deparo com outras lacunas bizarras. Entre os romancistas, estão ausentes da rubrica </w:t>
      </w:r>
      <w:r w:rsidRPr="006742F2">
        <w:rPr>
          <w:i/>
        </w:rPr>
        <w:t>«Collaboration»</w:t>
      </w:r>
      <w:r w:rsidRPr="006742F2">
        <w:t xml:space="preserve"> quase todos aqueles que, no entanto, os próprios artigos da </w:t>
      </w:r>
      <w:r w:rsidRPr="006742F2">
        <w:rPr>
          <w:i/>
        </w:rPr>
        <w:t>Encyclopædia</w:t>
      </w:r>
      <w:r w:rsidRPr="006742F2">
        <w:t xml:space="preserve"> dedicados ao </w:t>
      </w:r>
      <w:r w:rsidRPr="006742F2">
        <w:rPr>
          <w:i/>
        </w:rPr>
        <w:t>Je Suis Partout</w:t>
      </w:r>
      <w:r w:rsidRPr="006742F2">
        <w:t xml:space="preserve"> e ao </w:t>
      </w:r>
      <w:r w:rsidRPr="006742F2">
        <w:rPr>
          <w:i/>
        </w:rPr>
        <w:t>Gringoire</w:t>
      </w:r>
      <w:r w:rsidRPr="006742F2">
        <w:t xml:space="preserve"> mencionam relativamente aos anos da guerra. Um véu discreto contribui assim para cobrir nomes conhecidos como La Varende, Marcel Aymé, René Barjavel, Morvan Lebesque, Henri Béraud, que se empenharam nos órgãos mais reputados do colaboracionismo. Para melhor apagar os traços, o artigo dedicado a Marcel Aymé não diz palavra acerca da sua contribuição durante a ocupação no </w:t>
      </w:r>
      <w:r w:rsidRPr="006742F2">
        <w:rPr>
          <w:i/>
        </w:rPr>
        <w:t>Je Suis Partout</w:t>
      </w:r>
      <w:r w:rsidRPr="006742F2">
        <w:t xml:space="preserve"> ou em </w:t>
      </w:r>
      <w:r w:rsidRPr="006742F2">
        <w:rPr>
          <w:i/>
        </w:rPr>
        <w:t>La Gerbe,</w:t>
      </w:r>
      <w:r w:rsidRPr="006742F2">
        <w:t xml:space="preserve"> do inefável Alphonse de Châteaubriant, ou no diário de Luchaire, </w:t>
      </w:r>
      <w:r w:rsidRPr="006742F2">
        <w:rPr>
          <w:i/>
        </w:rPr>
        <w:t>Les Nouveaux Temps</w:t>
      </w:r>
      <w:r w:rsidRPr="006742F2">
        <w:rPr>
          <w:rStyle w:val="Refdenotaderodap"/>
        </w:rPr>
        <w:footnoteReference w:id="171"/>
      </w:r>
      <w:r w:rsidRPr="006742F2">
        <w:t xml:space="preserve">. </w:t>
      </w:r>
      <w:r w:rsidRPr="00406488">
        <w:t>Sempre pronto a divertir-se à custa dos outros, contou Galtier-Boissière que quando lhe apresentaram Marcel Aymé em Janeiro de 1946 exclamou: «Não acredito no que estou a ver! Julgava que o tivessem fuzilado na Libertação!»</w:t>
      </w:r>
      <w:r>
        <w:rPr>
          <w:rStyle w:val="Refdenotaderodap"/>
        </w:rPr>
        <w:footnoteReference w:id="172"/>
      </w:r>
      <w:r w:rsidRPr="00406488">
        <w:t>.</w:t>
      </w:r>
      <w:r>
        <w:t xml:space="preserve"> </w:t>
      </w:r>
      <w:r w:rsidRPr="006742F2">
        <w:t>E poder-nos-emos espantar de que, no entusiasmo sem limites que manifesta pelo biografado, o autor do verbete sobre Claude Roy indique que ele aderiu em 1942 ao Partido Comunista</w:t>
      </w:r>
      <w:r w:rsidRPr="006742F2">
        <w:rPr>
          <w:rStyle w:val="Refdenotaderodap"/>
        </w:rPr>
        <w:footnoteReference w:id="173"/>
      </w:r>
      <w:r w:rsidRPr="006742F2">
        <w:t xml:space="preserve"> mas se esqueça de mencionar que imediatamente antes era um dos colaboradores de </w:t>
      </w:r>
      <w:r w:rsidRPr="006742F2">
        <w:rPr>
          <w:i/>
        </w:rPr>
        <w:t>Je Suis Partout</w:t>
      </w:r>
      <w:r w:rsidRPr="006742F2">
        <w:t xml:space="preserve"> e do órgão da Légion Française des Combattants</w:t>
      </w:r>
      <w:r w:rsidRPr="006742F2">
        <w:rPr>
          <w:rStyle w:val="Refdenotaderodap"/>
        </w:rPr>
        <w:footnoteReference w:id="174"/>
      </w:r>
      <w:r w:rsidRPr="006742F2">
        <w:t xml:space="preserve">? Mais significativo ainda é o facto de Pierre Drieu </w:t>
      </w:r>
      <w:r w:rsidR="008C2545" w:rsidRPr="006742F2">
        <w:t xml:space="preserve">La </w:t>
      </w:r>
      <w:r w:rsidRPr="006742F2">
        <w:t xml:space="preserve">Rochelle e Robert Brasillach não se encontrarem </w:t>
      </w:r>
      <w:r w:rsidR="00BC71E2">
        <w:t>e</w:t>
      </w:r>
      <w:r w:rsidRPr="006742F2">
        <w:t xml:space="preserve">vocados a propósito da </w:t>
      </w:r>
      <w:r w:rsidRPr="006742F2">
        <w:rPr>
          <w:i/>
        </w:rPr>
        <w:t>«Collaboration»</w:t>
      </w:r>
      <w:r w:rsidRPr="006742F2">
        <w:t xml:space="preserve">. O artigo acerca de Brasillach é bastante curioso, sublinhando as diferenças entre o seu «fascismo francês» e o nacional-socialismo alemão. E, depois de indicar que o escritor aceitou do regime de Vichy a nomeação para o cargo de comissário-geral do Cinema, a </w:t>
      </w:r>
      <w:r w:rsidRPr="006742F2">
        <w:rPr>
          <w:i/>
        </w:rPr>
        <w:t>Encyclopædia</w:t>
      </w:r>
      <w:r w:rsidRPr="006742F2">
        <w:t xml:space="preserve"> esclarece que, «entrando rapidamente em desacordo com as autoridades alemãs, ele demitiu-se passados dois meses, para chefiar em 1941 o </w:t>
      </w:r>
      <w:r w:rsidRPr="006742F2">
        <w:rPr>
          <w:i/>
        </w:rPr>
        <w:t>Je Suis Partout</w:t>
      </w:r>
      <w:r w:rsidRPr="006742F2">
        <w:t xml:space="preserve"> </w:t>
      </w:r>
      <w:r w:rsidR="00865DC1">
        <w:t>—</w:t>
      </w:r>
      <w:r w:rsidRPr="006742F2">
        <w:t xml:space="preserve"> semanário de tendência fascista </w:t>
      </w:r>
      <w:r w:rsidR="00865DC1">
        <w:t>—</w:t>
      </w:r>
      <w:r w:rsidRPr="006742F2">
        <w:t xml:space="preserve"> que </w:t>
      </w:r>
      <w:r w:rsidRPr="006742F2">
        <w:lastRenderedPageBreak/>
        <w:t>abandonou dois anos mais tarde»</w:t>
      </w:r>
      <w:r w:rsidRPr="006742F2">
        <w:rPr>
          <w:rStyle w:val="Refdenotaderodap"/>
        </w:rPr>
        <w:footnoteReference w:id="175"/>
      </w:r>
      <w:r w:rsidRPr="006742F2">
        <w:t xml:space="preserve">. Redigido assim, parece que o apoio prestado por Brasillach às autoridades </w:t>
      </w:r>
      <w:r w:rsidR="00865DC1">
        <w:t xml:space="preserve">nacional-socialistas </w:t>
      </w:r>
      <w:r w:rsidRPr="006742F2">
        <w:t xml:space="preserve">teria sido um acidente de percurso, quando na realidade ele, fascista de sempre, apologista de Franco e do </w:t>
      </w:r>
      <w:r w:rsidR="00865DC1">
        <w:t>Reich</w:t>
      </w:r>
      <w:r w:rsidRPr="006742F2">
        <w:t>, se encarregou não de um mero jornal «de tendência fascista» mas do órgão mais significativo do colaboracionismo, e mesmo depois de ter abandonado a sua direcção continuou a enviar artigos para a imprensa fascista, escrevendo nomeadamente no jornal do Mouvement Social Révolutionnaire</w:t>
      </w:r>
      <w:r w:rsidRPr="006742F2">
        <w:rPr>
          <w:rStyle w:val="Refdenotaderodap"/>
        </w:rPr>
        <w:footnoteReference w:id="176"/>
      </w:r>
      <w:r w:rsidRPr="006742F2">
        <w:t>. Os seus textos daquela época mostram que foi no interesse do próprio fascismo que Brasillach começou a pôr em dúvida a conveniência de manter uma colaboração cega com o Reich, quando se tornava evidente a progressão vitoriosa dos Aliados</w:t>
      </w:r>
      <w:r w:rsidRPr="006742F2">
        <w:rPr>
          <w:rStyle w:val="Refdenotaderodap"/>
        </w:rPr>
        <w:footnoteReference w:id="177"/>
      </w:r>
      <w:r w:rsidRPr="006742F2">
        <w:t>. Por seu turno, o autor do artigo sobre Drieu recorda o que todos sabem, a sedução do romancista pelo fascismo, para invocar em seguida um segredo que se pretende redentor. «Depois da derrota de 1940 ele aderiu [...] à colaboração franco-alemã, mas o que é menos conhecido é a decepção e o nojo que depressa lhe inspiraram Hitler, a política de Pétain e o seu próprio papel»</w:t>
      </w:r>
      <w:r w:rsidRPr="006742F2">
        <w:rPr>
          <w:rStyle w:val="Refdenotaderodap"/>
        </w:rPr>
        <w:footnoteReference w:id="178"/>
      </w:r>
      <w:r w:rsidRPr="006742F2">
        <w:t xml:space="preserve">. As contradições reais entre modalidades diversas do fascismo são desnaturadas e ficam reduzidas a conflitos íntimos, funcionando a psicologia enquanto </w:t>
      </w:r>
      <w:r w:rsidR="00865DC1">
        <w:t>á</w:t>
      </w:r>
      <w:r w:rsidRPr="006742F2">
        <w:t xml:space="preserve">libi da política. Como se tudo o que se passasse dentro da cabeça das pessoas não se passasse, por isso mesmo, fora delas. </w:t>
      </w:r>
    </w:p>
    <w:p w:rsidR="008F101A" w:rsidRPr="006742F2" w:rsidRDefault="008F101A" w:rsidP="008F101A">
      <w:pPr>
        <w:tabs>
          <w:tab w:val="left" w:pos="720"/>
          <w:tab w:val="left" w:pos="3312"/>
        </w:tabs>
      </w:pPr>
      <w:r w:rsidRPr="006742F2">
        <w:t xml:space="preserve">Alfred Cortot, um dos mais ilustres pianistas do seu tempo, e aliás de todos os tempos, foi igualmente poupado à lista do opróbrio, já que ao aceitar o convite do regime de Vichy para ocupar altos cargos burocráticos na esfera das artes e ao dar concertos sob a égide das autoridades </w:t>
      </w:r>
      <w:r w:rsidR="003E4E01">
        <w:t>germânicas</w:t>
      </w:r>
      <w:r w:rsidRPr="006742F2">
        <w:t xml:space="preserve"> estaria a manifestar «uma fidelidade artística que, cega às realidades da época, permanece presa às ilusões de um velho sonho humanista»</w:t>
      </w:r>
      <w:r w:rsidRPr="006742F2">
        <w:rPr>
          <w:rStyle w:val="Refdenotaderodap"/>
        </w:rPr>
        <w:footnoteReference w:id="179"/>
      </w:r>
      <w:r w:rsidRPr="006742F2">
        <w:t xml:space="preserve">. Que o humanismo da cultura liberal tivesse sido uma das vias a contribuir para a formação dos fascismos, isso não deixa de ser certo, mas o colaborador da </w:t>
      </w:r>
      <w:r w:rsidRPr="006742F2">
        <w:rPr>
          <w:i/>
        </w:rPr>
        <w:t>Encyclopædia Universalis</w:t>
      </w:r>
      <w:r w:rsidRPr="006742F2">
        <w:t xml:space="preserve"> é isento de ironia e o que ele pretende dizer é simplesmente que o músico se enganou. Ter-se-ia enganado também quando contribuiu com os seus escritos para uma revista situa</w:t>
      </w:r>
      <w:r>
        <w:t>d</w:t>
      </w:r>
      <w:r w:rsidRPr="006742F2">
        <w:t>a no âmbito do Comité d’Action Antibolchevique</w:t>
      </w:r>
      <w:r w:rsidRPr="006742F2">
        <w:rPr>
          <w:rStyle w:val="Refdenotaderodap"/>
        </w:rPr>
        <w:footnoteReference w:id="180"/>
      </w:r>
      <w:r w:rsidRPr="006742F2">
        <w:t xml:space="preserve">? Outros se iludiram como ele, muitos e muitos, por razões igualmente nobres, decerto, porque bons motivos existem sempre com abundância. E como não, já que nos salões de Otto Abetz, embaixador do Reich em Paris e um dos principais artífices da política de colaboração, se reunia a fina flor do bom gosto. Estava-se entre </w:t>
      </w:r>
      <w:r w:rsidRPr="006742F2">
        <w:rPr>
          <w:i/>
        </w:rPr>
        <w:t>gens d’esprit</w:t>
      </w:r>
      <w:r w:rsidRPr="006742F2">
        <w:t xml:space="preserve">. </w:t>
      </w:r>
    </w:p>
    <w:p w:rsidR="008F101A" w:rsidRPr="006742F2" w:rsidRDefault="008F101A" w:rsidP="008F101A">
      <w:pPr>
        <w:tabs>
          <w:tab w:val="left" w:pos="720"/>
          <w:tab w:val="left" w:pos="3312"/>
        </w:tabs>
      </w:pPr>
      <w:r w:rsidRPr="006742F2">
        <w:lastRenderedPageBreak/>
        <w:t xml:space="preserve">Que sucedeu, afinal, a estes personagens, aos ilustres e aos menos ilustres? Uma das rubricas mencionadas sob a epígrafe </w:t>
      </w:r>
      <w:r w:rsidRPr="006742F2">
        <w:rPr>
          <w:i/>
        </w:rPr>
        <w:t>«Collaboration»</w:t>
      </w:r>
      <w:r w:rsidRPr="006742F2">
        <w:t xml:space="preserve"> diz respeito à </w:t>
      </w:r>
      <w:r w:rsidRPr="006742F2">
        <w:rPr>
          <w:i/>
        </w:rPr>
        <w:t>«Épuration (1944-1945)»,</w:t>
      </w:r>
      <w:r w:rsidRPr="006742F2">
        <w:t xml:space="preserve"> ou seja, a perseguição judiciária dos acusados de pactuar com o ocupante. Leio aí que «numerosos jornalistas e escritores foram condenados à morte: Georges Suarez, Robert Brasillach, Henri Béraud, Jean Luchaire, Lucien Rebatet»</w:t>
      </w:r>
      <w:r w:rsidRPr="006742F2">
        <w:rPr>
          <w:rStyle w:val="Refdenotaderodap"/>
        </w:rPr>
        <w:footnoteReference w:id="181"/>
      </w:r>
      <w:r w:rsidRPr="006742F2">
        <w:t xml:space="preserve">. Mas a </w:t>
      </w:r>
      <w:r w:rsidRPr="006742F2">
        <w:rPr>
          <w:i/>
        </w:rPr>
        <w:t>Encyclopædia</w:t>
      </w:r>
      <w:r w:rsidRPr="006742F2">
        <w:t xml:space="preserve"> omite que, se Suarez, Brasillach e Luchaire foram efectivamente fuzilados, Béraud morreu em 1958 e Rebatet em 1972. A censura posterior à guerra, além de servir para ocultar a presença dos temas ideológicos fascistas, contribuiu também, sempre que os ideólogos foram poupados a incómodos irreversíveis, para lhes assegurar uma sobrevivência tranquila, discreta ou disfarçada, consoante os gostos. </w:t>
      </w:r>
    </w:p>
    <w:p w:rsidR="008F101A" w:rsidRDefault="008F101A" w:rsidP="008F101A">
      <w:pPr>
        <w:tabs>
          <w:tab w:val="left" w:pos="720"/>
          <w:tab w:val="left" w:pos="3312"/>
        </w:tabs>
      </w:pPr>
      <w:r w:rsidRPr="006742F2">
        <w:t xml:space="preserve">Em vez de ajudarem a esclarecer as relações entre o fascismo francês e o ocupante nacional-socialista, as páginas da </w:t>
      </w:r>
      <w:r w:rsidRPr="006742F2">
        <w:rPr>
          <w:i/>
        </w:rPr>
        <w:t>Encyclopædia Universalis</w:t>
      </w:r>
      <w:r w:rsidRPr="006742F2">
        <w:t xml:space="preserve"> têm, pelo contrário, de ser objecto de uma verdadeira arqueologia do saber político, capaz de encontrar vestígios sob os traços apagados. </w:t>
      </w:r>
    </w:p>
    <w:sectPr w:rsidR="008F101A" w:rsidSect="00107D0E">
      <w:footerReference w:type="even" r:id="rId7"/>
      <w:footerReference w:type="default" r:id="rId8"/>
      <w:pgSz w:w="11907" w:h="16840" w:code="9"/>
      <w:pgMar w:top="1417" w:right="1701" w:bottom="1417" w:left="1701" w:header="720" w:footer="720" w:gutter="0"/>
      <w:pgNumType w:start="1223"/>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332" w:rsidRDefault="00911332" w:rsidP="008F101A">
      <w:pPr>
        <w:spacing w:line="240" w:lineRule="auto"/>
      </w:pPr>
      <w:r>
        <w:separator/>
      </w:r>
    </w:p>
  </w:endnote>
  <w:endnote w:type="continuationSeparator" w:id="0">
    <w:p w:rsidR="00911332" w:rsidRDefault="00911332" w:rsidP="008F101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82" w:rsidRDefault="004160DD">
    <w:pPr>
      <w:pStyle w:val="Rodap"/>
      <w:framePr w:wrap="around" w:vAnchor="text" w:hAnchor="margin" w:xAlign="center" w:y="1"/>
      <w:rPr>
        <w:rStyle w:val="Nmerodepgina"/>
      </w:rPr>
    </w:pPr>
    <w:r>
      <w:rPr>
        <w:rStyle w:val="Nmerodepgina"/>
      </w:rPr>
      <w:fldChar w:fldCharType="begin"/>
    </w:r>
    <w:r w:rsidR="0075461B">
      <w:rPr>
        <w:rStyle w:val="Nmerodepgina"/>
      </w:rPr>
      <w:instrText xml:space="preserve">PAGE  </w:instrText>
    </w:r>
    <w:r>
      <w:rPr>
        <w:rStyle w:val="Nmerodepgina"/>
      </w:rPr>
      <w:fldChar w:fldCharType="end"/>
    </w:r>
  </w:p>
  <w:p w:rsidR="007B4282" w:rsidRDefault="00911332">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82" w:rsidRPr="00C00917" w:rsidRDefault="004160DD">
    <w:pPr>
      <w:pStyle w:val="Rodap"/>
      <w:framePr w:wrap="around" w:vAnchor="text" w:hAnchor="margin" w:xAlign="center" w:y="1"/>
      <w:ind w:firstLine="0"/>
      <w:rPr>
        <w:rStyle w:val="Nmerodepgina"/>
        <w:rFonts w:ascii="Arial Narrow" w:hAnsi="Arial Narrow"/>
        <w:i/>
      </w:rPr>
    </w:pPr>
    <w:r w:rsidRPr="00C00917">
      <w:rPr>
        <w:rStyle w:val="Nmerodepgina"/>
        <w:rFonts w:ascii="Arial Narrow" w:hAnsi="Arial Narrow"/>
        <w:i/>
      </w:rPr>
      <w:fldChar w:fldCharType="begin"/>
    </w:r>
    <w:r w:rsidR="0075461B" w:rsidRPr="00C00917">
      <w:rPr>
        <w:rStyle w:val="Nmerodepgina"/>
        <w:rFonts w:ascii="Arial Narrow" w:hAnsi="Arial Narrow"/>
        <w:i/>
      </w:rPr>
      <w:instrText xml:space="preserve">PAGE  </w:instrText>
    </w:r>
    <w:r w:rsidRPr="00C00917">
      <w:rPr>
        <w:rStyle w:val="Nmerodepgina"/>
        <w:rFonts w:ascii="Arial Narrow" w:hAnsi="Arial Narrow"/>
        <w:i/>
      </w:rPr>
      <w:fldChar w:fldCharType="separate"/>
    </w:r>
    <w:r w:rsidR="0004702E">
      <w:rPr>
        <w:rStyle w:val="Nmerodepgina"/>
        <w:rFonts w:ascii="Arial Narrow" w:hAnsi="Arial Narrow"/>
        <w:i/>
        <w:noProof/>
      </w:rPr>
      <w:t>1257</w:t>
    </w:r>
    <w:r w:rsidRPr="00C00917">
      <w:rPr>
        <w:rStyle w:val="Nmerodepgina"/>
        <w:rFonts w:ascii="Arial Narrow" w:hAnsi="Arial Narrow"/>
        <w:i/>
      </w:rPr>
      <w:fldChar w:fldCharType="end"/>
    </w:r>
  </w:p>
  <w:p w:rsidR="007B4282" w:rsidRDefault="00911332">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332" w:rsidRDefault="00911332" w:rsidP="008F101A">
      <w:pPr>
        <w:spacing w:line="240" w:lineRule="auto"/>
        <w:ind w:firstLine="0"/>
      </w:pPr>
      <w:r>
        <w:separator/>
      </w:r>
    </w:p>
  </w:footnote>
  <w:footnote w:type="continuationSeparator" w:id="0">
    <w:p w:rsidR="00911332" w:rsidRDefault="00911332" w:rsidP="008F101A">
      <w:pPr>
        <w:spacing w:line="240" w:lineRule="auto"/>
        <w:ind w:firstLine="0"/>
      </w:pPr>
      <w:r>
        <w:continuationSeparator/>
      </w:r>
    </w:p>
  </w:footnote>
  <w:footnote w:id="1">
    <w:p w:rsidR="008F101A" w:rsidRPr="008F101A" w:rsidRDefault="008F101A" w:rsidP="008F101A">
      <w:pPr>
        <w:pStyle w:val="Textodenotaderodap"/>
        <w:rPr>
          <w:rFonts w:ascii="Arial Narrow" w:hAnsi="Arial Narrow"/>
          <w:lang w:val="en-US"/>
        </w:rPr>
      </w:pPr>
      <w:r w:rsidRPr="006742F2">
        <w:rPr>
          <w:rStyle w:val="Refdenotaderodap"/>
          <w:rFonts w:ascii="Arial Narrow" w:hAnsi="Arial Narrow"/>
        </w:rPr>
        <w:footnoteRef/>
      </w:r>
      <w:r w:rsidRPr="006742F2">
        <w:rPr>
          <w:rFonts w:ascii="Arial Narrow" w:hAnsi="Arial Narrow"/>
        </w:rPr>
        <w:t xml:space="preserve"> Em </w:t>
      </w:r>
      <w:r w:rsidRPr="006742F2">
        <w:rPr>
          <w:rFonts w:ascii="Arial Narrow" w:hAnsi="Arial Narrow"/>
          <w:i/>
        </w:rPr>
        <w:t>Destin d’une Révolution. URSS 1917-1937,</w:t>
      </w:r>
      <w:r w:rsidRPr="006742F2">
        <w:rPr>
          <w:rFonts w:ascii="Arial Narrow" w:hAnsi="Arial Narrow"/>
        </w:rPr>
        <w:t xml:space="preserve"> livro publicado em 1937, Victor Serge inform</w:t>
      </w:r>
      <w:r>
        <w:rPr>
          <w:rFonts w:ascii="Arial Narrow" w:hAnsi="Arial Narrow"/>
        </w:rPr>
        <w:t>ou</w:t>
      </w:r>
      <w:r w:rsidRPr="006742F2">
        <w:rPr>
          <w:rFonts w:ascii="Arial Narrow" w:hAnsi="Arial Narrow"/>
        </w:rPr>
        <w:t xml:space="preserve"> que Mussolini </w:t>
      </w:r>
      <w:r>
        <w:rPr>
          <w:rFonts w:ascii="Arial Narrow" w:hAnsi="Arial Narrow"/>
        </w:rPr>
        <w:t>foi</w:t>
      </w:r>
      <w:r w:rsidRPr="006742F2">
        <w:rPr>
          <w:rFonts w:ascii="Arial Narrow" w:hAnsi="Arial Narrow"/>
        </w:rPr>
        <w:t xml:space="preserve"> «o único chefe de Estado estrangeiro que nunca foi atacado pessoalmente na imprensa soviética». </w:t>
      </w:r>
      <w:r w:rsidRPr="008F101A">
        <w:rPr>
          <w:rFonts w:ascii="Arial Narrow" w:hAnsi="Arial Narrow"/>
          <w:lang w:val="en-US"/>
        </w:rPr>
        <w:t>Ver J. Rière et al. (orgs. 2001) 469.</w:t>
      </w:r>
    </w:p>
  </w:footnote>
  <w:footnote w:id="2">
    <w:p w:rsidR="00D743F6" w:rsidRPr="0092522E" w:rsidRDefault="00D743F6" w:rsidP="00D743F6">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H. S. Chamberlain (1913) 36-37.</w:t>
      </w:r>
    </w:p>
  </w:footnote>
  <w:footnote w:id="3">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E. Black (2003) xix.</w:t>
      </w:r>
    </w:p>
  </w:footnote>
  <w:footnote w:id="4">
    <w:p w:rsidR="00FA30B8" w:rsidRPr="00FA30B8" w:rsidRDefault="00FA30B8">
      <w:pPr>
        <w:pStyle w:val="Textodenotaderodap"/>
        <w:rPr>
          <w:rFonts w:ascii="Arial Narrow" w:hAnsi="Arial Narrow"/>
          <w:lang w:val="en-US"/>
        </w:rPr>
      </w:pPr>
      <w:r w:rsidRPr="00FA30B8">
        <w:rPr>
          <w:rStyle w:val="Refdenotaderodap"/>
          <w:rFonts w:ascii="Arial Narrow" w:hAnsi="Arial Narrow"/>
        </w:rPr>
        <w:footnoteRef/>
      </w:r>
      <w:r w:rsidRPr="00FA30B8">
        <w:rPr>
          <w:rFonts w:ascii="Arial Narrow" w:hAnsi="Arial Narrow"/>
          <w:lang w:val="en-US"/>
        </w:rPr>
        <w:t xml:space="preserve"> </w:t>
      </w:r>
      <w:r w:rsidRPr="00FA30B8">
        <w:rPr>
          <w:rFonts w:ascii="Arial Narrow" w:hAnsi="Arial Narrow"/>
          <w:lang w:val="fr-FR"/>
        </w:rPr>
        <w:t>W. W. Kay (2008)</w:t>
      </w:r>
      <w:r w:rsidR="008160CB">
        <w:rPr>
          <w:rFonts w:ascii="Arial Narrow" w:hAnsi="Arial Narrow"/>
          <w:lang w:val="fr-FR"/>
        </w:rPr>
        <w:t xml:space="preserve">; </w:t>
      </w:r>
      <w:r w:rsidR="008160CB" w:rsidRPr="008160CB">
        <w:rPr>
          <w:rFonts w:ascii="Arial Narrow" w:hAnsi="Arial Narrow"/>
          <w:lang w:val="en-US"/>
        </w:rPr>
        <w:t>G. MacDonogh (2009)</w:t>
      </w:r>
      <w:r w:rsidR="008160CB">
        <w:rPr>
          <w:rFonts w:ascii="Arial Narrow" w:hAnsi="Arial Narrow"/>
          <w:lang w:val="en-US"/>
        </w:rPr>
        <w:t xml:space="preserve"> 356</w:t>
      </w:r>
      <w:r>
        <w:rPr>
          <w:rFonts w:ascii="Arial Narrow" w:hAnsi="Arial Narrow"/>
          <w:lang w:val="fr-FR"/>
        </w:rPr>
        <w:t>.</w:t>
      </w:r>
    </w:p>
  </w:footnote>
  <w:footnote w:id="5">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P. Novick (1985) 207.</w:t>
      </w:r>
    </w:p>
  </w:footnote>
  <w:footnote w:id="6">
    <w:p w:rsidR="00161CF2" w:rsidRPr="00CE15E9" w:rsidRDefault="00161CF2">
      <w:pPr>
        <w:pStyle w:val="Textodenotaderodap"/>
        <w:rPr>
          <w:rFonts w:ascii="Arial Narrow" w:hAnsi="Arial Narrow"/>
          <w:lang w:val="en-US"/>
        </w:rPr>
      </w:pPr>
      <w:r w:rsidRPr="00161CF2">
        <w:rPr>
          <w:rStyle w:val="Refdenotaderodap"/>
          <w:rFonts w:ascii="Arial Narrow" w:hAnsi="Arial Narrow"/>
        </w:rPr>
        <w:footnoteRef/>
      </w:r>
      <w:r w:rsidRPr="00CE15E9">
        <w:rPr>
          <w:rFonts w:ascii="Arial Narrow" w:hAnsi="Arial Narrow"/>
          <w:lang w:val="en-US"/>
        </w:rPr>
        <w:t xml:space="preserve"> L. Degrelle (2000) 147.</w:t>
      </w:r>
    </w:p>
  </w:footnote>
  <w:footnote w:id="7">
    <w:p w:rsidR="008F101A" w:rsidRPr="0092522E" w:rsidRDefault="008F101A" w:rsidP="008F101A">
      <w:pPr>
        <w:pStyle w:val="Textodenotaderodap"/>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B. Hinz (1980) viii.</w:t>
      </w:r>
    </w:p>
  </w:footnote>
  <w:footnote w:id="8">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J.-M. Palmier (1976 a) I 443.</w:t>
      </w:r>
    </w:p>
  </w:footnote>
  <w:footnote w:id="9">
    <w:p w:rsidR="008F101A" w:rsidRPr="0092522E" w:rsidRDefault="008F101A" w:rsidP="008F101A">
      <w:pPr>
        <w:pStyle w:val="Textodenotaderodap"/>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P. Cadars et al. (1972) 8, 307, 314-316.</w:t>
      </w:r>
    </w:p>
  </w:footnote>
  <w:footnote w:id="10">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M.-A. Macciocchi (1976 d) II </w:t>
      </w:r>
      <w:r w:rsidRPr="006742F2">
        <w:rPr>
          <w:rFonts w:ascii="Arial Narrow" w:hAnsi="Arial Narrow"/>
          <w:i/>
        </w:rPr>
        <w:t>passim</w:t>
      </w:r>
      <w:r w:rsidRPr="006742F2">
        <w:rPr>
          <w:rFonts w:ascii="Arial Narrow" w:hAnsi="Arial Narrow"/>
        </w:rPr>
        <w:t>.</w:t>
      </w:r>
    </w:p>
  </w:footnote>
  <w:footnote w:id="11">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J.-M. Palmier (1976 a) I 443.</w:t>
      </w:r>
    </w:p>
  </w:footnote>
  <w:footnote w:id="12">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Citados por M.-A. Macciocchi (1976 d) II 330.</w:t>
      </w:r>
    </w:p>
  </w:footnote>
  <w:footnote w:id="13">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J.-M. Palmier (1976 a) I 414, 443-444.</w:t>
      </w:r>
    </w:p>
  </w:footnote>
  <w:footnote w:id="1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Fernando Pessoa tem sido frequentemente apresentado como democrata devido a alguns poemas em que ridicularizou Salazar e o Estado Novo, mas era o fascismo conservador e prosaico </w:t>
      </w:r>
      <w:r>
        <w:rPr>
          <w:rFonts w:ascii="Arial Narrow" w:hAnsi="Arial Narrow"/>
        </w:rPr>
        <w:t>o</w:t>
      </w:r>
      <w:r w:rsidRPr="006742F2">
        <w:rPr>
          <w:rFonts w:ascii="Arial Narrow" w:hAnsi="Arial Narrow"/>
        </w:rPr>
        <w:t xml:space="preserve"> visa</w:t>
      </w:r>
      <w:r>
        <w:rPr>
          <w:rFonts w:ascii="Arial Narrow" w:hAnsi="Arial Narrow"/>
        </w:rPr>
        <w:t>do</w:t>
      </w:r>
      <w:r w:rsidRPr="006742F2">
        <w:rPr>
          <w:rFonts w:ascii="Arial Narrow" w:hAnsi="Arial Narrow"/>
        </w:rPr>
        <w:t xml:space="preserve"> </w:t>
      </w:r>
      <w:r>
        <w:rPr>
          <w:rFonts w:ascii="Arial Narrow" w:hAnsi="Arial Narrow"/>
        </w:rPr>
        <w:t>pela mordacidade d</w:t>
      </w:r>
      <w:r w:rsidRPr="006742F2">
        <w:rPr>
          <w:rFonts w:ascii="Arial Narrow" w:hAnsi="Arial Narrow"/>
        </w:rPr>
        <w:t xml:space="preserve">aquele defensor de um fascismo radical e alucinado. Para além dos manifestos e proclamações, ou poemas, escritos por ele e por Almada Negreiros ainda durante a Grande Guerra e nos anos anteriores ao golpe militar de 1926, onde se encontram as preocupações e os temas da extrema-direita radical, devem recordar-se as ligações de ambos ao jornal diário </w:t>
      </w:r>
      <w:r w:rsidRPr="006742F2">
        <w:rPr>
          <w:rFonts w:ascii="Arial Narrow" w:hAnsi="Arial Narrow"/>
          <w:i/>
        </w:rPr>
        <w:t>Revolução,</w:t>
      </w:r>
      <w:r w:rsidRPr="006742F2">
        <w:rPr>
          <w:rFonts w:ascii="Arial Narrow" w:hAnsi="Arial Narrow"/>
        </w:rPr>
        <w:t xml:space="preserve"> de Rolão Preto, o chefe do fascismo arruaceiro. Ver a este respeito J. Medina (1978) 54-55 n. 3 cont. e 145-146 n. 28. É curioso saber que Fernando Pessoa conseguiu a proeza de converter num verso português uma antiga divisa já usada por Mussolini </w:t>
      </w:r>
      <w:r w:rsidR="00597E0E">
        <w:rPr>
          <w:rFonts w:ascii="Arial Narrow" w:hAnsi="Arial Narrow"/>
        </w:rPr>
        <w:t>—</w:t>
      </w:r>
      <w:r w:rsidRPr="006742F2">
        <w:rPr>
          <w:rFonts w:ascii="Arial Narrow" w:hAnsi="Arial Narrow"/>
        </w:rPr>
        <w:t xml:space="preserve"> «Navegar é preciso, viver não é preciso» </w:t>
      </w:r>
      <w:r w:rsidR="00597E0E">
        <w:rPr>
          <w:rFonts w:ascii="Arial Narrow" w:hAnsi="Arial Narrow"/>
        </w:rPr>
        <w:t>—</w:t>
      </w:r>
      <w:r w:rsidRPr="006742F2">
        <w:rPr>
          <w:rFonts w:ascii="Arial Narrow" w:hAnsi="Arial Narrow"/>
        </w:rPr>
        <w:t xml:space="preserve"> e aqueles que hoje a todo o propósito citam e cantam a célebre linha ignoram quem foi a musa. Quanto ao facto de se tratar de um lema de Mussolini ver M.-A. Macciocchi (1976 c) I 30. Não foi ocasionalmente que António Ferro, futuro secretário d</w:t>
      </w:r>
      <w:r>
        <w:rPr>
          <w:rFonts w:ascii="Arial Narrow" w:hAnsi="Arial Narrow"/>
        </w:rPr>
        <w:t>a</w:t>
      </w:r>
      <w:r w:rsidRPr="006742F2">
        <w:rPr>
          <w:rFonts w:ascii="Arial Narrow" w:hAnsi="Arial Narrow"/>
        </w:rPr>
        <w:t xml:space="preserve"> Propaganda Nacional do salazarismo, se encarregou da edição do </w:t>
      </w:r>
      <w:r w:rsidRPr="006742F2">
        <w:rPr>
          <w:rFonts w:ascii="Arial Narrow" w:hAnsi="Arial Narrow"/>
          <w:i/>
        </w:rPr>
        <w:t>Orpheu</w:t>
      </w:r>
      <w:r w:rsidRPr="006742F2">
        <w:rPr>
          <w:rFonts w:ascii="Arial Narrow" w:hAnsi="Arial Narrow"/>
        </w:rPr>
        <w:t>. Conhecendo as linhas com que se cose, uma das principais editoras neofascistas italianas publicou Pessoa ao lado de outros importantes intelectuais da extrema-direita</w:t>
      </w:r>
      <w:r w:rsidR="00CB6A82">
        <w:rPr>
          <w:rFonts w:ascii="Arial Narrow" w:hAnsi="Arial Narrow"/>
        </w:rPr>
        <w:t xml:space="preserve"> e do fascismo</w:t>
      </w:r>
      <w:r w:rsidRPr="006742F2">
        <w:rPr>
          <w:rFonts w:ascii="Arial Narrow" w:hAnsi="Arial Narrow"/>
        </w:rPr>
        <w:t>. Ver F. Germinario (2001) 108.</w:t>
      </w:r>
    </w:p>
  </w:footnote>
  <w:footnote w:id="15">
    <w:p w:rsidR="006660D9" w:rsidRPr="000F17DC" w:rsidRDefault="006660D9" w:rsidP="006660D9">
      <w:pPr>
        <w:pStyle w:val="Textodenotaderodap"/>
        <w:rPr>
          <w:rFonts w:ascii="Arial Narrow" w:hAnsi="Arial Narrow"/>
        </w:rPr>
      </w:pPr>
      <w:r w:rsidRPr="003D5172">
        <w:rPr>
          <w:rStyle w:val="Refdenotaderodap"/>
          <w:rFonts w:ascii="Arial Narrow" w:hAnsi="Arial Narrow"/>
        </w:rPr>
        <w:footnoteRef/>
      </w:r>
      <w:r w:rsidRPr="000F17DC">
        <w:rPr>
          <w:rFonts w:ascii="Arial Narrow" w:hAnsi="Arial Narrow"/>
        </w:rPr>
        <w:t xml:space="preserve"> </w:t>
      </w:r>
      <w:r w:rsidRPr="00ED5455">
        <w:rPr>
          <w:rFonts w:ascii="Arial Narrow" w:hAnsi="Arial Narrow"/>
        </w:rPr>
        <w:t>A. J. Gregor (2000)</w:t>
      </w:r>
      <w:r>
        <w:rPr>
          <w:rFonts w:ascii="Arial Narrow" w:hAnsi="Arial Narrow"/>
        </w:rPr>
        <w:t xml:space="preserve"> 125.</w:t>
      </w:r>
    </w:p>
  </w:footnote>
  <w:footnote w:id="16">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M. Bardèche (1961) 12, 194-195. Veja-se ainda o capítulo </w:t>
      </w:r>
      <w:r w:rsidRPr="006742F2">
        <w:rPr>
          <w:rFonts w:ascii="Arial Narrow" w:hAnsi="Arial Narrow"/>
          <w:i/>
        </w:rPr>
        <w:t>«Les Fascismes Inattendus»</w:t>
      </w:r>
      <w:r w:rsidRPr="006742F2">
        <w:rPr>
          <w:rFonts w:ascii="Arial Narrow" w:hAnsi="Arial Narrow"/>
        </w:rPr>
        <w:t xml:space="preserve"> nas págs. 149-169. Leia-se na mesma veia P. Sérant (1959) 303.</w:t>
      </w:r>
    </w:p>
  </w:footnote>
  <w:footnote w:id="17">
    <w:p w:rsidR="003A6FB9" w:rsidRPr="00ED5455" w:rsidRDefault="003A6FB9">
      <w:pPr>
        <w:pStyle w:val="Textodenotaderodap"/>
        <w:rPr>
          <w:rFonts w:ascii="Arial Narrow" w:hAnsi="Arial Narrow"/>
        </w:rPr>
      </w:pPr>
      <w:r w:rsidRPr="003A6FB9">
        <w:rPr>
          <w:rStyle w:val="Refdenotaderodap"/>
          <w:rFonts w:ascii="Arial Narrow" w:hAnsi="Arial Narrow"/>
        </w:rPr>
        <w:footnoteRef/>
      </w:r>
      <w:r w:rsidRPr="003A6FB9">
        <w:rPr>
          <w:rFonts w:ascii="Arial Narrow" w:hAnsi="Arial Narrow"/>
        </w:rPr>
        <w:t xml:space="preserve"> </w:t>
      </w:r>
      <w:r w:rsidR="00111E7F" w:rsidRPr="006742F2">
        <w:rPr>
          <w:rFonts w:ascii="Arial Narrow" w:hAnsi="Arial Narrow"/>
        </w:rPr>
        <w:t xml:space="preserve">M. Bardèche (1961) </w:t>
      </w:r>
      <w:r w:rsidRPr="003A6FB9">
        <w:rPr>
          <w:rFonts w:ascii="Arial Narrow" w:hAnsi="Arial Narrow"/>
        </w:rPr>
        <w:t>159-160. A passagem citada encontra-se na p</w:t>
      </w:r>
      <w:r>
        <w:rPr>
          <w:rFonts w:ascii="Arial Narrow" w:hAnsi="Arial Narrow"/>
        </w:rPr>
        <w:t>ág. 160.</w:t>
      </w:r>
    </w:p>
  </w:footnote>
  <w:footnote w:id="18">
    <w:p w:rsidR="008F101A" w:rsidRPr="006660D9"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6660D9">
        <w:rPr>
          <w:rFonts w:ascii="Arial Narrow" w:hAnsi="Arial Narrow"/>
          <w:lang w:val="en-US"/>
        </w:rPr>
        <w:t xml:space="preserve"> H. Michel (1962) 15 n. 1; R. O. Paxton (1973) 53, 109.</w:t>
      </w:r>
    </w:p>
  </w:footnote>
  <w:footnote w:id="19">
    <w:p w:rsidR="008F101A" w:rsidRPr="00D27BC9" w:rsidRDefault="008F101A" w:rsidP="008F101A">
      <w:pPr>
        <w:pStyle w:val="Textodenotaderodap"/>
        <w:rPr>
          <w:rFonts w:ascii="Arial Narrow" w:hAnsi="Arial Narrow"/>
          <w:lang w:val="en-GB"/>
        </w:rPr>
      </w:pPr>
      <w:r w:rsidRPr="00D27BC9">
        <w:rPr>
          <w:rStyle w:val="Refdenotaderodap"/>
          <w:rFonts w:ascii="Arial Narrow" w:hAnsi="Arial Narrow"/>
        </w:rPr>
        <w:footnoteRef/>
      </w:r>
      <w:r w:rsidRPr="00D27BC9">
        <w:rPr>
          <w:rFonts w:ascii="Arial Narrow" w:hAnsi="Arial Narrow"/>
          <w:lang w:val="en-GB"/>
        </w:rPr>
        <w:t xml:space="preserve"> M. R. D. Foot (2008)</w:t>
      </w:r>
      <w:r>
        <w:rPr>
          <w:rFonts w:ascii="Arial Narrow" w:hAnsi="Arial Narrow"/>
          <w:lang w:val="en-GB"/>
        </w:rPr>
        <w:t xml:space="preserve"> </w:t>
      </w:r>
      <w:r w:rsidRPr="00D27BC9">
        <w:rPr>
          <w:rFonts w:ascii="Arial Narrow" w:hAnsi="Arial Narrow"/>
          <w:lang w:val="en-GB"/>
        </w:rPr>
        <w:t>105</w:t>
      </w:r>
      <w:r>
        <w:rPr>
          <w:rFonts w:ascii="Arial Narrow" w:hAnsi="Arial Narrow"/>
          <w:lang w:val="en-GB"/>
        </w:rPr>
        <w:t>.</w:t>
      </w:r>
    </w:p>
  </w:footnote>
  <w:footnote w:id="20">
    <w:p w:rsidR="00EF4D53" w:rsidRPr="00EF4D53" w:rsidRDefault="00EF4D53">
      <w:pPr>
        <w:pStyle w:val="Textodenotaderodap"/>
        <w:rPr>
          <w:rFonts w:ascii="Arial Narrow" w:hAnsi="Arial Narrow"/>
          <w:lang w:val="en-US"/>
        </w:rPr>
      </w:pPr>
      <w:r w:rsidRPr="00EF4D53">
        <w:rPr>
          <w:rStyle w:val="Refdenotaderodap"/>
          <w:rFonts w:ascii="Arial Narrow" w:hAnsi="Arial Narrow"/>
        </w:rPr>
        <w:footnoteRef/>
      </w:r>
      <w:r w:rsidRPr="00EF4D53">
        <w:rPr>
          <w:rFonts w:ascii="Arial Narrow" w:hAnsi="Arial Narrow"/>
          <w:lang w:val="en-US"/>
        </w:rPr>
        <w:t xml:space="preserve"> </w:t>
      </w:r>
      <w:r>
        <w:rPr>
          <w:rFonts w:ascii="Arial Narrow" w:hAnsi="Arial Narrow"/>
          <w:lang w:val="en-US"/>
        </w:rPr>
        <w:t>M. Gilbert (2011 b) I 151.</w:t>
      </w:r>
    </w:p>
  </w:footnote>
  <w:footnote w:id="21">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92522E">
        <w:rPr>
          <w:rFonts w:ascii="Arial Narrow" w:hAnsi="Arial Narrow"/>
          <w:lang w:val="en-GB"/>
        </w:rPr>
        <w:t xml:space="preserve"> Ł. Hirszowicz (1966) 192; R. O. Paxton (1973) 230 n. 12; «Syrian Campaign», em I. C. B. Dear et al. </w:t>
      </w:r>
      <w:r w:rsidRPr="008F101A">
        <w:rPr>
          <w:rFonts w:ascii="Arial Narrow" w:hAnsi="Arial Narrow"/>
          <w:lang w:val="en-US"/>
        </w:rPr>
        <w:t>(orgs. 1995) 1096-1098.</w:t>
      </w:r>
    </w:p>
  </w:footnote>
  <w:footnote w:id="22">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8F101A">
        <w:rPr>
          <w:rFonts w:ascii="Arial Narrow" w:hAnsi="Arial Narrow"/>
          <w:lang w:val="en-US"/>
        </w:rPr>
        <w:t xml:space="preserve"> R. O. Paxton (1973) 230 n. 12.</w:t>
      </w:r>
    </w:p>
  </w:footnote>
  <w:footnote w:id="23">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8F101A">
        <w:rPr>
          <w:rFonts w:ascii="Arial Narrow" w:hAnsi="Arial Narrow"/>
          <w:lang w:val="en-US"/>
        </w:rPr>
        <w:t xml:space="preserve"> H. G. Dahms (1968) I 160; R. O. Paxton (1973) 51, 53.</w:t>
      </w:r>
    </w:p>
  </w:footnote>
  <w:footnote w:id="24">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8F101A">
        <w:rPr>
          <w:rFonts w:ascii="Arial Narrow" w:hAnsi="Arial Narrow"/>
          <w:lang w:val="en-US"/>
        </w:rPr>
        <w:t xml:space="preserve"> H. Michel (1962) 16, 34.</w:t>
      </w:r>
    </w:p>
  </w:footnote>
  <w:footnote w:id="2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R. O. Paxton (1973) 246. Por seu lado, E. Weber (1965 a) 106 observ</w:t>
      </w:r>
      <w:r>
        <w:rPr>
          <w:rFonts w:ascii="Arial Narrow" w:hAnsi="Arial Narrow"/>
        </w:rPr>
        <w:t>ou</w:t>
      </w:r>
      <w:r w:rsidRPr="006742F2">
        <w:rPr>
          <w:rFonts w:ascii="Arial Narrow" w:hAnsi="Arial Narrow"/>
        </w:rPr>
        <w:t xml:space="preserve"> que no pós-guerra o partido gaullista apresentava fortes semelhanças com o antigo partido de de La Rocque.</w:t>
      </w:r>
    </w:p>
  </w:footnote>
  <w:footnote w:id="26">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72, 92. Ver igualmente S. Hoffmann (1967) 30.</w:t>
      </w:r>
    </w:p>
  </w:footnote>
  <w:footnote w:id="27">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100.</w:t>
      </w:r>
    </w:p>
  </w:footnote>
  <w:footnote w:id="28">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Id., ibid., 23-25; R. O. Paxton (1973) 327.</w:t>
      </w:r>
    </w:p>
  </w:footnote>
  <w:footnote w:id="29">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S. Hoffmann (1967) 32.</w:t>
      </w:r>
    </w:p>
  </w:footnote>
  <w:footnote w:id="30">
    <w:p w:rsidR="008F101A" w:rsidRPr="00A2417D"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A2417D">
        <w:rPr>
          <w:rFonts w:ascii="Arial Narrow" w:hAnsi="Arial Narrow"/>
          <w:lang w:val="en-US"/>
        </w:rPr>
        <w:t xml:space="preserve"> H. Michel (1962) 91.</w:t>
      </w:r>
    </w:p>
  </w:footnote>
  <w:footnote w:id="31">
    <w:p w:rsidR="003040D6" w:rsidRPr="00A2417D" w:rsidRDefault="003040D6" w:rsidP="003040D6">
      <w:pPr>
        <w:pStyle w:val="Textodenotaderodap"/>
        <w:rPr>
          <w:rFonts w:ascii="Arial Narrow" w:hAnsi="Arial Narrow"/>
          <w:lang w:val="en-US"/>
        </w:rPr>
      </w:pPr>
      <w:r w:rsidRPr="00987FD3">
        <w:rPr>
          <w:rStyle w:val="Refdenotaderodap"/>
          <w:rFonts w:ascii="Arial Narrow" w:hAnsi="Arial Narrow"/>
        </w:rPr>
        <w:footnoteRef/>
      </w:r>
      <w:r w:rsidRPr="00A2417D">
        <w:rPr>
          <w:rFonts w:ascii="Arial Narrow" w:hAnsi="Arial Narrow"/>
          <w:lang w:val="en-US"/>
        </w:rPr>
        <w:t xml:space="preserve"> I. Kolboom (1986) 40.</w:t>
      </w:r>
    </w:p>
  </w:footnote>
  <w:footnote w:id="3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w:t>
      </w:r>
      <w:r w:rsidR="003040D6" w:rsidRPr="006742F2">
        <w:rPr>
          <w:rFonts w:ascii="Arial Narrow" w:hAnsi="Arial Narrow"/>
        </w:rPr>
        <w:t xml:space="preserve">H. Michel (1962) </w:t>
      </w:r>
      <w:r w:rsidRPr="006742F2">
        <w:rPr>
          <w:rFonts w:ascii="Arial Narrow" w:hAnsi="Arial Narrow"/>
        </w:rPr>
        <w:t>93.</w:t>
      </w:r>
      <w:r w:rsidR="00BF5F13">
        <w:rPr>
          <w:rFonts w:ascii="Arial Narrow" w:hAnsi="Arial Narrow"/>
        </w:rPr>
        <w:t xml:space="preserve"> Segundo </w:t>
      </w:r>
      <w:r w:rsidR="00BF5F13" w:rsidRPr="00EC1E50">
        <w:rPr>
          <w:rFonts w:ascii="Arial Narrow" w:hAnsi="Arial Narrow"/>
        </w:rPr>
        <w:t xml:space="preserve">S. Friedländer (2008) 183, </w:t>
      </w:r>
      <w:r w:rsidR="00BF5F13">
        <w:rPr>
          <w:rFonts w:ascii="Arial Narrow" w:hAnsi="Arial Narrow"/>
        </w:rPr>
        <w:t>dos cerca de 330.000 judeus existentes em França em 1939, quase metade eram estrangeiros ou nascidos de pais estrangeiros e entre eles 55.000 tinham chegado entre 1933 e 1939.</w:t>
      </w:r>
    </w:p>
  </w:footnote>
  <w:footnote w:id="3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w:t>
      </w:r>
      <w:r w:rsidR="00BF5F13" w:rsidRPr="006742F2">
        <w:rPr>
          <w:rFonts w:ascii="Arial Narrow" w:hAnsi="Arial Narrow"/>
        </w:rPr>
        <w:t xml:space="preserve">H. Michel (1962) </w:t>
      </w:r>
      <w:r w:rsidRPr="006742F2">
        <w:rPr>
          <w:rFonts w:ascii="Arial Narrow" w:hAnsi="Arial Narrow"/>
        </w:rPr>
        <w:t>87.</w:t>
      </w:r>
    </w:p>
  </w:footnote>
  <w:footnote w:id="3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88.</w:t>
      </w:r>
    </w:p>
  </w:footnote>
  <w:footnote w:id="3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Id., ibid., 414.</w:t>
      </w:r>
    </w:p>
  </w:footnote>
  <w:footnote w:id="36">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87 e 89. Este autor utilizava o pseudónimo René Avord. Acerca da propaganda que ele conduzia em Londres contra as ambições ditatoriais do general de Gaulle ver id., ibid., 100 e 785.</w:t>
      </w:r>
      <w:r w:rsidR="002173FF">
        <w:rPr>
          <w:rFonts w:ascii="Arial Narrow" w:hAnsi="Arial Narrow"/>
        </w:rPr>
        <w:t xml:space="preserve"> No entanto, como indicou </w:t>
      </w:r>
      <w:r w:rsidR="002173FF" w:rsidRPr="00BB0F94">
        <w:rPr>
          <w:rFonts w:ascii="Arial Narrow" w:hAnsi="Arial Narrow"/>
        </w:rPr>
        <w:t>W. Lepenies (2006) 185-18</w:t>
      </w:r>
      <w:r w:rsidR="00311335" w:rsidRPr="00BB0F94">
        <w:rPr>
          <w:rFonts w:ascii="Arial Narrow" w:hAnsi="Arial Narrow"/>
        </w:rPr>
        <w:t>7</w:t>
      </w:r>
      <w:r w:rsidR="002173FF" w:rsidRPr="00BB0F94">
        <w:rPr>
          <w:rFonts w:ascii="Arial Narrow" w:hAnsi="Arial Narrow"/>
        </w:rPr>
        <w:t xml:space="preserve">, </w:t>
      </w:r>
      <w:r w:rsidR="002173FF">
        <w:rPr>
          <w:rFonts w:ascii="Arial Narrow" w:hAnsi="Arial Narrow"/>
        </w:rPr>
        <w:t>Aron havia aparecido como um germanófilo no meio intelectual francês.</w:t>
      </w:r>
    </w:p>
  </w:footnote>
  <w:footnote w:id="37">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002173FF" w:rsidRPr="006742F2">
        <w:rPr>
          <w:rFonts w:ascii="Arial Narrow" w:hAnsi="Arial Narrow"/>
        </w:rPr>
        <w:t xml:space="preserve">H. Michel (1962) </w:t>
      </w:r>
      <w:r w:rsidRPr="006742F2">
        <w:rPr>
          <w:rFonts w:ascii="Arial Narrow" w:hAnsi="Arial Narrow"/>
        </w:rPr>
        <w:t>96.</w:t>
      </w:r>
    </w:p>
  </w:footnote>
  <w:footnote w:id="38">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Louis Lévy citado em id., ibid., 737.</w:t>
      </w:r>
    </w:p>
  </w:footnote>
  <w:footnote w:id="39">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S. Weil (1950) 157.</w:t>
      </w:r>
    </w:p>
  </w:footnote>
  <w:footnote w:id="40">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6742F2">
        <w:rPr>
          <w:rFonts w:ascii="Arial Narrow" w:hAnsi="Arial Narrow"/>
        </w:rPr>
        <w:t xml:space="preserve"> H. Michel (1962) 33. Ver igualmente J. Galtier</w:t>
      </w:r>
      <w:r w:rsidRPr="006742F2">
        <w:rPr>
          <w:rFonts w:ascii="Arial Narrow" w:hAnsi="Arial Narrow"/>
          <w:smallCaps/>
        </w:rPr>
        <w:t>-</w:t>
      </w:r>
      <w:r w:rsidRPr="006742F2">
        <w:rPr>
          <w:rFonts w:ascii="Arial Narrow" w:hAnsi="Arial Narrow"/>
        </w:rPr>
        <w:t xml:space="preserve">Boissière et al. </w:t>
      </w:r>
      <w:r w:rsidRPr="008F101A">
        <w:rPr>
          <w:rFonts w:ascii="Arial Narrow" w:hAnsi="Arial Narrow"/>
          <w:lang w:val="en-US"/>
        </w:rPr>
        <w:t>(1949) V 328.</w:t>
      </w:r>
    </w:p>
  </w:footnote>
  <w:footnote w:id="4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8F101A">
        <w:rPr>
          <w:rFonts w:ascii="Arial Narrow" w:hAnsi="Arial Narrow"/>
          <w:lang w:val="en-US"/>
        </w:rPr>
        <w:t xml:space="preserve"> Ph. Bourdrel (1992) 89, 315-316; «Cagoule, La», </w:t>
      </w:r>
      <w:r w:rsidRPr="008F101A">
        <w:rPr>
          <w:rFonts w:ascii="Arial Narrow" w:hAnsi="Arial Narrow"/>
          <w:i/>
          <w:lang w:val="en-US"/>
        </w:rPr>
        <w:t>Encyclopædia Universalis, Thesaurus - Index,</w:t>
      </w:r>
      <w:r w:rsidRPr="008F101A">
        <w:rPr>
          <w:rFonts w:ascii="Arial Narrow" w:hAnsi="Arial Narrow"/>
          <w:lang w:val="en-US"/>
        </w:rPr>
        <w:t xml:space="preserve"> 552; J. Galtier</w:t>
      </w:r>
      <w:r w:rsidRPr="008F101A">
        <w:rPr>
          <w:rFonts w:ascii="Arial Narrow" w:hAnsi="Arial Narrow"/>
          <w:smallCaps/>
          <w:lang w:val="en-US"/>
        </w:rPr>
        <w:t>-</w:t>
      </w:r>
      <w:r w:rsidRPr="008F101A">
        <w:rPr>
          <w:rFonts w:ascii="Arial Narrow" w:hAnsi="Arial Narrow"/>
          <w:lang w:val="en-US"/>
        </w:rPr>
        <w:t xml:space="preserve">Boissière et al. </w:t>
      </w:r>
      <w:r w:rsidRPr="006742F2">
        <w:rPr>
          <w:rFonts w:ascii="Arial Narrow" w:hAnsi="Arial Narrow"/>
        </w:rPr>
        <w:t xml:space="preserve">(1949) V 327, 328. </w:t>
      </w:r>
      <w:r w:rsidR="002B7272">
        <w:rPr>
          <w:rFonts w:ascii="Arial Narrow" w:hAnsi="Arial Narrow"/>
        </w:rPr>
        <w:t>Note-se</w:t>
      </w:r>
      <w:r w:rsidR="007F114B">
        <w:rPr>
          <w:rFonts w:ascii="Arial Narrow" w:hAnsi="Arial Narrow"/>
        </w:rPr>
        <w:t xml:space="preserve"> </w:t>
      </w:r>
      <w:r w:rsidR="002B7272">
        <w:rPr>
          <w:rFonts w:ascii="Arial Narrow" w:hAnsi="Arial Narrow"/>
        </w:rPr>
        <w:t xml:space="preserve">que, segundo A. Beevor et al. (2012) 14, </w:t>
      </w:r>
      <w:r w:rsidR="002B7272" w:rsidRPr="002B7272">
        <w:rPr>
          <w:rFonts w:ascii="Arial Narrow" w:hAnsi="Arial Narrow"/>
        </w:rPr>
        <w:t xml:space="preserve">Dewavrin </w:t>
      </w:r>
      <w:r w:rsidR="002B7272">
        <w:rPr>
          <w:rFonts w:ascii="Arial Narrow" w:hAnsi="Arial Narrow"/>
        </w:rPr>
        <w:t xml:space="preserve">sempre negou ter sido </w:t>
      </w:r>
      <w:r w:rsidR="002B7272" w:rsidRPr="007F114B">
        <w:rPr>
          <w:rFonts w:ascii="Arial Narrow" w:hAnsi="Arial Narrow"/>
          <w:i/>
        </w:rPr>
        <w:t>cagoulard</w:t>
      </w:r>
      <w:r w:rsidR="002B7272">
        <w:rPr>
          <w:rFonts w:ascii="Arial Narrow" w:hAnsi="Arial Narrow"/>
        </w:rPr>
        <w:t xml:space="preserve">. </w:t>
      </w:r>
      <w:r w:rsidR="007F114B">
        <w:rPr>
          <w:rFonts w:ascii="Arial Narrow" w:hAnsi="Arial Narrow"/>
        </w:rPr>
        <w:t xml:space="preserve">Por outro lado, </w:t>
      </w:r>
      <w:r w:rsidR="007F114B" w:rsidRPr="006742F2">
        <w:rPr>
          <w:rFonts w:ascii="Arial Narrow" w:hAnsi="Arial Narrow"/>
        </w:rPr>
        <w:t xml:space="preserve">a </w:t>
      </w:r>
      <w:r w:rsidRPr="006742F2">
        <w:rPr>
          <w:rFonts w:ascii="Arial Narrow" w:hAnsi="Arial Narrow"/>
        </w:rPr>
        <w:t xml:space="preserve">crer em Philippe Bourdrel, </w:t>
      </w:r>
      <w:r w:rsidRPr="005015A4">
        <w:rPr>
          <w:rFonts w:ascii="Arial Narrow" w:hAnsi="Arial Narrow"/>
        </w:rPr>
        <w:t>op. cit.,</w:t>
      </w:r>
      <w:r w:rsidRPr="006742F2">
        <w:rPr>
          <w:rFonts w:ascii="Arial Narrow" w:hAnsi="Arial Narrow"/>
        </w:rPr>
        <w:t xml:space="preserve"> 294, Joseph Darnand, antigo </w:t>
      </w:r>
      <w:r w:rsidRPr="006742F2">
        <w:rPr>
          <w:rFonts w:ascii="Arial Narrow" w:hAnsi="Arial Narrow"/>
          <w:i/>
        </w:rPr>
        <w:t>cagoulard</w:t>
      </w:r>
      <w:r w:rsidRPr="006742F2">
        <w:rPr>
          <w:rFonts w:ascii="Arial Narrow" w:hAnsi="Arial Narrow"/>
        </w:rPr>
        <w:t xml:space="preserve"> e futuro secretário de Estado do Interior no governo de Vichy, </w:t>
      </w:r>
      <w:r w:rsidR="005015A4">
        <w:rPr>
          <w:rFonts w:ascii="Arial Narrow" w:hAnsi="Arial Narrow"/>
        </w:rPr>
        <w:t xml:space="preserve">futuro fuzilado também, </w:t>
      </w:r>
      <w:r w:rsidRPr="006742F2">
        <w:rPr>
          <w:rFonts w:ascii="Arial Narrow" w:hAnsi="Arial Narrow"/>
        </w:rPr>
        <w:t xml:space="preserve">pensou em certa ocasião oferecer os seus serviços ao BCRA, que recusou por grande maioria, embora Darnand contasse com o apoio de um dos membros do Bureau, que também havia pertencido à </w:t>
      </w:r>
      <w:r w:rsidRPr="006742F2">
        <w:rPr>
          <w:rFonts w:ascii="Arial Narrow" w:hAnsi="Arial Narrow"/>
          <w:i/>
        </w:rPr>
        <w:t>Cagoule</w:t>
      </w:r>
      <w:r w:rsidRPr="006742F2">
        <w:rPr>
          <w:rFonts w:ascii="Arial Narrow" w:hAnsi="Arial Narrow"/>
        </w:rPr>
        <w:t>. Ver igualmente J.-C. Valla (2000) 127.</w:t>
      </w:r>
    </w:p>
  </w:footnote>
  <w:footnote w:id="4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56; P. Novick (1985) 46.</w:t>
      </w:r>
    </w:p>
  </w:footnote>
  <w:footnote w:id="4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60 (subs. orig.).</w:t>
      </w:r>
    </w:p>
  </w:footnote>
  <w:footnote w:id="44">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R. O. Paxton (1973) 47.</w:t>
      </w:r>
    </w:p>
  </w:footnote>
  <w:footnote w:id="45">
    <w:p w:rsidR="008F101A" w:rsidRPr="0092522E" w:rsidRDefault="008F101A" w:rsidP="008F101A">
      <w:pPr>
        <w:pStyle w:val="Textodenotaderodap"/>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S. Weil (1950) 121.</w:t>
      </w:r>
    </w:p>
  </w:footnote>
  <w:footnote w:id="46">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132. É curioso observar que, segundo P. Ory (1976) 53, Nostradamus estava na moda entre os colaboracionistas parisienses na primeira metade de 1944, sendo as suas profecias reeditadas por um membro do PPF. Os desesperados revezavam-se no recurso à mensagem obscura. Aliás, A. Speer (1979) 542-543 record</w:t>
      </w:r>
      <w:r>
        <w:rPr>
          <w:rFonts w:ascii="Arial Narrow" w:hAnsi="Arial Narrow"/>
        </w:rPr>
        <w:t>ou</w:t>
      </w:r>
      <w:r w:rsidRPr="006742F2">
        <w:rPr>
          <w:rFonts w:ascii="Arial Narrow" w:hAnsi="Arial Narrow"/>
        </w:rPr>
        <w:t xml:space="preserve"> que nos últimos tempos do Reich as páginas de astrologia dos jornais eram tão consultadas que os serviços de propaganda começaram a fornecer instruções aos fazedores de horóscopos.</w:t>
      </w:r>
    </w:p>
  </w:footnote>
  <w:footnote w:id="47">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R. O. Paxton (1973) 63.</w:t>
      </w:r>
    </w:p>
  </w:footnote>
  <w:footnote w:id="48">
    <w:p w:rsidR="008F101A" w:rsidRPr="006F3EB3"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92522E">
        <w:rPr>
          <w:rFonts w:ascii="Arial Narrow" w:hAnsi="Arial Narrow"/>
          <w:lang w:val="en-GB"/>
        </w:rPr>
        <w:t xml:space="preserve"> «Mers-el-Kébir», em I. C. B. Dear et al. (orgs. </w:t>
      </w:r>
      <w:r w:rsidRPr="006F3EB3">
        <w:rPr>
          <w:rFonts w:ascii="Arial Narrow" w:hAnsi="Arial Narrow"/>
        </w:rPr>
        <w:t>1995) 739-740; R. O. Paxton (1973) 52, 64.</w:t>
      </w:r>
    </w:p>
  </w:footnote>
  <w:footnote w:id="49">
    <w:p w:rsidR="008F101A" w:rsidRPr="008F101A"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00D4467F">
        <w:rPr>
          <w:rFonts w:ascii="Arial Narrow" w:hAnsi="Arial Narrow"/>
        </w:rPr>
        <w:t xml:space="preserve"> Ver a n. 197 do capítulo 4 da Parte 4</w:t>
      </w:r>
      <w:r w:rsidRPr="008F101A">
        <w:rPr>
          <w:rFonts w:ascii="Arial Narrow" w:hAnsi="Arial Narrow"/>
        </w:rPr>
        <w:t>.</w:t>
      </w:r>
    </w:p>
  </w:footnote>
  <w:footnote w:id="50">
    <w:p w:rsidR="008F101A" w:rsidRPr="0092522E" w:rsidRDefault="008F101A" w:rsidP="008F101A">
      <w:pPr>
        <w:pStyle w:val="Textodenotaderodap"/>
        <w:rPr>
          <w:rFonts w:ascii="Arial Narrow" w:hAnsi="Arial Narrow"/>
          <w:lang w:val="de-DE"/>
        </w:rPr>
      </w:pPr>
      <w:r w:rsidRPr="006742F2">
        <w:rPr>
          <w:rStyle w:val="Refdenotaderodap"/>
          <w:rFonts w:ascii="Arial Narrow" w:hAnsi="Arial Narrow"/>
        </w:rPr>
        <w:footnoteRef/>
      </w:r>
      <w:r w:rsidRPr="006742F2">
        <w:rPr>
          <w:rFonts w:ascii="Arial Narrow" w:hAnsi="Arial Narrow"/>
        </w:rPr>
        <w:t xml:space="preserve"> Este cartaz, da autoria do conhecido artista gráfico </w:t>
      </w:r>
      <w:r w:rsidR="00DE337E">
        <w:rPr>
          <w:rFonts w:ascii="Arial Narrow" w:hAnsi="Arial Narrow"/>
        </w:rPr>
        <w:t>de origem austríaca</w:t>
      </w:r>
      <w:r w:rsidRPr="006742F2">
        <w:rPr>
          <w:rFonts w:ascii="Arial Narrow" w:hAnsi="Arial Narrow"/>
        </w:rPr>
        <w:t xml:space="preserve"> Theo Matejko, encontra-se reproduzido em A. Calder (1991) entre as págs. </w:t>
      </w:r>
      <w:r w:rsidRPr="0092522E">
        <w:rPr>
          <w:rFonts w:ascii="Arial Narrow" w:hAnsi="Arial Narrow"/>
          <w:lang w:val="de-DE"/>
        </w:rPr>
        <w:t>48 e 49.</w:t>
      </w:r>
    </w:p>
  </w:footnote>
  <w:footnote w:id="51">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240-241.</w:t>
      </w:r>
    </w:p>
  </w:footnote>
  <w:footnote w:id="52">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J. Galtier-Boissière et al. (1949) V 375; </w:t>
      </w:r>
      <w:r w:rsidR="001F2142">
        <w:rPr>
          <w:rFonts w:ascii="Arial Narrow" w:hAnsi="Arial Narrow"/>
          <w:lang w:val="de-DE"/>
        </w:rPr>
        <w:t xml:space="preserve">M. Gilbert (2011 b) II 615; </w:t>
      </w:r>
      <w:r w:rsidRPr="0092522E">
        <w:rPr>
          <w:rFonts w:ascii="Arial Narrow" w:hAnsi="Arial Narrow"/>
          <w:lang w:val="de-DE"/>
        </w:rPr>
        <w:t>H. Michel (1962) 241-245, 290.</w:t>
      </w:r>
    </w:p>
  </w:footnote>
  <w:footnote w:id="53">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223-224; R. O. Paxton (1973) 230.</w:t>
      </w:r>
    </w:p>
  </w:footnote>
  <w:footnote w:id="54">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DB3E2A">
        <w:rPr>
          <w:rFonts w:ascii="Arial Narrow" w:hAnsi="Arial Narrow"/>
        </w:rPr>
        <w:t xml:space="preserve"> R. O. Paxton (1973) 226. </w:t>
      </w:r>
      <w:r w:rsidRPr="006742F2">
        <w:rPr>
          <w:rFonts w:ascii="Arial Narrow" w:hAnsi="Arial Narrow"/>
        </w:rPr>
        <w:t>Outras multidões de parisienses, ou quem sabe se as mesmas, aclamaram com não menos entusiasmo o general de Gaulle em 26 de Agosto de 1944, logo após a libertação da capital. Mas enquanto a resistência não havia ousado dar sinal de si durante a recepção a Pétain, na apresentação triunfal de de Gaulle, pelo contrário, um certo número de fascistas, talvez elementos da Milícia, teve a audácia de disparar dos telhados sobre o cortejo, provocando pânico e enorme confusão. As declarações oficiais refer</w:t>
      </w:r>
      <w:r>
        <w:rPr>
          <w:rFonts w:ascii="Arial Narrow" w:hAnsi="Arial Narrow"/>
        </w:rPr>
        <w:t>ira</w:t>
      </w:r>
      <w:r w:rsidRPr="006742F2">
        <w:rPr>
          <w:rFonts w:ascii="Arial Narrow" w:hAnsi="Arial Narrow"/>
        </w:rPr>
        <w:t xml:space="preserve">m trezentos feridos em resultado desta escaramuça extemporânea, mas </w:t>
      </w:r>
      <w:r>
        <w:rPr>
          <w:rFonts w:ascii="Arial Narrow" w:hAnsi="Arial Narrow"/>
        </w:rPr>
        <w:t>houve</w:t>
      </w:r>
      <w:r w:rsidRPr="006742F2">
        <w:rPr>
          <w:rFonts w:ascii="Arial Narrow" w:hAnsi="Arial Narrow"/>
        </w:rPr>
        <w:t xml:space="preserve"> quem calcul</w:t>
      </w:r>
      <w:r>
        <w:rPr>
          <w:rFonts w:ascii="Arial Narrow" w:hAnsi="Arial Narrow"/>
        </w:rPr>
        <w:t>ass</w:t>
      </w:r>
      <w:r w:rsidRPr="006742F2">
        <w:rPr>
          <w:rFonts w:ascii="Arial Narrow" w:hAnsi="Arial Narrow"/>
        </w:rPr>
        <w:t xml:space="preserve">e um número de baixas bastante superior. </w:t>
      </w:r>
      <w:r w:rsidRPr="0092522E">
        <w:rPr>
          <w:rFonts w:ascii="Arial Narrow" w:hAnsi="Arial Narrow"/>
          <w:lang w:val="de-DE"/>
        </w:rPr>
        <w:t>Ver J. Galtier</w:t>
      </w:r>
      <w:r w:rsidRPr="0092522E">
        <w:rPr>
          <w:rFonts w:ascii="Arial Narrow" w:hAnsi="Arial Narrow"/>
          <w:smallCaps/>
          <w:lang w:val="de-DE"/>
        </w:rPr>
        <w:t>-</w:t>
      </w:r>
      <w:r w:rsidRPr="0092522E">
        <w:rPr>
          <w:rFonts w:ascii="Arial Narrow" w:hAnsi="Arial Narrow"/>
          <w:lang w:val="de-DE"/>
        </w:rPr>
        <w:t>Boissière et al. (1949) V 368</w:t>
      </w:r>
      <w:r w:rsidR="00CE2F15">
        <w:rPr>
          <w:rFonts w:ascii="Arial Narrow" w:hAnsi="Arial Narrow"/>
          <w:lang w:val="de-DE"/>
        </w:rPr>
        <w:t xml:space="preserve"> e </w:t>
      </w:r>
      <w:r w:rsidR="00316D38">
        <w:rPr>
          <w:rFonts w:ascii="Arial Narrow" w:hAnsi="Arial Narrow"/>
          <w:lang w:val="de-DE"/>
        </w:rPr>
        <w:t>também A. Beevor et al. (2012) 52-54.</w:t>
      </w:r>
    </w:p>
  </w:footnote>
  <w:footnote w:id="55">
    <w:p w:rsidR="008F101A" w:rsidRPr="00D32431"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w:t>
      </w:r>
      <w:r>
        <w:rPr>
          <w:rFonts w:ascii="Arial Narrow" w:hAnsi="Arial Narrow"/>
          <w:lang w:val="de-DE"/>
        </w:rPr>
        <w:t xml:space="preserve">H. G. Dahms (1968) II 186; </w:t>
      </w:r>
      <w:r w:rsidRPr="0092522E">
        <w:rPr>
          <w:rFonts w:ascii="Arial Narrow" w:hAnsi="Arial Narrow"/>
          <w:lang w:val="de-DE"/>
        </w:rPr>
        <w:t>R. O. Paxton (1973) 274, 343; G. Perrault et al. (1989) 34, 36</w:t>
      </w:r>
      <w:r w:rsidR="0014673A">
        <w:rPr>
          <w:rFonts w:ascii="Arial Narrow" w:hAnsi="Arial Narrow"/>
          <w:lang w:val="de-DE"/>
        </w:rPr>
        <w:t>; L. Rebatet (2007) 69</w:t>
      </w:r>
      <w:r w:rsidRPr="0092522E">
        <w:rPr>
          <w:rFonts w:ascii="Arial Narrow" w:hAnsi="Arial Narrow"/>
          <w:lang w:val="de-DE"/>
        </w:rPr>
        <w:t>.</w:t>
      </w:r>
      <w:r>
        <w:rPr>
          <w:rFonts w:ascii="Arial Narrow" w:hAnsi="Arial Narrow"/>
          <w:lang w:val="de-DE"/>
        </w:rPr>
        <w:t xml:space="preserve"> Após a libertação da França, Laval gabou-se, numa sessão do processo contra o marechal Pétain, de ter dito ao plenipotenciário </w:t>
      </w:r>
      <w:r w:rsidR="00292E2B">
        <w:rPr>
          <w:rFonts w:ascii="Arial Narrow" w:hAnsi="Arial Narrow"/>
          <w:lang w:val="de-DE"/>
        </w:rPr>
        <w:t>nacional-socialista</w:t>
      </w:r>
      <w:r>
        <w:rPr>
          <w:rFonts w:ascii="Arial Narrow" w:hAnsi="Arial Narrow"/>
          <w:lang w:val="de-DE"/>
        </w:rPr>
        <w:t xml:space="preserve"> responsável pela requisição do trabalho obrigatório «que ele era o agente mais activo da Resistência e que a Resistência devia estar-lhe grata, porque era ele quem lhe enviava todos os seus efectivos». Ver </w:t>
      </w:r>
      <w:r w:rsidRPr="00D32431">
        <w:rPr>
          <w:rFonts w:ascii="Arial Narrow" w:hAnsi="Arial Narrow"/>
          <w:i/>
          <w:lang w:val="fr-FR"/>
        </w:rPr>
        <w:t>Le Procès du Maréchal Pétain</w:t>
      </w:r>
      <w:r>
        <w:rPr>
          <w:rFonts w:ascii="Arial Narrow" w:hAnsi="Arial Narrow"/>
          <w:i/>
          <w:lang w:val="fr-FR"/>
        </w:rPr>
        <w:t>,</w:t>
      </w:r>
      <w:r>
        <w:rPr>
          <w:rFonts w:ascii="Arial Narrow" w:hAnsi="Arial Narrow"/>
          <w:lang w:val="fr-FR"/>
        </w:rPr>
        <w:t xml:space="preserve"> 576.</w:t>
      </w:r>
    </w:p>
  </w:footnote>
  <w:footnote w:id="56">
    <w:p w:rsidR="008F101A" w:rsidRPr="00862748" w:rsidRDefault="008F101A" w:rsidP="008F101A">
      <w:pPr>
        <w:pStyle w:val="Textodenotaderodap"/>
        <w:rPr>
          <w:rFonts w:ascii="Arial Narrow" w:hAnsi="Arial Narrow"/>
        </w:rPr>
      </w:pPr>
      <w:r w:rsidRPr="00862748">
        <w:rPr>
          <w:rStyle w:val="Refdenotaderodap"/>
          <w:rFonts w:ascii="Arial Narrow" w:hAnsi="Arial Narrow"/>
        </w:rPr>
        <w:footnoteRef/>
      </w:r>
      <w:r w:rsidRPr="00862748">
        <w:rPr>
          <w:rFonts w:ascii="Arial Narrow" w:hAnsi="Arial Narrow"/>
        </w:rPr>
        <w:t xml:space="preserve"> </w:t>
      </w:r>
      <w:r>
        <w:rPr>
          <w:rFonts w:ascii="Arial Narrow" w:hAnsi="Arial Narrow"/>
        </w:rPr>
        <w:t>Informação confidencial da Propaganda Abteilung, citada em R. G. Nobécourt (1962) 82.</w:t>
      </w:r>
    </w:p>
  </w:footnote>
  <w:footnote w:id="57">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62, 307 (sub. orig.).</w:t>
      </w:r>
    </w:p>
  </w:footnote>
  <w:footnote w:id="58">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Id., ibid., 662.</w:t>
      </w:r>
    </w:p>
  </w:footnote>
  <w:footnote w:id="59">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De todos os países ocupados, foi na França que os </w:t>
      </w:r>
      <w:r w:rsidR="00F00B8E">
        <w:rPr>
          <w:rFonts w:ascii="Arial Narrow" w:hAnsi="Arial Narrow"/>
        </w:rPr>
        <w:t>nacionais-socialistas</w:t>
      </w:r>
      <w:r w:rsidRPr="006742F2">
        <w:rPr>
          <w:rFonts w:ascii="Arial Narrow" w:hAnsi="Arial Narrow"/>
        </w:rPr>
        <w:t xml:space="preserve"> requisitaram o maior número de operários qualificados, escreve</w:t>
      </w:r>
      <w:r>
        <w:rPr>
          <w:rFonts w:ascii="Arial Narrow" w:hAnsi="Arial Narrow"/>
        </w:rPr>
        <w:t>u</w:t>
      </w:r>
      <w:r w:rsidRPr="006742F2">
        <w:rPr>
          <w:rFonts w:ascii="Arial Narrow" w:hAnsi="Arial Narrow"/>
        </w:rPr>
        <w:t xml:space="preserve"> R. O. Paxton (1973) 291-292.</w:t>
      </w:r>
    </w:p>
  </w:footnote>
  <w:footnote w:id="60">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H. Michel (1962) 333.</w:t>
      </w:r>
    </w:p>
  </w:footnote>
  <w:footnote w:id="6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Id., ibid., 374-375, 392-403.</w:t>
      </w:r>
    </w:p>
  </w:footnote>
  <w:footnote w:id="6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64.</w:t>
      </w:r>
    </w:p>
  </w:footnote>
  <w:footnote w:id="6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R. O. Paxton (1973) 306.</w:t>
      </w:r>
    </w:p>
  </w:footnote>
  <w:footnote w:id="6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H. Michel (1962) 116.</w:t>
      </w:r>
    </w:p>
  </w:footnote>
  <w:footnote w:id="6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Id., ibid., 318-319.</w:t>
      </w:r>
    </w:p>
  </w:footnote>
  <w:footnote w:id="66">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J. Galtier</w:t>
      </w:r>
      <w:r w:rsidRPr="006742F2">
        <w:rPr>
          <w:rFonts w:ascii="Arial Narrow" w:hAnsi="Arial Narrow"/>
          <w:smallCaps/>
        </w:rPr>
        <w:t>-</w:t>
      </w:r>
      <w:r w:rsidRPr="006742F2">
        <w:rPr>
          <w:rFonts w:ascii="Arial Narrow" w:hAnsi="Arial Narrow"/>
        </w:rPr>
        <w:t>Boissière et al. (1949) V 364 e H. Michel (1962) 64.</w:t>
      </w:r>
    </w:p>
  </w:footnote>
  <w:footnote w:id="67">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H. Michel (1962) 271.</w:t>
      </w:r>
    </w:p>
  </w:footnote>
  <w:footnote w:id="68">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674.</w:t>
      </w:r>
    </w:p>
  </w:footnote>
  <w:footnote w:id="69">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6742F2">
        <w:rPr>
          <w:rFonts w:ascii="Arial Narrow" w:hAnsi="Arial Narrow"/>
        </w:rPr>
        <w:t xml:space="preserve"> J. Galtier</w:t>
      </w:r>
      <w:r w:rsidRPr="006742F2">
        <w:rPr>
          <w:rFonts w:ascii="Arial Narrow" w:hAnsi="Arial Narrow"/>
          <w:smallCaps/>
        </w:rPr>
        <w:t>-</w:t>
      </w:r>
      <w:r w:rsidRPr="006742F2">
        <w:rPr>
          <w:rFonts w:ascii="Arial Narrow" w:hAnsi="Arial Narrow"/>
        </w:rPr>
        <w:t xml:space="preserve">Boissière et al. </w:t>
      </w:r>
      <w:r w:rsidRPr="008F101A">
        <w:rPr>
          <w:rFonts w:ascii="Arial Narrow" w:hAnsi="Arial Narrow"/>
          <w:lang w:val="en-US"/>
        </w:rPr>
        <w:t>(1949) V 389; Groupe Puig Antich (Fédération Anarchiste de Perpignan) (1984) 89-90, 101-103, 105, 108, 118-119, 123, 125-126, 138, 142, 151-154, 157, 159-160, 170-182.</w:t>
      </w:r>
    </w:p>
  </w:footnote>
  <w:footnote w:id="70">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8F101A">
        <w:rPr>
          <w:rFonts w:ascii="Arial Narrow" w:hAnsi="Arial Narrow"/>
          <w:lang w:val="en-US"/>
        </w:rPr>
        <w:t xml:space="preserve"> Groupe Puig Antich (Fédération Anarchiste de Perpignan) (1984) 124, 127.</w:t>
      </w:r>
    </w:p>
  </w:footnote>
  <w:footnote w:id="7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8F101A">
        <w:rPr>
          <w:rFonts w:ascii="Arial Narrow" w:hAnsi="Arial Narrow"/>
          <w:lang w:val="en-US"/>
        </w:rPr>
        <w:t xml:space="preserve"> P. Novick (1985) 74; R. O. Paxton (1973) 275. </w:t>
      </w:r>
      <w:r w:rsidRPr="006742F2">
        <w:rPr>
          <w:rFonts w:ascii="Arial Narrow" w:hAnsi="Arial Narrow"/>
        </w:rPr>
        <w:t>É útil aqui saber que em 15 de Julho de 1944, quando se amotinaram os 4.000 presos de direito comum da cadeia de La Santé, em Paris, os 450 presos políticos detidos no mesmo estabelecimento recusaram-se a participar na revolta, que foi afogada em sangue pela Milícia. Ver a este respeito J. Galtier</w:t>
      </w:r>
      <w:r w:rsidRPr="006742F2">
        <w:rPr>
          <w:rFonts w:ascii="Arial Narrow" w:hAnsi="Arial Narrow"/>
          <w:smallCaps/>
        </w:rPr>
        <w:t>-</w:t>
      </w:r>
      <w:r w:rsidRPr="006742F2">
        <w:rPr>
          <w:rFonts w:ascii="Arial Narrow" w:hAnsi="Arial Narrow"/>
        </w:rPr>
        <w:t>Boissière et al. (1949) V 354.</w:t>
      </w:r>
    </w:p>
  </w:footnote>
  <w:footnote w:id="7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Ph. Burrin (1986) 368. </w:t>
      </w:r>
      <w:r w:rsidRPr="006742F2">
        <w:rPr>
          <w:rFonts w:ascii="Arial Narrow" w:hAnsi="Arial Narrow"/>
          <w:i/>
        </w:rPr>
        <w:t>Défense de la France</w:t>
      </w:r>
      <w:r w:rsidRPr="006742F2">
        <w:rPr>
          <w:rFonts w:ascii="Arial Narrow" w:hAnsi="Arial Narrow"/>
        </w:rPr>
        <w:t xml:space="preserve"> </w:t>
      </w:r>
      <w:r>
        <w:rPr>
          <w:rFonts w:ascii="Arial Narrow" w:hAnsi="Arial Narrow"/>
        </w:rPr>
        <w:t>foi</w:t>
      </w:r>
      <w:r w:rsidRPr="006742F2">
        <w:rPr>
          <w:rFonts w:ascii="Arial Narrow" w:hAnsi="Arial Narrow"/>
        </w:rPr>
        <w:t xml:space="preserve"> classificado por P. Novick (1985) 70 como «o mais conservador dos principais jornais clandestinos».</w:t>
      </w:r>
    </w:p>
  </w:footnote>
  <w:footnote w:id="7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Ph. Burrin (1986) 368.</w:t>
      </w:r>
      <w:r w:rsidR="00847090">
        <w:rPr>
          <w:rFonts w:ascii="Arial Narrow" w:hAnsi="Arial Narrow"/>
        </w:rPr>
        <w:t xml:space="preserve"> Ver também </w:t>
      </w:r>
      <w:r w:rsidR="00847090" w:rsidRPr="00CD72A0">
        <w:rPr>
          <w:rFonts w:ascii="Arial Narrow" w:hAnsi="Arial Narrow"/>
        </w:rPr>
        <w:t>S. Friedländer (2008) 623.</w:t>
      </w:r>
    </w:p>
  </w:footnote>
  <w:footnote w:id="7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Cahiers du Témoignage Chrétien,</w:t>
      </w:r>
      <w:r w:rsidRPr="006742F2">
        <w:rPr>
          <w:rFonts w:ascii="Arial Narrow" w:hAnsi="Arial Narrow"/>
        </w:rPr>
        <w:t xml:space="preserve"> Agosto-Setembro de 1943, citados em H. Michel (1962) 148.</w:t>
      </w:r>
    </w:p>
  </w:footnote>
  <w:footnote w:id="75">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148.</w:t>
      </w:r>
    </w:p>
  </w:footnote>
  <w:footnote w:id="76">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Ph. Bourdrel (1992) 89; Ph. </w:t>
      </w:r>
      <w:r w:rsidRPr="0092522E">
        <w:rPr>
          <w:rFonts w:ascii="Arial Narrow" w:hAnsi="Arial Narrow"/>
          <w:lang w:val="de-DE"/>
        </w:rPr>
        <w:t>Burrin (1986) 69; J. Galtier</w:t>
      </w:r>
      <w:r w:rsidRPr="0092522E">
        <w:rPr>
          <w:rFonts w:ascii="Arial Narrow" w:hAnsi="Arial Narrow"/>
          <w:smallCaps/>
          <w:lang w:val="de-DE"/>
        </w:rPr>
        <w:t>-</w:t>
      </w:r>
      <w:r w:rsidRPr="0092522E">
        <w:rPr>
          <w:rFonts w:ascii="Arial Narrow" w:hAnsi="Arial Narrow"/>
          <w:lang w:val="de-DE"/>
        </w:rPr>
        <w:t xml:space="preserve">Boissière et al. </w:t>
      </w:r>
      <w:r w:rsidRPr="0092522E">
        <w:rPr>
          <w:rFonts w:ascii="Arial Narrow" w:hAnsi="Arial Narrow"/>
          <w:lang w:val="en-GB"/>
        </w:rPr>
        <w:t xml:space="preserve">(1949) IV 286-290; </w:t>
      </w:r>
      <w:r w:rsidR="00834DB1">
        <w:rPr>
          <w:rFonts w:ascii="Arial Narrow" w:hAnsi="Arial Narrow"/>
          <w:lang w:val="en-GB"/>
        </w:rPr>
        <w:t xml:space="preserve">L. Rebatet (2007) 42; </w:t>
      </w:r>
      <w:r w:rsidRPr="0092522E">
        <w:rPr>
          <w:rFonts w:ascii="Arial Narrow" w:hAnsi="Arial Narrow"/>
          <w:lang w:val="en-GB"/>
        </w:rPr>
        <w:t>J.-C. Valla (2000) 37 n. 4, 71.</w:t>
      </w:r>
    </w:p>
  </w:footnote>
  <w:footnote w:id="77">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J. Galtier</w:t>
      </w:r>
      <w:r w:rsidRPr="0092522E">
        <w:rPr>
          <w:rFonts w:ascii="Arial Narrow" w:hAnsi="Arial Narrow"/>
          <w:smallCaps/>
          <w:lang w:val="en-GB"/>
        </w:rPr>
        <w:t>-</w:t>
      </w:r>
      <w:r w:rsidRPr="0092522E">
        <w:rPr>
          <w:rFonts w:ascii="Arial Narrow" w:hAnsi="Arial Narrow"/>
          <w:lang w:val="en-GB"/>
        </w:rPr>
        <w:t>Boissière et al. (1949) V 371.</w:t>
      </w:r>
    </w:p>
  </w:footnote>
  <w:footnote w:id="78">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V 337.</w:t>
      </w:r>
    </w:p>
  </w:footnote>
  <w:footnote w:id="79">
    <w:p w:rsidR="008F101A" w:rsidRPr="00D91116"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D91116">
        <w:rPr>
          <w:rFonts w:ascii="Arial Narrow" w:hAnsi="Arial Narrow"/>
          <w:lang w:val="de-DE"/>
        </w:rPr>
        <w:t xml:space="preserve"> Id., ibid., V 349; C. Thalmann et al. (1983) 316-323.</w:t>
      </w:r>
    </w:p>
  </w:footnote>
  <w:footnote w:id="80">
    <w:p w:rsidR="008F101A" w:rsidRPr="00D91116" w:rsidRDefault="008F101A" w:rsidP="008F101A">
      <w:pPr>
        <w:pStyle w:val="Textodenotaderodap"/>
        <w:rPr>
          <w:rFonts w:ascii="Arial Narrow" w:hAnsi="Arial Narrow"/>
          <w:lang w:val="de-DE"/>
        </w:rPr>
      </w:pPr>
      <w:r w:rsidRPr="006742F2">
        <w:rPr>
          <w:rStyle w:val="Refdenotaderodap"/>
          <w:rFonts w:ascii="Arial Narrow" w:hAnsi="Arial Narrow"/>
        </w:rPr>
        <w:footnoteRef/>
      </w:r>
      <w:r w:rsidRPr="00D91116">
        <w:rPr>
          <w:rFonts w:ascii="Arial Narrow" w:hAnsi="Arial Narrow"/>
          <w:lang w:val="de-DE"/>
        </w:rPr>
        <w:t xml:space="preserve"> S. Weil (1950) 89-158.</w:t>
      </w:r>
    </w:p>
  </w:footnote>
  <w:footnote w:id="81">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157.</w:t>
      </w:r>
    </w:p>
  </w:footnote>
  <w:footnote w:id="82">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92-93.</w:t>
      </w:r>
    </w:p>
  </w:footnote>
  <w:footnote w:id="83">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128.</w:t>
      </w:r>
    </w:p>
  </w:footnote>
  <w:footnote w:id="84">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147.</w:t>
      </w:r>
    </w:p>
  </w:footnote>
  <w:footnote w:id="85">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143-144.</w:t>
      </w:r>
    </w:p>
  </w:footnote>
  <w:footnote w:id="86">
    <w:p w:rsidR="008F101A" w:rsidRPr="008F101A" w:rsidRDefault="008F101A" w:rsidP="008F101A">
      <w:pPr>
        <w:pStyle w:val="Textodenotaderodap"/>
        <w:rPr>
          <w:rFonts w:ascii="Arial Narrow" w:hAnsi="Arial Narrow"/>
        </w:rPr>
      </w:pPr>
      <w:r w:rsidRPr="006742F2">
        <w:rPr>
          <w:rStyle w:val="Refdenotaderodap"/>
          <w:rFonts w:ascii="Arial Narrow" w:hAnsi="Arial Narrow"/>
        </w:rPr>
        <w:footnoteRef/>
      </w:r>
      <w:r w:rsidRPr="008F101A">
        <w:rPr>
          <w:rFonts w:ascii="Arial Narrow" w:hAnsi="Arial Narrow"/>
        </w:rPr>
        <w:t xml:space="preserve"> Id., ibid., 133.</w:t>
      </w:r>
    </w:p>
  </w:footnote>
  <w:footnote w:id="87">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Id., ibid., 150, 154. «A compaixão pela França», insistiu repetidam</w:t>
      </w:r>
      <w:r>
        <w:rPr>
          <w:rFonts w:ascii="Arial Narrow" w:hAnsi="Arial Narrow"/>
        </w:rPr>
        <w:t>e</w:t>
      </w:r>
      <w:r w:rsidRPr="006742F2">
        <w:rPr>
          <w:rFonts w:ascii="Arial Narrow" w:hAnsi="Arial Narrow"/>
        </w:rPr>
        <w:t xml:space="preserve">nte </w:t>
      </w:r>
      <w:r w:rsidR="00C20FE0">
        <w:rPr>
          <w:rFonts w:ascii="Arial Narrow" w:hAnsi="Arial Narrow"/>
        </w:rPr>
        <w:t>(</w:t>
      </w:r>
      <w:r w:rsidR="00C20FE0" w:rsidRPr="006742F2">
        <w:rPr>
          <w:rFonts w:ascii="Arial Narrow" w:hAnsi="Arial Narrow"/>
        </w:rPr>
        <w:t>págs. 150</w:t>
      </w:r>
      <w:r w:rsidR="00C20FE0">
        <w:rPr>
          <w:rFonts w:ascii="Arial Narrow" w:hAnsi="Arial Narrow"/>
        </w:rPr>
        <w:t>,</w:t>
      </w:r>
      <w:r w:rsidR="00C20FE0" w:rsidRPr="006742F2">
        <w:rPr>
          <w:rFonts w:ascii="Arial Narrow" w:hAnsi="Arial Narrow"/>
        </w:rPr>
        <w:t xml:space="preserve"> 151</w:t>
      </w:r>
      <w:r w:rsidR="00C20FE0">
        <w:rPr>
          <w:rFonts w:ascii="Arial Narrow" w:hAnsi="Arial Narrow"/>
        </w:rPr>
        <w:t xml:space="preserve">) </w:t>
      </w:r>
      <w:r w:rsidRPr="006742F2">
        <w:rPr>
          <w:rFonts w:ascii="Arial Narrow" w:hAnsi="Arial Narrow"/>
        </w:rPr>
        <w:t>Simone Weil.</w:t>
      </w:r>
    </w:p>
  </w:footnote>
  <w:footnote w:id="88">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Id., ibid., 151.</w:t>
      </w:r>
    </w:p>
  </w:footnote>
  <w:footnote w:id="89">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486.</w:t>
      </w:r>
    </w:p>
  </w:footnote>
  <w:footnote w:id="90">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270.</w:t>
      </w:r>
    </w:p>
  </w:footnote>
  <w:footnote w:id="9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95. Rémy escreveu igualmente que «ao enfrentar o inimigo, os comunistas reencontraram a noção de Pátria». Ver id., ibid., 272.</w:t>
      </w:r>
    </w:p>
  </w:footnote>
  <w:footnote w:id="9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S. Hoffmann (1967) 35-36.</w:t>
      </w:r>
      <w:r w:rsidRPr="001E7D4E">
        <w:rPr>
          <w:rFonts w:ascii="Arial Narrow" w:hAnsi="Arial Narrow"/>
          <w:noProof/>
          <w:sz w:val="24"/>
          <w:szCs w:val="24"/>
          <w:lang w:eastAsia="en-US"/>
        </w:rPr>
        <w:t xml:space="preserve"> </w:t>
      </w:r>
      <w:r w:rsidRPr="001E7D4E">
        <w:rPr>
          <w:rFonts w:ascii="Arial Narrow" w:hAnsi="Arial Narrow"/>
        </w:rPr>
        <w:t>«Quanto aos partidos», resumiu S. Weil (1950) 109-110, «ou são internacionais por mera ficção ou o seu internacionalismo assume a forma da subordinação total a uma certa nação».</w:t>
      </w:r>
      <w:r w:rsidRPr="001E7D4E">
        <w:rPr>
          <w:rFonts w:ascii="Arial Narrow" w:hAnsi="Arial Narrow"/>
          <w:noProof/>
          <w:sz w:val="24"/>
          <w:szCs w:val="24"/>
          <w:lang w:eastAsia="en-US"/>
        </w:rPr>
        <w:t xml:space="preserve"> </w:t>
      </w:r>
      <w:r w:rsidRPr="001E7D4E">
        <w:rPr>
          <w:rFonts w:ascii="Arial Narrow" w:hAnsi="Arial Narrow"/>
        </w:rPr>
        <w:t>O Partido Comunista é «um partido nacionalista estrangeiro», acusou repetidamente Léon Blum em 1941, quando o seu Partido Socialista desde há muito nada mais era, nem desejava ser, do que um partido nacionalista francês. Ver L. Blum (1945) 105, 106 e 109.</w:t>
      </w:r>
    </w:p>
  </w:footnote>
  <w:footnote w:id="9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As posições públicas tomadas pelo PCF desde o armistício até à invasão </w:t>
      </w:r>
      <w:r w:rsidR="001C1FD7">
        <w:rPr>
          <w:rFonts w:ascii="Arial Narrow" w:hAnsi="Arial Narrow"/>
        </w:rPr>
        <w:t>nacional-socialista</w:t>
      </w:r>
      <w:r w:rsidRPr="006742F2">
        <w:rPr>
          <w:rFonts w:ascii="Arial Narrow" w:hAnsi="Arial Narrow"/>
        </w:rPr>
        <w:t xml:space="preserve"> da União Soviética </w:t>
      </w:r>
      <w:r>
        <w:rPr>
          <w:rFonts w:ascii="Arial Narrow" w:hAnsi="Arial Narrow"/>
        </w:rPr>
        <w:t>foram</w:t>
      </w:r>
      <w:r w:rsidRPr="006742F2">
        <w:rPr>
          <w:rFonts w:ascii="Arial Narrow" w:hAnsi="Arial Narrow"/>
        </w:rPr>
        <w:t xml:space="preserve"> descritas, com numerosas citações, por H. Michel (1962) 557-577.</w:t>
      </w:r>
    </w:p>
  </w:footnote>
  <w:footnote w:id="9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Id., ibid., 578.</w:t>
      </w:r>
    </w:p>
  </w:footnote>
  <w:footnote w:id="9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600.</w:t>
      </w:r>
    </w:p>
  </w:footnote>
  <w:footnote w:id="96">
    <w:p w:rsidR="00734A3E"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P. Sérant (1959) 238. Ver igualmente a pág. 297.</w:t>
      </w:r>
      <w:r w:rsidR="00734A3E">
        <w:rPr>
          <w:rFonts w:ascii="Arial Narrow" w:hAnsi="Arial Narrow"/>
        </w:rPr>
        <w:t xml:space="preserve"> Alguns meses antes, indicaram A. Beevor et al. (2012) 125, Drieu havia recusado uma proposta do embaixador espanhol para se refugiar do outro lado dos Pirenéus.</w:t>
      </w:r>
    </w:p>
  </w:footnote>
  <w:footnote w:id="97">
    <w:p w:rsidR="008F101A" w:rsidRPr="00161CF2"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161CF2">
        <w:rPr>
          <w:rFonts w:ascii="Arial Narrow" w:hAnsi="Arial Narrow"/>
          <w:lang w:val="en-US"/>
        </w:rPr>
        <w:t xml:space="preserve"> M. Bardèche (1961) 137.</w:t>
      </w:r>
    </w:p>
  </w:footnote>
  <w:footnote w:id="98">
    <w:p w:rsidR="00E40555" w:rsidRPr="00161CF2" w:rsidRDefault="00E40555">
      <w:pPr>
        <w:pStyle w:val="Textodenotaderodap"/>
        <w:rPr>
          <w:rFonts w:ascii="Arial Narrow" w:hAnsi="Arial Narrow"/>
          <w:lang w:val="en-US"/>
        </w:rPr>
      </w:pPr>
      <w:r w:rsidRPr="00E40555">
        <w:rPr>
          <w:rStyle w:val="Refdenotaderodap"/>
          <w:rFonts w:ascii="Arial Narrow" w:hAnsi="Arial Narrow"/>
        </w:rPr>
        <w:footnoteRef/>
      </w:r>
      <w:r w:rsidRPr="00161CF2">
        <w:rPr>
          <w:rFonts w:ascii="Arial Narrow" w:hAnsi="Arial Narrow"/>
          <w:lang w:val="en-US"/>
        </w:rPr>
        <w:t xml:space="preserve"> Id. (1994) 66.</w:t>
      </w:r>
    </w:p>
  </w:footnote>
  <w:footnote w:id="99">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161CF2">
        <w:rPr>
          <w:rFonts w:ascii="Arial Narrow" w:hAnsi="Arial Narrow"/>
          <w:lang w:val="en-US"/>
        </w:rPr>
        <w:t xml:space="preserve"> H. Michel (1962) 442. </w:t>
      </w:r>
      <w:r w:rsidRPr="006742F2">
        <w:rPr>
          <w:rFonts w:ascii="Arial Narrow" w:hAnsi="Arial Narrow"/>
        </w:rPr>
        <w:t>Ver também a pág. 734 e consultar R. O. Paxton (1973) 269.</w:t>
      </w:r>
    </w:p>
  </w:footnote>
  <w:footnote w:id="100">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121.</w:t>
      </w:r>
    </w:p>
  </w:footnote>
  <w:footnote w:id="10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92522E">
        <w:rPr>
          <w:rFonts w:ascii="Arial Narrow" w:hAnsi="Arial Narrow"/>
          <w:lang w:val="de-DE"/>
        </w:rPr>
        <w:t xml:space="preserve"> D. Wolf (1969) 324 n. 2. </w:t>
      </w:r>
      <w:r w:rsidRPr="006742F2">
        <w:rPr>
          <w:rFonts w:ascii="Arial Narrow" w:hAnsi="Arial Narrow"/>
        </w:rPr>
        <w:t xml:space="preserve">No entanto, Ph. Burrin (1986) 359 </w:t>
      </w:r>
      <w:r>
        <w:rPr>
          <w:rFonts w:ascii="Arial Narrow" w:hAnsi="Arial Narrow"/>
        </w:rPr>
        <w:t>pôs</w:t>
      </w:r>
      <w:r w:rsidRPr="006742F2">
        <w:rPr>
          <w:rFonts w:ascii="Arial Narrow" w:hAnsi="Arial Narrow"/>
        </w:rPr>
        <w:t xml:space="preserve"> em dúvida o auxílio prestado por de La Rocque aos britânicos.</w:t>
      </w:r>
    </w:p>
  </w:footnote>
  <w:footnote w:id="102">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93, 734; P. Novick (1985) 61; R. O. Paxton (1973) 241.</w:t>
      </w:r>
    </w:p>
  </w:footnote>
  <w:footnote w:id="10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H. Michel (1962) 251.</w:t>
      </w:r>
    </w:p>
  </w:footnote>
  <w:footnote w:id="104">
    <w:p w:rsidR="008F101A" w:rsidRPr="008F101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8F101A">
        <w:rPr>
          <w:rFonts w:ascii="Arial Narrow" w:hAnsi="Arial Narrow"/>
          <w:lang w:val="en-US"/>
        </w:rPr>
        <w:t xml:space="preserve"> Y. Guchet (2001) 242 n. 50; E. Weber (1964) 134.</w:t>
      </w:r>
    </w:p>
  </w:footnote>
  <w:footnote w:id="10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92522E">
        <w:rPr>
          <w:rFonts w:ascii="Arial Narrow" w:hAnsi="Arial Narrow"/>
          <w:lang w:val="en-GB"/>
        </w:rPr>
        <w:t xml:space="preserve"> Ph. Bourdrel (1992) 89, 208, 285-286, 314-316, 319-320; «Cagoule, La», </w:t>
      </w:r>
      <w:r w:rsidRPr="0092522E">
        <w:rPr>
          <w:rFonts w:ascii="Arial Narrow" w:hAnsi="Arial Narrow"/>
          <w:i/>
          <w:lang w:val="en-GB"/>
        </w:rPr>
        <w:t>Encyclopædia Universalis, Thesaurus - Index,</w:t>
      </w:r>
      <w:r w:rsidRPr="0092522E">
        <w:rPr>
          <w:rFonts w:ascii="Arial Narrow" w:hAnsi="Arial Narrow"/>
          <w:lang w:val="en-GB"/>
        </w:rPr>
        <w:t xml:space="preserve"> 552; J.-C. Valla (2000) 70 n. 5, 127, 128 n. 14, 131. </w:t>
      </w:r>
      <w:r w:rsidRPr="006742F2">
        <w:rPr>
          <w:rFonts w:ascii="Arial Narrow" w:hAnsi="Arial Narrow"/>
        </w:rPr>
        <w:t>Quanto às relações de Loustaunau-Lacau com o PPF ver Jean-Claude Valla,</w:t>
      </w:r>
      <w:r w:rsidRPr="00F658E7">
        <w:rPr>
          <w:rFonts w:ascii="Arial Narrow" w:hAnsi="Arial Narrow"/>
        </w:rPr>
        <w:t xml:space="preserve"> op. cit.,</w:t>
      </w:r>
      <w:r w:rsidRPr="006742F2">
        <w:rPr>
          <w:rFonts w:ascii="Arial Narrow" w:hAnsi="Arial Narrow"/>
        </w:rPr>
        <w:t xml:space="preserve"> 123 n. 1 e D. Wolf (1969) 211 n. 2, 263 n. 2.</w:t>
      </w:r>
    </w:p>
  </w:footnote>
  <w:footnote w:id="106">
    <w:p w:rsidR="008F101A" w:rsidRPr="00233423" w:rsidRDefault="008F101A" w:rsidP="008F101A">
      <w:pPr>
        <w:pStyle w:val="Textodenotaderodap"/>
        <w:rPr>
          <w:rFonts w:ascii="Arial Narrow" w:hAnsi="Arial Narrow"/>
          <w:lang w:val="fr-FR"/>
        </w:rPr>
      </w:pPr>
      <w:r w:rsidRPr="00233423">
        <w:rPr>
          <w:rStyle w:val="Refdenotaderodap"/>
          <w:rFonts w:ascii="Arial Narrow" w:hAnsi="Arial Narrow"/>
        </w:rPr>
        <w:footnoteRef/>
      </w:r>
      <w:r w:rsidRPr="00233423">
        <w:rPr>
          <w:rFonts w:ascii="Arial Narrow" w:hAnsi="Arial Narrow"/>
          <w:lang w:val="fr-FR"/>
        </w:rPr>
        <w:t xml:space="preserve"> </w:t>
      </w:r>
      <w:r>
        <w:rPr>
          <w:rFonts w:ascii="Arial Narrow" w:hAnsi="Arial Narrow"/>
          <w:lang w:val="fr-FR"/>
        </w:rPr>
        <w:t>R. G. Nobécourt (1962) 139-140, 144.</w:t>
      </w:r>
    </w:p>
  </w:footnote>
  <w:footnote w:id="107">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233423">
        <w:rPr>
          <w:rFonts w:ascii="Arial Narrow" w:hAnsi="Arial Narrow"/>
          <w:lang w:val="fr-FR"/>
        </w:rPr>
        <w:t xml:space="preserve"> J. Galtier-Boissière et al. </w:t>
      </w:r>
      <w:r w:rsidRPr="006742F2">
        <w:rPr>
          <w:rFonts w:ascii="Arial Narrow" w:hAnsi="Arial Narrow"/>
        </w:rPr>
        <w:t>(1949) IV 266. J.-C. Valla (2000) 128-129 pretende</w:t>
      </w:r>
      <w:r>
        <w:rPr>
          <w:rFonts w:ascii="Arial Narrow" w:hAnsi="Arial Narrow"/>
        </w:rPr>
        <w:t>u</w:t>
      </w:r>
      <w:r w:rsidRPr="006742F2">
        <w:rPr>
          <w:rFonts w:ascii="Arial Narrow" w:hAnsi="Arial Narrow"/>
        </w:rPr>
        <w:t xml:space="preserve"> que no final da sua vida Deloncle estava a colaborar com a resistência.</w:t>
      </w:r>
    </w:p>
  </w:footnote>
  <w:footnote w:id="108">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Ph. Bourdrel (1992) 312-313; P. Ory (1976) 100, 249.</w:t>
      </w:r>
    </w:p>
  </w:footnote>
  <w:footnote w:id="109">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J.-C. Valla (2000) 131.</w:t>
      </w:r>
    </w:p>
  </w:footnote>
  <w:footnote w:id="110">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157. Ver igualmente as págs. 743-744.</w:t>
      </w:r>
    </w:p>
  </w:footnote>
  <w:footnote w:id="11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R. O. Paxton (1973) 48.</w:t>
      </w:r>
    </w:p>
  </w:footnote>
  <w:footnote w:id="11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915BD0">
        <w:rPr>
          <w:rFonts w:ascii="Arial Narrow" w:hAnsi="Arial Narrow"/>
        </w:rPr>
        <w:t xml:space="preserve">Acerca das posições defendidas por Xavier de Virieu ver </w:t>
      </w:r>
      <w:r w:rsidRPr="006742F2">
        <w:rPr>
          <w:rFonts w:ascii="Arial Narrow" w:hAnsi="Arial Narrow"/>
        </w:rPr>
        <w:t>H. Michel (1962) 202, 210</w:t>
      </w:r>
      <w:r>
        <w:rPr>
          <w:rFonts w:ascii="Arial Narrow" w:hAnsi="Arial Narrow"/>
        </w:rPr>
        <w:t xml:space="preserve"> e</w:t>
      </w:r>
      <w:r w:rsidRPr="006742F2">
        <w:rPr>
          <w:rFonts w:ascii="Arial Narrow" w:hAnsi="Arial Narrow"/>
        </w:rPr>
        <w:t xml:space="preserve"> 218. A expressão citada encontra-se na pág. 218.</w:t>
      </w:r>
    </w:p>
  </w:footnote>
  <w:footnote w:id="113">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S. Weil (1950) 144, 156.</w:t>
      </w:r>
    </w:p>
  </w:footnote>
  <w:footnote w:id="11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S. Hoffmann (1967) 31-32, 58; H. Michel (1962) 374-375, 377-378, 381 n. 1, 383, 395, 397.</w:t>
      </w:r>
    </w:p>
  </w:footnote>
  <w:footnote w:id="11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R. O. Paxton (1973) 49-50.</w:t>
      </w:r>
    </w:p>
  </w:footnote>
  <w:footnote w:id="116">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H. Michel (1962) 405.</w:t>
      </w:r>
    </w:p>
  </w:footnote>
  <w:footnote w:id="117">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Robert Salmon citado em id., ibid., 388.</w:t>
      </w:r>
    </w:p>
  </w:footnote>
  <w:footnote w:id="118">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206, 442.</w:t>
      </w:r>
    </w:p>
  </w:footnote>
  <w:footnote w:id="119">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121.</w:t>
      </w:r>
    </w:p>
  </w:footnote>
  <w:footnote w:id="120">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92522E">
        <w:rPr>
          <w:rFonts w:ascii="Arial Narrow" w:hAnsi="Arial Narrow"/>
          <w:lang w:val="en-GB"/>
        </w:rPr>
        <w:t xml:space="preserve"> R. Kedward, «France», em I. C. B. Dear et al. </w:t>
      </w:r>
      <w:r w:rsidRPr="006742F2">
        <w:rPr>
          <w:rFonts w:ascii="Arial Narrow" w:hAnsi="Arial Narrow"/>
        </w:rPr>
        <w:t>(orgs. 1995) 405; H. Michel (1962) 443. P. Novick (1985) 129 escreve</w:t>
      </w:r>
      <w:r>
        <w:rPr>
          <w:rFonts w:ascii="Arial Narrow" w:hAnsi="Arial Narrow"/>
        </w:rPr>
        <w:t>u</w:t>
      </w:r>
      <w:r w:rsidRPr="006742F2">
        <w:rPr>
          <w:rFonts w:ascii="Arial Narrow" w:hAnsi="Arial Narrow"/>
        </w:rPr>
        <w:t xml:space="preserve"> que «o Front National, essencialmente político, e o seu braço militar, os Franc-Tireurs et Partisans Français, eram efectivamente grupos impressionantes, entre os mais vastos de toda a resistência».</w:t>
      </w:r>
    </w:p>
  </w:footnote>
  <w:footnote w:id="121">
    <w:p w:rsidR="008F101A" w:rsidRPr="0092522E" w:rsidRDefault="008F101A" w:rsidP="008F101A">
      <w:pPr>
        <w:pStyle w:val="Textodenotaderodap"/>
        <w:ind w:firstLine="708"/>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Ph. Bourdrel (1992) 21; Ph. Burrin (1986) 168; R. O. Paxton (1973) 235; D. Wolf (1969) 104-106.</w:t>
      </w:r>
    </w:p>
  </w:footnote>
  <w:footnote w:id="122">
    <w:p w:rsidR="00EE6887" w:rsidRPr="00EE6887" w:rsidRDefault="00EE6887">
      <w:pPr>
        <w:pStyle w:val="Textodenotaderodap"/>
        <w:rPr>
          <w:rFonts w:ascii="Arial Narrow" w:hAnsi="Arial Narrow"/>
        </w:rPr>
      </w:pPr>
      <w:r w:rsidRPr="00EE6887">
        <w:rPr>
          <w:rStyle w:val="Refdenotaderodap"/>
          <w:rFonts w:ascii="Arial Narrow" w:hAnsi="Arial Narrow"/>
        </w:rPr>
        <w:footnoteRef/>
      </w:r>
      <w:r w:rsidRPr="00EE6887">
        <w:rPr>
          <w:rFonts w:ascii="Arial Narrow" w:hAnsi="Arial Narrow"/>
        </w:rPr>
        <w:t xml:space="preserve"> </w:t>
      </w:r>
      <w:r w:rsidRPr="00EE6887">
        <w:rPr>
          <w:rFonts w:ascii="Arial Narrow" w:hAnsi="Arial Narrow"/>
          <w:bCs/>
        </w:rPr>
        <w:t xml:space="preserve">W. L. Shirer (2011) </w:t>
      </w:r>
      <w:r w:rsidR="00591FE0">
        <w:rPr>
          <w:rFonts w:ascii="Arial Narrow" w:hAnsi="Arial Narrow"/>
          <w:bCs/>
        </w:rPr>
        <w:t xml:space="preserve">21. Ver também a pág. </w:t>
      </w:r>
      <w:r w:rsidRPr="00EE6887">
        <w:rPr>
          <w:rFonts w:ascii="Arial Narrow" w:hAnsi="Arial Narrow"/>
          <w:bCs/>
        </w:rPr>
        <w:t>16</w:t>
      </w:r>
      <w:r w:rsidR="00591FE0">
        <w:rPr>
          <w:rFonts w:ascii="Arial Narrow" w:hAnsi="Arial Narrow"/>
          <w:bCs/>
        </w:rPr>
        <w:t>.</w:t>
      </w:r>
    </w:p>
  </w:footnote>
  <w:footnote w:id="12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H. Michel (1962) 589.</w:t>
      </w:r>
    </w:p>
  </w:footnote>
  <w:footnote w:id="124">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605.</w:t>
      </w:r>
    </w:p>
  </w:footnote>
  <w:footnote w:id="125">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606.</w:t>
      </w:r>
    </w:p>
  </w:footnote>
  <w:footnote w:id="126">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624. Acerca do papel desempenhado por Duclos ver D. J. Dallin (1956) 47-49 e 87.</w:t>
      </w:r>
    </w:p>
  </w:footnote>
  <w:footnote w:id="127">
    <w:p w:rsidR="008F101A" w:rsidRPr="00A7765E"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A7765E">
        <w:rPr>
          <w:rFonts w:ascii="Arial Narrow" w:hAnsi="Arial Narrow"/>
          <w:lang w:val="en-US"/>
        </w:rPr>
        <w:t xml:space="preserve"> H. Michel (1962) 524.</w:t>
      </w:r>
    </w:p>
  </w:footnote>
  <w:footnote w:id="128">
    <w:p w:rsidR="00A145A1" w:rsidRPr="00A7765E" w:rsidRDefault="00A145A1">
      <w:pPr>
        <w:pStyle w:val="Textodenotaderodap"/>
        <w:rPr>
          <w:rFonts w:ascii="Arial Narrow" w:hAnsi="Arial Narrow"/>
          <w:lang w:val="en-US"/>
        </w:rPr>
      </w:pPr>
      <w:r w:rsidRPr="00A145A1">
        <w:rPr>
          <w:rStyle w:val="Refdenotaderodap"/>
          <w:rFonts w:ascii="Arial Narrow" w:hAnsi="Arial Narrow"/>
        </w:rPr>
        <w:footnoteRef/>
      </w:r>
      <w:r w:rsidRPr="00A7765E">
        <w:rPr>
          <w:rFonts w:ascii="Arial Narrow" w:hAnsi="Arial Narrow"/>
          <w:lang w:val="en-US"/>
        </w:rPr>
        <w:t xml:space="preserve"> L. Rebatet (2007) 42.</w:t>
      </w:r>
    </w:p>
  </w:footnote>
  <w:footnote w:id="129">
    <w:p w:rsidR="008F101A" w:rsidRPr="00A7765E"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A7765E">
        <w:rPr>
          <w:rFonts w:ascii="Arial Narrow" w:hAnsi="Arial Narrow"/>
          <w:lang w:val="en-US"/>
        </w:rPr>
        <w:t xml:space="preserve"> P. Novick (1985) 99.</w:t>
      </w:r>
    </w:p>
  </w:footnote>
  <w:footnote w:id="130">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J. Galtier</w:t>
      </w:r>
      <w:r w:rsidRPr="006742F2">
        <w:rPr>
          <w:rFonts w:ascii="Arial Narrow" w:hAnsi="Arial Narrow"/>
          <w:smallCaps/>
        </w:rPr>
        <w:t>-</w:t>
      </w:r>
      <w:r w:rsidRPr="006742F2">
        <w:rPr>
          <w:rFonts w:ascii="Arial Narrow" w:hAnsi="Arial Narrow"/>
        </w:rPr>
        <w:t>Boissière et al. (1949) IV 305.</w:t>
      </w:r>
    </w:p>
  </w:footnote>
  <w:footnote w:id="131">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H. Michel (1962) 469-470, 613-614, 686. É interessante saber que, de todos os departamentos franceses, foi na Córsega que, durante a guerra, atingiram a maior percentagem os membros de organizações fascistas, consoante indic</w:t>
      </w:r>
      <w:r>
        <w:rPr>
          <w:rFonts w:ascii="Arial Narrow" w:hAnsi="Arial Narrow"/>
        </w:rPr>
        <w:t>ou</w:t>
      </w:r>
      <w:r w:rsidRPr="006742F2">
        <w:rPr>
          <w:rFonts w:ascii="Arial Narrow" w:hAnsi="Arial Narrow"/>
        </w:rPr>
        <w:t xml:space="preserve"> P. Ory (1976) 113.</w:t>
      </w:r>
    </w:p>
  </w:footnote>
  <w:footnote w:id="132">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«Vlaminck, Maurice de», </w:t>
      </w:r>
      <w:r w:rsidRPr="006742F2">
        <w:rPr>
          <w:rFonts w:ascii="Arial Narrow" w:hAnsi="Arial Narrow"/>
          <w:i/>
        </w:rPr>
        <w:t>Encyclopædia Universalis, Thesaurus - Index,</w:t>
      </w:r>
      <w:r w:rsidRPr="006742F2">
        <w:rPr>
          <w:rFonts w:ascii="Arial Narrow" w:hAnsi="Arial Narrow"/>
        </w:rPr>
        <w:t xml:space="preserve"> 3664. Leio em B. Hinz (1980) 39 que as obras de Vlaminck existentes nos museus </w:t>
      </w:r>
      <w:r w:rsidR="00930850">
        <w:rPr>
          <w:rFonts w:ascii="Arial Narrow" w:hAnsi="Arial Narrow"/>
        </w:rPr>
        <w:t>do Reich</w:t>
      </w:r>
      <w:r w:rsidRPr="006742F2">
        <w:rPr>
          <w:rFonts w:ascii="Arial Narrow" w:hAnsi="Arial Narrow"/>
        </w:rPr>
        <w:t xml:space="preserve"> foram, tal como muitas outras, apreendidas em 1936-1937 pela comissão encarregada de organizar a exposição </w:t>
      </w:r>
      <w:r w:rsidRPr="006742F2">
        <w:rPr>
          <w:rFonts w:ascii="Arial Narrow" w:hAnsi="Arial Narrow"/>
          <w:i/>
        </w:rPr>
        <w:t>Entartete Kunst,</w:t>
      </w:r>
      <w:r w:rsidRPr="006742F2">
        <w:rPr>
          <w:rFonts w:ascii="Arial Narrow" w:hAnsi="Arial Narrow"/>
        </w:rPr>
        <w:t xml:space="preserve"> a célebre exposição itinerante </w:t>
      </w:r>
      <w:r>
        <w:rPr>
          <w:rFonts w:ascii="Arial Narrow" w:hAnsi="Arial Narrow"/>
        </w:rPr>
        <w:t xml:space="preserve">de </w:t>
      </w:r>
      <w:r w:rsidRPr="006742F2">
        <w:rPr>
          <w:rFonts w:ascii="Arial Narrow" w:hAnsi="Arial Narrow"/>
        </w:rPr>
        <w:t xml:space="preserve">arte «degenerada», que se apresentou com enorme êxito em várias cidades do </w:t>
      </w:r>
      <w:r w:rsidR="00930850">
        <w:rPr>
          <w:rFonts w:ascii="Arial Narrow" w:hAnsi="Arial Narrow"/>
        </w:rPr>
        <w:t>país</w:t>
      </w:r>
      <w:r w:rsidRPr="006742F2">
        <w:rPr>
          <w:rFonts w:ascii="Arial Narrow" w:hAnsi="Arial Narrow"/>
        </w:rPr>
        <w:t xml:space="preserve"> em 1937 e 1938. No entanto, Vlaminck não figurava entre os pintores expostos na </w:t>
      </w:r>
      <w:r w:rsidRPr="006742F2">
        <w:rPr>
          <w:rFonts w:ascii="Arial Narrow" w:hAnsi="Arial Narrow"/>
          <w:i/>
        </w:rPr>
        <w:t>Entartete Kunst,</w:t>
      </w:r>
      <w:r w:rsidRPr="006742F2">
        <w:rPr>
          <w:rFonts w:ascii="Arial Narrow" w:hAnsi="Arial Narrow"/>
        </w:rPr>
        <w:t xml:space="preserve"> consoante se verifica na lista completa, publicada por G. Bussmann (1985) 123. Note-se que, embora aquela exposição se destinasse em princípio a denunciar obras realizadas na Alemanha, ela incluiu também alguns artistas estrangeiros.</w:t>
      </w:r>
    </w:p>
  </w:footnote>
  <w:footnote w:id="133">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 Ory (1976) 63; A. Speer (1979) 250. Em S. Wilson (1981) 101-102 encontram-se excertos do artigo de Vlaminck, «Opinions Libres sur la Peinture», publicado em </w:t>
      </w:r>
      <w:r w:rsidRPr="006742F2">
        <w:rPr>
          <w:rFonts w:ascii="Arial Narrow" w:hAnsi="Arial Narrow"/>
          <w:i/>
        </w:rPr>
        <w:t>Comœdia,</w:t>
      </w:r>
      <w:r w:rsidRPr="006742F2">
        <w:rPr>
          <w:rFonts w:ascii="Arial Narrow" w:hAnsi="Arial Narrow"/>
        </w:rPr>
        <w:t xml:space="preserve"> 6 de Junho de 1942.</w:t>
      </w:r>
    </w:p>
  </w:footnote>
  <w:footnote w:id="134">
    <w:p w:rsidR="00085BA7" w:rsidRPr="00A145A1" w:rsidRDefault="00085BA7">
      <w:pPr>
        <w:pStyle w:val="Textodenotaderodap"/>
        <w:rPr>
          <w:rFonts w:ascii="Arial Narrow" w:hAnsi="Arial Narrow"/>
          <w:lang w:val="en-US"/>
        </w:rPr>
      </w:pPr>
      <w:r w:rsidRPr="00085BA7">
        <w:rPr>
          <w:rStyle w:val="Refdenotaderodap"/>
          <w:rFonts w:ascii="Arial Narrow" w:hAnsi="Arial Narrow"/>
        </w:rPr>
        <w:footnoteRef/>
      </w:r>
      <w:r w:rsidRPr="00A145A1">
        <w:rPr>
          <w:rFonts w:ascii="Arial Narrow" w:hAnsi="Arial Narrow"/>
          <w:lang w:val="en-US"/>
        </w:rPr>
        <w:t xml:space="preserve"> A. Beevor et al. (2012) 129.</w:t>
      </w:r>
    </w:p>
  </w:footnote>
  <w:footnote w:id="135">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P. Novick (1985) 226 n. 24.</w:t>
      </w:r>
    </w:p>
  </w:footnote>
  <w:footnote w:id="136">
    <w:p w:rsidR="00614059" w:rsidRPr="00614059" w:rsidRDefault="00614059">
      <w:pPr>
        <w:pStyle w:val="Textodenotaderodap"/>
        <w:rPr>
          <w:rFonts w:ascii="Arial Narrow" w:hAnsi="Arial Narrow"/>
        </w:rPr>
      </w:pPr>
      <w:r w:rsidRPr="00614059">
        <w:rPr>
          <w:rStyle w:val="Refdenotaderodap"/>
          <w:rFonts w:ascii="Arial Narrow" w:hAnsi="Arial Narrow"/>
        </w:rPr>
        <w:footnoteRef/>
      </w:r>
      <w:r w:rsidRPr="00614059">
        <w:rPr>
          <w:rFonts w:ascii="Arial Narrow" w:hAnsi="Arial Narrow"/>
        </w:rPr>
        <w:t xml:space="preserve"> R. Soucy (1970) 83 n. 42</w:t>
      </w:r>
      <w:r w:rsidR="003C6EA8">
        <w:rPr>
          <w:rFonts w:ascii="Arial Narrow" w:hAnsi="Arial Narrow"/>
        </w:rPr>
        <w:t xml:space="preserve">. </w:t>
      </w:r>
      <w:r w:rsidR="003C6EA8" w:rsidRPr="00614059">
        <w:rPr>
          <w:rFonts w:ascii="Arial Narrow" w:hAnsi="Arial Narrow"/>
        </w:rPr>
        <w:t xml:space="preserve">A </w:t>
      </w:r>
      <w:r w:rsidRPr="00614059">
        <w:rPr>
          <w:rFonts w:ascii="Arial Narrow" w:hAnsi="Arial Narrow"/>
        </w:rPr>
        <w:t>citaç</w:t>
      </w:r>
      <w:r>
        <w:rPr>
          <w:rFonts w:ascii="Arial Narrow" w:hAnsi="Arial Narrow"/>
        </w:rPr>
        <w:t>ão</w:t>
      </w:r>
      <w:r w:rsidR="003C6EA8">
        <w:rPr>
          <w:rFonts w:ascii="Arial Narrow" w:hAnsi="Arial Narrow"/>
        </w:rPr>
        <w:t xml:space="preserve"> de Drieu encontra-se </w:t>
      </w:r>
      <w:r w:rsidR="008C5798">
        <w:rPr>
          <w:rFonts w:ascii="Arial Narrow" w:hAnsi="Arial Narrow"/>
        </w:rPr>
        <w:t>nesta mesma nota</w:t>
      </w:r>
      <w:r w:rsidR="003C6EA8">
        <w:rPr>
          <w:rFonts w:ascii="Arial Narrow" w:hAnsi="Arial Narrow"/>
        </w:rPr>
        <w:t>.</w:t>
      </w:r>
    </w:p>
  </w:footnote>
  <w:footnote w:id="137">
    <w:p w:rsidR="008F101A" w:rsidRPr="0092522E" w:rsidRDefault="008F101A" w:rsidP="008F101A">
      <w:pPr>
        <w:pStyle w:val="Textodenotaderodap"/>
        <w:ind w:firstLine="708"/>
        <w:rPr>
          <w:rFonts w:ascii="Arial Narrow" w:hAnsi="Arial Narrow"/>
          <w:lang w:val="de-DE"/>
        </w:rPr>
      </w:pPr>
      <w:r w:rsidRPr="006742F2">
        <w:rPr>
          <w:rStyle w:val="Refdenotaderodap"/>
          <w:rFonts w:ascii="Arial Narrow" w:hAnsi="Arial Narrow"/>
        </w:rPr>
        <w:footnoteRef/>
      </w:r>
      <w:r w:rsidRPr="0092522E">
        <w:rPr>
          <w:rFonts w:ascii="Arial Narrow" w:hAnsi="Arial Narrow"/>
          <w:lang w:val="de-DE"/>
        </w:rPr>
        <w:t xml:space="preserve"> H. Michel (1962) 721.</w:t>
      </w:r>
    </w:p>
  </w:footnote>
  <w:footnote w:id="138">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id., ibid., 493.</w:t>
      </w:r>
    </w:p>
  </w:footnote>
  <w:footnote w:id="139">
    <w:p w:rsidR="008F101A" w:rsidRPr="00A145A1"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A145A1">
        <w:rPr>
          <w:rFonts w:ascii="Arial Narrow" w:hAnsi="Arial Narrow"/>
          <w:lang w:val="en-US"/>
        </w:rPr>
        <w:t xml:space="preserve"> Id., ibid., 493-494.</w:t>
      </w:r>
    </w:p>
  </w:footnote>
  <w:footnote w:id="140">
    <w:p w:rsidR="00A51F24" w:rsidRPr="00A51F24" w:rsidRDefault="00A51F24">
      <w:pPr>
        <w:pStyle w:val="Textodenotaderodap"/>
        <w:rPr>
          <w:rFonts w:ascii="Arial Narrow" w:hAnsi="Arial Narrow"/>
          <w:lang w:val="en-US"/>
        </w:rPr>
      </w:pPr>
      <w:r w:rsidRPr="00A51F24">
        <w:rPr>
          <w:rStyle w:val="Refdenotaderodap"/>
          <w:rFonts w:ascii="Arial Narrow" w:hAnsi="Arial Narrow"/>
        </w:rPr>
        <w:footnoteRef/>
      </w:r>
      <w:r w:rsidRPr="00A51F24">
        <w:rPr>
          <w:rFonts w:ascii="Arial Narrow" w:hAnsi="Arial Narrow"/>
          <w:lang w:val="en-US"/>
        </w:rPr>
        <w:t xml:space="preserve"> </w:t>
      </w:r>
      <w:r w:rsidRPr="00A51F24">
        <w:rPr>
          <w:rFonts w:ascii="Arial Narrow" w:hAnsi="Arial Narrow"/>
          <w:bCs/>
          <w:lang w:val="en-US"/>
        </w:rPr>
        <w:t xml:space="preserve">W. Laqueur </w:t>
      </w:r>
      <w:r w:rsidRPr="00A51F24">
        <w:rPr>
          <w:rFonts w:ascii="Arial Narrow" w:hAnsi="Arial Narrow"/>
          <w:lang w:val="en-US"/>
        </w:rPr>
        <w:t>(1996)</w:t>
      </w:r>
      <w:r>
        <w:rPr>
          <w:rFonts w:ascii="Arial Narrow" w:hAnsi="Arial Narrow"/>
          <w:lang w:val="en-US"/>
        </w:rPr>
        <w:t xml:space="preserve"> </w:t>
      </w:r>
      <w:r w:rsidRPr="00A51F24">
        <w:rPr>
          <w:rFonts w:ascii="Arial Narrow" w:hAnsi="Arial Narrow"/>
          <w:lang w:val="en-US"/>
        </w:rPr>
        <w:t>65</w:t>
      </w:r>
      <w:r>
        <w:rPr>
          <w:rFonts w:ascii="Arial Narrow" w:hAnsi="Arial Narrow"/>
          <w:lang w:val="en-US"/>
        </w:rPr>
        <w:t>.</w:t>
      </w:r>
    </w:p>
  </w:footnote>
  <w:footnote w:id="141">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r w:rsidRPr="0092522E">
        <w:rPr>
          <w:rFonts w:ascii="Arial Narrow" w:hAnsi="Arial Narrow"/>
          <w:i/>
          <w:lang w:val="en-GB"/>
        </w:rPr>
        <w:t>Encyclopædia Universalis, Thesaurus - Index,</w:t>
      </w:r>
      <w:r w:rsidRPr="0092522E">
        <w:rPr>
          <w:rFonts w:ascii="Arial Narrow" w:hAnsi="Arial Narrow"/>
          <w:lang w:val="en-GB"/>
        </w:rPr>
        <w:t xml:space="preserve"> 769.</w:t>
      </w:r>
    </w:p>
  </w:footnote>
  <w:footnote w:id="142">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1051.</w:t>
      </w:r>
    </w:p>
  </w:footnote>
  <w:footnote w:id="143">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smartTag w:uri="urn:schemas-microsoft-com:office:smarttags" w:element="State">
        <w:smartTag w:uri="urn:schemas-microsoft-com:office:smarttags" w:element="place">
          <w:r w:rsidRPr="0092522E">
            <w:rPr>
              <w:rFonts w:ascii="Arial Narrow" w:hAnsi="Arial Narrow"/>
              <w:lang w:val="en-GB"/>
            </w:rPr>
            <w:t>Id.</w:t>
          </w:r>
        </w:smartTag>
      </w:smartTag>
      <w:r w:rsidRPr="0092522E">
        <w:rPr>
          <w:rFonts w:ascii="Arial Narrow" w:hAnsi="Arial Narrow"/>
          <w:lang w:val="en-GB"/>
        </w:rPr>
        <w:t>, ibid., 938.</w:t>
      </w:r>
    </w:p>
  </w:footnote>
  <w:footnote w:id="144">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P. Drieu </w:t>
      </w:r>
      <w:r w:rsidR="008C2545" w:rsidRPr="0092522E">
        <w:rPr>
          <w:rFonts w:ascii="Arial Narrow" w:hAnsi="Arial Narrow"/>
          <w:lang w:val="en-GB"/>
        </w:rPr>
        <w:t xml:space="preserve">La </w:t>
      </w:r>
      <w:r w:rsidRPr="0092522E">
        <w:rPr>
          <w:rFonts w:ascii="Arial Narrow" w:hAnsi="Arial Narrow"/>
          <w:lang w:val="en-GB"/>
        </w:rPr>
        <w:t>Rochelle (1988) 17.</w:t>
      </w:r>
    </w:p>
  </w:footnote>
  <w:footnote w:id="145">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Ch. Doumet, «Cocteau (Jean)», em </w:t>
      </w:r>
      <w:r w:rsidRPr="0092522E">
        <w:rPr>
          <w:rFonts w:ascii="Arial Narrow" w:hAnsi="Arial Narrow"/>
          <w:i/>
          <w:lang w:val="en-GB"/>
        </w:rPr>
        <w:t>Encyclopædia Universalis,</w:t>
      </w:r>
      <w:r w:rsidRPr="0092522E">
        <w:rPr>
          <w:rFonts w:ascii="Arial Narrow" w:hAnsi="Arial Narrow"/>
          <w:lang w:val="en-GB"/>
        </w:rPr>
        <w:t xml:space="preserve"> </w:t>
      </w:r>
      <w:r w:rsidRPr="0092522E">
        <w:rPr>
          <w:rFonts w:ascii="Arial Narrow" w:hAnsi="Arial Narrow"/>
          <w:i/>
          <w:lang w:val="en-GB"/>
        </w:rPr>
        <w:t>Corpus,</w:t>
      </w:r>
      <w:r w:rsidRPr="0092522E">
        <w:rPr>
          <w:rFonts w:ascii="Arial Narrow" w:hAnsi="Arial Narrow"/>
          <w:lang w:val="en-GB"/>
        </w:rPr>
        <w:t xml:space="preserve"> vol. 6, 36-37.</w:t>
      </w:r>
    </w:p>
  </w:footnote>
  <w:footnote w:id="146">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G. Orwell (1998 a) 19.</w:t>
      </w:r>
    </w:p>
  </w:footnote>
  <w:footnote w:id="147">
    <w:p w:rsidR="008F101A" w:rsidRPr="00A145A1"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A145A1">
        <w:rPr>
          <w:rFonts w:ascii="Arial Narrow" w:hAnsi="Arial Narrow"/>
          <w:lang w:val="en-GB"/>
        </w:rPr>
        <w:t xml:space="preserve"> L. Fourcaut, «Giono (Jean)», em </w:t>
      </w:r>
      <w:r w:rsidRPr="00A145A1">
        <w:rPr>
          <w:rFonts w:ascii="Arial Narrow" w:hAnsi="Arial Narrow"/>
          <w:i/>
          <w:lang w:val="en-GB"/>
        </w:rPr>
        <w:t>Encyclopædia Universalis,</w:t>
      </w:r>
      <w:r w:rsidRPr="00A145A1">
        <w:rPr>
          <w:rFonts w:ascii="Arial Narrow" w:hAnsi="Arial Narrow"/>
          <w:lang w:val="en-GB"/>
        </w:rPr>
        <w:t xml:space="preserve"> </w:t>
      </w:r>
      <w:r w:rsidRPr="00A145A1">
        <w:rPr>
          <w:rFonts w:ascii="Arial Narrow" w:hAnsi="Arial Narrow"/>
          <w:i/>
          <w:lang w:val="en-GB"/>
        </w:rPr>
        <w:t>Corpus,</w:t>
      </w:r>
      <w:r w:rsidRPr="00A145A1">
        <w:rPr>
          <w:rFonts w:ascii="Arial Narrow" w:hAnsi="Arial Narrow"/>
          <w:lang w:val="en-GB"/>
        </w:rPr>
        <w:t xml:space="preserve"> vol. 10, 472.</w:t>
      </w:r>
    </w:p>
  </w:footnote>
  <w:footnote w:id="148">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Ph. Dulac, «Céline (Louis-Ferdinand)», em id., ibid., vol. 5, 166.</w:t>
      </w:r>
    </w:p>
  </w:footnote>
  <w:footnote w:id="149">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 Ory (1976) 25 situ</w:t>
      </w:r>
      <w:r>
        <w:rPr>
          <w:rFonts w:ascii="Arial Narrow" w:hAnsi="Arial Narrow"/>
        </w:rPr>
        <w:t>ou</w:t>
      </w:r>
      <w:r w:rsidRPr="006742F2">
        <w:rPr>
          <w:rFonts w:ascii="Arial Narrow" w:hAnsi="Arial Narrow"/>
        </w:rPr>
        <w:t xml:space="preserve"> os escritos anti-semitas de Céline no contexto político da época.</w:t>
      </w:r>
    </w:p>
  </w:footnote>
  <w:footnote w:id="150">
    <w:p w:rsidR="00B40838" w:rsidRPr="00B40838" w:rsidRDefault="00B40838">
      <w:pPr>
        <w:pStyle w:val="Textodenotaderodap"/>
        <w:rPr>
          <w:rFonts w:ascii="Arial Narrow" w:hAnsi="Arial Narrow"/>
        </w:rPr>
      </w:pPr>
      <w:r w:rsidRPr="00B40838">
        <w:rPr>
          <w:rStyle w:val="Refdenotaderodap"/>
          <w:rFonts w:ascii="Arial Narrow" w:hAnsi="Arial Narrow"/>
        </w:rPr>
        <w:footnoteRef/>
      </w:r>
      <w:r w:rsidRPr="00B40838">
        <w:rPr>
          <w:rFonts w:ascii="Arial Narrow" w:hAnsi="Arial Narrow"/>
        </w:rPr>
        <w:t xml:space="preserve"> </w:t>
      </w:r>
      <w:r>
        <w:rPr>
          <w:rFonts w:ascii="Arial Narrow" w:hAnsi="Arial Narrow"/>
        </w:rPr>
        <w:t>L.-F. Céline (1937) 329.</w:t>
      </w:r>
    </w:p>
  </w:footnote>
  <w:footnote w:id="151">
    <w:p w:rsidR="008F101A" w:rsidRPr="008F101A"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8F101A">
        <w:rPr>
          <w:rFonts w:ascii="Arial Narrow" w:hAnsi="Arial Narrow"/>
        </w:rPr>
        <w:t xml:space="preserve"> P. Sérant (1959) 80.</w:t>
      </w:r>
    </w:p>
  </w:footnote>
  <w:footnote w:id="152">
    <w:p w:rsidR="008F101A" w:rsidRPr="00DF282E" w:rsidRDefault="008F101A" w:rsidP="008F101A">
      <w:pPr>
        <w:pStyle w:val="Textodenotaderodap"/>
        <w:rPr>
          <w:rFonts w:ascii="Arial Narrow" w:hAnsi="Arial Narrow"/>
        </w:rPr>
      </w:pPr>
      <w:r w:rsidRPr="006742F2">
        <w:rPr>
          <w:rStyle w:val="Refdenotaderodap"/>
          <w:rFonts w:ascii="Arial Narrow" w:hAnsi="Arial Narrow"/>
        </w:rPr>
        <w:footnoteRef/>
      </w:r>
      <w:r w:rsidRPr="00DF282E">
        <w:rPr>
          <w:rFonts w:ascii="Arial Narrow" w:hAnsi="Arial Narrow"/>
        </w:rPr>
        <w:t xml:space="preserve"> P. Ory (1976) 154-155. Acerca das relações de amizade que uniam Montandon e C</w:t>
      </w:r>
      <w:r>
        <w:rPr>
          <w:rFonts w:ascii="Arial Narrow" w:hAnsi="Arial Narrow"/>
        </w:rPr>
        <w:t>éline ver C. Callil (2009) 222 e 223.</w:t>
      </w:r>
    </w:p>
  </w:footnote>
  <w:footnote w:id="153">
    <w:p w:rsidR="00570325" w:rsidRPr="00570325" w:rsidRDefault="00570325">
      <w:pPr>
        <w:pStyle w:val="Textodenotaderodap"/>
        <w:rPr>
          <w:rFonts w:ascii="Arial Narrow" w:hAnsi="Arial Narrow"/>
        </w:rPr>
      </w:pPr>
      <w:r w:rsidRPr="00570325">
        <w:rPr>
          <w:rStyle w:val="Refdenotaderodap"/>
          <w:rFonts w:ascii="Arial Narrow" w:hAnsi="Arial Narrow"/>
        </w:rPr>
        <w:footnoteRef/>
      </w:r>
      <w:r w:rsidRPr="00570325">
        <w:rPr>
          <w:rFonts w:ascii="Arial Narrow" w:hAnsi="Arial Narrow"/>
        </w:rPr>
        <w:t xml:space="preserve"> </w:t>
      </w:r>
      <w:r>
        <w:rPr>
          <w:rFonts w:ascii="Arial Narrow" w:hAnsi="Arial Narrow"/>
        </w:rPr>
        <w:t xml:space="preserve">L.-F. Céline (1942) 207. Nesta obra Céline tem referências elogiosas a Georges Montandon </w:t>
      </w:r>
      <w:r w:rsidR="001F0B12">
        <w:rPr>
          <w:rFonts w:ascii="Arial Narrow" w:hAnsi="Arial Narrow"/>
        </w:rPr>
        <w:t xml:space="preserve">igualmente </w:t>
      </w:r>
      <w:r>
        <w:rPr>
          <w:rFonts w:ascii="Arial Narrow" w:hAnsi="Arial Narrow"/>
        </w:rPr>
        <w:t xml:space="preserve">nas págs. </w:t>
      </w:r>
      <w:r w:rsidR="001A071D">
        <w:rPr>
          <w:rFonts w:ascii="Arial Narrow" w:hAnsi="Arial Narrow"/>
        </w:rPr>
        <w:t>8</w:t>
      </w:r>
      <w:r w:rsidR="004C64E4">
        <w:rPr>
          <w:rFonts w:ascii="Arial Narrow" w:hAnsi="Arial Narrow"/>
        </w:rPr>
        <w:t xml:space="preserve"> e</w:t>
      </w:r>
      <w:r w:rsidR="001A071D">
        <w:rPr>
          <w:rFonts w:ascii="Arial Narrow" w:hAnsi="Arial Narrow"/>
        </w:rPr>
        <w:t xml:space="preserve"> </w:t>
      </w:r>
      <w:r w:rsidR="00BE087C">
        <w:rPr>
          <w:rFonts w:ascii="Arial Narrow" w:hAnsi="Arial Narrow"/>
        </w:rPr>
        <w:t>29.</w:t>
      </w:r>
      <w:r w:rsidR="004C64E4">
        <w:rPr>
          <w:rFonts w:ascii="Arial Narrow" w:hAnsi="Arial Narrow"/>
        </w:rPr>
        <w:t xml:space="preserve"> Ver ainda id. (1941) 89.</w:t>
      </w:r>
    </w:p>
  </w:footnote>
  <w:footnote w:id="154">
    <w:p w:rsidR="00E85806" w:rsidRPr="00E85806" w:rsidRDefault="00E85806">
      <w:pPr>
        <w:pStyle w:val="Textodenotaderodap"/>
        <w:rPr>
          <w:rFonts w:ascii="Arial Narrow" w:hAnsi="Arial Narrow"/>
        </w:rPr>
      </w:pPr>
      <w:r w:rsidRPr="00E85806">
        <w:rPr>
          <w:rStyle w:val="Refdenotaderodap"/>
          <w:rFonts w:ascii="Arial Narrow" w:hAnsi="Arial Narrow"/>
        </w:rPr>
        <w:footnoteRef/>
      </w:r>
      <w:r w:rsidRPr="00E85806">
        <w:rPr>
          <w:rFonts w:ascii="Arial Narrow" w:hAnsi="Arial Narrow"/>
        </w:rPr>
        <w:t xml:space="preserve"> </w:t>
      </w:r>
      <w:r>
        <w:rPr>
          <w:rFonts w:ascii="Arial Narrow" w:hAnsi="Arial Narrow"/>
        </w:rPr>
        <w:t>G. Montandon (1940) 29.</w:t>
      </w:r>
    </w:p>
  </w:footnote>
  <w:footnote w:id="155">
    <w:p w:rsidR="002C72A5" w:rsidRPr="002C72A5" w:rsidRDefault="002C72A5">
      <w:pPr>
        <w:pStyle w:val="Textodenotaderodap"/>
        <w:rPr>
          <w:rFonts w:ascii="Arial Narrow" w:hAnsi="Arial Narrow"/>
        </w:rPr>
      </w:pPr>
      <w:r w:rsidRPr="002C72A5">
        <w:rPr>
          <w:rStyle w:val="Refdenotaderodap"/>
          <w:rFonts w:ascii="Arial Narrow" w:hAnsi="Arial Narrow"/>
        </w:rPr>
        <w:footnoteRef/>
      </w:r>
      <w:r w:rsidRPr="002C72A5">
        <w:rPr>
          <w:rFonts w:ascii="Arial Narrow" w:hAnsi="Arial Narrow"/>
        </w:rPr>
        <w:t xml:space="preserve"> Acerca da </w:t>
      </w:r>
      <w:r w:rsidR="00BE1E7E">
        <w:rPr>
          <w:rFonts w:ascii="Arial Narrow" w:hAnsi="Arial Narrow"/>
        </w:rPr>
        <w:t xml:space="preserve">origem e da </w:t>
      </w:r>
      <w:r w:rsidRPr="002C72A5">
        <w:rPr>
          <w:rFonts w:ascii="Arial Narrow" w:hAnsi="Arial Narrow"/>
        </w:rPr>
        <w:t xml:space="preserve">conotação </w:t>
      </w:r>
      <w:r w:rsidR="00E714AC">
        <w:rPr>
          <w:rFonts w:ascii="Arial Narrow" w:hAnsi="Arial Narrow"/>
        </w:rPr>
        <w:t xml:space="preserve">política do termo </w:t>
      </w:r>
      <w:r w:rsidRPr="002C72A5">
        <w:rPr>
          <w:rFonts w:ascii="Arial Narrow" w:hAnsi="Arial Narrow"/>
          <w:i/>
        </w:rPr>
        <w:t>Rassenhygiene</w:t>
      </w:r>
      <w:r w:rsidRPr="002C72A5">
        <w:rPr>
          <w:rFonts w:ascii="Arial Narrow" w:hAnsi="Arial Narrow"/>
        </w:rPr>
        <w:t xml:space="preserve"> ver Sh. </w:t>
      </w:r>
      <w:r>
        <w:rPr>
          <w:rFonts w:ascii="Arial Narrow" w:hAnsi="Arial Narrow"/>
        </w:rPr>
        <w:t>F. Weiss (2010) 55</w:t>
      </w:r>
      <w:r w:rsidR="00BE1E7E">
        <w:rPr>
          <w:rFonts w:ascii="Arial Narrow" w:hAnsi="Arial Narrow"/>
        </w:rPr>
        <w:t>,</w:t>
      </w:r>
      <w:r w:rsidR="001572F8">
        <w:rPr>
          <w:rFonts w:ascii="Arial Narrow" w:hAnsi="Arial Narrow"/>
        </w:rPr>
        <w:t xml:space="preserve"> 62</w:t>
      </w:r>
      <w:r w:rsidR="008029FF">
        <w:rPr>
          <w:rFonts w:ascii="Arial Narrow" w:hAnsi="Arial Narrow"/>
        </w:rPr>
        <w:t>,</w:t>
      </w:r>
      <w:r w:rsidR="00BE1E7E" w:rsidRPr="00BE1E7E">
        <w:rPr>
          <w:rFonts w:ascii="Arial Narrow" w:hAnsi="Arial Narrow"/>
        </w:rPr>
        <w:t xml:space="preserve"> </w:t>
      </w:r>
      <w:r w:rsidR="00BE1E7E">
        <w:rPr>
          <w:rFonts w:ascii="Arial Narrow" w:hAnsi="Arial Narrow"/>
        </w:rPr>
        <w:t>68</w:t>
      </w:r>
      <w:r w:rsidR="00E0632F">
        <w:rPr>
          <w:rFonts w:ascii="Arial Narrow" w:hAnsi="Arial Narrow"/>
        </w:rPr>
        <w:t>,</w:t>
      </w:r>
      <w:r w:rsidR="008029FF" w:rsidRPr="008029FF">
        <w:rPr>
          <w:rFonts w:ascii="Arial Narrow" w:hAnsi="Arial Narrow"/>
        </w:rPr>
        <w:t xml:space="preserve"> </w:t>
      </w:r>
      <w:r w:rsidR="008029FF">
        <w:rPr>
          <w:rFonts w:ascii="Arial Narrow" w:hAnsi="Arial Narrow"/>
        </w:rPr>
        <w:t>76</w:t>
      </w:r>
      <w:r w:rsidR="00E0632F" w:rsidRPr="00E0632F">
        <w:rPr>
          <w:rFonts w:ascii="Arial Narrow" w:hAnsi="Arial Narrow"/>
        </w:rPr>
        <w:t xml:space="preserve"> </w:t>
      </w:r>
      <w:r w:rsidR="00E0632F">
        <w:rPr>
          <w:rFonts w:ascii="Arial Narrow" w:hAnsi="Arial Narrow"/>
        </w:rPr>
        <w:t>e 227</w:t>
      </w:r>
      <w:r>
        <w:rPr>
          <w:rFonts w:ascii="Arial Narrow" w:hAnsi="Arial Narrow"/>
        </w:rPr>
        <w:t>.</w:t>
      </w:r>
    </w:p>
  </w:footnote>
  <w:footnote w:id="156">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r>
        <w:rPr>
          <w:rFonts w:ascii="Arial Narrow" w:hAnsi="Arial Narrow"/>
          <w:lang w:val="en-GB"/>
        </w:rPr>
        <w:t xml:space="preserve">C. Callil (2009) 264; </w:t>
      </w:r>
      <w:r w:rsidRPr="0092522E">
        <w:rPr>
          <w:rFonts w:ascii="Arial Narrow" w:hAnsi="Arial Narrow"/>
          <w:lang w:val="en-GB"/>
        </w:rPr>
        <w:t xml:space="preserve">G. Miller (1976) II 68; P. Ory (1976) 155. </w:t>
      </w:r>
    </w:p>
  </w:footnote>
  <w:footnote w:id="157">
    <w:p w:rsidR="008F101A" w:rsidRPr="00A51F24" w:rsidRDefault="008F101A" w:rsidP="008F101A">
      <w:pPr>
        <w:pStyle w:val="Textodenotaderodap"/>
        <w:rPr>
          <w:rFonts w:ascii="Arial Narrow" w:hAnsi="Arial Narrow"/>
          <w:lang w:val="en-US"/>
        </w:rPr>
      </w:pPr>
      <w:r w:rsidRPr="006742F2">
        <w:rPr>
          <w:rStyle w:val="Refdenotaderodap"/>
          <w:rFonts w:ascii="Arial Narrow" w:hAnsi="Arial Narrow"/>
        </w:rPr>
        <w:footnoteRef/>
      </w:r>
      <w:r w:rsidRPr="00A51F24">
        <w:rPr>
          <w:rFonts w:ascii="Arial Narrow" w:hAnsi="Arial Narrow"/>
          <w:lang w:val="en-US"/>
        </w:rPr>
        <w:t xml:space="preserve"> L. Rebatet (1942) 249.</w:t>
      </w:r>
    </w:p>
  </w:footnote>
  <w:footnote w:id="158">
    <w:p w:rsidR="002A6CBE" w:rsidRPr="00A51F24" w:rsidRDefault="002A6CBE">
      <w:pPr>
        <w:pStyle w:val="Textodenotaderodap"/>
        <w:rPr>
          <w:rFonts w:ascii="Arial Narrow" w:hAnsi="Arial Narrow"/>
          <w:lang w:val="en-US"/>
        </w:rPr>
      </w:pPr>
      <w:r w:rsidRPr="002A6CBE">
        <w:rPr>
          <w:rStyle w:val="Refdenotaderodap"/>
          <w:rFonts w:ascii="Arial Narrow" w:hAnsi="Arial Narrow"/>
        </w:rPr>
        <w:footnoteRef/>
      </w:r>
      <w:r w:rsidRPr="00A51F24">
        <w:rPr>
          <w:rFonts w:ascii="Arial Narrow" w:hAnsi="Arial Narrow"/>
          <w:lang w:val="en-US"/>
        </w:rPr>
        <w:t xml:space="preserve"> L.-F. Céline (1937) 91.</w:t>
      </w:r>
    </w:p>
  </w:footnote>
  <w:footnote w:id="159">
    <w:p w:rsidR="008F101A" w:rsidRPr="00A51F24"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A51F24">
        <w:rPr>
          <w:rFonts w:ascii="Arial Narrow" w:hAnsi="Arial Narrow"/>
          <w:lang w:val="en-US"/>
        </w:rPr>
        <w:t xml:space="preserve"> </w:t>
      </w:r>
      <w:r w:rsidR="002A6CBE" w:rsidRPr="00A51F24">
        <w:rPr>
          <w:rFonts w:ascii="Arial Narrow" w:hAnsi="Arial Narrow"/>
          <w:lang w:val="en-US"/>
        </w:rPr>
        <w:t xml:space="preserve">Id. </w:t>
      </w:r>
      <w:r w:rsidRPr="00A51F24">
        <w:rPr>
          <w:rFonts w:ascii="Arial Narrow" w:hAnsi="Arial Narrow"/>
          <w:lang w:val="en-US"/>
        </w:rPr>
        <w:t>(1998) 16.</w:t>
      </w:r>
    </w:p>
  </w:footnote>
  <w:footnote w:id="160">
    <w:p w:rsidR="00935DF9" w:rsidRPr="00935DF9" w:rsidRDefault="00935DF9">
      <w:pPr>
        <w:pStyle w:val="Textodenotaderodap"/>
        <w:rPr>
          <w:rFonts w:ascii="Arial Narrow" w:hAnsi="Arial Narrow"/>
        </w:rPr>
      </w:pPr>
      <w:r w:rsidRPr="00935DF9">
        <w:rPr>
          <w:rStyle w:val="Refdenotaderodap"/>
          <w:rFonts w:ascii="Arial Narrow" w:hAnsi="Arial Narrow"/>
        </w:rPr>
        <w:footnoteRef/>
      </w:r>
      <w:r w:rsidRPr="00935DF9">
        <w:rPr>
          <w:rFonts w:ascii="Arial Narrow" w:hAnsi="Arial Narrow"/>
        </w:rPr>
        <w:t xml:space="preserve"> </w:t>
      </w:r>
      <w:r w:rsidRPr="000B6A26">
        <w:rPr>
          <w:rFonts w:ascii="Arial Narrow" w:hAnsi="Arial Narrow"/>
        </w:rPr>
        <w:t>L. W. Doob (org. 1978)</w:t>
      </w:r>
      <w:r>
        <w:rPr>
          <w:rFonts w:ascii="Arial Narrow" w:hAnsi="Arial Narrow"/>
        </w:rPr>
        <w:t xml:space="preserve"> 71-</w:t>
      </w:r>
      <w:r w:rsidR="00A63C8F">
        <w:rPr>
          <w:rFonts w:ascii="Arial Narrow" w:hAnsi="Arial Narrow"/>
        </w:rPr>
        <w:t>74.</w:t>
      </w:r>
    </w:p>
  </w:footnote>
  <w:footnote w:id="161">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Ph. Dulac, «Céline (Louis-Ferdinand)», em </w:t>
      </w:r>
      <w:r w:rsidRPr="006742F2">
        <w:rPr>
          <w:rFonts w:ascii="Arial Narrow" w:hAnsi="Arial Narrow"/>
          <w:i/>
        </w:rPr>
        <w:t>Encyclopædia Universalis, Corpus,</w:t>
      </w:r>
      <w:r w:rsidRPr="006742F2">
        <w:rPr>
          <w:rFonts w:ascii="Arial Narrow" w:hAnsi="Arial Narrow"/>
        </w:rPr>
        <w:t xml:space="preserve"> vol. 5, 166.</w:t>
      </w:r>
    </w:p>
  </w:footnote>
  <w:footnote w:id="162">
    <w:p w:rsidR="009B6EE6" w:rsidRPr="009B6EE6" w:rsidRDefault="009B6EE6">
      <w:pPr>
        <w:pStyle w:val="Textodenotaderodap"/>
        <w:rPr>
          <w:rFonts w:ascii="Arial Narrow" w:hAnsi="Arial Narrow"/>
        </w:rPr>
      </w:pPr>
      <w:r w:rsidRPr="009B6EE6">
        <w:rPr>
          <w:rStyle w:val="Refdenotaderodap"/>
          <w:rFonts w:ascii="Arial Narrow" w:hAnsi="Arial Narrow"/>
        </w:rPr>
        <w:footnoteRef/>
      </w:r>
      <w:r w:rsidRPr="009B6EE6">
        <w:rPr>
          <w:rFonts w:ascii="Arial Narrow" w:hAnsi="Arial Narrow"/>
        </w:rPr>
        <w:t xml:space="preserve"> </w:t>
      </w:r>
      <w:r>
        <w:rPr>
          <w:rFonts w:ascii="Arial Narrow" w:hAnsi="Arial Narrow"/>
        </w:rPr>
        <w:t>L.-F. Céline (1942) 7.</w:t>
      </w:r>
    </w:p>
  </w:footnote>
  <w:footnote w:id="163">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Citado em M.-A. Macciocchi (1976 b) I 257.</w:t>
      </w:r>
    </w:p>
  </w:footnote>
  <w:footnote w:id="164">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R. Cecil (1973) 226.</w:t>
      </w:r>
    </w:p>
  </w:footnote>
  <w:footnote w:id="165">
    <w:p w:rsidR="008F101A" w:rsidRPr="006742F2" w:rsidRDefault="008F101A" w:rsidP="009A63C6">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L. Rebatet (1942) 622.</w:t>
      </w:r>
      <w:r w:rsidR="009A63C6">
        <w:rPr>
          <w:rFonts w:ascii="Arial Narrow" w:hAnsi="Arial Narrow"/>
        </w:rPr>
        <w:t xml:space="preserve"> </w:t>
      </w:r>
      <w:r w:rsidRPr="006742F2">
        <w:rPr>
          <w:rFonts w:ascii="Arial Narrow" w:hAnsi="Arial Narrow"/>
        </w:rPr>
        <w:t xml:space="preserve">Os kalmyks são um povo de origem mongol que havia migrado no século XVII para a região do Mar Cáspio, onde o poder soviético lhes concedeu autonomia administrativa em 1920, e em 1936 os reconheceu como república, incluída na Federação Russa. </w:t>
      </w:r>
      <w:r w:rsidR="00C5659E" w:rsidRPr="006742F2">
        <w:rPr>
          <w:rFonts w:ascii="Arial Narrow" w:hAnsi="Arial Narrow"/>
        </w:rPr>
        <w:t xml:space="preserve">Como os kalmyks se contavam entre as tropas estrangeiras que invadiram a França em 1815 para consolidar o poder dos Bourbons e ocuparam Paris, a palavra evocava para certos franceses factos que eles teriam preferido esquecer. </w:t>
      </w:r>
      <w:r w:rsidR="00C628E4">
        <w:rPr>
          <w:rFonts w:ascii="Arial Narrow" w:hAnsi="Arial Narrow"/>
        </w:rPr>
        <w:t xml:space="preserve">Já Dostoievsky em </w:t>
      </w:r>
      <w:r w:rsidR="00C628E4" w:rsidRPr="00C628E4">
        <w:rPr>
          <w:rFonts w:ascii="Arial Narrow" w:hAnsi="Arial Narrow"/>
          <w:i/>
        </w:rPr>
        <w:t>O Jogador</w:t>
      </w:r>
      <w:r w:rsidR="00C628E4">
        <w:rPr>
          <w:rFonts w:ascii="Arial Narrow" w:hAnsi="Arial Narrow"/>
        </w:rPr>
        <w:t xml:space="preserve"> colocara uma </w:t>
      </w:r>
      <w:r w:rsidR="00652F18" w:rsidRPr="00652F18">
        <w:rPr>
          <w:rFonts w:ascii="Arial Narrow" w:hAnsi="Arial Narrow"/>
          <w:i/>
        </w:rPr>
        <w:t>demi-mondaine</w:t>
      </w:r>
      <w:r w:rsidR="00652F18">
        <w:rPr>
          <w:rFonts w:ascii="Arial Narrow" w:hAnsi="Arial Narrow"/>
        </w:rPr>
        <w:t xml:space="preserve"> </w:t>
      </w:r>
      <w:r w:rsidR="008E1C6E">
        <w:rPr>
          <w:rFonts w:ascii="Arial Narrow" w:hAnsi="Arial Narrow"/>
        </w:rPr>
        <w:t xml:space="preserve">parisiense </w:t>
      </w:r>
      <w:r w:rsidR="00C628E4">
        <w:rPr>
          <w:rFonts w:ascii="Arial Narrow" w:hAnsi="Arial Narrow"/>
        </w:rPr>
        <w:t xml:space="preserve">a dizer acerca de um general que ele é «um verdadeiro russo, um calmuk». Depois, </w:t>
      </w:r>
      <w:r w:rsidR="00C628E4" w:rsidRPr="006742F2">
        <w:rPr>
          <w:rFonts w:ascii="Arial Narrow" w:hAnsi="Arial Narrow"/>
        </w:rPr>
        <w:t xml:space="preserve">a </w:t>
      </w:r>
      <w:r w:rsidR="00C5659E" w:rsidRPr="006742F2">
        <w:rPr>
          <w:rFonts w:ascii="Arial Narrow" w:hAnsi="Arial Narrow"/>
        </w:rPr>
        <w:t xml:space="preserve">mania de apelidar os comunistas de «kalmuks» decerto </w:t>
      </w:r>
      <w:r w:rsidR="00C628E4">
        <w:rPr>
          <w:rFonts w:ascii="Arial Narrow" w:hAnsi="Arial Narrow"/>
        </w:rPr>
        <w:t xml:space="preserve">se </w:t>
      </w:r>
      <w:r w:rsidR="00C5659E" w:rsidRPr="006742F2">
        <w:rPr>
          <w:rFonts w:ascii="Arial Narrow" w:hAnsi="Arial Narrow"/>
        </w:rPr>
        <w:t>generaliz</w:t>
      </w:r>
      <w:r w:rsidR="00C628E4">
        <w:rPr>
          <w:rFonts w:ascii="Arial Narrow" w:hAnsi="Arial Narrow"/>
        </w:rPr>
        <w:t>ou</w:t>
      </w:r>
      <w:r w:rsidR="00C5659E">
        <w:rPr>
          <w:rFonts w:ascii="Arial Narrow" w:hAnsi="Arial Narrow"/>
        </w:rPr>
        <w:t xml:space="preserve">. Em </w:t>
      </w:r>
      <w:r w:rsidR="00C5659E" w:rsidRPr="00C0466F">
        <w:rPr>
          <w:rFonts w:ascii="Arial Narrow" w:hAnsi="Arial Narrow"/>
          <w:i/>
        </w:rPr>
        <w:t>O Mito do Século XX</w:t>
      </w:r>
      <w:r w:rsidR="00C5659E">
        <w:rPr>
          <w:rFonts w:ascii="Arial Narrow" w:hAnsi="Arial Narrow"/>
        </w:rPr>
        <w:t xml:space="preserve"> Rosenberg </w:t>
      </w:r>
      <w:r w:rsidR="00703A0E">
        <w:rPr>
          <w:rFonts w:ascii="Arial Narrow" w:hAnsi="Arial Narrow"/>
        </w:rPr>
        <w:t xml:space="preserve">classificou </w:t>
      </w:r>
      <w:r w:rsidR="002C79E2">
        <w:rPr>
          <w:rFonts w:ascii="Arial Narrow" w:hAnsi="Arial Narrow"/>
        </w:rPr>
        <w:t>repetidamente</w:t>
      </w:r>
      <w:r w:rsidR="00703A0E">
        <w:rPr>
          <w:rFonts w:ascii="Arial Narrow" w:hAnsi="Arial Narrow"/>
        </w:rPr>
        <w:t xml:space="preserve"> Lenin como um «</w:t>
      </w:r>
      <w:r w:rsidR="009C1319">
        <w:rPr>
          <w:rFonts w:ascii="Arial Narrow" w:hAnsi="Arial Narrow"/>
        </w:rPr>
        <w:t xml:space="preserve">kalmuk </w:t>
      </w:r>
      <w:r w:rsidR="00703A0E">
        <w:rPr>
          <w:rFonts w:ascii="Arial Narrow" w:hAnsi="Arial Narrow"/>
        </w:rPr>
        <w:t xml:space="preserve">tártaro». Ver A. Rosenberg (1986) </w:t>
      </w:r>
      <w:r w:rsidR="00204FB4">
        <w:rPr>
          <w:rFonts w:ascii="Arial Narrow" w:hAnsi="Arial Narrow"/>
        </w:rPr>
        <w:t>189</w:t>
      </w:r>
      <w:r w:rsidR="0022434A">
        <w:rPr>
          <w:rFonts w:ascii="Arial Narrow" w:hAnsi="Arial Narrow"/>
        </w:rPr>
        <w:t>, 601</w:t>
      </w:r>
      <w:r w:rsidR="0045225B">
        <w:rPr>
          <w:rFonts w:ascii="Arial Narrow" w:hAnsi="Arial Narrow"/>
        </w:rPr>
        <w:t xml:space="preserve"> ou</w:t>
      </w:r>
      <w:r w:rsidR="00703A0E">
        <w:rPr>
          <w:rFonts w:ascii="Arial Narrow" w:hAnsi="Arial Narrow"/>
        </w:rPr>
        <w:t xml:space="preserve"> id. [s. d.</w:t>
      </w:r>
      <w:r w:rsidR="00D13CC4">
        <w:rPr>
          <w:rFonts w:ascii="Arial Narrow" w:hAnsi="Arial Narrow"/>
        </w:rPr>
        <w:t xml:space="preserve"> 2</w:t>
      </w:r>
      <w:r w:rsidR="00703A0E">
        <w:rPr>
          <w:rFonts w:ascii="Arial Narrow" w:hAnsi="Arial Narrow"/>
        </w:rPr>
        <w:t xml:space="preserve">] </w:t>
      </w:r>
      <w:r w:rsidR="00204FB4">
        <w:rPr>
          <w:rFonts w:ascii="Arial Narrow" w:hAnsi="Arial Narrow"/>
        </w:rPr>
        <w:t>175</w:t>
      </w:r>
      <w:r w:rsidR="002C79E2">
        <w:rPr>
          <w:rFonts w:ascii="Arial Narrow" w:hAnsi="Arial Narrow"/>
        </w:rPr>
        <w:t>, 435</w:t>
      </w:r>
      <w:r w:rsidR="00703A0E">
        <w:rPr>
          <w:rFonts w:ascii="Arial Narrow" w:hAnsi="Arial Narrow"/>
        </w:rPr>
        <w:t xml:space="preserve">. </w:t>
      </w:r>
      <w:r w:rsidR="00204FB4">
        <w:rPr>
          <w:rFonts w:ascii="Arial Narrow" w:hAnsi="Arial Narrow"/>
        </w:rPr>
        <w:t xml:space="preserve">Também </w:t>
      </w:r>
      <w:r w:rsidR="00204FB4" w:rsidRPr="006742F2">
        <w:rPr>
          <w:rFonts w:ascii="Arial Narrow" w:hAnsi="Arial Narrow"/>
        </w:rPr>
        <w:t xml:space="preserve">um funcionário diplomático nacional-socialista que acompanhara Ribbentrop a Moscovo em Agosto de 1939 e aproveitara umas horas de ócio para, juntamente com outros membros da comitiva, visitar o mausoléu de Lenin escreveu, nas suas </w:t>
      </w:r>
      <w:r w:rsidR="009A63C6" w:rsidRPr="006742F2">
        <w:rPr>
          <w:rFonts w:ascii="Arial Narrow" w:hAnsi="Arial Narrow"/>
        </w:rPr>
        <w:t>Memórias</w:t>
      </w:r>
      <w:r w:rsidR="00204FB4" w:rsidRPr="006742F2">
        <w:rPr>
          <w:rFonts w:ascii="Arial Narrow" w:hAnsi="Arial Narrow"/>
        </w:rPr>
        <w:t>, que «contemplámos com espanto um rosto pequeno de kalmuk, com reflexos cor de cera, no qual parecia perpassar ainda a sombra de um sorriso astucioso». Citado em Benoist-Méchin (1964-1966) VI 279.</w:t>
      </w:r>
      <w:r w:rsidR="00204FB4">
        <w:rPr>
          <w:rFonts w:ascii="Arial Narrow" w:hAnsi="Arial Narrow"/>
        </w:rPr>
        <w:t xml:space="preserve"> </w:t>
      </w:r>
      <w:r w:rsidRPr="006742F2">
        <w:rPr>
          <w:rFonts w:ascii="Arial Narrow" w:hAnsi="Arial Narrow"/>
        </w:rPr>
        <w:t xml:space="preserve">O que dá à história algum picante é o facto de este povo, escolhido por Céline para ilustrar a barbárie soviética, ter sido acusado por Stalin de colaboração com os invasores </w:t>
      </w:r>
      <w:r w:rsidR="009A63C6">
        <w:rPr>
          <w:rFonts w:ascii="Arial Narrow" w:hAnsi="Arial Narrow"/>
        </w:rPr>
        <w:t>germânicos</w:t>
      </w:r>
      <w:r w:rsidRPr="006742F2">
        <w:rPr>
          <w:rFonts w:ascii="Arial Narrow" w:hAnsi="Arial Narrow"/>
        </w:rPr>
        <w:t xml:space="preserve">, </w:t>
      </w:r>
      <w:r w:rsidR="00635B2B">
        <w:rPr>
          <w:rFonts w:ascii="Arial Narrow" w:hAnsi="Arial Narrow"/>
        </w:rPr>
        <w:t xml:space="preserve">sendo deportado e </w:t>
      </w:r>
      <w:r w:rsidRPr="006742F2">
        <w:rPr>
          <w:rFonts w:ascii="Arial Narrow" w:hAnsi="Arial Narrow"/>
        </w:rPr>
        <w:t xml:space="preserve">a sua república suprimida em 1944, para ser restabelecida apenas em 1958. Com efeito, leio em C. Andreyev, «Soviet Exiles at War», em I. C. B. Dear et al. (orgs. 1995) 1031 que um corpo de cavalaria kalmyk combateu do lado </w:t>
      </w:r>
      <w:r w:rsidR="009A63C6">
        <w:rPr>
          <w:rFonts w:ascii="Arial Narrow" w:hAnsi="Arial Narrow"/>
        </w:rPr>
        <w:t>do Reich</w:t>
      </w:r>
      <w:r w:rsidRPr="006742F2">
        <w:rPr>
          <w:rFonts w:ascii="Arial Narrow" w:hAnsi="Arial Narrow"/>
        </w:rPr>
        <w:t>, sob as ordens da We</w:t>
      </w:r>
      <w:r w:rsidR="00D35F53">
        <w:rPr>
          <w:rFonts w:ascii="Arial Narrow" w:hAnsi="Arial Narrow"/>
        </w:rPr>
        <w:t>h</w:t>
      </w:r>
      <w:r w:rsidRPr="006742F2">
        <w:rPr>
          <w:rFonts w:ascii="Arial Narrow" w:hAnsi="Arial Narrow"/>
        </w:rPr>
        <w:t>rmacht.</w:t>
      </w:r>
    </w:p>
  </w:footnote>
  <w:footnote w:id="166">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Ph. Dulac, «Céline (Louis-Ferdinand)», em </w:t>
      </w:r>
      <w:r w:rsidRPr="006742F2">
        <w:rPr>
          <w:rFonts w:ascii="Arial Narrow" w:hAnsi="Arial Narrow"/>
          <w:i/>
        </w:rPr>
        <w:t>Encyclopædia Universalis, Corpus,</w:t>
      </w:r>
      <w:r w:rsidRPr="006742F2">
        <w:rPr>
          <w:rFonts w:ascii="Arial Narrow" w:hAnsi="Arial Narrow"/>
        </w:rPr>
        <w:t xml:space="preserve"> vol. 5, 166-167.</w:t>
      </w:r>
    </w:p>
  </w:footnote>
  <w:footnote w:id="167">
    <w:p w:rsidR="008F101A" w:rsidRPr="00715EAA" w:rsidRDefault="008F101A" w:rsidP="008F101A">
      <w:pPr>
        <w:pStyle w:val="Textodenotaderodap"/>
        <w:ind w:firstLine="708"/>
        <w:rPr>
          <w:rFonts w:ascii="Arial Narrow" w:hAnsi="Arial Narrow"/>
          <w:lang w:val="en-US"/>
        </w:rPr>
      </w:pPr>
      <w:r w:rsidRPr="006742F2">
        <w:rPr>
          <w:rStyle w:val="Refdenotaderodap"/>
          <w:rFonts w:ascii="Arial Narrow" w:hAnsi="Arial Narrow"/>
        </w:rPr>
        <w:footnoteRef/>
      </w:r>
      <w:r w:rsidRPr="00715EAA">
        <w:rPr>
          <w:rFonts w:ascii="Arial Narrow" w:hAnsi="Arial Narrow"/>
          <w:lang w:val="en-US"/>
        </w:rPr>
        <w:t xml:space="preserve"> P. Sérant (1959) 222.</w:t>
      </w:r>
    </w:p>
  </w:footnote>
  <w:footnote w:id="168">
    <w:p w:rsidR="008F101A" w:rsidRPr="00A145A1" w:rsidRDefault="008F101A" w:rsidP="008F101A">
      <w:pPr>
        <w:pStyle w:val="Textodenotaderodap"/>
        <w:rPr>
          <w:rFonts w:ascii="Arial Narrow" w:hAnsi="Arial Narrow"/>
        </w:rPr>
      </w:pPr>
      <w:r w:rsidRPr="006742F2">
        <w:rPr>
          <w:rStyle w:val="Refdenotaderodap"/>
          <w:rFonts w:ascii="Arial Narrow" w:hAnsi="Arial Narrow"/>
        </w:rPr>
        <w:footnoteRef/>
      </w:r>
      <w:r w:rsidRPr="00715EAA">
        <w:rPr>
          <w:rFonts w:ascii="Arial Narrow" w:hAnsi="Arial Narrow"/>
          <w:lang w:val="en-US"/>
        </w:rPr>
        <w:t xml:space="preserve"> </w:t>
      </w:r>
      <w:r w:rsidR="0063305F" w:rsidRPr="0063305F">
        <w:rPr>
          <w:rFonts w:ascii="Arial Narrow" w:hAnsi="Arial Narrow"/>
          <w:lang w:val="en-US"/>
        </w:rPr>
        <w:t xml:space="preserve">D. Orlow (2009) </w:t>
      </w:r>
      <w:r w:rsidR="0063305F">
        <w:rPr>
          <w:rFonts w:ascii="Arial Narrow" w:hAnsi="Arial Narrow"/>
          <w:lang w:val="en-US"/>
        </w:rPr>
        <w:t xml:space="preserve">33; </w:t>
      </w:r>
      <w:r w:rsidRPr="00715EAA">
        <w:rPr>
          <w:rFonts w:ascii="Arial Narrow" w:hAnsi="Arial Narrow"/>
          <w:lang w:val="en-US"/>
        </w:rPr>
        <w:t>P. Ory (1976) 118.</w:t>
      </w:r>
      <w:r w:rsidR="00864B92" w:rsidRPr="00715EAA">
        <w:rPr>
          <w:rFonts w:ascii="Arial Narrow" w:hAnsi="Arial Narrow"/>
          <w:lang w:val="en-US"/>
        </w:rPr>
        <w:t xml:space="preserve"> </w:t>
      </w:r>
      <w:r w:rsidR="00864B92" w:rsidRPr="00A145A1">
        <w:rPr>
          <w:rFonts w:ascii="Arial Narrow" w:hAnsi="Arial Narrow"/>
        </w:rPr>
        <w:t>O próprio autor lhe chamou «o livro mais fascista alguma vez publicado em França». Ver L. Rebatet (2007) 36.</w:t>
      </w:r>
    </w:p>
  </w:footnote>
  <w:footnote w:id="169">
    <w:p w:rsidR="00BF4729" w:rsidRPr="00BF4729" w:rsidRDefault="00BF4729">
      <w:pPr>
        <w:pStyle w:val="Textodenotaderodap"/>
        <w:rPr>
          <w:rFonts w:ascii="Arial Narrow" w:hAnsi="Arial Narrow"/>
        </w:rPr>
      </w:pPr>
      <w:r w:rsidRPr="00BF4729">
        <w:rPr>
          <w:rStyle w:val="Refdenotaderodap"/>
          <w:rFonts w:ascii="Arial Narrow" w:hAnsi="Arial Narrow"/>
        </w:rPr>
        <w:footnoteRef/>
      </w:r>
      <w:r w:rsidRPr="00A145A1">
        <w:rPr>
          <w:rFonts w:ascii="Arial Narrow" w:hAnsi="Arial Narrow"/>
        </w:rPr>
        <w:t xml:space="preserve"> Pierre-Antoine Cousteau em L. Rebatet et al. </w:t>
      </w:r>
      <w:r>
        <w:rPr>
          <w:rFonts w:ascii="Arial Narrow" w:hAnsi="Arial Narrow"/>
        </w:rPr>
        <w:t>(1999) 211.</w:t>
      </w:r>
    </w:p>
  </w:footnote>
  <w:footnote w:id="170">
    <w:p w:rsidR="008F101A" w:rsidRPr="007F114B" w:rsidRDefault="008F101A" w:rsidP="008F101A">
      <w:pPr>
        <w:pStyle w:val="Textodenotaderodap"/>
        <w:rPr>
          <w:rFonts w:ascii="Arial Narrow" w:hAnsi="Arial Narrow"/>
        </w:rPr>
      </w:pPr>
      <w:r w:rsidRPr="006742F2">
        <w:rPr>
          <w:rStyle w:val="Refdenotaderodap"/>
          <w:rFonts w:ascii="Arial Narrow" w:hAnsi="Arial Narrow"/>
        </w:rPr>
        <w:footnoteRef/>
      </w:r>
      <w:r w:rsidRPr="007F114B">
        <w:rPr>
          <w:rFonts w:ascii="Arial Narrow" w:hAnsi="Arial Narrow"/>
        </w:rPr>
        <w:t xml:space="preserve"> </w:t>
      </w:r>
      <w:r w:rsidRPr="007F114B">
        <w:rPr>
          <w:rFonts w:ascii="Arial Narrow" w:hAnsi="Arial Narrow"/>
          <w:i/>
        </w:rPr>
        <w:t>Encyclopædia Universalis, Thesaurus - Index,</w:t>
      </w:r>
      <w:r w:rsidRPr="007F114B">
        <w:rPr>
          <w:rFonts w:ascii="Arial Narrow" w:hAnsi="Arial Narrow"/>
        </w:rPr>
        <w:t xml:space="preserve"> 2924.</w:t>
      </w:r>
    </w:p>
  </w:footnote>
  <w:footnote w:id="171">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J. Bens, «Aymé (Marcel)», em id., </w:t>
      </w:r>
      <w:r w:rsidRPr="006742F2">
        <w:rPr>
          <w:rFonts w:ascii="Arial Narrow" w:hAnsi="Arial Narrow"/>
          <w:i/>
        </w:rPr>
        <w:t>Corpus,</w:t>
      </w:r>
      <w:r w:rsidRPr="006742F2">
        <w:rPr>
          <w:rFonts w:ascii="Arial Narrow" w:hAnsi="Arial Narrow"/>
        </w:rPr>
        <w:t xml:space="preserve"> vol. 3, 675-676. Comparar com as indicações fornecidas por Ph. Randa (1997) 526, 546, 549 e 593. </w:t>
      </w:r>
    </w:p>
  </w:footnote>
  <w:footnote w:id="172">
    <w:p w:rsidR="008F101A" w:rsidRPr="00406488" w:rsidRDefault="008F101A" w:rsidP="008F101A">
      <w:pPr>
        <w:pStyle w:val="Textodenotaderodap"/>
        <w:rPr>
          <w:rFonts w:ascii="Arial Narrow" w:hAnsi="Arial Narrow"/>
        </w:rPr>
      </w:pPr>
      <w:r w:rsidRPr="00406488">
        <w:rPr>
          <w:rStyle w:val="Refdenotaderodap"/>
          <w:rFonts w:ascii="Arial Narrow" w:hAnsi="Arial Narrow"/>
        </w:rPr>
        <w:footnoteRef/>
      </w:r>
      <w:r w:rsidRPr="00406488">
        <w:rPr>
          <w:rFonts w:ascii="Arial Narrow" w:hAnsi="Arial Narrow"/>
        </w:rPr>
        <w:t xml:space="preserve"> J. Galtier-Boissière (1994) 948</w:t>
      </w:r>
      <w:r>
        <w:rPr>
          <w:rFonts w:ascii="Arial Narrow" w:hAnsi="Arial Narrow"/>
        </w:rPr>
        <w:t>.</w:t>
      </w:r>
      <w:r w:rsidR="00A96907">
        <w:rPr>
          <w:rFonts w:ascii="Arial Narrow" w:hAnsi="Arial Narrow"/>
        </w:rPr>
        <w:t xml:space="preserve"> Também Pierre-Antoine </w:t>
      </w:r>
      <w:r w:rsidR="00A96907" w:rsidRPr="00A96907">
        <w:rPr>
          <w:rFonts w:ascii="Arial Narrow" w:hAnsi="Arial Narrow"/>
        </w:rPr>
        <w:t>Cousteau</w:t>
      </w:r>
      <w:r w:rsidR="00A96907">
        <w:rPr>
          <w:rFonts w:ascii="Arial Narrow" w:hAnsi="Arial Narrow"/>
        </w:rPr>
        <w:t xml:space="preserve">, preso em Clairvaux depois de lhe terem comutado a pena de morte, comentou para o seu amigo Rebatet, que sofrera igual destino: «Estes imbecis divertiram-se a fuzilar dezenas de </w:t>
      </w:r>
      <w:r w:rsidR="00417D6F">
        <w:rPr>
          <w:rFonts w:ascii="Arial Narrow" w:hAnsi="Arial Narrow"/>
        </w:rPr>
        <w:t>ch</w:t>
      </w:r>
      <w:r w:rsidR="00A96907">
        <w:rPr>
          <w:rFonts w:ascii="Arial Narrow" w:hAnsi="Arial Narrow"/>
        </w:rPr>
        <w:t>uis prestes a serviem os novos senhores e nem sequer condenaram Marcel Aymé a um m</w:t>
      </w:r>
      <w:r w:rsidR="00F05511">
        <w:rPr>
          <w:rFonts w:ascii="Arial Narrow" w:hAnsi="Arial Narrow"/>
        </w:rPr>
        <w:t>í</w:t>
      </w:r>
      <w:r w:rsidR="00A96907">
        <w:rPr>
          <w:rFonts w:ascii="Arial Narrow" w:hAnsi="Arial Narrow"/>
        </w:rPr>
        <w:t xml:space="preserve">nimo de vinte anos de </w:t>
      </w:r>
      <w:r w:rsidR="00417D6F">
        <w:rPr>
          <w:rFonts w:ascii="Arial Narrow" w:hAnsi="Arial Narrow"/>
        </w:rPr>
        <w:t xml:space="preserve">trabalhos forçados </w:t>
      </w:r>
      <w:r w:rsidR="00A96907">
        <w:rPr>
          <w:rFonts w:ascii="Arial Narrow" w:hAnsi="Arial Narrow"/>
        </w:rPr>
        <w:t xml:space="preserve"> [...]». Ver </w:t>
      </w:r>
      <w:r w:rsidR="00417D6F">
        <w:rPr>
          <w:rFonts w:ascii="Arial Narrow" w:hAnsi="Arial Narrow"/>
        </w:rPr>
        <w:t xml:space="preserve">L. Rebatet et al. (1999) </w:t>
      </w:r>
      <w:r w:rsidR="00E17D2A">
        <w:rPr>
          <w:rFonts w:ascii="Arial Narrow" w:hAnsi="Arial Narrow"/>
        </w:rPr>
        <w:t>106.</w:t>
      </w:r>
    </w:p>
  </w:footnote>
  <w:footnote w:id="173">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Encyclopædia Universalis, Thesaurus - Index,</w:t>
      </w:r>
      <w:r w:rsidRPr="006742F2">
        <w:rPr>
          <w:rFonts w:ascii="Arial Narrow" w:hAnsi="Arial Narrow"/>
        </w:rPr>
        <w:t xml:space="preserve"> 3054.</w:t>
      </w:r>
    </w:p>
  </w:footnote>
  <w:footnote w:id="174">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8F101A">
        <w:rPr>
          <w:rFonts w:ascii="Arial Narrow" w:hAnsi="Arial Narrow"/>
        </w:rPr>
        <w:t xml:space="preserve"> J. Galtier-Boissière (1994) 950; P. Ory (1976) 117; Ph. </w:t>
      </w:r>
      <w:r w:rsidRPr="006742F2">
        <w:rPr>
          <w:rFonts w:ascii="Arial Narrow" w:hAnsi="Arial Narrow"/>
        </w:rPr>
        <w:t>Randa (1997) 347, 547. Ver igualmente P. Novick (1985) 48.</w:t>
      </w:r>
    </w:p>
  </w:footnote>
  <w:footnote w:id="175">
    <w:p w:rsidR="008F101A" w:rsidRPr="0092522E" w:rsidRDefault="008F101A" w:rsidP="008F101A">
      <w:pPr>
        <w:pStyle w:val="Textodenotaderodap"/>
        <w:rPr>
          <w:rFonts w:ascii="Arial Narrow" w:hAnsi="Arial Narrow"/>
          <w:lang w:val="en-GB"/>
        </w:rPr>
      </w:pPr>
      <w:r w:rsidRPr="006742F2">
        <w:rPr>
          <w:rStyle w:val="Refdenotaderodap"/>
          <w:rFonts w:ascii="Arial Narrow" w:hAnsi="Arial Narrow"/>
        </w:rPr>
        <w:footnoteRef/>
      </w:r>
      <w:r w:rsidRPr="0092522E">
        <w:rPr>
          <w:rFonts w:ascii="Arial Narrow" w:hAnsi="Arial Narrow"/>
          <w:lang w:val="en-GB"/>
        </w:rPr>
        <w:t xml:space="preserve"> </w:t>
      </w:r>
      <w:r w:rsidRPr="0092522E">
        <w:rPr>
          <w:rFonts w:ascii="Arial Narrow" w:hAnsi="Arial Narrow"/>
          <w:i/>
          <w:lang w:val="en-GB"/>
        </w:rPr>
        <w:t>Encyclopædia Universalis, Thesaurus - Index,</w:t>
      </w:r>
      <w:r w:rsidRPr="0092522E">
        <w:rPr>
          <w:rFonts w:ascii="Arial Narrow" w:hAnsi="Arial Narrow"/>
          <w:lang w:val="en-GB"/>
        </w:rPr>
        <w:t xml:space="preserve"> 495.</w:t>
      </w:r>
    </w:p>
  </w:footnote>
  <w:footnote w:id="176">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92522E">
        <w:rPr>
          <w:rFonts w:ascii="Arial Narrow" w:hAnsi="Arial Narrow"/>
          <w:lang w:val="en-GB"/>
        </w:rPr>
        <w:t xml:space="preserve"> P. Ory (1976) 119-121; Ph. </w:t>
      </w:r>
      <w:r w:rsidRPr="006742F2">
        <w:rPr>
          <w:rFonts w:ascii="Arial Narrow" w:hAnsi="Arial Narrow"/>
        </w:rPr>
        <w:t>Randa (1997) 410-411.</w:t>
      </w:r>
    </w:p>
  </w:footnote>
  <w:footnote w:id="177">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 Sérant (1959) 209 e segs.</w:t>
      </w:r>
    </w:p>
  </w:footnote>
  <w:footnote w:id="178">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D. Fernandez, «Drieu La Rochelle (Pierre)», em </w:t>
      </w:r>
      <w:r w:rsidRPr="006742F2">
        <w:rPr>
          <w:rFonts w:ascii="Arial Narrow" w:hAnsi="Arial Narrow"/>
          <w:i/>
        </w:rPr>
        <w:t>Encyclopædia Universalis, Corpus,</w:t>
      </w:r>
      <w:r w:rsidRPr="006742F2">
        <w:rPr>
          <w:rFonts w:ascii="Arial Narrow" w:hAnsi="Arial Narrow"/>
        </w:rPr>
        <w:t xml:space="preserve"> vol. 7, 682.</w:t>
      </w:r>
    </w:p>
  </w:footnote>
  <w:footnote w:id="179">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Encyclopædia Universalis, Thesaurus - Index,</w:t>
      </w:r>
      <w:r w:rsidRPr="006742F2">
        <w:rPr>
          <w:rFonts w:ascii="Arial Narrow" w:hAnsi="Arial Narrow"/>
        </w:rPr>
        <w:t xml:space="preserve"> 854.</w:t>
      </w:r>
    </w:p>
  </w:footnote>
  <w:footnote w:id="180">
    <w:p w:rsidR="008F101A" w:rsidRPr="006742F2" w:rsidRDefault="008F101A" w:rsidP="008F101A">
      <w:pPr>
        <w:pStyle w:val="Textodenotaderodap"/>
        <w:ind w:firstLine="708"/>
        <w:rPr>
          <w:rFonts w:ascii="Arial Narrow" w:hAnsi="Arial Narrow"/>
        </w:rPr>
      </w:pPr>
      <w:r w:rsidRPr="006742F2">
        <w:rPr>
          <w:rStyle w:val="Refdenotaderodap"/>
          <w:rFonts w:ascii="Arial Narrow" w:hAnsi="Arial Narrow"/>
        </w:rPr>
        <w:footnoteRef/>
      </w:r>
      <w:r w:rsidRPr="006742F2">
        <w:rPr>
          <w:rFonts w:ascii="Arial Narrow" w:hAnsi="Arial Narrow"/>
        </w:rPr>
        <w:t xml:space="preserve"> Ph. Randa (1997) 590.</w:t>
      </w:r>
    </w:p>
  </w:footnote>
  <w:footnote w:id="181">
    <w:p w:rsidR="008F101A" w:rsidRPr="006742F2" w:rsidRDefault="008F101A" w:rsidP="008F101A">
      <w:pPr>
        <w:pStyle w:val="Textodenotaderodap"/>
        <w:rPr>
          <w:rFonts w:ascii="Arial Narrow" w:hAnsi="Arial Narrow"/>
        </w:rPr>
      </w:pPr>
      <w:r w:rsidRPr="006742F2">
        <w:rPr>
          <w:rStyle w:val="Refdenotaderodap"/>
          <w:rFonts w:ascii="Arial Narrow" w:hAnsi="Arial Narrow"/>
        </w:rPr>
        <w:footnoteRef/>
      </w:r>
      <w:r w:rsidRPr="006742F2">
        <w:rPr>
          <w:rFonts w:ascii="Arial Narrow" w:hAnsi="Arial Narrow"/>
        </w:rPr>
        <w:t xml:space="preserve"> </w:t>
      </w:r>
      <w:r w:rsidRPr="006742F2">
        <w:rPr>
          <w:rFonts w:ascii="Arial Narrow" w:hAnsi="Arial Narrow"/>
          <w:i/>
        </w:rPr>
        <w:t>Encyclopædia Universalis, Thesaurus - Index,</w:t>
      </w:r>
      <w:r w:rsidRPr="006742F2">
        <w:rPr>
          <w:rFonts w:ascii="Arial Narrow" w:hAnsi="Arial Narrow"/>
        </w:rPr>
        <w:t xml:space="preserve"> 1175.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F101A"/>
    <w:rsid w:val="00002FA3"/>
    <w:rsid w:val="00007B72"/>
    <w:rsid w:val="00011690"/>
    <w:rsid w:val="000118DF"/>
    <w:rsid w:val="00013155"/>
    <w:rsid w:val="0001690D"/>
    <w:rsid w:val="00016FC2"/>
    <w:rsid w:val="00017FD8"/>
    <w:rsid w:val="00020255"/>
    <w:rsid w:val="000216E9"/>
    <w:rsid w:val="00026CFC"/>
    <w:rsid w:val="00033356"/>
    <w:rsid w:val="000351B6"/>
    <w:rsid w:val="00035D66"/>
    <w:rsid w:val="00036A92"/>
    <w:rsid w:val="0004073D"/>
    <w:rsid w:val="0004702E"/>
    <w:rsid w:val="00050311"/>
    <w:rsid w:val="0005045E"/>
    <w:rsid w:val="00054152"/>
    <w:rsid w:val="00054322"/>
    <w:rsid w:val="0005443E"/>
    <w:rsid w:val="00054E5C"/>
    <w:rsid w:val="0006030A"/>
    <w:rsid w:val="00062C0F"/>
    <w:rsid w:val="00063AC4"/>
    <w:rsid w:val="00064360"/>
    <w:rsid w:val="000655B6"/>
    <w:rsid w:val="00066E24"/>
    <w:rsid w:val="00067D07"/>
    <w:rsid w:val="00067D81"/>
    <w:rsid w:val="000719AF"/>
    <w:rsid w:val="00071C0F"/>
    <w:rsid w:val="00072CD9"/>
    <w:rsid w:val="00073094"/>
    <w:rsid w:val="00076031"/>
    <w:rsid w:val="000760E2"/>
    <w:rsid w:val="00081404"/>
    <w:rsid w:val="00082A00"/>
    <w:rsid w:val="00085BA7"/>
    <w:rsid w:val="00092B39"/>
    <w:rsid w:val="000940D5"/>
    <w:rsid w:val="00094368"/>
    <w:rsid w:val="00094675"/>
    <w:rsid w:val="000967BC"/>
    <w:rsid w:val="000A1526"/>
    <w:rsid w:val="000A57AA"/>
    <w:rsid w:val="000B02E3"/>
    <w:rsid w:val="000B0937"/>
    <w:rsid w:val="000B4906"/>
    <w:rsid w:val="000B4D2C"/>
    <w:rsid w:val="000B6F04"/>
    <w:rsid w:val="000C54A5"/>
    <w:rsid w:val="000C586A"/>
    <w:rsid w:val="000D0C14"/>
    <w:rsid w:val="000D338F"/>
    <w:rsid w:val="000D46B1"/>
    <w:rsid w:val="000D6459"/>
    <w:rsid w:val="000D6F74"/>
    <w:rsid w:val="000D706E"/>
    <w:rsid w:val="000E09B7"/>
    <w:rsid w:val="000F17DC"/>
    <w:rsid w:val="000F239B"/>
    <w:rsid w:val="000F2706"/>
    <w:rsid w:val="000F44D2"/>
    <w:rsid w:val="000F647C"/>
    <w:rsid w:val="001005C6"/>
    <w:rsid w:val="001024E2"/>
    <w:rsid w:val="00103241"/>
    <w:rsid w:val="0010330A"/>
    <w:rsid w:val="0010672C"/>
    <w:rsid w:val="00107D0E"/>
    <w:rsid w:val="00110406"/>
    <w:rsid w:val="00111E7F"/>
    <w:rsid w:val="00112289"/>
    <w:rsid w:val="001126E9"/>
    <w:rsid w:val="001151AC"/>
    <w:rsid w:val="00117754"/>
    <w:rsid w:val="001210F7"/>
    <w:rsid w:val="001230D6"/>
    <w:rsid w:val="00124932"/>
    <w:rsid w:val="00124E10"/>
    <w:rsid w:val="0012672A"/>
    <w:rsid w:val="001275D0"/>
    <w:rsid w:val="001306CB"/>
    <w:rsid w:val="00135AF8"/>
    <w:rsid w:val="00141588"/>
    <w:rsid w:val="00141784"/>
    <w:rsid w:val="0014224A"/>
    <w:rsid w:val="00145829"/>
    <w:rsid w:val="0014673A"/>
    <w:rsid w:val="00152E23"/>
    <w:rsid w:val="00154082"/>
    <w:rsid w:val="001572F8"/>
    <w:rsid w:val="001579DB"/>
    <w:rsid w:val="00157E7B"/>
    <w:rsid w:val="001605F6"/>
    <w:rsid w:val="001606E3"/>
    <w:rsid w:val="00161CF2"/>
    <w:rsid w:val="0016327A"/>
    <w:rsid w:val="00164A86"/>
    <w:rsid w:val="001653D2"/>
    <w:rsid w:val="001672D8"/>
    <w:rsid w:val="00173472"/>
    <w:rsid w:val="00174573"/>
    <w:rsid w:val="00174E03"/>
    <w:rsid w:val="00184497"/>
    <w:rsid w:val="00185D9D"/>
    <w:rsid w:val="00186688"/>
    <w:rsid w:val="00190DAC"/>
    <w:rsid w:val="00192472"/>
    <w:rsid w:val="00193BC7"/>
    <w:rsid w:val="0019482A"/>
    <w:rsid w:val="001A071D"/>
    <w:rsid w:val="001A0D14"/>
    <w:rsid w:val="001A1DC3"/>
    <w:rsid w:val="001A2448"/>
    <w:rsid w:val="001A5F2F"/>
    <w:rsid w:val="001B00BA"/>
    <w:rsid w:val="001B14FB"/>
    <w:rsid w:val="001B1BB1"/>
    <w:rsid w:val="001C1FD7"/>
    <w:rsid w:val="001C2372"/>
    <w:rsid w:val="001C407A"/>
    <w:rsid w:val="001D09F1"/>
    <w:rsid w:val="001D25CA"/>
    <w:rsid w:val="001D3DF1"/>
    <w:rsid w:val="001D7CDF"/>
    <w:rsid w:val="001E2CE6"/>
    <w:rsid w:val="001E56D5"/>
    <w:rsid w:val="001E5F73"/>
    <w:rsid w:val="001E72E4"/>
    <w:rsid w:val="001E788B"/>
    <w:rsid w:val="001E7922"/>
    <w:rsid w:val="001E7F10"/>
    <w:rsid w:val="001F002E"/>
    <w:rsid w:val="001F0B12"/>
    <w:rsid w:val="001F0ECC"/>
    <w:rsid w:val="001F2142"/>
    <w:rsid w:val="001F26B7"/>
    <w:rsid w:val="00200241"/>
    <w:rsid w:val="00202C96"/>
    <w:rsid w:val="0020359C"/>
    <w:rsid w:val="00203BD0"/>
    <w:rsid w:val="00203F0B"/>
    <w:rsid w:val="0020450B"/>
    <w:rsid w:val="00204C7C"/>
    <w:rsid w:val="00204FB4"/>
    <w:rsid w:val="00207921"/>
    <w:rsid w:val="00210BBB"/>
    <w:rsid w:val="00213698"/>
    <w:rsid w:val="002140A4"/>
    <w:rsid w:val="002173FF"/>
    <w:rsid w:val="00220A14"/>
    <w:rsid w:val="002227DD"/>
    <w:rsid w:val="0022434A"/>
    <w:rsid w:val="00225924"/>
    <w:rsid w:val="002367E8"/>
    <w:rsid w:val="00237818"/>
    <w:rsid w:val="00243B3F"/>
    <w:rsid w:val="002444CB"/>
    <w:rsid w:val="002446C6"/>
    <w:rsid w:val="00252A13"/>
    <w:rsid w:val="002558CE"/>
    <w:rsid w:val="0025767B"/>
    <w:rsid w:val="0026731D"/>
    <w:rsid w:val="00271D16"/>
    <w:rsid w:val="0027271F"/>
    <w:rsid w:val="00274F6D"/>
    <w:rsid w:val="002820FB"/>
    <w:rsid w:val="00282EEB"/>
    <w:rsid w:val="00286B05"/>
    <w:rsid w:val="00286C67"/>
    <w:rsid w:val="00290733"/>
    <w:rsid w:val="00292E2B"/>
    <w:rsid w:val="00296651"/>
    <w:rsid w:val="002A09C0"/>
    <w:rsid w:val="002A1F78"/>
    <w:rsid w:val="002A306D"/>
    <w:rsid w:val="002A3536"/>
    <w:rsid w:val="002A4707"/>
    <w:rsid w:val="002A6CBE"/>
    <w:rsid w:val="002B32A2"/>
    <w:rsid w:val="002B40DB"/>
    <w:rsid w:val="002B4505"/>
    <w:rsid w:val="002B50F9"/>
    <w:rsid w:val="002B7272"/>
    <w:rsid w:val="002C1E2A"/>
    <w:rsid w:val="002C6B6A"/>
    <w:rsid w:val="002C72A5"/>
    <w:rsid w:val="002C79E2"/>
    <w:rsid w:val="002D1122"/>
    <w:rsid w:val="002D2AE8"/>
    <w:rsid w:val="002D474D"/>
    <w:rsid w:val="002D4790"/>
    <w:rsid w:val="002D4EF7"/>
    <w:rsid w:val="002D756C"/>
    <w:rsid w:val="002E34BB"/>
    <w:rsid w:val="002E4C49"/>
    <w:rsid w:val="002E5DA5"/>
    <w:rsid w:val="002E6422"/>
    <w:rsid w:val="002F0448"/>
    <w:rsid w:val="002F4620"/>
    <w:rsid w:val="002F5B08"/>
    <w:rsid w:val="002F7377"/>
    <w:rsid w:val="00301D60"/>
    <w:rsid w:val="00302331"/>
    <w:rsid w:val="003030D4"/>
    <w:rsid w:val="003040D6"/>
    <w:rsid w:val="00307ACD"/>
    <w:rsid w:val="00311335"/>
    <w:rsid w:val="003115A6"/>
    <w:rsid w:val="00316D38"/>
    <w:rsid w:val="00321D54"/>
    <w:rsid w:val="00323F27"/>
    <w:rsid w:val="00324679"/>
    <w:rsid w:val="00325182"/>
    <w:rsid w:val="0032525E"/>
    <w:rsid w:val="00327A9C"/>
    <w:rsid w:val="00333384"/>
    <w:rsid w:val="003358D4"/>
    <w:rsid w:val="00335A77"/>
    <w:rsid w:val="003407ED"/>
    <w:rsid w:val="00344BE2"/>
    <w:rsid w:val="00346BE8"/>
    <w:rsid w:val="00347E70"/>
    <w:rsid w:val="00353962"/>
    <w:rsid w:val="00354E31"/>
    <w:rsid w:val="00360263"/>
    <w:rsid w:val="00361E01"/>
    <w:rsid w:val="00363B16"/>
    <w:rsid w:val="00363E4D"/>
    <w:rsid w:val="00364C23"/>
    <w:rsid w:val="003668F7"/>
    <w:rsid w:val="0036788C"/>
    <w:rsid w:val="003709FC"/>
    <w:rsid w:val="0037232E"/>
    <w:rsid w:val="00373CBB"/>
    <w:rsid w:val="00374B20"/>
    <w:rsid w:val="0037727B"/>
    <w:rsid w:val="0038529E"/>
    <w:rsid w:val="00392364"/>
    <w:rsid w:val="00397A21"/>
    <w:rsid w:val="003A03FA"/>
    <w:rsid w:val="003A1224"/>
    <w:rsid w:val="003A18AD"/>
    <w:rsid w:val="003A1CEA"/>
    <w:rsid w:val="003A5286"/>
    <w:rsid w:val="003A6FB9"/>
    <w:rsid w:val="003B147E"/>
    <w:rsid w:val="003B7A57"/>
    <w:rsid w:val="003C1D02"/>
    <w:rsid w:val="003C4977"/>
    <w:rsid w:val="003C6DCA"/>
    <w:rsid w:val="003C6EA8"/>
    <w:rsid w:val="003D16D6"/>
    <w:rsid w:val="003D3693"/>
    <w:rsid w:val="003D5172"/>
    <w:rsid w:val="003D583B"/>
    <w:rsid w:val="003E01CA"/>
    <w:rsid w:val="003E1A1D"/>
    <w:rsid w:val="003E2B0A"/>
    <w:rsid w:val="003E4E01"/>
    <w:rsid w:val="003E7B6A"/>
    <w:rsid w:val="003F0E68"/>
    <w:rsid w:val="003F4C81"/>
    <w:rsid w:val="003F631D"/>
    <w:rsid w:val="003F6A8E"/>
    <w:rsid w:val="00401E2F"/>
    <w:rsid w:val="00404272"/>
    <w:rsid w:val="00415064"/>
    <w:rsid w:val="004156CF"/>
    <w:rsid w:val="00415CAE"/>
    <w:rsid w:val="004160DD"/>
    <w:rsid w:val="00416A95"/>
    <w:rsid w:val="004172CA"/>
    <w:rsid w:val="00417A30"/>
    <w:rsid w:val="00417D6F"/>
    <w:rsid w:val="00422466"/>
    <w:rsid w:val="004274BF"/>
    <w:rsid w:val="00430FB6"/>
    <w:rsid w:val="004329D1"/>
    <w:rsid w:val="00434221"/>
    <w:rsid w:val="004345D9"/>
    <w:rsid w:val="00436E49"/>
    <w:rsid w:val="00442CB2"/>
    <w:rsid w:val="00443064"/>
    <w:rsid w:val="00445829"/>
    <w:rsid w:val="00446997"/>
    <w:rsid w:val="00447D25"/>
    <w:rsid w:val="0045143B"/>
    <w:rsid w:val="00451FEA"/>
    <w:rsid w:val="0045225B"/>
    <w:rsid w:val="004552BE"/>
    <w:rsid w:val="00455C14"/>
    <w:rsid w:val="00457AE5"/>
    <w:rsid w:val="00460613"/>
    <w:rsid w:val="0046094D"/>
    <w:rsid w:val="00461710"/>
    <w:rsid w:val="00463FF5"/>
    <w:rsid w:val="00466A21"/>
    <w:rsid w:val="004702C2"/>
    <w:rsid w:val="004725EA"/>
    <w:rsid w:val="004735F5"/>
    <w:rsid w:val="00477EF0"/>
    <w:rsid w:val="00480BCB"/>
    <w:rsid w:val="00481E78"/>
    <w:rsid w:val="00491C6B"/>
    <w:rsid w:val="00493429"/>
    <w:rsid w:val="00493482"/>
    <w:rsid w:val="00493D84"/>
    <w:rsid w:val="00494C84"/>
    <w:rsid w:val="004967F8"/>
    <w:rsid w:val="004A24DD"/>
    <w:rsid w:val="004A3A3D"/>
    <w:rsid w:val="004A7B66"/>
    <w:rsid w:val="004B0EF9"/>
    <w:rsid w:val="004B7B4E"/>
    <w:rsid w:val="004C18F6"/>
    <w:rsid w:val="004C54D0"/>
    <w:rsid w:val="004C64E4"/>
    <w:rsid w:val="004D004B"/>
    <w:rsid w:val="004E02B3"/>
    <w:rsid w:val="004E2CD4"/>
    <w:rsid w:val="004E50DD"/>
    <w:rsid w:val="004F1158"/>
    <w:rsid w:val="005015A4"/>
    <w:rsid w:val="005017DA"/>
    <w:rsid w:val="00502F35"/>
    <w:rsid w:val="00505917"/>
    <w:rsid w:val="00505957"/>
    <w:rsid w:val="005122BB"/>
    <w:rsid w:val="005131F3"/>
    <w:rsid w:val="005144CF"/>
    <w:rsid w:val="005145AB"/>
    <w:rsid w:val="00515FBD"/>
    <w:rsid w:val="00516FCB"/>
    <w:rsid w:val="00521A88"/>
    <w:rsid w:val="00521D87"/>
    <w:rsid w:val="005224CE"/>
    <w:rsid w:val="005230C5"/>
    <w:rsid w:val="0052356E"/>
    <w:rsid w:val="00523F59"/>
    <w:rsid w:val="00524145"/>
    <w:rsid w:val="00524562"/>
    <w:rsid w:val="0052709E"/>
    <w:rsid w:val="0053074A"/>
    <w:rsid w:val="00531688"/>
    <w:rsid w:val="0053225D"/>
    <w:rsid w:val="00532A97"/>
    <w:rsid w:val="00536526"/>
    <w:rsid w:val="00540C6A"/>
    <w:rsid w:val="00544D03"/>
    <w:rsid w:val="00544D2D"/>
    <w:rsid w:val="00552449"/>
    <w:rsid w:val="0056441E"/>
    <w:rsid w:val="005659AA"/>
    <w:rsid w:val="005659DB"/>
    <w:rsid w:val="0056621C"/>
    <w:rsid w:val="00570325"/>
    <w:rsid w:val="00571D86"/>
    <w:rsid w:val="00575DBA"/>
    <w:rsid w:val="00577C83"/>
    <w:rsid w:val="0058115C"/>
    <w:rsid w:val="0058543E"/>
    <w:rsid w:val="00585877"/>
    <w:rsid w:val="005862EB"/>
    <w:rsid w:val="00586D00"/>
    <w:rsid w:val="00591FE0"/>
    <w:rsid w:val="005930FE"/>
    <w:rsid w:val="00595B40"/>
    <w:rsid w:val="00595B96"/>
    <w:rsid w:val="00597E0E"/>
    <w:rsid w:val="005A537A"/>
    <w:rsid w:val="005A771F"/>
    <w:rsid w:val="005B2394"/>
    <w:rsid w:val="005C16F5"/>
    <w:rsid w:val="005C398A"/>
    <w:rsid w:val="005C75A5"/>
    <w:rsid w:val="005D0DC8"/>
    <w:rsid w:val="005D146B"/>
    <w:rsid w:val="005D1937"/>
    <w:rsid w:val="005D2081"/>
    <w:rsid w:val="005D2839"/>
    <w:rsid w:val="005D3C0F"/>
    <w:rsid w:val="005D462A"/>
    <w:rsid w:val="005D51AB"/>
    <w:rsid w:val="005E109B"/>
    <w:rsid w:val="005E3418"/>
    <w:rsid w:val="005E342A"/>
    <w:rsid w:val="005E4547"/>
    <w:rsid w:val="005E724A"/>
    <w:rsid w:val="005F232A"/>
    <w:rsid w:val="005F511E"/>
    <w:rsid w:val="005F5B39"/>
    <w:rsid w:val="00611BA8"/>
    <w:rsid w:val="00614059"/>
    <w:rsid w:val="006148DB"/>
    <w:rsid w:val="00615BBB"/>
    <w:rsid w:val="0061706B"/>
    <w:rsid w:val="00620D10"/>
    <w:rsid w:val="00620F7E"/>
    <w:rsid w:val="006223CF"/>
    <w:rsid w:val="00626127"/>
    <w:rsid w:val="0063020B"/>
    <w:rsid w:val="00632702"/>
    <w:rsid w:val="0063305F"/>
    <w:rsid w:val="0063550E"/>
    <w:rsid w:val="00635B2B"/>
    <w:rsid w:val="00637E79"/>
    <w:rsid w:val="00641972"/>
    <w:rsid w:val="0064281E"/>
    <w:rsid w:val="006455CC"/>
    <w:rsid w:val="00646410"/>
    <w:rsid w:val="0064653A"/>
    <w:rsid w:val="00652F18"/>
    <w:rsid w:val="00656EE8"/>
    <w:rsid w:val="006578FB"/>
    <w:rsid w:val="00657DEA"/>
    <w:rsid w:val="00661463"/>
    <w:rsid w:val="00663307"/>
    <w:rsid w:val="00664F75"/>
    <w:rsid w:val="006660D9"/>
    <w:rsid w:val="0066798B"/>
    <w:rsid w:val="0067102A"/>
    <w:rsid w:val="00671D9D"/>
    <w:rsid w:val="00674260"/>
    <w:rsid w:val="00675343"/>
    <w:rsid w:val="00676B18"/>
    <w:rsid w:val="0068300A"/>
    <w:rsid w:val="00683D41"/>
    <w:rsid w:val="00684449"/>
    <w:rsid w:val="006847EE"/>
    <w:rsid w:val="00685C84"/>
    <w:rsid w:val="00685DC4"/>
    <w:rsid w:val="00690002"/>
    <w:rsid w:val="00691E8A"/>
    <w:rsid w:val="0069460E"/>
    <w:rsid w:val="00695810"/>
    <w:rsid w:val="0069600C"/>
    <w:rsid w:val="006975A2"/>
    <w:rsid w:val="006A0E4A"/>
    <w:rsid w:val="006A131D"/>
    <w:rsid w:val="006A46AC"/>
    <w:rsid w:val="006A5E7A"/>
    <w:rsid w:val="006B244C"/>
    <w:rsid w:val="006B5BC9"/>
    <w:rsid w:val="006B5D9A"/>
    <w:rsid w:val="006B7857"/>
    <w:rsid w:val="006B7D9F"/>
    <w:rsid w:val="006C49C2"/>
    <w:rsid w:val="006C516F"/>
    <w:rsid w:val="006C6CD7"/>
    <w:rsid w:val="006C768E"/>
    <w:rsid w:val="006D3AFC"/>
    <w:rsid w:val="006D4860"/>
    <w:rsid w:val="006E2347"/>
    <w:rsid w:val="006E6062"/>
    <w:rsid w:val="006F3EB3"/>
    <w:rsid w:val="00702836"/>
    <w:rsid w:val="007030A0"/>
    <w:rsid w:val="00703554"/>
    <w:rsid w:val="00703A0E"/>
    <w:rsid w:val="00704EC1"/>
    <w:rsid w:val="007060D4"/>
    <w:rsid w:val="00706D95"/>
    <w:rsid w:val="007130CB"/>
    <w:rsid w:val="00714082"/>
    <w:rsid w:val="00714976"/>
    <w:rsid w:val="00715855"/>
    <w:rsid w:val="00715EAA"/>
    <w:rsid w:val="007166E2"/>
    <w:rsid w:val="007169B6"/>
    <w:rsid w:val="00721D6A"/>
    <w:rsid w:val="007228A4"/>
    <w:rsid w:val="00726041"/>
    <w:rsid w:val="00727350"/>
    <w:rsid w:val="00731033"/>
    <w:rsid w:val="00734A3E"/>
    <w:rsid w:val="007418A3"/>
    <w:rsid w:val="00741B07"/>
    <w:rsid w:val="00742EEA"/>
    <w:rsid w:val="00743BED"/>
    <w:rsid w:val="007449E0"/>
    <w:rsid w:val="0074733E"/>
    <w:rsid w:val="00750720"/>
    <w:rsid w:val="00752BEE"/>
    <w:rsid w:val="0075461B"/>
    <w:rsid w:val="00754703"/>
    <w:rsid w:val="0076215A"/>
    <w:rsid w:val="00776000"/>
    <w:rsid w:val="007777BC"/>
    <w:rsid w:val="00780AD6"/>
    <w:rsid w:val="007812FD"/>
    <w:rsid w:val="00781424"/>
    <w:rsid w:val="0078227E"/>
    <w:rsid w:val="00782D3B"/>
    <w:rsid w:val="00783579"/>
    <w:rsid w:val="0078421F"/>
    <w:rsid w:val="007843A9"/>
    <w:rsid w:val="007865EF"/>
    <w:rsid w:val="007874B7"/>
    <w:rsid w:val="00793FC6"/>
    <w:rsid w:val="00794A7C"/>
    <w:rsid w:val="007A0551"/>
    <w:rsid w:val="007A1189"/>
    <w:rsid w:val="007A2801"/>
    <w:rsid w:val="007A4A94"/>
    <w:rsid w:val="007A6860"/>
    <w:rsid w:val="007A6E85"/>
    <w:rsid w:val="007B75FE"/>
    <w:rsid w:val="007B7678"/>
    <w:rsid w:val="007C0B2E"/>
    <w:rsid w:val="007C12E1"/>
    <w:rsid w:val="007C36F4"/>
    <w:rsid w:val="007C610C"/>
    <w:rsid w:val="007D0353"/>
    <w:rsid w:val="007D32D8"/>
    <w:rsid w:val="007D6991"/>
    <w:rsid w:val="007D6ECA"/>
    <w:rsid w:val="007D778B"/>
    <w:rsid w:val="007E4488"/>
    <w:rsid w:val="007E69BC"/>
    <w:rsid w:val="007F0867"/>
    <w:rsid w:val="007F0DC7"/>
    <w:rsid w:val="007F114B"/>
    <w:rsid w:val="007F4E97"/>
    <w:rsid w:val="007F705D"/>
    <w:rsid w:val="008029FF"/>
    <w:rsid w:val="00804483"/>
    <w:rsid w:val="00804B76"/>
    <w:rsid w:val="00804D85"/>
    <w:rsid w:val="008158F6"/>
    <w:rsid w:val="008160CB"/>
    <w:rsid w:val="00821DFB"/>
    <w:rsid w:val="008221DF"/>
    <w:rsid w:val="0082672F"/>
    <w:rsid w:val="00826C03"/>
    <w:rsid w:val="008313EA"/>
    <w:rsid w:val="008318D7"/>
    <w:rsid w:val="00833165"/>
    <w:rsid w:val="00834DB1"/>
    <w:rsid w:val="00835D54"/>
    <w:rsid w:val="008405B5"/>
    <w:rsid w:val="0084115A"/>
    <w:rsid w:val="0084149F"/>
    <w:rsid w:val="00841B18"/>
    <w:rsid w:val="00843729"/>
    <w:rsid w:val="00844800"/>
    <w:rsid w:val="00847090"/>
    <w:rsid w:val="00852776"/>
    <w:rsid w:val="00853339"/>
    <w:rsid w:val="00856130"/>
    <w:rsid w:val="0086235D"/>
    <w:rsid w:val="00864B92"/>
    <w:rsid w:val="00865DC1"/>
    <w:rsid w:val="00872516"/>
    <w:rsid w:val="008743E2"/>
    <w:rsid w:val="00875011"/>
    <w:rsid w:val="00876568"/>
    <w:rsid w:val="00877377"/>
    <w:rsid w:val="00881765"/>
    <w:rsid w:val="00881A23"/>
    <w:rsid w:val="00883690"/>
    <w:rsid w:val="008941A2"/>
    <w:rsid w:val="008A1675"/>
    <w:rsid w:val="008A6D2B"/>
    <w:rsid w:val="008C2545"/>
    <w:rsid w:val="008C2715"/>
    <w:rsid w:val="008C5798"/>
    <w:rsid w:val="008C76E6"/>
    <w:rsid w:val="008D0364"/>
    <w:rsid w:val="008E1C6E"/>
    <w:rsid w:val="008E2056"/>
    <w:rsid w:val="008E2219"/>
    <w:rsid w:val="008F101A"/>
    <w:rsid w:val="008F62B7"/>
    <w:rsid w:val="008F7EF3"/>
    <w:rsid w:val="008F7F00"/>
    <w:rsid w:val="0090074E"/>
    <w:rsid w:val="00901F70"/>
    <w:rsid w:val="009033DD"/>
    <w:rsid w:val="00905896"/>
    <w:rsid w:val="00906E11"/>
    <w:rsid w:val="00911332"/>
    <w:rsid w:val="0091678E"/>
    <w:rsid w:val="00921332"/>
    <w:rsid w:val="0092194D"/>
    <w:rsid w:val="00922DCD"/>
    <w:rsid w:val="009231B2"/>
    <w:rsid w:val="00930850"/>
    <w:rsid w:val="00931460"/>
    <w:rsid w:val="00931FF7"/>
    <w:rsid w:val="00932A34"/>
    <w:rsid w:val="00935264"/>
    <w:rsid w:val="0093568C"/>
    <w:rsid w:val="009357A8"/>
    <w:rsid w:val="00935DF9"/>
    <w:rsid w:val="0094420F"/>
    <w:rsid w:val="009454EC"/>
    <w:rsid w:val="00946322"/>
    <w:rsid w:val="00946FC6"/>
    <w:rsid w:val="009516B0"/>
    <w:rsid w:val="00960EE0"/>
    <w:rsid w:val="0096101E"/>
    <w:rsid w:val="009621BE"/>
    <w:rsid w:val="009624F3"/>
    <w:rsid w:val="009628D0"/>
    <w:rsid w:val="009629EA"/>
    <w:rsid w:val="009633AB"/>
    <w:rsid w:val="009645F4"/>
    <w:rsid w:val="009653E4"/>
    <w:rsid w:val="00967228"/>
    <w:rsid w:val="00967CD7"/>
    <w:rsid w:val="0097255A"/>
    <w:rsid w:val="00973EB4"/>
    <w:rsid w:val="0098272F"/>
    <w:rsid w:val="0098749C"/>
    <w:rsid w:val="00987712"/>
    <w:rsid w:val="009912B1"/>
    <w:rsid w:val="00995903"/>
    <w:rsid w:val="0099671C"/>
    <w:rsid w:val="00996F3D"/>
    <w:rsid w:val="009A0F03"/>
    <w:rsid w:val="009A0F5C"/>
    <w:rsid w:val="009A2336"/>
    <w:rsid w:val="009A27C5"/>
    <w:rsid w:val="009A2A13"/>
    <w:rsid w:val="009A2F25"/>
    <w:rsid w:val="009A44A0"/>
    <w:rsid w:val="009A63C6"/>
    <w:rsid w:val="009B0CCB"/>
    <w:rsid w:val="009B3896"/>
    <w:rsid w:val="009B6B11"/>
    <w:rsid w:val="009B6EE6"/>
    <w:rsid w:val="009B7AEC"/>
    <w:rsid w:val="009B7D56"/>
    <w:rsid w:val="009C1319"/>
    <w:rsid w:val="009C2AC5"/>
    <w:rsid w:val="009C3434"/>
    <w:rsid w:val="009C66AA"/>
    <w:rsid w:val="009D3C57"/>
    <w:rsid w:val="009D3DF1"/>
    <w:rsid w:val="009D3E73"/>
    <w:rsid w:val="009D5C83"/>
    <w:rsid w:val="009D6430"/>
    <w:rsid w:val="009E0926"/>
    <w:rsid w:val="009E2E1A"/>
    <w:rsid w:val="009E2EB5"/>
    <w:rsid w:val="009E64C6"/>
    <w:rsid w:val="009E7D58"/>
    <w:rsid w:val="009E7E25"/>
    <w:rsid w:val="009F2462"/>
    <w:rsid w:val="009F3118"/>
    <w:rsid w:val="009F596E"/>
    <w:rsid w:val="009F73FA"/>
    <w:rsid w:val="00A00AF1"/>
    <w:rsid w:val="00A06030"/>
    <w:rsid w:val="00A1279E"/>
    <w:rsid w:val="00A145A1"/>
    <w:rsid w:val="00A17215"/>
    <w:rsid w:val="00A2099C"/>
    <w:rsid w:val="00A20FE9"/>
    <w:rsid w:val="00A23E10"/>
    <w:rsid w:val="00A2417D"/>
    <w:rsid w:val="00A24BB1"/>
    <w:rsid w:val="00A25954"/>
    <w:rsid w:val="00A260A8"/>
    <w:rsid w:val="00A271CF"/>
    <w:rsid w:val="00A274D1"/>
    <w:rsid w:val="00A32060"/>
    <w:rsid w:val="00A34A37"/>
    <w:rsid w:val="00A36628"/>
    <w:rsid w:val="00A36E9E"/>
    <w:rsid w:val="00A37EE3"/>
    <w:rsid w:val="00A461C4"/>
    <w:rsid w:val="00A473DC"/>
    <w:rsid w:val="00A5173C"/>
    <w:rsid w:val="00A51F24"/>
    <w:rsid w:val="00A5347A"/>
    <w:rsid w:val="00A53952"/>
    <w:rsid w:val="00A57B1A"/>
    <w:rsid w:val="00A6091C"/>
    <w:rsid w:val="00A61178"/>
    <w:rsid w:val="00A6329C"/>
    <w:rsid w:val="00A63C8F"/>
    <w:rsid w:val="00A656CD"/>
    <w:rsid w:val="00A670F6"/>
    <w:rsid w:val="00A67732"/>
    <w:rsid w:val="00A71AA8"/>
    <w:rsid w:val="00A7565D"/>
    <w:rsid w:val="00A7765E"/>
    <w:rsid w:val="00A828B9"/>
    <w:rsid w:val="00A8296E"/>
    <w:rsid w:val="00A83067"/>
    <w:rsid w:val="00A9178D"/>
    <w:rsid w:val="00A917E7"/>
    <w:rsid w:val="00A96907"/>
    <w:rsid w:val="00AA116B"/>
    <w:rsid w:val="00AA4AA8"/>
    <w:rsid w:val="00AB1AE6"/>
    <w:rsid w:val="00AB3EE2"/>
    <w:rsid w:val="00AB43E9"/>
    <w:rsid w:val="00AB47D0"/>
    <w:rsid w:val="00AB5B94"/>
    <w:rsid w:val="00AB624C"/>
    <w:rsid w:val="00AB78CE"/>
    <w:rsid w:val="00AB79D9"/>
    <w:rsid w:val="00AC006A"/>
    <w:rsid w:val="00AC0DB4"/>
    <w:rsid w:val="00AC3350"/>
    <w:rsid w:val="00AC6882"/>
    <w:rsid w:val="00AD37A4"/>
    <w:rsid w:val="00AD72A2"/>
    <w:rsid w:val="00AD7ECF"/>
    <w:rsid w:val="00AE047C"/>
    <w:rsid w:val="00AE1322"/>
    <w:rsid w:val="00AE3613"/>
    <w:rsid w:val="00AF45E7"/>
    <w:rsid w:val="00AF643B"/>
    <w:rsid w:val="00AF7DFD"/>
    <w:rsid w:val="00B0390E"/>
    <w:rsid w:val="00B06808"/>
    <w:rsid w:val="00B0740C"/>
    <w:rsid w:val="00B109FB"/>
    <w:rsid w:val="00B11F07"/>
    <w:rsid w:val="00B13127"/>
    <w:rsid w:val="00B1464B"/>
    <w:rsid w:val="00B2280E"/>
    <w:rsid w:val="00B22866"/>
    <w:rsid w:val="00B24745"/>
    <w:rsid w:val="00B31237"/>
    <w:rsid w:val="00B345DC"/>
    <w:rsid w:val="00B365FE"/>
    <w:rsid w:val="00B40799"/>
    <w:rsid w:val="00B40838"/>
    <w:rsid w:val="00B47B46"/>
    <w:rsid w:val="00B50420"/>
    <w:rsid w:val="00B50C4C"/>
    <w:rsid w:val="00B56AB8"/>
    <w:rsid w:val="00B60212"/>
    <w:rsid w:val="00B612E6"/>
    <w:rsid w:val="00B65434"/>
    <w:rsid w:val="00B65E2B"/>
    <w:rsid w:val="00B664A0"/>
    <w:rsid w:val="00B75404"/>
    <w:rsid w:val="00B87142"/>
    <w:rsid w:val="00B92F23"/>
    <w:rsid w:val="00B965BF"/>
    <w:rsid w:val="00B96895"/>
    <w:rsid w:val="00BA58F3"/>
    <w:rsid w:val="00BA67E5"/>
    <w:rsid w:val="00BB0F94"/>
    <w:rsid w:val="00BB15AB"/>
    <w:rsid w:val="00BB2256"/>
    <w:rsid w:val="00BB3E88"/>
    <w:rsid w:val="00BB478B"/>
    <w:rsid w:val="00BB60E0"/>
    <w:rsid w:val="00BC71E2"/>
    <w:rsid w:val="00BC797D"/>
    <w:rsid w:val="00BD070D"/>
    <w:rsid w:val="00BD68BF"/>
    <w:rsid w:val="00BD6DEA"/>
    <w:rsid w:val="00BE087C"/>
    <w:rsid w:val="00BE1E7E"/>
    <w:rsid w:val="00BE3344"/>
    <w:rsid w:val="00BE4CC2"/>
    <w:rsid w:val="00BF28C5"/>
    <w:rsid w:val="00BF4729"/>
    <w:rsid w:val="00BF5F13"/>
    <w:rsid w:val="00C00917"/>
    <w:rsid w:val="00C0466F"/>
    <w:rsid w:val="00C058C1"/>
    <w:rsid w:val="00C1003F"/>
    <w:rsid w:val="00C111C0"/>
    <w:rsid w:val="00C11BCF"/>
    <w:rsid w:val="00C20FE0"/>
    <w:rsid w:val="00C21586"/>
    <w:rsid w:val="00C22E77"/>
    <w:rsid w:val="00C233DE"/>
    <w:rsid w:val="00C25817"/>
    <w:rsid w:val="00C405D2"/>
    <w:rsid w:val="00C407D2"/>
    <w:rsid w:val="00C456E8"/>
    <w:rsid w:val="00C46839"/>
    <w:rsid w:val="00C46D23"/>
    <w:rsid w:val="00C51C59"/>
    <w:rsid w:val="00C523F6"/>
    <w:rsid w:val="00C53A43"/>
    <w:rsid w:val="00C54AC4"/>
    <w:rsid w:val="00C552CF"/>
    <w:rsid w:val="00C55E03"/>
    <w:rsid w:val="00C5659E"/>
    <w:rsid w:val="00C57407"/>
    <w:rsid w:val="00C6097E"/>
    <w:rsid w:val="00C624DC"/>
    <w:rsid w:val="00C62619"/>
    <w:rsid w:val="00C628E4"/>
    <w:rsid w:val="00C632FF"/>
    <w:rsid w:val="00C63B8E"/>
    <w:rsid w:val="00C65B28"/>
    <w:rsid w:val="00C66F42"/>
    <w:rsid w:val="00C67A1C"/>
    <w:rsid w:val="00C7350D"/>
    <w:rsid w:val="00C7482C"/>
    <w:rsid w:val="00C770B9"/>
    <w:rsid w:val="00C77882"/>
    <w:rsid w:val="00C8210F"/>
    <w:rsid w:val="00C83D3F"/>
    <w:rsid w:val="00C843F3"/>
    <w:rsid w:val="00C84A3F"/>
    <w:rsid w:val="00C867F6"/>
    <w:rsid w:val="00C96D45"/>
    <w:rsid w:val="00C978FB"/>
    <w:rsid w:val="00CA118F"/>
    <w:rsid w:val="00CA1A6D"/>
    <w:rsid w:val="00CA2D1D"/>
    <w:rsid w:val="00CA2F59"/>
    <w:rsid w:val="00CA53BC"/>
    <w:rsid w:val="00CA5CD6"/>
    <w:rsid w:val="00CA620E"/>
    <w:rsid w:val="00CB0F0C"/>
    <w:rsid w:val="00CB2CFA"/>
    <w:rsid w:val="00CB4FC3"/>
    <w:rsid w:val="00CB6A82"/>
    <w:rsid w:val="00CB6BB8"/>
    <w:rsid w:val="00CC03E9"/>
    <w:rsid w:val="00CC3C35"/>
    <w:rsid w:val="00CC6223"/>
    <w:rsid w:val="00CC685F"/>
    <w:rsid w:val="00CD0EEA"/>
    <w:rsid w:val="00CD2F56"/>
    <w:rsid w:val="00CD3011"/>
    <w:rsid w:val="00CD361A"/>
    <w:rsid w:val="00CD42BD"/>
    <w:rsid w:val="00CD448C"/>
    <w:rsid w:val="00CD72A0"/>
    <w:rsid w:val="00CE15E9"/>
    <w:rsid w:val="00CE2F15"/>
    <w:rsid w:val="00CE7B09"/>
    <w:rsid w:val="00CF021E"/>
    <w:rsid w:val="00CF24C5"/>
    <w:rsid w:val="00CF6F13"/>
    <w:rsid w:val="00D021A0"/>
    <w:rsid w:val="00D02C01"/>
    <w:rsid w:val="00D041A3"/>
    <w:rsid w:val="00D1008B"/>
    <w:rsid w:val="00D10E34"/>
    <w:rsid w:val="00D13CC4"/>
    <w:rsid w:val="00D14985"/>
    <w:rsid w:val="00D149DD"/>
    <w:rsid w:val="00D22396"/>
    <w:rsid w:val="00D22548"/>
    <w:rsid w:val="00D2379C"/>
    <w:rsid w:val="00D26C2C"/>
    <w:rsid w:val="00D306BB"/>
    <w:rsid w:val="00D3184E"/>
    <w:rsid w:val="00D31C21"/>
    <w:rsid w:val="00D31ECB"/>
    <w:rsid w:val="00D35CA1"/>
    <w:rsid w:val="00D35F53"/>
    <w:rsid w:val="00D41B97"/>
    <w:rsid w:val="00D43077"/>
    <w:rsid w:val="00D4467F"/>
    <w:rsid w:val="00D52782"/>
    <w:rsid w:val="00D528AD"/>
    <w:rsid w:val="00D546C8"/>
    <w:rsid w:val="00D56508"/>
    <w:rsid w:val="00D56B07"/>
    <w:rsid w:val="00D57547"/>
    <w:rsid w:val="00D604B4"/>
    <w:rsid w:val="00D640DF"/>
    <w:rsid w:val="00D6477A"/>
    <w:rsid w:val="00D65033"/>
    <w:rsid w:val="00D6563B"/>
    <w:rsid w:val="00D65670"/>
    <w:rsid w:val="00D66942"/>
    <w:rsid w:val="00D67FF5"/>
    <w:rsid w:val="00D727E3"/>
    <w:rsid w:val="00D73DF4"/>
    <w:rsid w:val="00D743F6"/>
    <w:rsid w:val="00D77EC8"/>
    <w:rsid w:val="00D821B3"/>
    <w:rsid w:val="00D8414D"/>
    <w:rsid w:val="00D86478"/>
    <w:rsid w:val="00D873CE"/>
    <w:rsid w:val="00D91EC2"/>
    <w:rsid w:val="00D92235"/>
    <w:rsid w:val="00D9467B"/>
    <w:rsid w:val="00D960CF"/>
    <w:rsid w:val="00DA4564"/>
    <w:rsid w:val="00DA4F88"/>
    <w:rsid w:val="00DA64DF"/>
    <w:rsid w:val="00DA656D"/>
    <w:rsid w:val="00DA6BAC"/>
    <w:rsid w:val="00DA7D2B"/>
    <w:rsid w:val="00DB1DF6"/>
    <w:rsid w:val="00DB2B5C"/>
    <w:rsid w:val="00DB3E2A"/>
    <w:rsid w:val="00DB56A3"/>
    <w:rsid w:val="00DB6DAC"/>
    <w:rsid w:val="00DB7A65"/>
    <w:rsid w:val="00DC4169"/>
    <w:rsid w:val="00DC437E"/>
    <w:rsid w:val="00DD0188"/>
    <w:rsid w:val="00DD4BEF"/>
    <w:rsid w:val="00DD4E9D"/>
    <w:rsid w:val="00DE0B88"/>
    <w:rsid w:val="00DE10FD"/>
    <w:rsid w:val="00DE1AF5"/>
    <w:rsid w:val="00DE337E"/>
    <w:rsid w:val="00DE372D"/>
    <w:rsid w:val="00DE3856"/>
    <w:rsid w:val="00DE6021"/>
    <w:rsid w:val="00DE75D9"/>
    <w:rsid w:val="00DF2E63"/>
    <w:rsid w:val="00DF31EC"/>
    <w:rsid w:val="00DF5D1D"/>
    <w:rsid w:val="00E0632F"/>
    <w:rsid w:val="00E17304"/>
    <w:rsid w:val="00E17950"/>
    <w:rsid w:val="00E17C1A"/>
    <w:rsid w:val="00E17D2A"/>
    <w:rsid w:val="00E26A9B"/>
    <w:rsid w:val="00E3041F"/>
    <w:rsid w:val="00E3090F"/>
    <w:rsid w:val="00E362ED"/>
    <w:rsid w:val="00E40555"/>
    <w:rsid w:val="00E42E3B"/>
    <w:rsid w:val="00E43193"/>
    <w:rsid w:val="00E4342D"/>
    <w:rsid w:val="00E442EB"/>
    <w:rsid w:val="00E45220"/>
    <w:rsid w:val="00E52A77"/>
    <w:rsid w:val="00E57897"/>
    <w:rsid w:val="00E57938"/>
    <w:rsid w:val="00E62B92"/>
    <w:rsid w:val="00E65684"/>
    <w:rsid w:val="00E6681D"/>
    <w:rsid w:val="00E676DC"/>
    <w:rsid w:val="00E67A61"/>
    <w:rsid w:val="00E714AC"/>
    <w:rsid w:val="00E75FBE"/>
    <w:rsid w:val="00E76F6D"/>
    <w:rsid w:val="00E806F9"/>
    <w:rsid w:val="00E80AA8"/>
    <w:rsid w:val="00E85806"/>
    <w:rsid w:val="00E85A7F"/>
    <w:rsid w:val="00E9169E"/>
    <w:rsid w:val="00E91851"/>
    <w:rsid w:val="00E91FD8"/>
    <w:rsid w:val="00E93024"/>
    <w:rsid w:val="00E975C4"/>
    <w:rsid w:val="00EA24DE"/>
    <w:rsid w:val="00EA3DC0"/>
    <w:rsid w:val="00EA4194"/>
    <w:rsid w:val="00EA5131"/>
    <w:rsid w:val="00EA6527"/>
    <w:rsid w:val="00EB2BDA"/>
    <w:rsid w:val="00EB6D17"/>
    <w:rsid w:val="00EC0DAF"/>
    <w:rsid w:val="00EC1D70"/>
    <w:rsid w:val="00EC1E50"/>
    <w:rsid w:val="00EC28CE"/>
    <w:rsid w:val="00EC6F4F"/>
    <w:rsid w:val="00ED4236"/>
    <w:rsid w:val="00ED49F2"/>
    <w:rsid w:val="00ED5455"/>
    <w:rsid w:val="00ED6D05"/>
    <w:rsid w:val="00ED6DA0"/>
    <w:rsid w:val="00EE1BA9"/>
    <w:rsid w:val="00EE6887"/>
    <w:rsid w:val="00EE754E"/>
    <w:rsid w:val="00EF0367"/>
    <w:rsid w:val="00EF14CE"/>
    <w:rsid w:val="00EF4D53"/>
    <w:rsid w:val="00F00B8E"/>
    <w:rsid w:val="00F05511"/>
    <w:rsid w:val="00F10D28"/>
    <w:rsid w:val="00F137E7"/>
    <w:rsid w:val="00F14C13"/>
    <w:rsid w:val="00F16498"/>
    <w:rsid w:val="00F165F3"/>
    <w:rsid w:val="00F21840"/>
    <w:rsid w:val="00F21D64"/>
    <w:rsid w:val="00F24B7C"/>
    <w:rsid w:val="00F25946"/>
    <w:rsid w:val="00F335A5"/>
    <w:rsid w:val="00F3732F"/>
    <w:rsid w:val="00F416B2"/>
    <w:rsid w:val="00F419E3"/>
    <w:rsid w:val="00F41EF0"/>
    <w:rsid w:val="00F50F28"/>
    <w:rsid w:val="00F53766"/>
    <w:rsid w:val="00F53BEF"/>
    <w:rsid w:val="00F5520C"/>
    <w:rsid w:val="00F60708"/>
    <w:rsid w:val="00F63A32"/>
    <w:rsid w:val="00F658E7"/>
    <w:rsid w:val="00F6775A"/>
    <w:rsid w:val="00F67BCB"/>
    <w:rsid w:val="00F7122F"/>
    <w:rsid w:val="00F73958"/>
    <w:rsid w:val="00F74D09"/>
    <w:rsid w:val="00F74D4E"/>
    <w:rsid w:val="00F75A31"/>
    <w:rsid w:val="00F75DB2"/>
    <w:rsid w:val="00F776FA"/>
    <w:rsid w:val="00F8132A"/>
    <w:rsid w:val="00F8137E"/>
    <w:rsid w:val="00F8311C"/>
    <w:rsid w:val="00F83454"/>
    <w:rsid w:val="00F86147"/>
    <w:rsid w:val="00F86B8C"/>
    <w:rsid w:val="00F90920"/>
    <w:rsid w:val="00F91ABD"/>
    <w:rsid w:val="00F94600"/>
    <w:rsid w:val="00F946E4"/>
    <w:rsid w:val="00FA30B8"/>
    <w:rsid w:val="00FA52CC"/>
    <w:rsid w:val="00FA5B22"/>
    <w:rsid w:val="00FA6E8C"/>
    <w:rsid w:val="00FA78BB"/>
    <w:rsid w:val="00FB7073"/>
    <w:rsid w:val="00FC079A"/>
    <w:rsid w:val="00FC28FF"/>
    <w:rsid w:val="00FC3AAD"/>
    <w:rsid w:val="00FC669E"/>
    <w:rsid w:val="00FD280C"/>
    <w:rsid w:val="00FD33FA"/>
    <w:rsid w:val="00FD3B67"/>
    <w:rsid w:val="00FD4588"/>
    <w:rsid w:val="00FD4D6B"/>
    <w:rsid w:val="00FD6D8F"/>
    <w:rsid w:val="00FD74F5"/>
    <w:rsid w:val="00FE04B6"/>
    <w:rsid w:val="00FE1838"/>
    <w:rsid w:val="00FE41B0"/>
    <w:rsid w:val="00FE634E"/>
    <w:rsid w:val="00FE7C89"/>
    <w:rsid w:val="00FF0B83"/>
    <w:rsid w:val="00FF1663"/>
    <w:rsid w:val="00FF1D60"/>
    <w:rsid w:val="00FF2B75"/>
    <w:rsid w:val="00FF4225"/>
    <w:rsid w:val="00FF4DEC"/>
    <w:rsid w:val="00FF69AF"/>
    <w:rsid w:val="00FF71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80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F101A"/>
    <w:pPr>
      <w:spacing w:line="360" w:lineRule="auto"/>
      <w:ind w:firstLine="709"/>
      <w:jc w:val="both"/>
    </w:pPr>
    <w:rPr>
      <w:rFonts w:ascii="Arial Narrow" w:hAnsi="Arial Narrow"/>
      <w:noProof/>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semiHidden/>
    <w:rsid w:val="008F101A"/>
    <w:pPr>
      <w:spacing w:line="240" w:lineRule="auto"/>
      <w:ind w:firstLine="720"/>
    </w:pPr>
    <w:rPr>
      <w:rFonts w:ascii="Times New Roman" w:hAnsi="Times New Roman"/>
      <w:noProof w:val="0"/>
      <w:sz w:val="20"/>
      <w:szCs w:val="20"/>
      <w:lang w:eastAsia="pt-PT"/>
    </w:rPr>
  </w:style>
  <w:style w:type="character" w:customStyle="1" w:styleId="TextodenotaderodapChar">
    <w:name w:val="Texto de nota de rodapé Char"/>
    <w:basedOn w:val="Fontepargpadro"/>
    <w:link w:val="Textodenotaderodap"/>
    <w:semiHidden/>
    <w:rsid w:val="008F101A"/>
    <w:rPr>
      <w:lang w:val="pt-PT" w:eastAsia="pt-PT"/>
    </w:rPr>
  </w:style>
  <w:style w:type="paragraph" w:styleId="Rodap">
    <w:name w:val="footer"/>
    <w:basedOn w:val="Normal"/>
    <w:link w:val="RodapChar"/>
    <w:rsid w:val="008F101A"/>
    <w:pPr>
      <w:tabs>
        <w:tab w:val="center" w:pos="4320"/>
        <w:tab w:val="right" w:pos="8640"/>
      </w:tabs>
      <w:ind w:firstLine="720"/>
    </w:pPr>
    <w:rPr>
      <w:rFonts w:ascii="Times New Roman" w:hAnsi="Times New Roman"/>
      <w:noProof w:val="0"/>
      <w:szCs w:val="20"/>
      <w:lang w:eastAsia="pt-PT"/>
    </w:rPr>
  </w:style>
  <w:style w:type="character" w:customStyle="1" w:styleId="RodapChar">
    <w:name w:val="Rodapé Char"/>
    <w:basedOn w:val="Fontepargpadro"/>
    <w:link w:val="Rodap"/>
    <w:rsid w:val="008F101A"/>
    <w:rPr>
      <w:sz w:val="24"/>
      <w:lang w:val="pt-PT" w:eastAsia="pt-PT"/>
    </w:rPr>
  </w:style>
  <w:style w:type="paragraph" w:styleId="Ttulo">
    <w:name w:val="Title"/>
    <w:basedOn w:val="Normal"/>
    <w:link w:val="TtuloChar"/>
    <w:qFormat/>
    <w:rsid w:val="008F101A"/>
    <w:pPr>
      <w:spacing w:before="240" w:after="60"/>
      <w:ind w:firstLine="0"/>
      <w:jc w:val="center"/>
      <w:outlineLvl w:val="0"/>
    </w:pPr>
    <w:rPr>
      <w:rFonts w:ascii="Times New Roman" w:hAnsi="Times New Roman"/>
      <w:b/>
      <w:noProof w:val="0"/>
      <w:kern w:val="28"/>
      <w:sz w:val="32"/>
      <w:szCs w:val="20"/>
      <w:lang w:eastAsia="pt-PT"/>
    </w:rPr>
  </w:style>
  <w:style w:type="character" w:customStyle="1" w:styleId="TtuloChar">
    <w:name w:val="Título Char"/>
    <w:basedOn w:val="Fontepargpadro"/>
    <w:link w:val="Ttulo"/>
    <w:rsid w:val="008F101A"/>
    <w:rPr>
      <w:b/>
      <w:kern w:val="28"/>
      <w:sz w:val="32"/>
      <w:lang w:val="pt-PT" w:eastAsia="pt-PT"/>
    </w:rPr>
  </w:style>
  <w:style w:type="character" w:styleId="Refdenotaderodap">
    <w:name w:val="footnote reference"/>
    <w:basedOn w:val="Fontepargpadro"/>
    <w:semiHidden/>
    <w:rsid w:val="008F101A"/>
    <w:rPr>
      <w:vertAlign w:val="superscript"/>
    </w:rPr>
  </w:style>
  <w:style w:type="character" w:styleId="Nmerodepgina">
    <w:name w:val="page number"/>
    <w:basedOn w:val="Fontepargpadro"/>
    <w:rsid w:val="008F101A"/>
  </w:style>
  <w:style w:type="paragraph" w:styleId="Recuodecorpodetexto">
    <w:name w:val="Body Text Indent"/>
    <w:basedOn w:val="Normal"/>
    <w:link w:val="RecuodecorpodetextoChar"/>
    <w:rsid w:val="008F101A"/>
    <w:pPr>
      <w:keepNext/>
      <w:tabs>
        <w:tab w:val="left" w:pos="720"/>
        <w:tab w:val="left" w:pos="3312"/>
      </w:tabs>
      <w:spacing w:after="360"/>
      <w:ind w:firstLine="720"/>
    </w:pPr>
    <w:rPr>
      <w:rFonts w:ascii="Times New Roman" w:hAnsi="Times New Roman"/>
      <w:b/>
      <w:noProof w:val="0"/>
      <w:sz w:val="28"/>
      <w:szCs w:val="20"/>
      <w:lang w:eastAsia="pt-PT"/>
    </w:rPr>
  </w:style>
  <w:style w:type="character" w:customStyle="1" w:styleId="RecuodecorpodetextoChar">
    <w:name w:val="Recuo de corpo de texto Char"/>
    <w:basedOn w:val="Fontepargpadro"/>
    <w:link w:val="Recuodecorpodetexto"/>
    <w:rsid w:val="008F101A"/>
    <w:rPr>
      <w:b/>
      <w:sz w:val="28"/>
      <w:lang w:val="pt-PT" w:eastAsia="pt-PT"/>
    </w:rPr>
  </w:style>
  <w:style w:type="paragraph" w:styleId="Cabealho">
    <w:name w:val="header"/>
    <w:basedOn w:val="Normal"/>
    <w:link w:val="CabealhoChar"/>
    <w:uiPriority w:val="99"/>
    <w:semiHidden/>
    <w:unhideWhenUsed/>
    <w:rsid w:val="00C00917"/>
    <w:pPr>
      <w:tabs>
        <w:tab w:val="center" w:pos="4419"/>
        <w:tab w:val="right" w:pos="8838"/>
      </w:tabs>
      <w:spacing w:line="240" w:lineRule="auto"/>
    </w:pPr>
  </w:style>
  <w:style w:type="character" w:customStyle="1" w:styleId="CabealhoChar">
    <w:name w:val="Cabeçalho Char"/>
    <w:basedOn w:val="Fontepargpadro"/>
    <w:link w:val="Cabealho"/>
    <w:uiPriority w:val="99"/>
    <w:semiHidden/>
    <w:rsid w:val="00C00917"/>
    <w:rPr>
      <w:rFonts w:ascii="Arial Narrow" w:hAnsi="Arial Narrow"/>
      <w:noProof/>
      <w:sz w:val="24"/>
      <w:szCs w:val="24"/>
      <w:lang w:val="pt-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B5773-FE7D-44D8-BCA4-73175F2D8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3167</TotalTime>
  <Pages>36</Pages>
  <Words>12704</Words>
  <Characters>72415</Characters>
  <Application>Microsoft Office Word</Application>
  <DocSecurity>0</DocSecurity>
  <Lines>603</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509</cp:revision>
  <dcterms:created xsi:type="dcterms:W3CDTF">2014-10-28T23:58:00Z</dcterms:created>
  <dcterms:modified xsi:type="dcterms:W3CDTF">2015-05-21T14:51:00Z</dcterms:modified>
</cp:coreProperties>
</file>