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46C" w:rsidRPr="008939F2" w:rsidRDefault="00A1546C" w:rsidP="00A1546C">
      <w:pPr>
        <w:pStyle w:val="Ttulo"/>
        <w:spacing w:before="0" w:after="960"/>
        <w:rPr>
          <w:rFonts w:ascii="Arial Narrow" w:hAnsi="Arial Narrow"/>
        </w:rPr>
      </w:pPr>
      <w:r w:rsidRPr="008939F2">
        <w:rPr>
          <w:rFonts w:ascii="Arial Narrow" w:hAnsi="Arial Narrow"/>
        </w:rPr>
        <w:t>Capítulo 2</w:t>
      </w:r>
      <w:r w:rsidRPr="008939F2">
        <w:rPr>
          <w:rFonts w:ascii="Arial Narrow" w:hAnsi="Arial Narrow"/>
        </w:rPr>
        <w:br/>
        <w:t>«TERCEIRO MUNDO»</w:t>
      </w:r>
    </w:p>
    <w:p w:rsidR="00A1546C" w:rsidRPr="008939F2" w:rsidRDefault="00A1546C" w:rsidP="00F7718D">
      <w:pPr>
        <w:keepNext/>
        <w:spacing w:after="360"/>
        <w:ind w:firstLine="0"/>
        <w:jc w:val="center"/>
        <w:rPr>
          <w:b/>
          <w:sz w:val="28"/>
        </w:rPr>
      </w:pPr>
      <w:r>
        <w:rPr>
          <w:b/>
          <w:sz w:val="28"/>
        </w:rPr>
        <w:t>1</w:t>
      </w:r>
      <w:r w:rsidRPr="008939F2">
        <w:rPr>
          <w:b/>
          <w:sz w:val="28"/>
        </w:rPr>
        <w:t>. Japão: Um imperialismo anticolonialista</w:t>
      </w:r>
    </w:p>
    <w:p w:rsidR="00A1546C" w:rsidRPr="008939F2" w:rsidRDefault="00A1546C" w:rsidP="00A1546C">
      <w:r w:rsidRPr="008939F2">
        <w:t xml:space="preserve">Na imediata proximidade de uma vastíssima área colonizada, coube ao </w:t>
      </w:r>
      <w:r>
        <w:t xml:space="preserve">Japão </w:t>
      </w:r>
      <w:r w:rsidRPr="008939F2">
        <w:t xml:space="preserve">dar um impulso decisivo aos movimentos de independência, e enquanto recorria a meios militares para conquistar territórios e ampliar a sua área de hegemonia multiplicavam-se as proclamações anticolonialistas não só de ideólogos </w:t>
      </w:r>
      <w:r>
        <w:t xml:space="preserve">fascistas </w:t>
      </w:r>
      <w:r w:rsidRPr="008939F2">
        <w:t>mas dos mais altos responsáveis do governo e das forças armadas</w:t>
      </w:r>
      <w:r w:rsidRPr="008939F2">
        <w:rPr>
          <w:rStyle w:val="Refdenotaderodap"/>
        </w:rPr>
        <w:footnoteReference w:id="1"/>
      </w:r>
      <w:r w:rsidRPr="008939F2">
        <w:t>. Talvez este aparente paradoxo se esclareça um pouco ao recordarmos que em 1919 o Japão, membro fundador da Sociedade das Nações e detentor de um lugar permanente no seu Conselho, tentara introduzir nos estatutos daquele organismo uma cláusula de igualdade racial, para deparar com o veto dos estadistas britânicos, australianos e norte-americanos</w:t>
      </w:r>
      <w:r w:rsidRPr="008939F2">
        <w:rPr>
          <w:rStyle w:val="Refdenotaderodap"/>
        </w:rPr>
        <w:footnoteReference w:id="2"/>
      </w:r>
      <w:r w:rsidRPr="008939F2">
        <w:t>. E ao sabermos que em 1928 os Estados Unidos mantinham na China cerca de cinco mil e duzentos militares, mais de metade dos que o Japão tinha então estacionados na Manchúria</w:t>
      </w:r>
      <w:r w:rsidRPr="008939F2">
        <w:rPr>
          <w:rStyle w:val="Refdenotaderodap"/>
        </w:rPr>
        <w:footnoteReference w:id="3"/>
      </w:r>
      <w:r w:rsidRPr="008939F2">
        <w:t xml:space="preserve">, compreendemos que a versão anti-imperialista do expansionismo nipónico podia invocar uma base muito real. </w:t>
      </w:r>
    </w:p>
    <w:p w:rsidR="00A1546C" w:rsidRPr="008939F2" w:rsidRDefault="003E6530" w:rsidP="00A1546C">
      <w:r>
        <w:t xml:space="preserve">Os fascistas japoneses </w:t>
      </w:r>
      <w:r w:rsidR="00A1546C" w:rsidRPr="008939F2">
        <w:t>nunca hesit</w:t>
      </w:r>
      <w:r>
        <w:t>aram</w:t>
      </w:r>
      <w:r w:rsidR="00A1546C" w:rsidRPr="008939F2">
        <w:t xml:space="preserve"> em conjugar o expansionismo com os apelos libertadores. Estreitamente ligadas às forças armadas, as associações patrióticas sabiam que o seu país só podia afirmar</w:t>
      </w:r>
      <w:r w:rsidR="0040326C">
        <w:t>-se</w:t>
      </w:r>
      <w:r w:rsidR="00A1546C" w:rsidRPr="008939F2">
        <w:t xml:space="preserve"> como potência mundial contra os interesses das principais nações europeias e dos Estados Unidos, e apresentavam esta rivalidade como um renascimento da Ásia e uma defesa dos valores orientais contra a cultura ocidental</w:t>
      </w:r>
      <w:r w:rsidR="00A1546C" w:rsidRPr="008939F2">
        <w:rPr>
          <w:rStyle w:val="Refdenotaderodap"/>
        </w:rPr>
        <w:footnoteReference w:id="4"/>
      </w:r>
      <w:r w:rsidR="00A1546C" w:rsidRPr="008939F2">
        <w:t>. Uma das figuras mais influentes da primeira geração de ultranacionalistas, T</w:t>
      </w:r>
      <w:r w:rsidR="004E3F1A" w:rsidRPr="004E3F1A">
        <w:rPr>
          <w:lang w:val="de-DE"/>
        </w:rPr>
        <w:t>ō</w:t>
      </w:r>
      <w:r w:rsidR="00A1546C" w:rsidRPr="008939F2">
        <w:t>yama Mitsuru, mantinha relações com os anticolonialistas indianos, cochinchineses e filipinos, e sobretudo com os conspiradores chineses que se preparavam para derrubar a dinastia manchu</w:t>
      </w:r>
      <w:r w:rsidR="00A1546C" w:rsidRPr="008939F2">
        <w:rPr>
          <w:rStyle w:val="Refdenotaderodap"/>
        </w:rPr>
        <w:footnoteReference w:id="5"/>
      </w:r>
      <w:r w:rsidR="00A1546C" w:rsidRPr="008939F2">
        <w:t>. E o fundador do fascismo japonês, Kita Ikki, residiu vários anos na China, onde privou com os militantes nacionalistas, o que lhe permitiu escrever uma história da revolução chinesa</w:t>
      </w:r>
      <w:r w:rsidR="00A1546C" w:rsidRPr="008939F2">
        <w:rPr>
          <w:rStyle w:val="Refdenotaderodap"/>
        </w:rPr>
        <w:footnoteReference w:id="6"/>
      </w:r>
      <w:r w:rsidR="00A1546C" w:rsidRPr="008939F2">
        <w:t xml:space="preserve">. Aliás, o triunfo dos republicanos chineses em 1911 </w:t>
      </w:r>
      <w:r w:rsidR="00A1546C" w:rsidRPr="008939F2">
        <w:lastRenderedPageBreak/>
        <w:t>levou-os a estreitar os contactos com os ideólogos nipónicos do nacionalismo asiático e assim, paradoxalmente, deu ao Japão novas oportunidades para intervir na política interna da China</w:t>
      </w:r>
      <w:r w:rsidR="00A1546C" w:rsidRPr="008939F2">
        <w:rPr>
          <w:rStyle w:val="Refdenotaderodap"/>
        </w:rPr>
        <w:footnoteReference w:id="7"/>
      </w:r>
      <w:r w:rsidR="00A1546C" w:rsidRPr="008939F2">
        <w:t>. Já num livro publicado em 1906 Kita Ikki anunciara a necessidade de promover o imperialismo nipónico através de uma estratégia que estimulasse os movimentos contra o colonialismo ocidental na Ásia</w:t>
      </w:r>
      <w:r w:rsidR="00A1546C" w:rsidRPr="008939F2">
        <w:rPr>
          <w:rStyle w:val="Refdenotaderodap"/>
        </w:rPr>
        <w:footnoteReference w:id="8"/>
      </w:r>
      <w:r w:rsidR="00A1546C" w:rsidRPr="008939F2">
        <w:t xml:space="preserve">, mas foi numa obra editada em 1923 que expôs de maneira detalhada o programa que a partir de então </w:t>
      </w:r>
      <w:r w:rsidR="0040326C">
        <w:t>i</w:t>
      </w:r>
      <w:r w:rsidR="00EF0534">
        <w:t>ri</w:t>
      </w:r>
      <w:r w:rsidR="0040326C">
        <w:t xml:space="preserve">a </w:t>
      </w:r>
      <w:r w:rsidR="00A1546C" w:rsidRPr="008939F2">
        <w:t>servi</w:t>
      </w:r>
      <w:r w:rsidR="0040326C">
        <w:t>r</w:t>
      </w:r>
      <w:r w:rsidR="00A1546C" w:rsidRPr="008939F2">
        <w:t xml:space="preserve"> de referência inevitável </w:t>
      </w:r>
      <w:r>
        <w:t xml:space="preserve">ao fascismo e </w:t>
      </w:r>
      <w:r w:rsidR="00A1546C" w:rsidRPr="008939F2">
        <w:t>à extrema-direita radical. Além de defender uma série de reformas económicas e sociais, Kita propôs um plano de armamento intensivo, que desse ao exército a possibilidade de encetar uma política externa agressiva</w:t>
      </w:r>
      <w:r w:rsidR="00A1546C" w:rsidRPr="008939F2">
        <w:rPr>
          <w:rStyle w:val="Refdenotaderodap"/>
        </w:rPr>
        <w:footnoteReference w:id="9"/>
      </w:r>
      <w:r w:rsidR="00A1546C" w:rsidRPr="008939F2">
        <w:t>. Este país movido pela ambição imperialista era apresentado por Kita como o campeão dos restantes povos asiáticos contra o colonialismo ocidental</w:t>
      </w:r>
      <w:r w:rsidR="00A1546C" w:rsidRPr="008939F2">
        <w:rPr>
          <w:rStyle w:val="Refdenotaderodap"/>
        </w:rPr>
        <w:footnoteReference w:id="10"/>
      </w:r>
      <w:r w:rsidR="00A1546C" w:rsidRPr="008939F2">
        <w:t>. «Tal como no interior de uma nação se trava a luta de classes pelo reajuste das desigualdades, também a guerra entre nações por uma causa nobre há-de resolver as actuais desigualdades injustas», escrev</w:t>
      </w:r>
      <w:r w:rsidR="00A1546C">
        <w:t>eu</w:t>
      </w:r>
      <w:r w:rsidR="00A1546C" w:rsidRPr="008939F2">
        <w:t xml:space="preserve"> Kita </w:t>
      </w:r>
      <w:r w:rsidR="00A1546C">
        <w:t>naquele</w:t>
      </w:r>
      <w:r w:rsidR="00A1546C" w:rsidRPr="008939F2">
        <w:t xml:space="preserve"> livro. «Os socialistas ocidentais entram em contradição ao admitirem que o proletariado tem o direito de recorrer à luta de classes dentro do país e ao condenarem simultaneamente como militarismo e agressão a guerra travada pelas nações proletárias»</w:t>
      </w:r>
      <w:r w:rsidR="00A1546C" w:rsidRPr="008939F2">
        <w:rPr>
          <w:rStyle w:val="Refdenotaderodap"/>
        </w:rPr>
        <w:footnoteReference w:id="11"/>
      </w:r>
      <w:r w:rsidR="00A1546C" w:rsidRPr="008939F2">
        <w:t>. Aliás, já em 1906 Kita estabelecera a analogia entre o confronto de classes no interior das fronteiras nacionais e a disputa entre Estados na arena mundial</w:t>
      </w:r>
      <w:r w:rsidR="00A1546C" w:rsidRPr="008939F2">
        <w:rPr>
          <w:rStyle w:val="Refdenotaderodap"/>
        </w:rPr>
        <w:footnoteReference w:id="12"/>
      </w:r>
      <w:r w:rsidR="00A1546C" w:rsidRPr="008939F2">
        <w:t xml:space="preserve">. O mito da nação proletária desvendava-se assim na sua verdadeira função, justificando os novos expansionismos. E o contra-senso de um socialismo nacionalista, que Kita propunha para o interior do país, </w:t>
      </w:r>
      <w:r>
        <w:t xml:space="preserve">projectava-se </w:t>
      </w:r>
      <w:r w:rsidR="00A1546C" w:rsidRPr="008939F2">
        <w:t xml:space="preserve">além-fronteiras sob a forma não menos paradoxal de um imperialismo anti-imperialista. Esta aberração não foi apenas concebida por algumas cabeças quentes e encontramo-la defendida igualmente por Miyazaki Masayoshi, personalidade ligada ao Ministério da Guerra e membro do departamento de pesquisa da Companhia dos Caminhos-de-Ferro da Manchúria Meridional, que na realidade era muito mais do que uma mera empresa de transportes e predominava </w:t>
      </w:r>
      <w:r w:rsidR="0040326C">
        <w:t>sobre</w:t>
      </w:r>
      <w:r w:rsidR="00A1546C" w:rsidRPr="008939F2">
        <w:t xml:space="preserve"> toda a economia do território. Numa obra escrita em 1936, Miyazaki, que por dever de ofício não era certamente propenso a grandes efusões, insistiu na relação entre a expansão política e económica do Japão na Ásia e a promoção dos movimentos anticoloniais virados contra a presença dos europeus e dos norte-americanos</w:t>
      </w:r>
      <w:r w:rsidR="00A1546C" w:rsidRPr="008939F2">
        <w:rPr>
          <w:rStyle w:val="Refdenotaderodap"/>
        </w:rPr>
        <w:footnoteReference w:id="13"/>
      </w:r>
      <w:r w:rsidR="00A1546C" w:rsidRPr="008939F2">
        <w:t xml:space="preserve">. </w:t>
      </w:r>
    </w:p>
    <w:p w:rsidR="00A1546C" w:rsidRPr="008939F2" w:rsidRDefault="00A1546C" w:rsidP="00A1546C">
      <w:r w:rsidRPr="008939F2">
        <w:lastRenderedPageBreak/>
        <w:t>Foi sobretudo a partir dos últimos anos da década de 1920 que o extremismo nacionalista começou a difundir</w:t>
      </w:r>
      <w:r w:rsidR="003D4CDD">
        <w:t>-se</w:t>
      </w:r>
      <w:r w:rsidRPr="008939F2">
        <w:t xml:space="preserve"> no exército e na marinha entre os jovens oficiais de patente inferior. As forças armadas dividiram-se então numa ala aberta à colaboração com os fascistas radicais e noutra ala de carácter socialmente conservador. </w:t>
      </w:r>
      <w:r w:rsidR="003D4CDD">
        <w:t xml:space="preserve">A divergência </w:t>
      </w:r>
      <w:r w:rsidRPr="008939F2">
        <w:t>dizia respeito antes de mais à organização interna do país, especialmente às medidas económicas e laborais. Mas nas suas ambições geopolíticas a facção conservadora situava-se talvez à esquerda dos fascistas de pendor social, porque enquanto estes consideravam que a expansão nipónica se deveria realizar, em primeiro lugar, em detrimento da União Soviética, a ala conservadora dava a prioridade ao prosseguimento das operações militares na China, pondo em causa o colonialismo ocidental e atacando de frente os interesses britânicos, franceses e norte-americanos</w:t>
      </w:r>
      <w:r w:rsidRPr="008939F2">
        <w:rPr>
          <w:rStyle w:val="Refdenotaderodap"/>
        </w:rPr>
        <w:footnoteReference w:id="14"/>
      </w:r>
      <w:r w:rsidRPr="008939F2">
        <w:t xml:space="preserve">. Após o esmagamento dos fascistas radicais em Fevereiro de 1936 e a completa hegemonia obtida pela facção conservadora, o expansionismo nipónico seguiu a orientação que havia de o caracterizar até ao final da guerra, virando-se </w:t>
      </w:r>
      <w:r w:rsidR="008E717E">
        <w:t xml:space="preserve">em direcção à </w:t>
      </w:r>
      <w:r w:rsidRPr="008939F2">
        <w:t>China e contra as posições ocidentais na Ásia</w:t>
      </w:r>
      <w:r w:rsidRPr="008939F2">
        <w:rPr>
          <w:rStyle w:val="Refdenotaderodap"/>
        </w:rPr>
        <w:footnoteReference w:id="15"/>
      </w:r>
      <w:r w:rsidRPr="008939F2">
        <w:t xml:space="preserve">. Aliás, o facto de o exército japonês </w:t>
      </w:r>
      <w:r w:rsidR="008E717E">
        <w:t xml:space="preserve">ter sido </w:t>
      </w:r>
      <w:r w:rsidRPr="008939F2">
        <w:t>completamente desbaratado pelas tropas soviéticas na Mongólia Exterior em Agosto de 1939 bloque</w:t>
      </w:r>
      <w:r w:rsidR="008E717E">
        <w:t>ou-lhe</w:t>
      </w:r>
      <w:r w:rsidRPr="008939F2">
        <w:t xml:space="preserve"> qualquer veleidade de tentar de imediato a fortuna a norte. E assim, sem esperanças no interior da nação, mesmo sem as esperanças fictícias do fascismo radical, o proletariado via no horizonte a promessa da nação proletária, que para se converter num novo imperialismo arrastaria consigo outras nações proletárias. </w:t>
      </w:r>
    </w:p>
    <w:p w:rsidR="00A1546C" w:rsidRPr="008939F2" w:rsidRDefault="00A1546C" w:rsidP="00A1546C">
      <w:r w:rsidRPr="008939F2">
        <w:t>Os Fundamentos da Política Nacional, proclamados em Agosto de 1936, reconheceram oficialmente pela primeira vez que para manter as áreas sob o seu controlo no continente asiático e para desenvolver a economia do império o Japão precisava de alcançar a hegemonia nos territórios a sul do arquipélago</w:t>
      </w:r>
      <w:r w:rsidRPr="008939F2">
        <w:rPr>
          <w:rStyle w:val="Refdenotaderodap"/>
        </w:rPr>
        <w:footnoteReference w:id="16"/>
      </w:r>
      <w:r w:rsidRPr="008939F2">
        <w:t>. A partir desse ano a marinha de guerra convidou académicos, administradores e homens de negócios com experiência das regiões meridionais para discutirem em conjunto uma reorientação geopolítica que não descurasse as colónias europeias e norte-americanas do sul e sudeste da Ásia</w:t>
      </w:r>
      <w:r w:rsidRPr="008939F2">
        <w:rPr>
          <w:rStyle w:val="Refdenotaderodap"/>
        </w:rPr>
        <w:footnoteReference w:id="17"/>
      </w:r>
      <w:r w:rsidRPr="008939F2">
        <w:t xml:space="preserve">. É certo que no final de 1938, pouco depois de terem ocupado Cantão e Han-k’ou, na proposta de paz que apresentaram ao governo chinês as autoridades nipónicas empregaram a expressão «uma Nova Ordem na Ásia oriental» sem mostrarem </w:t>
      </w:r>
      <w:r w:rsidR="0054281E">
        <w:t>nenhum</w:t>
      </w:r>
      <w:r w:rsidRPr="008939F2">
        <w:t xml:space="preserve"> interesse pelo sul, e referiram apenas a formação de um bloco abrangendo o Japão, o Manchukuo e a China</w:t>
      </w:r>
      <w:r w:rsidRPr="008939F2">
        <w:rPr>
          <w:rStyle w:val="Refdenotaderodap"/>
        </w:rPr>
        <w:footnoteReference w:id="18"/>
      </w:r>
      <w:r w:rsidRPr="008939F2">
        <w:t>. Mas deve levar</w:t>
      </w:r>
      <w:r w:rsidR="00E603AD" w:rsidRPr="008939F2">
        <w:t>-se</w:t>
      </w:r>
      <w:r w:rsidRPr="008939F2">
        <w:t xml:space="preserve"> em consideração o facto de estes territórios estarem já total ou parcialmente sob domínio japonês, e incluir colónias de </w:t>
      </w:r>
      <w:r w:rsidRPr="008939F2">
        <w:lastRenderedPageBreak/>
        <w:t>outras nações na projectada área de hegemonia equivaleria a uma verdadeira declaração de hostilidade</w:t>
      </w:r>
      <w:r w:rsidR="0054281E">
        <w:t>s</w:t>
      </w:r>
      <w:r w:rsidRPr="008939F2">
        <w:t>. A situação mundial era muito diferente em 1940. Em 1 de Agosto desse ano o ministro dos Negócios Estrangeiros japonês proclamou a Esfera da Co-Prosperidade da Grande Ásia Oriental, mencionando, além do Japão, do Manchukuo e da China, as Índias Orientais holandesas e a Indochina francesa, o que necessariamente anunciava o confronto com o colonialismo europeu a sul e a sudoeste</w:t>
      </w:r>
      <w:r w:rsidRPr="008939F2">
        <w:rPr>
          <w:rStyle w:val="Refdenotaderodap"/>
        </w:rPr>
        <w:footnoteReference w:id="19"/>
      </w:r>
      <w:r w:rsidRPr="008939F2">
        <w:t>. Com efeito, na sua reunião de 4 de Setembro o conselho de ministros restrito definiu como base de negociação com o Reich uma área de hegemonia estabelecida desde a Birmânia em direcção ao leste e desde a Nova Caledónia em direcção ao norte. Numa fase posterior esta área deveria ampliar-se e compreender a Austrália, a Nova Zelândia e a Índia, embora se admitisse que para conciliar as boas graças da União Soviética lhe fosse reconhecida a supremacia na Índia</w:t>
      </w:r>
      <w:r w:rsidRPr="008939F2">
        <w:rPr>
          <w:rStyle w:val="Refdenotaderodap"/>
        </w:rPr>
        <w:footnoteReference w:id="20"/>
      </w:r>
      <w:r w:rsidRPr="008939F2">
        <w:t>. No pacto tripartido, assinado no dia 27 daquele mês pelos governantes de Berlim, Roma e Tóquio, o Japão viu confirmado o seu papel de promotor da Nova Ordem na Ásia contra o colonialismo ocidental</w:t>
      </w:r>
      <w:r w:rsidRPr="008939F2">
        <w:rPr>
          <w:rStyle w:val="Refdenotaderodap"/>
        </w:rPr>
        <w:footnoteReference w:id="21"/>
      </w:r>
      <w:r w:rsidRPr="008939F2">
        <w:t xml:space="preserve">, mas na realidade o perímetro máximo que conseguiu abranger foi desde o Manchukuo e a Coreia, a norte, até, a sul, as Índias Orientais holandesas, incluindo as Filipinas, a China, a Indochina, a Tailândia, a Malásia e a Birmânia. </w:t>
      </w:r>
    </w:p>
    <w:p w:rsidR="00A1546C" w:rsidRPr="008939F2" w:rsidRDefault="00A1546C" w:rsidP="00A1546C">
      <w:r w:rsidRPr="008939F2">
        <w:t>Não parece que alguma vez as autoridades militares e os responsáveis políticos tivessem chegado a um consenso quanto aos limites últimos da Esfera da Co-Prosperidade</w:t>
      </w:r>
      <w:r w:rsidRPr="008939F2">
        <w:rPr>
          <w:rStyle w:val="Refdenotaderodap"/>
        </w:rPr>
        <w:footnoteReference w:id="22"/>
      </w:r>
      <w:r w:rsidRPr="008939F2">
        <w:t xml:space="preserve">. A orientação geográfica da expansão variava consoante as preferências geopolíticas e de acordo também com as alianças internacionais, e decerto os apetites cresceriam à medida que se fossem registando as sonhadas vitórias. Em Dezembro de 1941, no preciso momento em que o Japão se lançava no conflito mundial, os projectos estabelecidos pela Secção de Pesquisa do Ministério da Guerra incluíam na Esfera da Co-Prosperidade, além dos países e das regiões que em breve ficariam submetidos, os demais arquipélagos do Oceano Pacífico, a Austrália e as suas dependências, a Nova Zelândia e as suas dependências, Ceilão e as regiões da Índia a sul de uma linha que seguia mais ou menos os 15º de latitude, e ainda numerosas ilhas do Oceano Índico; virando-se para o outro lado, este plano ambicionava o Alaska e o estado de Washington, no noroeste dos Estados Unidos, todo o oeste do Canadá, todos os países da América Central, inclusivamente as suas ilhas atlânticas, e além disso a Colômbia, um distrito da Venezuela, o </w:t>
      </w:r>
      <w:r w:rsidRPr="008939F2">
        <w:lastRenderedPageBreak/>
        <w:t>Equador e mesmo, no caso de esses três países declararem guerra ao Japão, a maior parte do México, a leste da longitude 95º 30´, uma boa metade do Peru, a norte da latitude 10º, e a zona de nitratos do Chile setentrional. Tratava-se de um colossal projecto a longo prazo, que previa a formação de uma primeira Esfera da Co-Prosperidade durante o conflito em curso e a sua ampliação graças a uma nova guerra cerca de duas décadas mais tarde</w:t>
      </w:r>
      <w:r w:rsidRPr="008939F2">
        <w:rPr>
          <w:rStyle w:val="Refdenotaderodap"/>
        </w:rPr>
        <w:footnoteReference w:id="23"/>
      </w:r>
      <w:r w:rsidRPr="008939F2">
        <w:t xml:space="preserve">. O imperialismo </w:t>
      </w:r>
      <w:r w:rsidR="00077A54">
        <w:t xml:space="preserve">militar </w:t>
      </w:r>
      <w:r w:rsidRPr="008939F2">
        <w:t>nipónico teve sempre mais olhos do que barriga</w:t>
      </w:r>
      <w:r w:rsidRPr="008939F2">
        <w:rPr>
          <w:rStyle w:val="Refdenotaderodap"/>
        </w:rPr>
        <w:footnoteReference w:id="24"/>
      </w:r>
      <w:r w:rsidRPr="008939F2">
        <w:t>, e ainda quando se exprimi</w:t>
      </w:r>
      <w:r>
        <w:t>u</w:t>
      </w:r>
      <w:r w:rsidRPr="008939F2">
        <w:t xml:space="preserve"> em tons de relativa sobriedade, como num discurso realizado em Janeiro de 1942 perante a Câmara dos Pares, o primeiro-ministro anunci</w:t>
      </w:r>
      <w:r>
        <w:t>ou</w:t>
      </w:r>
      <w:r w:rsidRPr="008939F2">
        <w:t xml:space="preserve"> a necessária inclusão da Austrália na Esfera da Co-Prosperidade</w:t>
      </w:r>
      <w:r w:rsidRPr="008939F2">
        <w:rPr>
          <w:rStyle w:val="Refdenotaderodap"/>
        </w:rPr>
        <w:footnoteReference w:id="25"/>
      </w:r>
      <w:r w:rsidRPr="008939F2">
        <w:t xml:space="preserve">. O que de facto esta estratégia ambicionava era, de imediato, derrotar o colonialismo europeu na Ásia e suster o avanço dos Estados Unidos em direcção ao Pacífico, e numa segunda fase derrotar os próprios Estados Unidos na sua área de influência no continente americano. </w:t>
      </w:r>
    </w:p>
    <w:p w:rsidR="00A1546C" w:rsidRPr="008939F2" w:rsidRDefault="00A1546C" w:rsidP="00A1546C">
      <w:r w:rsidRPr="008939F2">
        <w:t>Talvez não seja extravagante interpretar a Esfera da Co-Prosperidade na perspectiva da «federação mundial» resultante da superação da guerra entre Estados, que Kita Ikki havia anunciado no seu livro de 1906</w:t>
      </w:r>
      <w:r w:rsidRPr="008939F2">
        <w:rPr>
          <w:rStyle w:val="Refdenotaderodap"/>
        </w:rPr>
        <w:footnoteReference w:id="26"/>
      </w:r>
      <w:r w:rsidRPr="008939F2">
        <w:t>. De qualquer modo, na obra editada em 1923 Kita sugeriu a criação de uma estrutura destinada a assegurar a coesão do leste e do sudeste asiáticos sob a hegemonia económica e militar do Japão</w:t>
      </w:r>
      <w:r w:rsidRPr="008939F2">
        <w:rPr>
          <w:rStyle w:val="Refdenotaderodap"/>
        </w:rPr>
        <w:footnoteReference w:id="27"/>
      </w:r>
      <w:r w:rsidRPr="008939F2">
        <w:t>, e foi o que sucedeu com a criação, em Março de 1942, de um órgão consultivo do primeiro-ministro, o Conselho da Grande Ásia Oriental, promovido a Ministério em Novembro desse ano</w:t>
      </w:r>
      <w:r w:rsidRPr="008939F2">
        <w:rPr>
          <w:rStyle w:val="Refdenotaderodap"/>
        </w:rPr>
        <w:footnoteReference w:id="28"/>
      </w:r>
      <w:r w:rsidRPr="008939F2">
        <w:t xml:space="preserve">. Mesmo depois de ter sido condenado </w:t>
      </w:r>
      <w:r>
        <w:t xml:space="preserve">à morte </w:t>
      </w:r>
      <w:r w:rsidRPr="008939F2">
        <w:t>e executado, e apesar do descrédito que atingira a ala radical do fascismo, Kita Ikki continu</w:t>
      </w:r>
      <w:r>
        <w:t>ou</w:t>
      </w:r>
      <w:r w:rsidRPr="008939F2">
        <w:t xml:space="preserve"> a influenciar com o seu pensamento a estratégia geopolítica. Quando leio o que o destacado cientista político Royama Masamichi escreveu num livro publicado em 1941, defendendo um sistema de relações internacionais baseado na constituição de um pequeno número de organismos regionais </w:t>
      </w:r>
      <w:r w:rsidR="00E5688B">
        <w:t>em que</w:t>
      </w:r>
      <w:r w:rsidRPr="008939F2">
        <w:t xml:space="preserve"> o carácter excludente dos nacionalismos se conciliaria com a tendência abrangente do capitalismo industrial</w:t>
      </w:r>
      <w:r w:rsidRPr="008939F2">
        <w:rPr>
          <w:rStyle w:val="Refdenotaderodap"/>
        </w:rPr>
        <w:footnoteReference w:id="29"/>
      </w:r>
      <w:r w:rsidRPr="008939F2">
        <w:t xml:space="preserve">, não posso deixar de recordar o processo de auto-superação do nacionalismo enunciado muitos anos antes por Kita, em que as guerras entre </w:t>
      </w:r>
      <w:r w:rsidRPr="008939F2">
        <w:lastRenderedPageBreak/>
        <w:t>os homens reunidos em Estados dariam lugar à luta do conjunto da humanidade em prol do desenvolvimento económico</w:t>
      </w:r>
      <w:r w:rsidRPr="008939F2">
        <w:rPr>
          <w:rStyle w:val="Refdenotaderodap"/>
        </w:rPr>
        <w:footnoteReference w:id="30"/>
      </w:r>
      <w:r w:rsidRPr="008939F2">
        <w:t>. «O imperialismo», declarara Kita em 1906, «é a condição prévia do internacionalismo»</w:t>
      </w:r>
      <w:r w:rsidRPr="008939F2">
        <w:rPr>
          <w:rStyle w:val="Refdenotaderodap"/>
        </w:rPr>
        <w:footnoteReference w:id="31"/>
      </w:r>
      <w:r w:rsidRPr="008939F2">
        <w:t xml:space="preserve">. </w:t>
      </w:r>
    </w:p>
    <w:p w:rsidR="00A1546C" w:rsidRPr="008939F2" w:rsidRDefault="00A1546C" w:rsidP="00A1546C">
      <w:r w:rsidRPr="008939F2">
        <w:t xml:space="preserve">A junção do expansionismo ao anticolonialismo podia invocar credenciais prestigiadas, pois também a doutrina Monroe, que tradicionalmente orientava a política externa dos Estados Unidos, confundia a vocação de autonomia e independência do país relativamente às potências europeias com a proclamação de uma área indisputada de hegemonia abrangendo todo o continente americano, onde era recusado à Europa o direito de estabelecer colónias. Esta doutrina era inseparável das teses do </w:t>
      </w:r>
      <w:r w:rsidRPr="008939F2">
        <w:rPr>
          <w:i/>
        </w:rPr>
        <w:t>manifest destiny</w:t>
      </w:r>
      <w:r w:rsidRPr="008939F2">
        <w:rPr>
          <w:rStyle w:val="Refdenotaderodap"/>
        </w:rPr>
        <w:footnoteReference w:id="32"/>
      </w:r>
      <w:r w:rsidRPr="008939F2">
        <w:t>, e os expansionistas norte-americanos haviam apresentado a sua vitória na guerra contra o México como um triunfo das instituições democráticas sobre a tirania</w:t>
      </w:r>
      <w:r w:rsidRPr="008939F2">
        <w:rPr>
          <w:rStyle w:val="Refdenotaderodap"/>
        </w:rPr>
        <w:footnoteReference w:id="33"/>
      </w:r>
      <w:r w:rsidRPr="008939F2">
        <w:t>, embora o México tivesse abolido o escravismo e fossem precisamente os estados escravocratas do sul dos Estados Unidos os mais interessados na anexação do Texas</w:t>
      </w:r>
      <w:r w:rsidRPr="008939F2">
        <w:rPr>
          <w:rStyle w:val="Refdenotaderodap"/>
        </w:rPr>
        <w:footnoteReference w:id="34"/>
      </w:r>
      <w:r w:rsidRPr="008939F2">
        <w:t>. A absurda conjugação do imperialismo com a apologia da liberdade foi inventada pela democracia norte-americana antes de ser utilizada pelo fascismo nipónico. No seu livro publicado em 1923 Kita citou a doutrina Monroe como um precedente da estratégia que haveria de assegurar ao Japão a supremacia na Ásia</w:t>
      </w:r>
      <w:r w:rsidRPr="008939F2">
        <w:rPr>
          <w:rStyle w:val="Refdenotaderodap"/>
        </w:rPr>
        <w:footnoteReference w:id="35"/>
      </w:r>
      <w:r w:rsidRPr="008939F2">
        <w:t>, e num artigo de 1939 Kamikawa Hikomatsu, especialista de relações internacionais, sublinhou o carácter simultaneamente anticolonialista e expansionista do pan-asiatismo nipónico e da doutrina Monroe</w:t>
      </w:r>
      <w:r w:rsidRPr="008939F2">
        <w:rPr>
          <w:rStyle w:val="Refdenotaderodap"/>
        </w:rPr>
        <w:footnoteReference w:id="36"/>
      </w:r>
      <w:r w:rsidRPr="008939F2">
        <w:t xml:space="preserve">. </w:t>
      </w:r>
    </w:p>
    <w:p w:rsidR="00A1546C" w:rsidRPr="008939F2" w:rsidRDefault="00A1546C" w:rsidP="00A1546C">
      <w:r w:rsidRPr="008939F2">
        <w:t>A Esfera da Co-Prosperidade foi proclamada sob o lema «a Ásia para os asiáticos»</w:t>
      </w:r>
      <w:r w:rsidRPr="008939F2">
        <w:rPr>
          <w:rStyle w:val="Refdenotaderodap"/>
        </w:rPr>
        <w:footnoteReference w:id="37"/>
      </w:r>
      <w:r w:rsidRPr="008939F2">
        <w:t>, mas é necessário entender que havia asiáticos e asiáticos. O centro industrial da zona que no plano de Dezembro de 1941 haveria de constituir a primeira Esfera da Co-Prosperidade era formado pelo Japão, a Manchúria, a Coreia e o nordeste da China</w:t>
      </w:r>
      <w:r w:rsidRPr="008939F2">
        <w:rPr>
          <w:rStyle w:val="Refdenotaderodap"/>
        </w:rPr>
        <w:footnoteReference w:id="38"/>
      </w:r>
      <w:r w:rsidRPr="008939F2">
        <w:t xml:space="preserve">. Aqui, a pretensa acção libertadora das forças armadas nipónicas não deixava lugar para dúvidas quanto ao seu </w:t>
      </w:r>
      <w:r w:rsidRPr="008939F2">
        <w:lastRenderedPageBreak/>
        <w:t xml:space="preserve">significado. A Coreia, </w:t>
      </w:r>
      <w:r>
        <w:t xml:space="preserve">onde a influência japonesa progredira desde </w:t>
      </w:r>
      <w:r w:rsidRPr="008939F2">
        <w:t xml:space="preserve">1894, </w:t>
      </w:r>
      <w:r>
        <w:t xml:space="preserve">tornara-se um protectorado nipónico em 1905 e </w:t>
      </w:r>
      <w:r w:rsidRPr="008939F2">
        <w:t xml:space="preserve">fora formalmente anexada </w:t>
      </w:r>
      <w:r>
        <w:t>cinco anos depois</w:t>
      </w:r>
      <w:r w:rsidRPr="008939F2">
        <w:t xml:space="preserve">. A Manchúria e o demais nordeste chinês estavam ocupados militarmente, as suas administrações eram dirigidas por burocratas japoneses </w:t>
      </w:r>
      <w:r>
        <w:t xml:space="preserve">e </w:t>
      </w:r>
      <w:r w:rsidRPr="008939F2">
        <w:t>a sua economia ficara nas mãos do capitalismo japonês</w:t>
      </w:r>
      <w:r>
        <w:t xml:space="preserve">. Aliás, </w:t>
      </w:r>
      <w:r w:rsidRPr="008939F2">
        <w:t xml:space="preserve">parece que no Manchukuo as autoridades militares </w:t>
      </w:r>
      <w:r>
        <w:t>nipónicas</w:t>
      </w:r>
      <w:r w:rsidRPr="008939F2">
        <w:t xml:space="preserve"> não depositavam muita confiança nos quatro maiores grupos empresariais</w:t>
      </w:r>
      <w:r>
        <w:t xml:space="preserve"> do seu país</w:t>
      </w:r>
      <w:r w:rsidRPr="008939F2">
        <w:t>, que haviam estado ligados aos partidos parlamentares, e estimularam o desenvolvimento de outros grupos, quando não foi o próprio exército a assumir iniciativas económicas em grande escala</w:t>
      </w:r>
      <w:r w:rsidRPr="008939F2">
        <w:rPr>
          <w:rStyle w:val="Refdenotaderodap"/>
        </w:rPr>
        <w:footnoteReference w:id="39"/>
      </w:r>
      <w:r w:rsidRPr="008939F2">
        <w:t>. Estes territórios só tinham de seu os palácios, para um imperador sem poderes no Manchukuo, para um presidente fictício em Nanking, que davam à nova espoliação colonial o indispensável verniz demagógico. Indispensável porque na parte meridional da Esfera da Co-Prosperidade os militares japoneses não tinham a intenção de manter indefinidamente formas directas de governo, excepto na Austrália e na Nova Zelândia, onde a necessidade de erradicar a cultura europeia imporia a presença de governadores-gerais japoneses. De resto, segundo as decisões tomadas pelas autoridades de Tóquio em Novembro de 1941, os territórios colonizados onde praticamente toda a população fosse asiática e onde a presença europeia ou norte-americana se tivesse limitado aos militares e aos funcionários administrativos poderiam, depois de uma fase de transição, auto-administrar-se ou mesmo aceder à independência</w:t>
      </w:r>
      <w:r w:rsidRPr="008939F2">
        <w:rPr>
          <w:rStyle w:val="Refdenotaderodap"/>
        </w:rPr>
        <w:footnoteReference w:id="40"/>
      </w:r>
      <w:r w:rsidRPr="008939F2">
        <w:t xml:space="preserve">. Como estes territórios se destinavam apenas a fornecer matérias-primas, bastariam os mecanismos do mercado para </w:t>
      </w:r>
      <w:r w:rsidR="006B26CA">
        <w:t xml:space="preserve">os </w:t>
      </w:r>
      <w:r w:rsidRPr="008939F2">
        <w:t>mant</w:t>
      </w:r>
      <w:r w:rsidR="006B26CA">
        <w:t>er</w:t>
      </w:r>
      <w:r w:rsidRPr="008939F2">
        <w:t xml:space="preserve"> sob o controlo do centro industrial hegemónico. Os teóricos e políticos do fascismo nipónico apresentavam a complementaridade entre o centro industrial</w:t>
      </w:r>
      <w:r w:rsidR="00E14EFB">
        <w:t>izado</w:t>
      </w:r>
      <w:r w:rsidRPr="008939F2">
        <w:t xml:space="preserve"> e a periferia </w:t>
      </w:r>
      <w:r w:rsidR="00FA47DE">
        <w:t>reduzida ao sector primário</w:t>
      </w:r>
      <w:r w:rsidRPr="008939F2">
        <w:t xml:space="preserve"> não como uma modalidade de imperialismo, mas como uma forma de realizar a harmonia económica através da divisão internacional do trabalho</w:t>
      </w:r>
      <w:r w:rsidRPr="008939F2">
        <w:rPr>
          <w:rStyle w:val="Refdenotaderodap"/>
        </w:rPr>
        <w:footnoteReference w:id="41"/>
      </w:r>
      <w:r w:rsidRPr="008939F2">
        <w:t xml:space="preserve">. Como se vê, o neocolonialismo ocidental, tanto democrático como soviético, não inovou no pós-guerra. </w:t>
      </w:r>
    </w:p>
    <w:p w:rsidR="00A1546C" w:rsidRPr="008939F2" w:rsidRDefault="00A1546C" w:rsidP="00A1546C">
      <w:r w:rsidRPr="008939F2">
        <w:t>Mas não apressemos a história, porque se tratou efectivamente de uma história, quero dizer, existiu uma continuidade entre o processo de descolonização prosseguido na Esfera da Co-Prosperidade e as lutas pela independência que tiveram lugar nesta zona depois da capitulação das tropas japonesas em Agosto de 1945</w:t>
      </w:r>
      <w:r w:rsidRPr="008939F2">
        <w:rPr>
          <w:rStyle w:val="Refdenotaderodap"/>
        </w:rPr>
        <w:footnoteReference w:id="42"/>
      </w:r>
      <w:r w:rsidRPr="008939F2">
        <w:t>. Alguns autores pretendem que as medidas de emancipação e de autonomia que as forças armadas nipónicas tomaram em benefício das populações dos territórios ocupados se deve</w:t>
      </w:r>
      <w:r>
        <w:t>ram</w:t>
      </w:r>
      <w:r w:rsidRPr="008939F2">
        <w:t xml:space="preserve"> </w:t>
      </w:r>
      <w:r w:rsidRPr="00BD3270">
        <w:t xml:space="preserve">unicamente </w:t>
      </w:r>
      <w:r w:rsidRPr="008939F2">
        <w:t>às contingências da guerra</w:t>
      </w:r>
      <w:r>
        <w:t>,</w:t>
      </w:r>
      <w:r w:rsidRPr="008939F2">
        <w:t xml:space="preserve"> destina</w:t>
      </w:r>
      <w:r>
        <w:t>ndo-se</w:t>
      </w:r>
      <w:r w:rsidRPr="008939F2">
        <w:t xml:space="preserve"> a revigorar a sua capacidade defensiva perante os assaltos dos Aliados. </w:t>
      </w:r>
      <w:r w:rsidRPr="008939F2">
        <w:lastRenderedPageBreak/>
        <w:t xml:space="preserve">Mas estes autores esquecem-se de averiguar a razão por que os holandeses e os franceses não recorreram a iniciativas idênticas quando tiveram de enfrentar os invasores japoneses. </w:t>
      </w:r>
      <w:r w:rsidR="00664CEF">
        <w:t xml:space="preserve">Talvez fosse </w:t>
      </w:r>
      <w:r w:rsidR="009C1B72">
        <w:t xml:space="preserve">esse o motivo por </w:t>
      </w:r>
      <w:r w:rsidR="00664CEF">
        <w:t>que um jornalista experiente, e historiador do jornalismo, observ</w:t>
      </w:r>
      <w:r w:rsidR="00306EE2">
        <w:t>ou</w:t>
      </w:r>
      <w:r w:rsidR="00664CEF">
        <w:t xml:space="preserve"> que «no Extremo-Oriente, em 1941, [...] muitos correspondentes tinham entendido claramente que, apesar das declarações oficiais, </w:t>
      </w:r>
      <w:r w:rsidR="007177AF">
        <w:t>havia uma perturbante falta de entusiasmo para resistir à avançada japonesa»</w:t>
      </w:r>
      <w:r w:rsidR="00B26CC8">
        <w:rPr>
          <w:rStyle w:val="Refdenotaderodap"/>
        </w:rPr>
        <w:footnoteReference w:id="43"/>
      </w:r>
      <w:r w:rsidR="007177AF">
        <w:t xml:space="preserve">. </w:t>
      </w:r>
      <w:r w:rsidRPr="008939F2">
        <w:t>É certo que o general MacArthur mobilizou e armou mais de cem mil filipinos</w:t>
      </w:r>
      <w:r w:rsidRPr="008939F2">
        <w:rPr>
          <w:rStyle w:val="Refdenotaderodap"/>
        </w:rPr>
        <w:footnoteReference w:id="44"/>
      </w:r>
      <w:r w:rsidRPr="008939F2">
        <w:t xml:space="preserve">, mas as condições ali eram muito diferentes porque a independência do arquipélago havia já sido prometida pelo governo dos Estados Unidos. </w:t>
      </w:r>
      <w:r>
        <w:t>N</w:t>
      </w:r>
      <w:r w:rsidRPr="008939F2">
        <w:t>os outros territórios bastava organizar os nativos em corpos de voluntários e distribuir-lhes armas, mesmo rudimentares, para que a vontade de independência se enraizasse em amplas camadas populares. Quando até os mais fanáticos oficiais japoneses compreenderam que a guerra estava perdida, as autoridades nipónicas prepararam um pós-guerra que assegurasse pelo menos um dos propósitos da Esfera da Co-Prosperidade e comprometesse definitivamente o colonialismo europeu e norte-americano no leste asiático</w:t>
      </w:r>
      <w:r w:rsidRPr="008939F2">
        <w:rPr>
          <w:rStyle w:val="Refdenotaderodap"/>
        </w:rPr>
        <w:footnoteReference w:id="45"/>
      </w:r>
      <w:r w:rsidRPr="008939F2">
        <w:t>. «Com a proclamação oficial das suas aspirações na Ásia, às quais se associaram os chefes fantoches dos povos subjugados, o Japão contava aumentar o apoio de que dispunha para travar batalhas que se anunciavam decisivas na guerra do Pacífico. Mas o aparelho organizativo empregue e mesmo alguns dos termos usados indicam que os japoneses procuravam sobretudo atingir um objectivo mais subtil», escrev</w:t>
      </w:r>
      <w:r>
        <w:t>eu</w:t>
      </w:r>
      <w:r w:rsidRPr="008939F2">
        <w:t xml:space="preserve"> em 1945, antes do final do conflito, um antigo funcionário do consulado norte-americano em Hong Kong. «Esse objectivo é o prolongamento da luta política na Ásia para além do termo da guerra actual»</w:t>
      </w:r>
      <w:r w:rsidRPr="008939F2">
        <w:rPr>
          <w:rStyle w:val="Refdenotaderodap"/>
        </w:rPr>
        <w:footnoteReference w:id="46"/>
      </w:r>
      <w:r w:rsidRPr="008939F2">
        <w:t>. E um francês que estivera internado num campo de prisioneiros na Indonésia observou que «os japoneses, se bem que, no sentido genérico da palavra, tivessem sido derrotados, “ganharam a guerra” neste canto da Ásia»</w:t>
      </w:r>
      <w:r w:rsidRPr="008939F2">
        <w:rPr>
          <w:rStyle w:val="Refdenotaderodap"/>
        </w:rPr>
        <w:footnoteReference w:id="47"/>
      </w:r>
      <w:r w:rsidRPr="008939F2">
        <w:t xml:space="preserve">. Enquanto mantiveram o ascendente, os fascistas nipónicos revelaram-se prudentes nos seus projectos de emancipação das populações colonizadas. Mas à medida que os Aliados adquiriram a supremacia, os governantes de Tóquio e as autoridades militares precipitaram os processos de independência, preferindo por vezes transferir o poder para nacionalistas de esquerda e até para comunistas do que devolvê-lo aos antigos colonizadores. E </w:t>
      </w:r>
      <w:r w:rsidR="00F96220">
        <w:t xml:space="preserve">ao </w:t>
      </w:r>
      <w:r w:rsidRPr="008939F2">
        <w:t>destrui</w:t>
      </w:r>
      <w:r w:rsidR="00F96220">
        <w:t>r</w:t>
      </w:r>
      <w:r w:rsidRPr="008939F2">
        <w:t xml:space="preserve"> as formas clássicas da presença ocidental na Ásia e cri</w:t>
      </w:r>
      <w:r w:rsidR="00F96220">
        <w:t>ar</w:t>
      </w:r>
      <w:r w:rsidRPr="008939F2">
        <w:t xml:space="preserve"> o quadro de um neocolonialismo de base económica, o Japão preparou o terreno para o seu próprio ressurgimento enquanto grande potência na região. </w:t>
      </w:r>
    </w:p>
    <w:p w:rsidR="00A1546C" w:rsidRPr="008939F2" w:rsidRDefault="00A1546C" w:rsidP="00D01136">
      <w:pPr>
        <w:pStyle w:val="Corpodetexto"/>
        <w:jc w:val="center"/>
        <w:rPr>
          <w:rFonts w:ascii="Arial Narrow" w:hAnsi="Arial Narrow"/>
        </w:rPr>
      </w:pPr>
      <w:r>
        <w:rPr>
          <w:rFonts w:ascii="Arial Narrow" w:hAnsi="Arial Narrow"/>
        </w:rPr>
        <w:lastRenderedPageBreak/>
        <w:t>2</w:t>
      </w:r>
      <w:r w:rsidRPr="008939F2">
        <w:rPr>
          <w:rFonts w:ascii="Arial Narrow" w:hAnsi="Arial Narrow"/>
        </w:rPr>
        <w:t xml:space="preserve">. Índias Orientais </w:t>
      </w:r>
      <w:r w:rsidR="002228D7">
        <w:rPr>
          <w:rFonts w:ascii="Arial Narrow" w:hAnsi="Arial Narrow"/>
        </w:rPr>
        <w:t>holandesas: O fascismo nipónico</w:t>
      </w:r>
      <w:r w:rsidR="002228D7">
        <w:rPr>
          <w:rFonts w:ascii="Arial Narrow" w:hAnsi="Arial Narrow"/>
        </w:rPr>
        <w:br/>
      </w:r>
      <w:r w:rsidRPr="008939F2">
        <w:rPr>
          <w:rFonts w:ascii="Arial Narrow" w:hAnsi="Arial Narrow"/>
        </w:rPr>
        <w:t>criou as instituições da independência</w:t>
      </w:r>
    </w:p>
    <w:p w:rsidR="00A1546C" w:rsidRPr="008939F2" w:rsidRDefault="00A1546C" w:rsidP="00A1546C">
      <w:r w:rsidRPr="008939F2">
        <w:t>O sucedido nas Índias Orientais holandesas fornece talvez o melhor exemplo de continuidade no processo de descolonização. O completo esmagamento dos comunistas indonésios após as insurreições malogradas de 1926 e 1927 mostrara a insuficiência dos intelectuais modernos e do proletariado urbano das ilhas enquanto base da luta anticolonial</w:t>
      </w:r>
      <w:r w:rsidRPr="008939F2">
        <w:rPr>
          <w:rStyle w:val="Refdenotaderodap"/>
        </w:rPr>
        <w:footnoteReference w:id="48"/>
      </w:r>
      <w:r w:rsidRPr="008939F2">
        <w:t xml:space="preserve">. Por seu lado, o declínio da organização confessional muçulmana revelara a incapacidade dos sectores tradicionalistas para implantarem um Estado autónomo. Os novos políticos nacionalistas que ascenderam a partir de 1927 </w:t>
      </w:r>
      <w:r>
        <w:t xml:space="preserve">levaram </w:t>
      </w:r>
      <w:r w:rsidRPr="008939F2">
        <w:t xml:space="preserve">todas as correntes de emancipação, incluindo a islâmica e a comunista, e todas as forças sociais, tanto arcaicas como modernas, </w:t>
      </w:r>
      <w:r>
        <w:t>a</w:t>
      </w:r>
      <w:r w:rsidRPr="008939F2">
        <w:t xml:space="preserve"> inseri</w:t>
      </w:r>
      <w:r>
        <w:t>r-</w:t>
      </w:r>
      <w:r w:rsidRPr="008939F2">
        <w:t>se numa plataforma comum, que encontrava na constituição de um Estado indonésio a sua justificação última e única</w:t>
      </w:r>
      <w:r w:rsidRPr="008939F2">
        <w:rPr>
          <w:rStyle w:val="Refdenotaderodap"/>
        </w:rPr>
        <w:footnoteReference w:id="49"/>
      </w:r>
      <w:r w:rsidRPr="008939F2">
        <w:t xml:space="preserve">. </w:t>
      </w:r>
    </w:p>
    <w:p w:rsidR="00A1546C" w:rsidRPr="008939F2" w:rsidRDefault="00A1546C" w:rsidP="00A1546C">
      <w:r w:rsidRPr="008939F2">
        <w:t>As principais personalidades deste novo nacionalismo, Achmad Sukarno, Mohammad Hatta e Sutan Sjahrir, estavam na prisão ou deportadas quando as tropas japonesas invadiram as Índias Orientais holandesas em 1942. A roda da fortuna moveu-se, as autoridades coloniais foram detidas, os cabecilhas da independência foram postos em liberdade e os japoneses viram-se saudados como emancipadores não só pelos antigos prisioneiros políticos mas por toda a população autóctone. Grandes esperanças, que no final não foram desmentidas. Os novos ocupantes proibiram que se falasse holandês e estimularam o emprego do indonésio enquanto língua unificadora</w:t>
      </w:r>
      <w:r w:rsidRPr="008939F2">
        <w:rPr>
          <w:rStyle w:val="Refdenotaderodap"/>
        </w:rPr>
        <w:footnoteReference w:id="50"/>
      </w:r>
      <w:r w:rsidRPr="008939F2">
        <w:t>, e em Agosto de 1943 criaram Conselhos Consultivos nos vários distritos e circunscrições, encabeçados por um Conselho Consultivo Central</w:t>
      </w:r>
      <w:r w:rsidRPr="008939F2">
        <w:rPr>
          <w:rStyle w:val="Refdenotaderodap"/>
        </w:rPr>
        <w:footnoteReference w:id="51"/>
      </w:r>
      <w:r w:rsidRPr="008939F2">
        <w:t>. No final do ano seguinte o sistema ampliou-se à administração militar nipónica, que passou a contar com a presença de consultores indonésios</w:t>
      </w:r>
      <w:r w:rsidRPr="008939F2">
        <w:rPr>
          <w:rStyle w:val="Refdenotaderodap"/>
        </w:rPr>
        <w:footnoteReference w:id="52"/>
      </w:r>
      <w:r w:rsidRPr="008939F2">
        <w:t xml:space="preserve">. </w:t>
      </w:r>
      <w:r>
        <w:t xml:space="preserve">E apesar de </w:t>
      </w:r>
      <w:r w:rsidRPr="008939F2">
        <w:t xml:space="preserve">mais de metade dos membros do Conselho Central </w:t>
      </w:r>
      <w:r>
        <w:t>ser</w:t>
      </w:r>
      <w:r w:rsidRPr="008939F2">
        <w:t xml:space="preserve"> nomeada pelo comandante-chefe japonês e </w:t>
      </w:r>
      <w:r>
        <w:t>de</w:t>
      </w:r>
      <w:r w:rsidRPr="008939F2">
        <w:t xml:space="preserve"> os assessores nativos </w:t>
      </w:r>
      <w:r>
        <w:t>terem</w:t>
      </w:r>
      <w:r w:rsidRPr="008939F2">
        <w:t xml:space="preserve"> capacidades de intervenção muito reduzidas</w:t>
      </w:r>
      <w:r w:rsidRPr="008939F2">
        <w:rPr>
          <w:rStyle w:val="Refdenotaderodap"/>
        </w:rPr>
        <w:footnoteReference w:id="53"/>
      </w:r>
      <w:r w:rsidRPr="008939F2">
        <w:t>, trat</w:t>
      </w:r>
      <w:r>
        <w:t>ou-</w:t>
      </w:r>
      <w:r w:rsidRPr="008939F2">
        <w:t xml:space="preserve">se de uma alteração profunda da sociedade colonial. No entanto, talvez o efeito mais considerável, e a longo prazo mais duradouro, da mudança de regime tivesse sido a mobilização de vastas camadas populares javanesas e o seu lançamento na acção política. Enquanto sob a colonização holandesa o movimento independentista tocara um número relativamente reduzido de militantes, em Java os militares nipónicos criaram </w:t>
      </w:r>
      <w:r w:rsidRPr="008939F2">
        <w:lastRenderedPageBreak/>
        <w:t xml:space="preserve">organizações nacionalistas de massas, recrutaram jovens e mulheres, fundaram uma multiplicidade de associações de carácter profissional e corporativo e estimularam grupos culturais. As novas autoridades agiram, porém, de maneira mais moderada nas outras ilhas, onde se experimentou apenas o reflexo do movimento ocorrido em Java, e decerto isto contribuiu para impedir </w:t>
      </w:r>
      <w:r w:rsidR="00E81CB8">
        <w:t xml:space="preserve">que </w:t>
      </w:r>
      <w:r w:rsidR="00E81CB8" w:rsidRPr="008939F2">
        <w:t xml:space="preserve">forças centrífugas regionais </w:t>
      </w:r>
      <w:r w:rsidRPr="008939F2">
        <w:t>fragmenta</w:t>
      </w:r>
      <w:r w:rsidR="00E81CB8">
        <w:t>ssem</w:t>
      </w:r>
      <w:r w:rsidRPr="008939F2">
        <w:t xml:space="preserve"> o país</w:t>
      </w:r>
      <w:r w:rsidRPr="008939F2">
        <w:rPr>
          <w:rStyle w:val="Refdenotaderodap"/>
        </w:rPr>
        <w:footnoteReference w:id="54"/>
      </w:r>
      <w:r w:rsidRPr="008939F2">
        <w:t>. Ao mesmo tempo que se convulsionou assim de cima a baixo a sociedade javanesa, precipitou-se a transformação das classes dominantes nativas. Os dirigentes independentistas que colaboravam com os ocupantes situaram-se, evidentemente, no topo do novo sistema, mas os japoneses promoveram ainda as autoridades religiosas islâmicas e os intelectuais islâmicos e, mais tarde, as forças armadas indonésias criadas por iniciativa nipónica encontraram também lugar entre as novas elites</w:t>
      </w:r>
      <w:r w:rsidRPr="008939F2">
        <w:rPr>
          <w:rStyle w:val="Refdenotaderodap"/>
        </w:rPr>
        <w:footnoteReference w:id="55"/>
      </w:r>
      <w:r w:rsidRPr="008939F2">
        <w:t xml:space="preserve">. </w:t>
      </w:r>
    </w:p>
    <w:p w:rsidR="00A1546C" w:rsidRPr="008939F2" w:rsidRDefault="00A1546C" w:rsidP="00A1546C">
      <w:r w:rsidRPr="008939F2">
        <w:t>Num tecido social que sofria modificações tão profundas, os ocupantes reforçaram a autoridade dos dirigentes nacionalistas criando, em Março de 1943, o Centro do Poder Popular, sob a presidência de Sukarno e com Hatta na vice-presidência</w:t>
      </w:r>
      <w:r w:rsidRPr="008939F2">
        <w:rPr>
          <w:rStyle w:val="Refdenotaderodap"/>
        </w:rPr>
        <w:footnoteReference w:id="56"/>
      </w:r>
      <w:r w:rsidRPr="008939F2">
        <w:t>. No Centro articulavam-se duas faces do mesmo projecto, a defesa das aspirações de independência e o apoio ao esforço de guerra do Japão. E que melhor maneira de unir na prática ambos os aspectos do que administrar um programa de trabalhos forçados em prol das necessidades militares do ocupante? Os colonialistas holandeses haviam já imposto regularmente o trabalho forçado e a deslocação obrigatória de mão-de-obra, e com a ajuda dos dirigentes nacionalistas esta prática atingiu enorme extensão</w:t>
      </w:r>
      <w:r w:rsidRPr="008939F2">
        <w:rPr>
          <w:rStyle w:val="Refdenotaderodap"/>
        </w:rPr>
        <w:footnoteReference w:id="57"/>
      </w:r>
      <w:r w:rsidRPr="008939F2">
        <w:t>. Enquanto cimentavam a aliança com Tóquio, Sukarno e os seus colegas exercitavam-se na principal aptid</w:t>
      </w:r>
      <w:r>
        <w:t>ão</w:t>
      </w:r>
      <w:r w:rsidRPr="008939F2">
        <w:t xml:space="preserve"> </w:t>
      </w:r>
      <w:r>
        <w:t xml:space="preserve">de </w:t>
      </w:r>
      <w:r w:rsidRPr="008939F2">
        <w:t xml:space="preserve">qualquer governante, obrigar o proletariado a produzir. Estrutura política, estrutura repressiva, faltava para completar a panóplia de um Estado que se preze a estrutura militar. Os japoneses permitiram rapidamente mais este passo na preparação da autonomia das ilhas, e nos últimos meses de 1943 instrutores nipónicos organizaram um exército de voluntários, os Peta, munidos de armas de fogo, que no final da guerra somariam cerca de trinta e oito mil soldados e oficiais, aos quais se acrescentavam vinte e cinco mil </w:t>
      </w:r>
      <w:r w:rsidRPr="008939F2">
        <w:lastRenderedPageBreak/>
        <w:t>auxiliares e cinquenta mil membros de organizações defensivas armados de maneira rudimentar</w:t>
      </w:r>
      <w:r w:rsidRPr="008939F2">
        <w:rPr>
          <w:rStyle w:val="Refdenotaderodap"/>
        </w:rPr>
        <w:footnoteReference w:id="58"/>
      </w:r>
      <w:r w:rsidRPr="008939F2">
        <w:t>. Nos primeiros dias de 1945 os jovens muçulmanos foram igualmente reunidos em grupos de defesa</w:t>
      </w:r>
      <w:r w:rsidRPr="008939F2">
        <w:rPr>
          <w:rStyle w:val="Refdenotaderodap"/>
        </w:rPr>
        <w:footnoteReference w:id="59"/>
      </w:r>
      <w:r w:rsidRPr="008939F2">
        <w:t>. Entretanto, o corpo civil destinado a ajudar a polícia ultrapassava um milhão de membros</w:t>
      </w:r>
      <w:r w:rsidRPr="008939F2">
        <w:rPr>
          <w:rStyle w:val="Refdenotaderodap"/>
        </w:rPr>
        <w:footnoteReference w:id="60"/>
      </w:r>
      <w:r w:rsidRPr="008939F2">
        <w:t>. A estrutura foi tão eficaz que poucos anos depois os Peta constituíram o núcleo do exército republicano na luta contra o colonialismo holandês</w:t>
      </w:r>
      <w:r w:rsidRPr="008939F2">
        <w:rPr>
          <w:rStyle w:val="Refdenotaderodap"/>
        </w:rPr>
        <w:footnoteReference w:id="61"/>
      </w:r>
      <w:r w:rsidRPr="008939F2">
        <w:t xml:space="preserve">. </w:t>
      </w:r>
    </w:p>
    <w:p w:rsidR="00A1546C" w:rsidRPr="008939F2" w:rsidRDefault="00A1546C" w:rsidP="00A1546C">
      <w:r w:rsidRPr="008939F2">
        <w:t xml:space="preserve">É certo que nem todos os partidários da independência se inseriram nas novas instituições. Os comunistas prosseguiram contra o fascismo nipónico a mesma resistência com que se haviam antes oposto ao colonialismo holandês, mas </w:t>
      </w:r>
      <w:r w:rsidR="00DA1836">
        <w:t>as suas</w:t>
      </w:r>
      <w:r w:rsidRPr="008939F2">
        <w:t xml:space="preserve"> acções foram pouco significativas</w:t>
      </w:r>
      <w:r w:rsidRPr="008939F2">
        <w:rPr>
          <w:rStyle w:val="Refdenotaderodap"/>
        </w:rPr>
        <w:footnoteReference w:id="62"/>
      </w:r>
      <w:r w:rsidRPr="008939F2">
        <w:t>. E alguns nacionalistas, orientados por Sutan Sjahrir, abstiveram-se de colaborar com os japoneses e distanciaram-se da vida pública, embora talvez Sjahrir se tivesse mantido discretamente em contacto com Hatta</w:t>
      </w:r>
      <w:r w:rsidRPr="008939F2">
        <w:rPr>
          <w:rStyle w:val="Refdenotaderodap"/>
        </w:rPr>
        <w:footnoteReference w:id="63"/>
      </w:r>
      <w:r w:rsidRPr="008939F2">
        <w:t>. Todavia, foram as organizações surgidas graças à colaboração com o ocupante que se situaram no centro dos acontecimentos. O primeiro-ministro nipónico abstivera-se de mencionar a Indonésia quando prometera a independência à Birmânia e às Filipinas, em Janeiro de 1943, e a Conferência Imperial reunida no final de Maio desse ano decidira conservar as Índias Orientais como território nipónico, embora permitindo que os nativos participassem nas questões administrativas</w:t>
      </w:r>
      <w:r w:rsidRPr="008939F2">
        <w:rPr>
          <w:rStyle w:val="Refdenotaderodap"/>
        </w:rPr>
        <w:footnoteReference w:id="64"/>
      </w:r>
      <w:r w:rsidRPr="008939F2">
        <w:t>. Em Novembro, Sukarno deslocou-se a Tóquio para implorar a independência do seu país, mas com tão poucos resultados que em Março do ano seguinte o Centro do Poder Popular foi dissolvido e substituído pela Associação da Lealdade Popular, um organismo muitíssimo vasto e ainda mais estreitamente subordinado às necessidades do ocupante. Além dos indonésios, a nova Associação incluiu representantes das comunidades de origem chinesa e árabe e absorveu todas as associações de carácter social e profissional, duplicando de facto as administrações provinciais e locais e assumindo funções de controlo social, policiamento, assistência económica e propaganda</w:t>
      </w:r>
      <w:r w:rsidRPr="008939F2">
        <w:rPr>
          <w:rStyle w:val="Refdenotaderodap"/>
        </w:rPr>
        <w:footnoteReference w:id="65"/>
      </w:r>
      <w:r w:rsidRPr="008939F2">
        <w:t xml:space="preserve">. Porém, em Setembro de 1944 o novo primeiro-ministro japonês anunciou a intenção de preparar as Índias Orientais para </w:t>
      </w:r>
      <w:r w:rsidRPr="008939F2">
        <w:lastRenderedPageBreak/>
        <w:t>a autodeterminação, num futuro ainda incerto</w:t>
      </w:r>
      <w:r w:rsidRPr="008939F2">
        <w:rPr>
          <w:rStyle w:val="Refdenotaderodap"/>
        </w:rPr>
        <w:footnoteReference w:id="66"/>
      </w:r>
      <w:r w:rsidRPr="008939F2">
        <w:t>, e em Março de 1945 foi estabelecido por iniciativa da administração militar ocupante um Departamento de Estudos para a Preparação da Independência da Indonésia, que haveria de completar em Julho a redacção de um projecto de constituição</w:t>
      </w:r>
      <w:r w:rsidRPr="008939F2">
        <w:rPr>
          <w:rStyle w:val="Refdenotaderodap"/>
        </w:rPr>
        <w:footnoteReference w:id="67"/>
      </w:r>
      <w:r w:rsidRPr="008939F2">
        <w:t xml:space="preserve">. Foi neste contexto, no primeiro dia de Junho, que Sukarno proferiu aquele que seria o mais famoso de tantos discursos célebres, em que definiu os princípios básicos do novo Estado, cartilha que desde então se mantém inalterada. </w:t>
      </w:r>
    </w:p>
    <w:p w:rsidR="00A1546C" w:rsidRPr="008939F2" w:rsidRDefault="00A1546C" w:rsidP="00A1546C">
      <w:r w:rsidRPr="008939F2">
        <w:t>Reparemos nas datas. Ninguém, em Tóquio, em Djakarta ou em qualquer outro lugar, ignorava então a iminente derrota nipónica. E se o fascismo podia prosseguir as iniciativas descolonizadoras, isto devia-se ao respeito que por ele manifestavam os dirigentes independentistas. Nas vésperas da capitulação japonesa, em 9 de Agosto de 1945, precisamente no dia em que era lançada sobre Nagasaki a segunda bomba atómica, quando a Esfera da Co-Prosperidade explodia em radiações, por entre as ruínas e o caos, Sukarno e Hatta foram transportados para Saigão, a tempo de receberem pessoalmente de um parente do imperador, o marechal conde Terauchi Hisaichi, comandante supremo das forças japonesas no sudeste asiático, o decreto imperial que prometia a independência de Java para o dia 7 de Setembro, seguida pela independência de Sumatra e das ilhas da periferia</w:t>
      </w:r>
      <w:r w:rsidRPr="008939F2">
        <w:rPr>
          <w:rStyle w:val="Refdenotaderodap"/>
        </w:rPr>
        <w:footnoteReference w:id="68"/>
      </w:r>
      <w:r w:rsidRPr="008939F2">
        <w:t>. Faltava só o derradeiro acto, a proclamação solene. Mas a população dav</w:t>
      </w:r>
      <w:r>
        <w:t>a mostras de não querer esperar</w:t>
      </w:r>
      <w:r w:rsidRPr="008939F2">
        <w:t xml:space="preserve"> e os jovens mais impacientes apoderaram-se fisicamente de Sukarno e de Hatta, persuadindo-os </w:t>
      </w:r>
      <w:r w:rsidR="00081D99">
        <w:t>—</w:t>
      </w:r>
      <w:r w:rsidRPr="008939F2">
        <w:t xml:space="preserve"> como não? </w:t>
      </w:r>
      <w:r w:rsidR="00081D99">
        <w:t>—</w:t>
      </w:r>
      <w:r w:rsidRPr="008939F2">
        <w:t xml:space="preserve"> a proclamarem eles próprios a independência e a darem o epílogo a um processo que ocorrera inteiramente no quadro do fascismo japonês</w:t>
      </w:r>
      <w:r w:rsidRPr="008939F2">
        <w:rPr>
          <w:rStyle w:val="Refdenotaderodap"/>
        </w:rPr>
        <w:footnoteReference w:id="69"/>
      </w:r>
      <w:r w:rsidRPr="008939F2">
        <w:t xml:space="preserve">. </w:t>
      </w:r>
    </w:p>
    <w:p w:rsidR="00A1546C" w:rsidRPr="008939F2" w:rsidRDefault="00A1546C" w:rsidP="00A1546C">
      <w:r w:rsidRPr="008939F2">
        <w:t xml:space="preserve">Quando, nos anos seguintes, a República da Indonésia prosseguiu a guerra contra uma Holanda que não aprendera ainda que as circunstâncias haviam mudado, estava na realidade a defender contra as leis coloniais de uma democracia europeia a nova legalidade da autodeterminação que fora promovida na Esfera da Co-Prosperidade por um fascismo asiático. E mesmo em algumas formas de organização social que adoptaram para o seu país os dirigentes indonésios inspiraram-se na acção prosseguida pelos ocupantes japoneses. Seria bom que não </w:t>
      </w:r>
      <w:r w:rsidRPr="008939F2">
        <w:lastRenderedPageBreak/>
        <w:t xml:space="preserve">perdêssemos estes factos de vista ao recordarmos o papel desempenhado mais tarde por Sukarno entre os governantes do «terceiro mundo» e as suas estreitíssimas ligações </w:t>
      </w:r>
      <w:r>
        <w:t>a</w:t>
      </w:r>
      <w:r w:rsidRPr="008939F2">
        <w:t xml:space="preserve">o campo comunista. A Conferência de Bandung, </w:t>
      </w:r>
      <w:r w:rsidRPr="008513F9">
        <w:t>em que quase três dezenas de Estados afr</w:t>
      </w:r>
      <w:r>
        <w:t xml:space="preserve">icanos e </w:t>
      </w:r>
      <w:r w:rsidRPr="008513F9">
        <w:t>asiáticos condenaram o colonialismo e a discriminação racial</w:t>
      </w:r>
      <w:r>
        <w:t xml:space="preserve"> e </w:t>
      </w:r>
      <w:r w:rsidRPr="008939F2">
        <w:t xml:space="preserve">onde se formou o bloco dos países afro-asiáticos, </w:t>
      </w:r>
      <w:r w:rsidRPr="008513F9">
        <w:t xml:space="preserve">deveu-se em grande parte à iniciativa </w:t>
      </w:r>
      <w:r w:rsidRPr="008939F2">
        <w:t>de Sukarno</w:t>
      </w:r>
      <w:r>
        <w:t xml:space="preserve">. </w:t>
      </w:r>
      <w:r w:rsidRPr="008939F2">
        <w:t>E Ba Maw, que lev</w:t>
      </w:r>
      <w:r>
        <w:t>ara</w:t>
      </w:r>
      <w:r w:rsidRPr="008939F2">
        <w:t xml:space="preserve"> a Birmânia à independência sob a tutela japonesa, observou nas suas </w:t>
      </w:r>
      <w:r w:rsidR="00800CB3" w:rsidRPr="008939F2">
        <w:t xml:space="preserve">Memórias </w:t>
      </w:r>
      <w:r w:rsidRPr="008939F2">
        <w:t>que sem a experiência prévia da Esfera da Co-Prosperidade a Conferência de Bandung teria sido impossível</w:t>
      </w:r>
      <w:r w:rsidRPr="008939F2">
        <w:rPr>
          <w:rStyle w:val="Refdenotaderodap"/>
        </w:rPr>
        <w:footnoteReference w:id="70"/>
      </w:r>
      <w:r w:rsidRPr="008939F2">
        <w:t xml:space="preserve">. </w:t>
      </w:r>
    </w:p>
    <w:p w:rsidR="00A1546C" w:rsidRPr="008939F2" w:rsidRDefault="00A1546C" w:rsidP="00C440A1">
      <w:pPr>
        <w:pStyle w:val="Corpodetexto"/>
        <w:jc w:val="center"/>
        <w:rPr>
          <w:rFonts w:ascii="Arial Narrow" w:hAnsi="Arial Narrow"/>
        </w:rPr>
      </w:pPr>
      <w:r>
        <w:rPr>
          <w:rFonts w:ascii="Arial Narrow" w:hAnsi="Arial Narrow"/>
        </w:rPr>
        <w:t>3</w:t>
      </w:r>
      <w:r w:rsidRPr="008939F2">
        <w:rPr>
          <w:rFonts w:ascii="Arial Narrow" w:hAnsi="Arial Narrow"/>
        </w:rPr>
        <w:t xml:space="preserve">. Timor português: A sociedade </w:t>
      </w:r>
      <w:r w:rsidR="002228D7">
        <w:rPr>
          <w:rFonts w:ascii="Arial Narrow" w:hAnsi="Arial Narrow"/>
        </w:rPr>
        <w:t>colonial dividiu-se</w:t>
      </w:r>
      <w:r w:rsidR="002228D7">
        <w:rPr>
          <w:rFonts w:ascii="Arial Narrow" w:hAnsi="Arial Narrow"/>
        </w:rPr>
        <w:br/>
      </w:r>
      <w:r w:rsidRPr="008939F2">
        <w:rPr>
          <w:rFonts w:ascii="Arial Narrow" w:hAnsi="Arial Narrow"/>
        </w:rPr>
        <w:t>entre os colonos que apo</w:t>
      </w:r>
      <w:r w:rsidR="002228D7">
        <w:rPr>
          <w:rFonts w:ascii="Arial Narrow" w:hAnsi="Arial Narrow"/>
        </w:rPr>
        <w:t>iaram os invasores democráticos</w:t>
      </w:r>
      <w:r w:rsidR="002228D7">
        <w:rPr>
          <w:rFonts w:ascii="Arial Narrow" w:hAnsi="Arial Narrow"/>
        </w:rPr>
        <w:br/>
      </w:r>
      <w:r w:rsidRPr="008939F2">
        <w:rPr>
          <w:rFonts w:ascii="Arial Narrow" w:hAnsi="Arial Narrow"/>
        </w:rPr>
        <w:t>e os nativos que saudaram como libertadores os novos ocupantes fascistas</w:t>
      </w:r>
    </w:p>
    <w:p w:rsidR="00A1546C" w:rsidRPr="008939F2" w:rsidRDefault="00A1546C" w:rsidP="00A1546C">
      <w:r w:rsidRPr="008939F2">
        <w:t>Encravada nas Índias Orientais holandesas, na periferia meridional da área de influência nipónica e a curta distância da Austrália, a pequena colónia portuguesa de Timor foi atravessada pela guerra, apesar da neutralidade em que se conservou o país colonizador. Em Dezembro de 1941, depois de terem apresentado um ultimato ao governador português, que se constituiu prisioneiro, entraram em Timor forças militares holandesas e australianas, seguidas pouco mais tarde, em Fevereiro de 1942, pelo exército japonês</w:t>
      </w:r>
      <w:r w:rsidRPr="008939F2">
        <w:rPr>
          <w:rStyle w:val="Refdenotaderodap"/>
        </w:rPr>
        <w:footnoteReference w:id="71"/>
      </w:r>
      <w:r w:rsidRPr="008939F2">
        <w:t>. O novo invasor desalojou das sua</w:t>
      </w:r>
      <w:r>
        <w:t>s</w:t>
      </w:r>
      <w:r w:rsidRPr="008939F2">
        <w:t xml:space="preserve"> posições os australianos e os holandeses, confinando-os durante algum tempo </w:t>
      </w:r>
      <w:r w:rsidR="00C440A1">
        <w:t>a</w:t>
      </w:r>
      <w:r w:rsidRPr="008939F2">
        <w:t xml:space="preserve"> meras acções de guerrilha e expulsando-os finalmente do território</w:t>
      </w:r>
      <w:r w:rsidRPr="008939F2">
        <w:rPr>
          <w:rStyle w:val="Refdenotaderodap"/>
        </w:rPr>
        <w:footnoteReference w:id="72"/>
      </w:r>
      <w:r w:rsidRPr="008939F2">
        <w:t>.</w:t>
      </w:r>
      <w:r w:rsidRPr="00B362AC">
        <w:rPr>
          <w:rStyle w:val="Refdenotaderodap"/>
        </w:rPr>
        <w:t xml:space="preserve"> </w:t>
      </w:r>
      <w:r w:rsidRPr="008939F2">
        <w:t>Peripécia insignificante no contexto d</w:t>
      </w:r>
      <w:r>
        <w:t>o</w:t>
      </w:r>
      <w:r w:rsidRPr="008939F2">
        <w:t xml:space="preserve"> conflito mundial, a ocupação múltipla da metade portuguesa da ilha teve, no entanto, o interesse de evidenciar a repartição daquela sociedade colonial entre as potências que se digladiavam. </w:t>
      </w:r>
    </w:p>
    <w:p w:rsidR="00A1546C" w:rsidRPr="008939F2" w:rsidRDefault="00A1546C" w:rsidP="00A1546C">
      <w:r w:rsidRPr="008939F2">
        <w:t>A influência japonesa no Timor português iniciara-se em 1936 através de uma companhia constituída parcialmente com capitais nipónicos e que, apesar de se denominar «sociedade agrícola», visava também a obtenção de uma autorização para levar a cabo prospecções petrolíferas</w:t>
      </w:r>
      <w:r w:rsidRPr="008939F2">
        <w:rPr>
          <w:rStyle w:val="Refdenotaderodap"/>
        </w:rPr>
        <w:footnoteReference w:id="73"/>
      </w:r>
      <w:r w:rsidRPr="008939F2">
        <w:t xml:space="preserve">. Seis anos mais tarde </w:t>
      </w:r>
      <w:r w:rsidR="00255A9B">
        <w:t>os</w:t>
      </w:r>
      <w:r w:rsidRPr="008939F2">
        <w:t xml:space="preserve"> </w:t>
      </w:r>
      <w:r w:rsidR="00255A9B">
        <w:t xml:space="preserve">invasores </w:t>
      </w:r>
      <w:r w:rsidRPr="008939F2">
        <w:t>japones</w:t>
      </w:r>
      <w:r w:rsidR="00255A9B">
        <w:t>e</w:t>
      </w:r>
      <w:r w:rsidRPr="008939F2">
        <w:t>s libertaram os presos da cadeia da capital</w:t>
      </w:r>
      <w:r w:rsidRPr="008939F2">
        <w:rPr>
          <w:rStyle w:val="Refdenotaderodap"/>
        </w:rPr>
        <w:footnoteReference w:id="74"/>
      </w:r>
      <w:r w:rsidRPr="008939F2">
        <w:t xml:space="preserve"> e a forçada inoperância das autoridades portuguesas facilitou a difusão de uma vaga de revoltas. Além de todos os motivos de agravo que os povos colonizados sempre </w:t>
      </w:r>
      <w:r w:rsidRPr="008939F2">
        <w:lastRenderedPageBreak/>
        <w:t xml:space="preserve">têm para com as administrações enviadas pela metrópole, os timorenses haviam padecido poucos anos atrás sob a demência de um governador que empregara o trabalho escravo de dezenas de leprosos, estimulados pelo chicote do capataz, para construírem uma estrada que não levava a parte </w:t>
      </w:r>
      <w:r w:rsidR="00255A9B">
        <w:t>nenhuma</w:t>
      </w:r>
      <w:r w:rsidRPr="008939F2">
        <w:rPr>
          <w:rStyle w:val="Refdenotaderodap"/>
        </w:rPr>
        <w:footnoteReference w:id="75"/>
      </w:r>
      <w:r w:rsidRPr="008939F2">
        <w:t>. Não escasseavam os rancores acumulados, e as populações começaram por pilhar residências de colonos e assaltar e destruir arquivos da administração. A sublevação alastrou, apoiada e enquadrada pelos novos ocupantes, que prometeram a autonomia e o fim do imposto colonial, e armaram destacamentos autóctones destinados a ajudá-los nas operações militares</w:t>
      </w:r>
      <w:r w:rsidRPr="008939F2">
        <w:rPr>
          <w:rStyle w:val="Refdenotaderodap"/>
        </w:rPr>
        <w:footnoteReference w:id="76"/>
      </w:r>
      <w:r w:rsidRPr="008939F2">
        <w:t>. As tropas portuguesas procuraram, é certo, reprimir as manifestações de descontentamento, mas na maior parte dos casos estavam condenadas à impotência, por um lado porque o estatuto de neutralidade não lhes permitia entrar em conflito com os japoneses, que apoiavam os insurrectos, e acima de tudo porque a inferioridade flagrante das suas armas lhes impunha a prudência</w:t>
      </w:r>
      <w:r w:rsidRPr="008939F2">
        <w:rPr>
          <w:rStyle w:val="Refdenotaderodap"/>
        </w:rPr>
        <w:footnoteReference w:id="77"/>
      </w:r>
      <w:r w:rsidRPr="008939F2">
        <w:t xml:space="preserve">. «[...] a nossa melindrosa situação e as reduzidas forças de que dispunha não me permitiam usar meios violentos», recordou nas suas </w:t>
      </w:r>
      <w:r w:rsidR="00255A9B" w:rsidRPr="008939F2">
        <w:t xml:space="preserve">Memórias </w:t>
      </w:r>
      <w:r w:rsidRPr="008939F2">
        <w:t>um oficial do exército português. «As retaliações ficariam para mais tarde, quando o nosso território deixasse de ser teatro de operações de guerra entre tropas estrangeiras»</w:t>
      </w:r>
      <w:r w:rsidRPr="008939F2">
        <w:rPr>
          <w:rStyle w:val="Refdenotaderodap"/>
        </w:rPr>
        <w:footnoteReference w:id="78"/>
      </w:r>
      <w:r w:rsidRPr="008939F2">
        <w:t>. Mas a repressão, quando pôde ser empregue, como sucedeu em Maubisse, também não trouxe os resultados esperados. «Sequiosos de vingança», escreveu aquele oficial, «fomos longe demais nas represálias. [...] Os exageros levaram a massa indígena, contaminada pela propaganda nipónica, a reagir em face do que julgou perseguição e não justiça»</w:t>
      </w:r>
      <w:r w:rsidRPr="008939F2">
        <w:rPr>
          <w:rStyle w:val="Refdenotaderodap"/>
        </w:rPr>
        <w:footnoteReference w:id="79"/>
      </w:r>
      <w:r w:rsidRPr="008939F2">
        <w:t xml:space="preserve">. A intervenção anticolonialista dos japoneses deixava sem efeito os recursos clássicos da administração portuguesa. </w:t>
      </w:r>
    </w:p>
    <w:p w:rsidR="00A1546C" w:rsidRPr="008939F2" w:rsidRDefault="00A1546C" w:rsidP="00A1546C">
      <w:r w:rsidRPr="008939F2">
        <w:t>Sem esperança de encontrarem socorro à sombra da bandeira do seu país, os colonos procuraram proteger-se da fúria dos autóctones colaborando activamente com as guerrilhas australianas e holandesas</w:t>
      </w:r>
      <w:r w:rsidRPr="008939F2">
        <w:rPr>
          <w:rStyle w:val="Refdenotaderodap"/>
        </w:rPr>
        <w:footnoteReference w:id="80"/>
      </w:r>
      <w:r w:rsidRPr="008939F2">
        <w:t xml:space="preserve">. «Desde o desembarque dos australianos», narrou o referido oficial português, testemunha de todos estes sucessos, «que entre a população branca se notava a existência de dois grupos de tendências opostas quanto à atitude a tomar perante os acontecimentos e cujas divergências mais se acentuaram depois da ocupação nipónica. O primeiro grupo, reduzido em número, mas englobando talvez os melhores valores do funcionalismo civil e militar, com alguns particulares e deportados, cumprindo as ordens da autoridade superior da colónia, [...] mantinha uma atitude de absoluta neutralidade, sem </w:t>
      </w:r>
      <w:r w:rsidRPr="008939F2">
        <w:lastRenderedPageBreak/>
        <w:t>convivência ou familiaridade com as tropas estrangeiras [...] O outro, mais numeroso, mais tarde engrossado ainda pelos pusilânimes, [...] compreendia todos os que, [...] esperançados numa fuga para a Austrália, que aliás lhes fora prometida, [...] se lançaram abertamente numa colaboração activa com estes beligerantes [...]»</w:t>
      </w:r>
      <w:r w:rsidRPr="008939F2">
        <w:rPr>
          <w:rStyle w:val="Refdenotaderodap"/>
        </w:rPr>
        <w:footnoteReference w:id="81"/>
      </w:r>
      <w:r w:rsidRPr="008939F2">
        <w:t>. Chegou-se ao ponto de muitos colonos sabotarem as diminutas operações a que o exército português se podia permitir e além disso lhe roubarem armas e munições, que entregavam aos guerrilheiros australianos e holandeses</w:t>
      </w:r>
      <w:r w:rsidRPr="008939F2">
        <w:rPr>
          <w:rStyle w:val="Refdenotaderodap"/>
        </w:rPr>
        <w:footnoteReference w:id="82"/>
      </w:r>
      <w:r w:rsidRPr="008939F2">
        <w:t>. Compreende-se que quando estes abandonaram a ilha, em finais de 1942, boa parte dos colonos portugueses os tivesse acompanhado até à Austrália</w:t>
      </w:r>
      <w:r w:rsidRPr="008939F2">
        <w:rPr>
          <w:rStyle w:val="Refdenotaderodap"/>
        </w:rPr>
        <w:footnoteReference w:id="83"/>
      </w:r>
      <w:r w:rsidRPr="008939F2">
        <w:t>. Os que ficaram foram internados pelas autoridades nipónicas numa área de concentração</w:t>
      </w:r>
      <w:r w:rsidRPr="008939F2">
        <w:rPr>
          <w:rStyle w:val="Refdenotaderodap"/>
        </w:rPr>
        <w:footnoteReference w:id="84"/>
      </w:r>
      <w:r w:rsidRPr="008939F2">
        <w:t xml:space="preserve">. </w:t>
      </w:r>
    </w:p>
    <w:p w:rsidR="00A1546C" w:rsidRPr="008939F2" w:rsidRDefault="00A1546C" w:rsidP="00A1546C">
      <w:r w:rsidRPr="008939F2">
        <w:t xml:space="preserve">A presença portuguesa reconstituiu-se em Timor após o final da guerra e por mais trinta anos. Mas enquanto durara o conflito a administração enviada pela metrópole ficara esvaziada de conteúdo e a sociedade colonial cindira-se a meio: as populações em revolta, apoiadas pelo fascismo japonês; os colonos em pânico, escudando-se com as tropas australianas e holandesas. </w:t>
      </w:r>
    </w:p>
    <w:p w:rsidR="00A1546C" w:rsidRPr="008939F2" w:rsidRDefault="00A1546C" w:rsidP="00897504">
      <w:pPr>
        <w:pStyle w:val="Corpodetexto"/>
        <w:jc w:val="center"/>
        <w:rPr>
          <w:rFonts w:ascii="Arial Narrow" w:hAnsi="Arial Narrow"/>
        </w:rPr>
      </w:pPr>
      <w:r>
        <w:rPr>
          <w:rFonts w:ascii="Arial Narrow" w:hAnsi="Arial Narrow"/>
        </w:rPr>
        <w:t>4</w:t>
      </w:r>
      <w:r w:rsidRPr="008939F2">
        <w:rPr>
          <w:rFonts w:ascii="Arial Narrow" w:hAnsi="Arial Narrow"/>
        </w:rPr>
        <w:t xml:space="preserve">. Filipinas: </w:t>
      </w:r>
      <w:r w:rsidR="002228D7">
        <w:rPr>
          <w:rFonts w:ascii="Arial Narrow" w:hAnsi="Arial Narrow"/>
        </w:rPr>
        <w:t>Enquanto o fascismo se repartiu</w:t>
      </w:r>
      <w:r w:rsidR="002228D7">
        <w:rPr>
          <w:rFonts w:ascii="Arial Narrow" w:hAnsi="Arial Narrow"/>
        </w:rPr>
        <w:br/>
      </w:r>
      <w:r w:rsidRPr="008939F2">
        <w:rPr>
          <w:rFonts w:ascii="Arial Narrow" w:hAnsi="Arial Narrow"/>
        </w:rPr>
        <w:t>entre o conservadorismo e o radicalismo,</w:t>
      </w:r>
      <w:r w:rsidR="002228D7">
        <w:rPr>
          <w:rFonts w:ascii="Arial Narrow" w:hAnsi="Arial Narrow"/>
        </w:rPr>
        <w:t xml:space="preserve"> a oligarquia manteve a coesão,</w:t>
      </w:r>
      <w:r w:rsidR="002228D7">
        <w:rPr>
          <w:rFonts w:ascii="Arial Narrow" w:hAnsi="Arial Narrow"/>
        </w:rPr>
        <w:br/>
      </w:r>
      <w:r w:rsidRPr="008939F2">
        <w:rPr>
          <w:rFonts w:ascii="Arial Narrow" w:hAnsi="Arial Narrow"/>
        </w:rPr>
        <w:t>apesar de indecisa entre a democracia e o fascismo</w:t>
      </w:r>
    </w:p>
    <w:p w:rsidR="00A1546C" w:rsidRPr="008939F2" w:rsidRDefault="00A1546C" w:rsidP="00A1546C">
      <w:r w:rsidRPr="008939F2">
        <w:t>Os Estados Unidos haviam encetado nas Filipinas um processo gradual de concessão da autonomia, criando em 1935 a Philippine Commonwealth, onde mantinham o controlo da defesa e das relações exteriores e tutelavam a política interna. O governo do Partido Nacionalista, sustentado sobretudo pelos grandes proprietários fundiários e favorável aos norte-americanos, deparava com a contestação das organizações de esquerda e com uma agitação crescente entre os camponeses, o que trouxe uma nova complexidade à situação. Embora a oligarquia nativa beneficiasse do apoio dos colonizadores para consolidar os seus privilégios, numerosos elementos das classes dominantes viam no regime nipónico o invejável exemplo de um sistema autoritário e hierarquizado que conseguira modernizar a economia sem provocar convulsões sociais</w:t>
      </w:r>
      <w:r w:rsidRPr="008939F2">
        <w:rPr>
          <w:rStyle w:val="Refdenotaderodap"/>
        </w:rPr>
        <w:footnoteReference w:id="85"/>
      </w:r>
      <w:r w:rsidRPr="008939F2">
        <w:t xml:space="preserve">. Ao mesmo tempo, porém, algumas sociedades secretas japonesas </w:t>
      </w:r>
      <w:r w:rsidR="001B783E">
        <w:lastRenderedPageBreak/>
        <w:t>partidárias d</w:t>
      </w:r>
      <w:r w:rsidR="0013245B">
        <w:t>o</w:t>
      </w:r>
      <w:r w:rsidR="003F7222">
        <w:t xml:space="preserve"> nacionalismo </w:t>
      </w:r>
      <w:r w:rsidRPr="008939F2">
        <w:t>radical ajudaram Benigno Ramos a organizar o Sakdal, um movimento que</w:t>
      </w:r>
      <w:r w:rsidR="007566DA">
        <w:t>,</w:t>
      </w:r>
      <w:r w:rsidRPr="008939F2">
        <w:t xml:space="preserve"> embora </w:t>
      </w:r>
      <w:r w:rsidR="001B783E">
        <w:t>defendesse</w:t>
      </w:r>
      <w:r w:rsidRPr="008939F2">
        <w:t xml:space="preserve"> também a instauração de um regime fascista</w:t>
      </w:r>
      <w:r w:rsidR="007566DA">
        <w:t>,</w:t>
      </w:r>
      <w:r w:rsidRPr="008939F2">
        <w:t xml:space="preserve"> agia entre as camadas desfavorecidas e mobilizava sobretudo pequenos agricultores que cultivavam terras alugadas. Reivindicando a redução dos impostos e a redistribuição da propriedade fundiária, incluindo as explorações da Igreja católica, o Sakdal conseguiu três lugares no parlamento nas eleições de 1934, e no ano seguinte, quando se faziam sentir no país algumas das piores consequências da crise económica mundial, Benigno Ramos lançou os seus seguidores numa revolta. A repressão foi rápida e sangrenta, e Ramos fugiu para Tóquio, mas o governo japonês cedeu às pressões norte-americanas e extraditou-o, deixando que ele fosse preso</w:t>
      </w:r>
      <w:r w:rsidRPr="008939F2">
        <w:rPr>
          <w:rStyle w:val="Refdenotaderodap"/>
        </w:rPr>
        <w:footnoteReference w:id="86"/>
      </w:r>
      <w:r w:rsidRPr="008939F2">
        <w:t xml:space="preserve">. </w:t>
      </w:r>
      <w:r w:rsidR="007566DA">
        <w:t>Esta</w:t>
      </w:r>
      <w:r w:rsidR="007566DA" w:rsidRPr="008939F2">
        <w:t xml:space="preserve"> </w:t>
      </w:r>
      <w:r w:rsidRPr="008939F2">
        <w:t xml:space="preserve">hesitação da oligarquia entre o modelo democrático e o modelo fascista e a repartição do fascismo entre o campo conservador e o radical condicionaram em traços largos a situação do país durante a guerra. </w:t>
      </w:r>
    </w:p>
    <w:p w:rsidR="00A1546C" w:rsidRPr="008939F2" w:rsidRDefault="00A1546C" w:rsidP="00A1546C">
      <w:r w:rsidRPr="008939F2">
        <w:t>No final de 1941 as tropas japonesas invadiram o arquipélago e em Maio do ano seguinte levaram à rendição as últimas forças norte-americanas, precipitando a independência do país. O movimento de autodeterminação dividiu-se então entre uma corrente favorável à antiga potência colonizadora, que já havia prometido a independência e cujo vigor económico atraía ainda amplos sectores da sociedade autóctone, e outra corrente que contava com os novos ocupantes para instaurar um regime autoritário, mas esta cisão não correspondeu inteiramente à clivagem política anterior. Por um lado, o chefe da secção filipina da Falange Española acompanhou na fuga as autoridades norte-americanas e integrou em Washington o governo no exílio, e também outros membros da elite tradicional que haviam apoiado Franco durante a guerra civil se revelaram renitentes ao militarismo nipónico, temendo pela hegemonia do catolicismo e pelos privilégios herdados da colonização espanhola</w:t>
      </w:r>
      <w:r w:rsidRPr="008939F2">
        <w:rPr>
          <w:rStyle w:val="Refdenotaderodap"/>
        </w:rPr>
        <w:footnoteReference w:id="87"/>
      </w:r>
      <w:r w:rsidRPr="008939F2">
        <w:t>. Como que para compensar o paradoxo de uma corrente do fascismo ter optado pelo campo dos Aliados, uma parte muitíssimo substancial da velha oligarquia pró-americana descobriu subitamente que os seus interesses dependiam da protecção japonesa e passou a favorecer os novos ocupantes, embora olhasse desconfia</w:t>
      </w:r>
      <w:r>
        <w:t>d</w:t>
      </w:r>
      <w:r w:rsidRPr="008939F2">
        <w:t xml:space="preserve">a e inquieta alguns dos seus companheiros de percurso, chefes de fila de um fascismo radical </w:t>
      </w:r>
      <w:r>
        <w:t>com</w:t>
      </w:r>
      <w:r w:rsidRPr="008939F2">
        <w:t xml:space="preserve"> propensões sociais. </w:t>
      </w:r>
    </w:p>
    <w:p w:rsidR="00A1546C" w:rsidRPr="008939F2" w:rsidRDefault="00A1546C" w:rsidP="00A1546C">
      <w:r w:rsidRPr="008939F2">
        <w:t xml:space="preserve">As forças armadas nipónicas beneficiaram da colaboração de uma Comissão Executiva, igualmente possuidora de poderes legislativos. Sediada em Manila, a Comissão era presidida por Jorge Vargas, que enquanto secretário executivo do presidente Manuel Quezón havia sido </w:t>
      </w:r>
      <w:r w:rsidRPr="008939F2">
        <w:lastRenderedPageBreak/>
        <w:t xml:space="preserve">um dos membros mais influentes do governo da Commonwealth, exercera o cargo de primeiro-ministro no gabinete de guerra formado nas vésperas da derrota norte-americana e tinha sido nomeado presidente da </w:t>
      </w:r>
      <w:r w:rsidR="002035CE" w:rsidRPr="008939F2">
        <w:t xml:space="preserve">Câmara </w:t>
      </w:r>
      <w:r w:rsidRPr="008939F2">
        <w:t>quando a capital fora proclamada cidade aberta</w:t>
      </w:r>
      <w:r w:rsidRPr="008939F2">
        <w:rPr>
          <w:rStyle w:val="Refdenotaderodap"/>
        </w:rPr>
        <w:footnoteReference w:id="88"/>
      </w:r>
      <w:r w:rsidRPr="008939F2">
        <w:t>. Ao escolhê-lo agora para chefiar o governo os japoneses asseguravam a continuidade legal e deixavam claro o seu empenho em obter o apoio do meio político tradicional</w:t>
      </w:r>
      <w:r w:rsidRPr="008939F2">
        <w:rPr>
          <w:rStyle w:val="Refdenotaderodap"/>
        </w:rPr>
        <w:footnoteReference w:id="89"/>
      </w:r>
      <w:r w:rsidRPr="008939F2">
        <w:t>. A oligarquia correspondeu ao convite, optando ma</w:t>
      </w:r>
      <w:r w:rsidR="00150F7C">
        <w:t>ss</w:t>
      </w:r>
      <w:r w:rsidRPr="008939F2">
        <w:t>i</w:t>
      </w:r>
      <w:r w:rsidR="00150F7C">
        <w:t>v</w:t>
      </w:r>
      <w:r w:rsidRPr="008939F2">
        <w:t>amente pela colaboração</w:t>
      </w:r>
      <w:r w:rsidRPr="008939F2">
        <w:rPr>
          <w:rStyle w:val="Refdenotaderodap"/>
        </w:rPr>
        <w:footnoteReference w:id="90"/>
      </w:r>
      <w:r w:rsidRPr="008939F2">
        <w:t xml:space="preserve">. </w:t>
      </w:r>
      <w:r w:rsidRPr="00610A88">
        <w:t xml:space="preserve">«Os políticos filipinos haviam colaborado com os seus </w:t>
      </w:r>
      <w:r>
        <w:t>governantes</w:t>
      </w:r>
      <w:r w:rsidRPr="00610A88">
        <w:t xml:space="preserve"> americanos durante cinquenta anos», recordou com candura um historiador.</w:t>
      </w:r>
      <w:r>
        <w:t xml:space="preserve"> </w:t>
      </w:r>
      <w:r w:rsidRPr="00610A88">
        <w:t>«Seria surpreendente que muitos estivesse</w:t>
      </w:r>
      <w:r>
        <w:t>m</w:t>
      </w:r>
      <w:r w:rsidRPr="00610A88">
        <w:t xml:space="preserve"> preparados para colaborar com os seus </w:t>
      </w:r>
      <w:r w:rsidRPr="00FB4339">
        <w:t xml:space="preserve">governantes </w:t>
      </w:r>
      <w:r w:rsidRPr="00610A88">
        <w:t>japoneses durante dois anos ou tr</w:t>
      </w:r>
      <w:r>
        <w:t>ês?»</w:t>
      </w:r>
      <w:r>
        <w:rPr>
          <w:rStyle w:val="Refdenotaderodap"/>
        </w:rPr>
        <w:footnoteReference w:id="91"/>
      </w:r>
      <w:r w:rsidRPr="00A1546C">
        <w:t xml:space="preserve">. </w:t>
      </w:r>
      <w:r w:rsidRPr="008939F2">
        <w:t>Vargas conseguiu que a maior parte dos membros do governo da extinta Commonwealth cooperasse com a Comissão Executiva e a mesma atitude foi tomada pelas administrações locais</w:t>
      </w:r>
      <w:r w:rsidRPr="008939F2">
        <w:rPr>
          <w:rStyle w:val="Refdenotaderodap"/>
        </w:rPr>
        <w:footnoteReference w:id="92"/>
      </w:r>
      <w:r w:rsidRPr="008939F2">
        <w:t>. Dos cinquenta e quatro governadores de distrito e presidentes de câmaras decorrentes da Comissão Executiva, dezanove, ou seja, 35%, haviam sido membros do parlamento sob a Commonwealth</w:t>
      </w:r>
      <w:r w:rsidRPr="008939F2">
        <w:rPr>
          <w:rStyle w:val="Refdenotaderodap"/>
        </w:rPr>
        <w:footnoteReference w:id="93"/>
      </w:r>
      <w:r w:rsidRPr="008939F2">
        <w:t>. Dissolvidos os partidos políticos, ao promoverem no final de 1942 a formação de um partido único os japoneses procuraram figuras que não inquietassem a oligarquia. Benigno Aquino, que fora um dos principais dirigentes do Partido Nacionalista e era um dos melhores representantes da elite tradicional, foi nomeado vice-presidente e director-geral da nova organização, tornando-se uma das primeiras personalidades do regime</w:t>
      </w:r>
      <w:r w:rsidRPr="008939F2">
        <w:rPr>
          <w:rStyle w:val="Refdenotaderodap"/>
        </w:rPr>
        <w:footnoteReference w:id="94"/>
      </w:r>
      <w:r w:rsidRPr="008939F2">
        <w:t>, e no seu esforço de assegurar uma continuidade conservadora os militares nipónicos tiveram o cuidado suplementar de conceder a presidência formal do partido a Vargas</w:t>
      </w:r>
      <w:r w:rsidRPr="008939F2">
        <w:rPr>
          <w:rStyle w:val="Refdenotaderodap"/>
        </w:rPr>
        <w:footnoteReference w:id="95"/>
      </w:r>
      <w:r w:rsidRPr="008939F2">
        <w:t xml:space="preserve">. Até o clero católico se inclinou para o lado nipónico e o Vaticano acedeu em retirar a autoridade diocesana aos bispos de nacionalidade norte-americana e em </w:t>
      </w:r>
      <w:r w:rsidR="00466AA5">
        <w:t>atribuí</w:t>
      </w:r>
      <w:r w:rsidRPr="008939F2">
        <w:t>-la a um bispo filipino e outro japonês</w:t>
      </w:r>
      <w:r w:rsidRPr="008939F2">
        <w:rPr>
          <w:rStyle w:val="Refdenotaderodap"/>
        </w:rPr>
        <w:footnoteReference w:id="96"/>
      </w:r>
      <w:r w:rsidRPr="008939F2">
        <w:t xml:space="preserve">. </w:t>
      </w:r>
    </w:p>
    <w:p w:rsidR="00A1546C" w:rsidRPr="008939F2" w:rsidRDefault="00A1546C" w:rsidP="00A1546C">
      <w:r w:rsidRPr="008939F2">
        <w:t>O mesmo espírito conciliatório orientou a proclamação, em Outubro de 1943, da República Filipina Independente. Mais de metade dos senadores e mais de um terço dos membros da Câmara dos Representantes da antiga Philippine Commonwealth integraram-se no novo Estado</w:t>
      </w:r>
      <w:r w:rsidRPr="008939F2">
        <w:rPr>
          <w:rStyle w:val="Refdenotaderodap"/>
        </w:rPr>
        <w:footnoteReference w:id="97"/>
      </w:r>
      <w:r w:rsidRPr="008939F2">
        <w:t xml:space="preserve">. Praticamente todos os vinte membros da Comissão Preparatória da Independência das Filipinas, instalada pelas autoridades nipónicas, tinham exercido funções de </w:t>
      </w:r>
      <w:r w:rsidRPr="008939F2">
        <w:lastRenderedPageBreak/>
        <w:t>destaque nos governos da época precedente; e na assembleia de cento e oito membros que ratificou a constituição promulgada em Setembro de 1943, dos cinquenta e quatro participantes nomeados pelo partido único fascista 60% haviam ocupado situações proeminentes sob a tutela dos Estados Unidos, contando-se nove antigos senadores, dezoito antigos membros do Congresso e seis antigos governadores</w:t>
      </w:r>
      <w:r w:rsidRPr="008939F2">
        <w:rPr>
          <w:rStyle w:val="Refdenotaderodap"/>
        </w:rPr>
        <w:footnoteReference w:id="98"/>
      </w:r>
      <w:r w:rsidRPr="008939F2">
        <w:t>. Para confirmar a ausência de ruptura, o presidente escolhido sob os japoneses, José Laurel, responsável pelo Interior na extinta Comissão Executiva, detivera cargos governamentais e parlamentares relevantes, embora já então fosse um crítico acerbo da política prosseguida pelos colonizadores e se tivesse contado entre os elementos mais activos dos grupos de pressão favoráveis aos interesses de Tóquio. Laurel era decerto um homem fora do comum, porque não é fácil começar a vida, aos dezoito anos, sendo incriminado por deixar malferido à navalhada um rival nos amores de uma senhora e chegar, apesar disto, a presidente em exercício do Supremo Tribunal, mas os traços pitorescos que lhe caracterizaram a personalidade não fizeram com que a sua política se destacasse da habitual mediania</w:t>
      </w:r>
      <w:r w:rsidRPr="008939F2">
        <w:rPr>
          <w:rStyle w:val="Refdenotaderodap"/>
        </w:rPr>
        <w:footnoteReference w:id="99"/>
      </w:r>
      <w:r w:rsidRPr="008939F2">
        <w:t xml:space="preserve">. </w:t>
      </w:r>
    </w:p>
    <w:p w:rsidR="00A1546C" w:rsidRPr="008939F2" w:rsidRDefault="00A1546C" w:rsidP="00A1546C">
      <w:r w:rsidRPr="008939F2">
        <w:t xml:space="preserve">As teias do clientelismo eram tão sólidas nas Filipinas que mesmo as convulsões mais drásticas não fraccionaram a classe dominante. Se recordarmos que sob a ocupação norte-americana o processo de independência estava a atravessar a fase final, o que levou a promessa de independência efectuada pelo primeiro-ministro japonês em Janeiro de 1942 a ter aqui um significado muito mais modesto do que nos outros territórios coloniais do sudeste asiático, concluímos que a transferência de lealdades de uma porção tão considerável da classe dominante autóctone se deveu à sua coesão, não se explicando por </w:t>
      </w:r>
      <w:r w:rsidR="00D63837">
        <w:t>nenhum</w:t>
      </w:r>
      <w:r w:rsidRPr="008939F2">
        <w:t xml:space="preserve"> desejo de alcançar a autonomia. Os japoneses não precisavam de remodelar as estruturas sociais nem de minar a hegemonia política da elite nativa e de promover uma nova elite nacionalista para suscitar nas Filipinas um movimento antiocidental, porque a própria oligarquia encabeçava um processo inelutável de independência. Isto explica que, de todos os territórios incluídos na Esfera da Co-Prosperidade, tivessem sido as Filipinas a experimentar a mais elevada continuidade social e a manter uma maior distância relativamente ao esforço de guerra nipónico. O trabalho forçado não atingiu aqui a extensão que o caracterizou noutros lugares</w:t>
      </w:r>
      <w:r w:rsidRPr="008939F2">
        <w:rPr>
          <w:rStyle w:val="Refdenotaderodap"/>
        </w:rPr>
        <w:footnoteReference w:id="100"/>
      </w:r>
      <w:r w:rsidRPr="008939F2">
        <w:t xml:space="preserve"> e o presidente Laurel mostrou-se relutante em declarar formalmente guerra aos Estados Unidos, recusando-se a decretar o recrutamento obrigatório</w:t>
      </w:r>
      <w:r w:rsidRPr="008939F2">
        <w:rPr>
          <w:rStyle w:val="Refdenotaderodap"/>
        </w:rPr>
        <w:footnoteReference w:id="101"/>
      </w:r>
      <w:r w:rsidRPr="008939F2">
        <w:t xml:space="preserve">. </w:t>
      </w:r>
    </w:p>
    <w:p w:rsidR="00A1546C" w:rsidRPr="008939F2" w:rsidRDefault="00A1546C" w:rsidP="00A1546C">
      <w:r w:rsidRPr="008939F2">
        <w:lastRenderedPageBreak/>
        <w:t xml:space="preserve">Ao atribuírem sistematicamente os lugares decisivos do aparelho político a representantes da oligarquia conservadora, os japoneses deixaram em plano secundário figuras que, embora </w:t>
      </w:r>
      <w:r w:rsidR="00480876">
        <w:t xml:space="preserve">fossem </w:t>
      </w:r>
      <w:r w:rsidRPr="008939F2">
        <w:t>célebres e expressassem desde há muito a sua admiração pelo fascismo nipónico, pareciam demasiado radicais para o gosto dominante</w:t>
      </w:r>
      <w:r w:rsidRPr="008939F2">
        <w:rPr>
          <w:rStyle w:val="Refdenotaderodap"/>
        </w:rPr>
        <w:footnoteReference w:id="102"/>
      </w:r>
      <w:r w:rsidRPr="008939F2">
        <w:t>. Até um personagem mítico do nacionalismo, o general Emilio Aguinaldo, que havia encabeçado a luta contra os colonizadores espanhóis e depois contra os norte-americanos e simpatizava francamente com os militaristas de Tóquio, foi convidado apenas para um lugar decorativo no Conselho de Estado e a sua adesão ao novo regime teve efeitos sobretudo propagandísticos</w:t>
      </w:r>
      <w:r w:rsidRPr="008939F2">
        <w:rPr>
          <w:rStyle w:val="Refdenotaderodap"/>
        </w:rPr>
        <w:footnoteReference w:id="103"/>
      </w:r>
      <w:r w:rsidRPr="008939F2">
        <w:t>. Com o mesmo intuito receberam também lugares no Conselho de Estado Pio Dur</w:t>
      </w:r>
      <w:r w:rsidR="0010347A">
        <w:t>á</w:t>
      </w:r>
      <w:r w:rsidRPr="008939F2">
        <w:t>n, entusiasta incondicional do regime japonês, e Artemio Ricarte, outro célebre general das campanhas da independência</w:t>
      </w:r>
      <w:r w:rsidRPr="008939F2">
        <w:rPr>
          <w:rStyle w:val="Refdenotaderodap"/>
        </w:rPr>
        <w:footnoteReference w:id="104"/>
      </w:r>
      <w:r w:rsidRPr="008939F2">
        <w:t>. E apesar de uma facção radical do exército ocupante se ter esforçado por promover estas personalidades a mais altos destinos, acabou por prevalecer a orientação favorável ao consenso com a oligarquia</w:t>
      </w:r>
      <w:r w:rsidRPr="008939F2">
        <w:rPr>
          <w:rStyle w:val="Refdenotaderodap"/>
        </w:rPr>
        <w:footnoteReference w:id="105"/>
      </w:r>
      <w:r w:rsidRPr="008939F2">
        <w:t>. Mesmo quando se tornara desesperada a situação militar japonesa no arquipélago e era possível prever que aqueles que haviam abandonado o campo dos Estados Unidos para defender os seus interesses voltassem agora, e por igual motivo, a apoiar os seus patronos de ontem, as autoridades nipónicas hesitaram em promover os fascistas radicais e impediram que Benigno Ramos ensaiasse um golpe de Estado contra Laurel e a elite conservadora</w:t>
      </w:r>
      <w:r w:rsidRPr="008939F2">
        <w:rPr>
          <w:rStyle w:val="Refdenotaderodap"/>
        </w:rPr>
        <w:footnoteReference w:id="106"/>
      </w:r>
      <w:r w:rsidRPr="008939F2">
        <w:t xml:space="preserve">. Afinal, Ramos e alguns dos seus antigos seguidores do Sakdal conseguiram apenas formar umas milícias de voluntários, com a colaboração mais ou menos relutante de Artemio Ricarte, que muito gostaria de ter sido autorizado pelos japoneses a criar um exército próprio. Mas era demasiado tarde para que </w:t>
      </w:r>
      <w:r w:rsidR="00F1242A">
        <w:t>essas</w:t>
      </w:r>
      <w:r w:rsidRPr="008939F2">
        <w:t xml:space="preserve"> milícias pudessem ter qualquer participação efectiva nos combates e limitaram-se a recuar ao lado das tropas nipónicas, enquanto Ramos e Ricarte morriam nas montanhas</w:t>
      </w:r>
      <w:r w:rsidRPr="008939F2">
        <w:rPr>
          <w:rStyle w:val="Refdenotaderodap"/>
        </w:rPr>
        <w:footnoteReference w:id="107"/>
      </w:r>
      <w:r w:rsidRPr="008939F2">
        <w:t xml:space="preserve">. </w:t>
      </w:r>
    </w:p>
    <w:p w:rsidR="00A1546C" w:rsidRPr="008939F2" w:rsidRDefault="00A1546C" w:rsidP="00A1546C">
      <w:r w:rsidRPr="008939F2">
        <w:t xml:space="preserve">As autoridades militares japonesas não se limitaram, todavia, a zelar pelos interesses constituídos e operaram uma profunda transformação no sistema político. Por iniciativa nipónica, </w:t>
      </w:r>
      <w:r>
        <w:t xml:space="preserve">as redes de clientelas </w:t>
      </w:r>
      <w:r w:rsidRPr="008939F2">
        <w:t xml:space="preserve">que </w:t>
      </w:r>
      <w:r>
        <w:t xml:space="preserve">haviam </w:t>
      </w:r>
      <w:r w:rsidRPr="008939F2">
        <w:t>assegura</w:t>
      </w:r>
      <w:r>
        <w:t>do</w:t>
      </w:r>
      <w:r w:rsidRPr="008939F2">
        <w:t xml:space="preserve"> a estabilidade social da oligarquia fornece</w:t>
      </w:r>
      <w:r>
        <w:t>ram</w:t>
      </w:r>
      <w:r w:rsidRPr="008939F2">
        <w:t xml:space="preserve"> o modelo para um conjunto de organizações destinadas a enquadrar as massas populares e a mobilizá-las. Numa certa perspectiva, as Associações de Distrito e de Bairro, criadas em Agosto de 1942 e que chegaram a incluir mais de um milhão e meio de pessoas</w:t>
      </w:r>
      <w:r w:rsidRPr="008939F2">
        <w:rPr>
          <w:rStyle w:val="Refdenotaderodap"/>
        </w:rPr>
        <w:footnoteReference w:id="108"/>
      </w:r>
      <w:r w:rsidRPr="008939F2">
        <w:t xml:space="preserve">, podem ser vistas </w:t>
      </w:r>
      <w:r w:rsidRPr="008939F2">
        <w:lastRenderedPageBreak/>
        <w:t xml:space="preserve">como uma actualização do regime tradicional de clientelismo e caciquismo. Mas as Associações obedeciam também ao modelo fascista, tal como era aplicado no Japão, assumindo funções de controlo social e económico e de mobilização política e ideológica que iam muito além do que a oligarquia necessitava ou mesmo do que pretendia. E assim as estruturas de uma democracia elitista serviram para edificar um totalitarismo conservador. Uma vez mais, este processo assegurou a coesão da classe dominante, porque os fascistas radicais, que se viram frustrados nos seus intuitos de remodelação social, obtiveram uma compensação participando em certas hierarquias políticas das instituições autoritárias. </w:t>
      </w:r>
    </w:p>
    <w:p w:rsidR="00A1546C" w:rsidRPr="008939F2" w:rsidRDefault="00A1546C" w:rsidP="00A1546C">
      <w:r w:rsidRPr="008939F2">
        <w:t>Curiosamente, enquanto a coesão social foi mantida e reforçada no âmbito da Esfera da Co-Prosperidade, sob a égide dos Aliados acabaram por se operar clivagens muito profundas. De início, e reproduzindo o que desde Junho de 1941 se passava em todo o mundo, a esquerda filipina aliou-se à direita democrática em nome de uma frente comum contra o fascismo</w:t>
      </w:r>
      <w:r w:rsidRPr="008939F2">
        <w:rPr>
          <w:rStyle w:val="Refdenotaderodap"/>
        </w:rPr>
        <w:footnoteReference w:id="109"/>
      </w:r>
      <w:r w:rsidRPr="008939F2">
        <w:t>. E é certo que apesar de muitos membros do Partido Nacionalista, ou mesmo a sua maioria, terem colaborado com as autoridades japonesas, outros, e alguns dos mais proeminentes, acompanharam na fuga as tropas dos Estados Unidos ou foram até dirigir movimentos de resistência, fomentando guerrilhas antinipónicas, por vezes comandadas por oficiais norte-americanos</w:t>
      </w:r>
      <w:r w:rsidRPr="008939F2">
        <w:rPr>
          <w:rStyle w:val="Refdenotaderodap"/>
        </w:rPr>
        <w:footnoteReference w:id="110"/>
      </w:r>
      <w:r w:rsidRPr="008939F2">
        <w:t xml:space="preserve">. Mas que apoio conseguiriam obter entre os camponeses </w:t>
      </w:r>
      <w:r w:rsidR="006173BE">
        <w:t>—</w:t>
      </w:r>
      <w:r w:rsidRPr="008939F2">
        <w:t xml:space="preserve"> menos movidos por pretextos ideológicos do que por interesses reais e imediatos </w:t>
      </w:r>
      <w:r w:rsidR="006173BE">
        <w:t>—</w:t>
      </w:r>
      <w:r w:rsidRPr="008939F2">
        <w:t xml:space="preserve"> os representantes de um partido que sempre defendera os latifundiários? Foi o Hukbalahap, inspirado nas revoltas rurais ocorridas antes da guerra e incluindo no mesmo ódio os senhores da terra e as tropas japonesas, que se converteu numa guerrilha com sucesso, chegando a controlar as províncias centrais de Luzon, a maior ilha do arquipélago, onde prosseguiu uma reforma agrária e destruiu sistematicamente as estruturas sociais tradicionais</w:t>
      </w:r>
      <w:r w:rsidRPr="008939F2">
        <w:rPr>
          <w:rStyle w:val="Refdenotaderodap"/>
        </w:rPr>
        <w:footnoteReference w:id="111"/>
      </w:r>
      <w:r w:rsidRPr="008939F2">
        <w:t xml:space="preserve">. Qual das grandes opções políticas poderia ser reivindicada por este movimento, numa época em que o comunismo ortodoxo dava o seu aval ao conservadorismo democrático e em que Benigno Ramos, o fascista radical que havia dirigido o levantamento camponês de 1935, estava impedido pelos seus patronos japoneses de contestar as instituições do fascismo conservador? </w:t>
      </w:r>
    </w:p>
    <w:p w:rsidR="00A1546C" w:rsidRPr="008939F2" w:rsidRDefault="00A1546C" w:rsidP="00A1546C">
      <w:r w:rsidRPr="008939F2">
        <w:t>Mal as tropas norte-americanas regressaram ao arquipélago, o comandante-chefe abriu os braços a uma boa parte da oligarquia que tinha colaborado com o fascismo</w:t>
      </w:r>
      <w:r w:rsidRPr="008939F2">
        <w:rPr>
          <w:rStyle w:val="Refdenotaderodap"/>
        </w:rPr>
        <w:footnoteReference w:id="112"/>
      </w:r>
      <w:r w:rsidRPr="008939F2">
        <w:t xml:space="preserve">. Na campanha eleitoral que se seguiu à derrota japonesa um dos candidatos havia passado a guerra em </w:t>
      </w:r>
      <w:r w:rsidRPr="008939F2">
        <w:lastRenderedPageBreak/>
        <w:t>Washington, onde sustentara fielmente as posições dos Aliados, e em meados de 1944 assumira a chefia do governo no exílio. Todavia, ao defender o expurgo dos colaboracionistas esta candidatura viu-se alvo dos ataques da elite, extensamente comprometida com os ocupantes japoneses, e passou a depender da simpatia do Hukbalahap, que graças às recentes clivagens da guerra fria podia situar-se na extrema-esquerda</w:t>
      </w:r>
      <w:r w:rsidRPr="008939F2">
        <w:rPr>
          <w:rStyle w:val="Refdenotaderodap"/>
        </w:rPr>
        <w:footnoteReference w:id="113"/>
      </w:r>
      <w:r w:rsidRPr="008939F2">
        <w:t>. E assim, paradoxalmente, as autoridades norte-americanas hostilizaram o candidato antifascista e fizeram tudo para favorecer o seu rival, Manuel Roxas y Acuña, que os japoneses haviam convidado em 1943 para presidir à República Independente. É certo que Roxas se escusara e preferira colaborar num plano mais discreto, enquanto mantinha ligações com os serviços de espionagem norte-americanos, mas agora ele anunciava como eixo do seu programa a amnistia e a reconciliação de todas as grandes famílias da classe dominante, para onde quer que lhes houvessem pendido as simpatias durante a guerra</w:t>
      </w:r>
      <w:r w:rsidRPr="008939F2">
        <w:rPr>
          <w:rStyle w:val="Refdenotaderodap"/>
        </w:rPr>
        <w:footnoteReference w:id="114"/>
      </w:r>
      <w:r w:rsidRPr="008939F2">
        <w:t xml:space="preserve">. Espanta que, apesar de assegurada pelo apoio norte-americano, a vitória de Roxas fosse obtida por uma margem tão pequena, mas o essencial estava conseguido. Contra as ameaças de transformação social representadas por um candidato que pretendia dar expressão também ao antifascismo de esquerda, prevalecera o conservadorismo, representado pela conciliação </w:t>
      </w:r>
      <w:r w:rsidR="00C373D4">
        <w:t>d</w:t>
      </w:r>
      <w:r w:rsidRPr="008939F2">
        <w:t xml:space="preserve">a oligarquia democrática </w:t>
      </w:r>
      <w:r w:rsidR="00C373D4">
        <w:t>com</w:t>
      </w:r>
      <w:r w:rsidRPr="008939F2">
        <w:t xml:space="preserve"> a oligarquia fascista. </w:t>
      </w:r>
    </w:p>
    <w:p w:rsidR="00A1546C" w:rsidRPr="008939F2" w:rsidRDefault="00A1546C" w:rsidP="00A1546C">
      <w:r w:rsidRPr="008939F2">
        <w:t>Em Julho de 1946, dois meses e meio após a realização das eleições presidenciais, foi mais uma vez proclamada a independência das Filipinas. Desde que funcione com eficácia, o Estado é um grande aglutinador das classes dominantes</w:t>
      </w:r>
      <w:r w:rsidR="00D67718">
        <w:t>.</w:t>
      </w:r>
      <w:r w:rsidRPr="008939F2">
        <w:t xml:space="preserve"> </w:t>
      </w:r>
      <w:r w:rsidR="00D67718" w:rsidRPr="008939F2">
        <w:t xml:space="preserve">A </w:t>
      </w:r>
      <w:r w:rsidRPr="008939F2">
        <w:t>independência concedida pelo fascismo japonês fundiu-se tão estreitamente com a independência concedida pela democracia norte-americana que jamais qualquer destas correntes eliminou a outra</w:t>
      </w:r>
      <w:r w:rsidR="00D67718">
        <w:t xml:space="preserve"> e em </w:t>
      </w:r>
      <w:r>
        <w:t>Janeiro de 1948 o presidente Roxas amnistiou todos os colaboracionistas</w:t>
      </w:r>
      <w:r>
        <w:rPr>
          <w:rStyle w:val="Refdenotaderodap"/>
        </w:rPr>
        <w:footnoteReference w:id="115"/>
      </w:r>
      <w:r w:rsidR="00D67718">
        <w:t>.</w:t>
      </w:r>
      <w:r>
        <w:t xml:space="preserve"> </w:t>
      </w:r>
      <w:r w:rsidR="00D67718" w:rsidRPr="008939F2">
        <w:t xml:space="preserve">Nos </w:t>
      </w:r>
      <w:r w:rsidRPr="008939F2">
        <w:t xml:space="preserve">anos conturbados em que tantos expurgos e sucessivas liquidações do pessoal político ocorreram num grande número de países, nas Filipinas o poder limitou-se a circular entre primos, cunhados e compadres. O facto de o ex-presidente Laurel, nas eleições ocorridas em 1949, ter sido derrotado apenas por uma estreita margem confirma a importância da antiga corrente colaboracionista, que não podia ser excluída das novas instituições. Aliás, Laurel continuou a ocupar cargos relevantes até se retirar da </w:t>
      </w:r>
      <w:r w:rsidRPr="008939F2">
        <w:lastRenderedPageBreak/>
        <w:t xml:space="preserve">actividade em 1957. Duas legalidades do processo de descolonização, antagónicas durante a guerra, haviam-se convertido numa legalidade única, consagrada pelo exercício efectivo da autoridade. </w:t>
      </w:r>
    </w:p>
    <w:p w:rsidR="00A1546C" w:rsidRPr="008939F2" w:rsidRDefault="00A1546C" w:rsidP="00A1546C">
      <w:r w:rsidRPr="008939F2">
        <w:t xml:space="preserve">Esta teia de relações continuou em boa medida a sustentar a vida política do país. Ferdinand Marcos, o presidente deposto em Fevereiro de 1986, reclamava-se, parece que abusivamente, de ter sido durante a guerra um dos chefes da guerrilha pró-americana. O certo é que depois serviu de assessor a Roxas, quando este ocupou a presidência, e se com efeito Marcos se houvesse oposto aos japoneses, ao colaborar com Roxas mais não faria do que exemplificar a fusão das duas grandes facções independentistas. Por ordem sua caiu assassinado em 1983, como tantos outros em duas décadas de uma </w:t>
      </w:r>
      <w:r w:rsidR="009A4062">
        <w:t>governação</w:t>
      </w:r>
      <w:r w:rsidRPr="008939F2">
        <w:t xml:space="preserve"> sangrenta, um dos principais animadores da oposição liberal, Benigno Aquino Júnior, cujo pai, também Benigno, fora aquele mesmo que encontrámos nas funções de vice-presidente e director-geral do partido único cri</w:t>
      </w:r>
      <w:r>
        <w:t xml:space="preserve">ado por inspiração nipónica </w:t>
      </w:r>
      <w:r w:rsidRPr="008939F2">
        <w:t xml:space="preserve">e se contara entre os mais próximos colaboradores do presidente Laurel. A viúva de Benigno Júnior, Corazón Aquino, depois da morte do marido passou a encabeçar as forças moderadas da oposição e quando assumiu a chefia do país, sucedendo ao presidente deposto e fugitivo, tinha a seu lado, como vice-presidente, Salvador Laurel, filho </w:t>
      </w:r>
      <w:r w:rsidR="009E7C89">
        <w:t>—</w:t>
      </w:r>
      <w:r w:rsidRPr="008939F2">
        <w:t xml:space="preserve"> não é difícil adivinhar </w:t>
      </w:r>
      <w:r w:rsidR="009E7C89">
        <w:t>—</w:t>
      </w:r>
      <w:r w:rsidRPr="008939F2">
        <w:t xml:space="preserve"> de José Laurel</w:t>
      </w:r>
      <w:r w:rsidRPr="008939F2">
        <w:rPr>
          <w:rStyle w:val="Refdenotaderodap"/>
        </w:rPr>
        <w:footnoteReference w:id="116"/>
      </w:r>
      <w:r w:rsidRPr="008939F2">
        <w:t xml:space="preserve">. Em 1988 o vice-presidente demitiu-se aparatosamente e passou para a oposição, mas que importa? Era </w:t>
      </w:r>
      <w:r w:rsidR="007B7624">
        <w:t xml:space="preserve">uma pequena </w:t>
      </w:r>
      <w:r w:rsidRPr="008939F2">
        <w:t xml:space="preserve">querela entre famílias que detinham secularmente a hegemonia e haviam aproveitado a guerra mundial para consolidar o seu controlo sobre os negócios do Estado. </w:t>
      </w:r>
      <w:r w:rsidR="00EE22DB">
        <w:t xml:space="preserve">Depois, durante toda a primeira década deste século a presidência foi ocupada por Gloria Macapagal-Arroyo, </w:t>
      </w:r>
      <w:r w:rsidR="00323A87">
        <w:t xml:space="preserve">filha de Diosdado Macapagal, que </w:t>
      </w:r>
      <w:r w:rsidR="009A4062">
        <w:t xml:space="preserve">após </w:t>
      </w:r>
      <w:r w:rsidR="00FA61AE">
        <w:t>ter sido assistente do presidente Quez</w:t>
      </w:r>
      <w:r w:rsidR="007B7624">
        <w:t>ó</w:t>
      </w:r>
      <w:r w:rsidR="00FA61AE">
        <w:t xml:space="preserve">n durante a ocupação norte-americana </w:t>
      </w:r>
      <w:r w:rsidR="00323A87">
        <w:t xml:space="preserve">havia </w:t>
      </w:r>
      <w:r w:rsidR="00FA61AE">
        <w:t xml:space="preserve">passado a </w:t>
      </w:r>
      <w:r w:rsidR="00323A87">
        <w:t>assistente do presidente Laurel durante a ocupação japonesa</w:t>
      </w:r>
      <w:r w:rsidR="009A4624">
        <w:t>, servindo em seguida no governo do presidente Roxas</w:t>
      </w:r>
      <w:r w:rsidR="00982F4E">
        <w:t xml:space="preserve"> e sendo eleito </w:t>
      </w:r>
      <w:r w:rsidR="009A4062">
        <w:t xml:space="preserve">ele próprio </w:t>
      </w:r>
      <w:r w:rsidR="00982F4E">
        <w:t>presidente em 1961</w:t>
      </w:r>
      <w:r w:rsidR="009A4624">
        <w:t xml:space="preserve">, um homem que consubstanciou como ninguém a profunda coesão da oligarquia filipina. </w:t>
      </w:r>
      <w:r w:rsidR="007C136F">
        <w:t xml:space="preserve">E em seguida — para quê procurar mais? — encarregou-se da presidência outro Benigno Aquino, </w:t>
      </w:r>
      <w:r w:rsidR="00EF1422">
        <w:t xml:space="preserve">neto daquele que havia </w:t>
      </w:r>
      <w:r w:rsidR="009A4062">
        <w:t xml:space="preserve">chefiado </w:t>
      </w:r>
      <w:r w:rsidR="007B7624">
        <w:t>d</w:t>
      </w:r>
      <w:r w:rsidR="00EF1422">
        <w:t xml:space="preserve">e facto do partido único durante a ocupação </w:t>
      </w:r>
      <w:r w:rsidR="00B82A50">
        <w:t>nipónica</w:t>
      </w:r>
      <w:r w:rsidR="00EF1422">
        <w:t xml:space="preserve"> e filho </w:t>
      </w:r>
      <w:r w:rsidR="007B7624">
        <w:t>do</w:t>
      </w:r>
      <w:r w:rsidR="00C10859">
        <w:t xml:space="preserve"> assassinado em 1983. </w:t>
      </w:r>
      <w:r w:rsidR="00567959">
        <w:t xml:space="preserve">Nem os conflitos entre fascismo e democracia nem a guerra conseguiram abalar uma tão sólida </w:t>
      </w:r>
      <w:r w:rsidR="000128C0">
        <w:t>coesão</w:t>
      </w:r>
      <w:r w:rsidR="006112B0">
        <w:t xml:space="preserve"> de classe</w:t>
      </w:r>
      <w:r w:rsidR="000128C0">
        <w:t xml:space="preserve">. </w:t>
      </w:r>
    </w:p>
    <w:p w:rsidR="00A1546C" w:rsidRPr="008939F2" w:rsidRDefault="00A1546C" w:rsidP="00727169">
      <w:pPr>
        <w:keepNext/>
        <w:spacing w:before="720" w:after="360"/>
        <w:ind w:firstLine="0"/>
        <w:jc w:val="center"/>
        <w:rPr>
          <w:b/>
          <w:sz w:val="28"/>
        </w:rPr>
      </w:pPr>
      <w:r>
        <w:rPr>
          <w:b/>
          <w:sz w:val="28"/>
        </w:rPr>
        <w:lastRenderedPageBreak/>
        <w:t>5</w:t>
      </w:r>
      <w:r w:rsidRPr="008939F2">
        <w:rPr>
          <w:b/>
          <w:sz w:val="28"/>
        </w:rPr>
        <w:t>. Indochina: O fascismo nipónico abriu o caminho aos comunistas</w:t>
      </w:r>
    </w:p>
    <w:p w:rsidR="00A1546C" w:rsidRPr="008939F2" w:rsidRDefault="00A1546C" w:rsidP="00A1546C">
      <w:r w:rsidRPr="008939F2">
        <w:t xml:space="preserve">Na Indochina a situação complicou-se durante a guerra </w:t>
      </w:r>
      <w:r w:rsidR="007A6360">
        <w:t>—</w:t>
      </w:r>
      <w:r w:rsidRPr="008939F2">
        <w:t xml:space="preserve"> ou ter-se-ia simplificado? </w:t>
      </w:r>
      <w:r w:rsidR="007A6360">
        <w:t>—</w:t>
      </w:r>
      <w:r w:rsidRPr="008939F2">
        <w:t xml:space="preserve"> pelo facto de a administração ser favorável ao governo fascista de Vichy, que em Agosto de 1940 assinara com o Japão um acordo político e militar, segundo o qual o governo de Tóquio se comprometia a reconhecer a soberania francesa na colónia e a respeitar-lhe a integridade territorial, a troco de a França aceitar a primazia nipónica no Extremo Oriente</w:t>
      </w:r>
      <w:r w:rsidRPr="008939F2">
        <w:rPr>
          <w:rStyle w:val="Refdenotaderodap"/>
        </w:rPr>
        <w:footnoteReference w:id="117"/>
      </w:r>
      <w:r w:rsidRPr="008939F2">
        <w:t>. Nessa ocasião o Japão não participava ainda na guerra mundial e o seu interesse pela Indochina devia-se às operações que prosseguia na China. Assim, foi com o consentimento francês que em Julho de 1941 as tropas japonesas estacionaram na Indochina, o que lhes permitiu manter o território sob o seu controlo e apropriar-se depois da produção agrícola e industrial, embora deixando os assuntos correntes a cargo das autoridades coloniais</w:t>
      </w:r>
      <w:r w:rsidRPr="008939F2">
        <w:rPr>
          <w:rStyle w:val="Refdenotaderodap"/>
        </w:rPr>
        <w:footnoteReference w:id="118"/>
      </w:r>
      <w:r w:rsidRPr="008939F2">
        <w:t xml:space="preserve">. Foi este o único caso em que o militarismo nipónico violou </w:t>
      </w:r>
      <w:r w:rsidR="007A6360">
        <w:t xml:space="preserve">inicialmente </w:t>
      </w:r>
      <w:r w:rsidRPr="008939F2">
        <w:t>o objectivo principal da sua estratégia, a liquidação da hegemonia europeia no Oriente</w:t>
      </w:r>
      <w:r w:rsidRPr="008939F2">
        <w:rPr>
          <w:rStyle w:val="Refdenotaderodap"/>
        </w:rPr>
        <w:footnoteReference w:id="119"/>
      </w:r>
      <w:r w:rsidRPr="008939F2">
        <w:t>. É certo que perante os povos da Indochina a presença de um exército asiático implicava o desprestígio da administração colonial, e cresceram os levantamentos e rebeliões, mas os militares nipónicos assistiram sem intervir à sangrenta repressão e deixaram serem condenados à morte e executados dirigentes independentistas com quem desde há muito mantinham ligações</w:t>
      </w:r>
      <w:r w:rsidRPr="008939F2">
        <w:rPr>
          <w:rStyle w:val="Refdenotaderodap"/>
        </w:rPr>
        <w:footnoteReference w:id="120"/>
      </w:r>
      <w:r w:rsidRPr="008939F2">
        <w:t xml:space="preserve">. Em vez de procurarem </w:t>
      </w:r>
      <w:r w:rsidR="00472D15">
        <w:t>auxiliar</w:t>
      </w:r>
      <w:r w:rsidRPr="008939F2">
        <w:t>, nem que fosse discretamente, os seus associados políticos, os japoneses favoreceram e protegeram das represálias do governo colonial duas seitas religiosas antifrancesas cuja implantação se reduzia ao sul do Vietname e cuja influência social mal ultrapassava o círculo de adeptos</w:t>
      </w:r>
      <w:r w:rsidRPr="008939F2">
        <w:rPr>
          <w:rStyle w:val="Refdenotaderodap"/>
        </w:rPr>
        <w:footnoteReference w:id="121"/>
      </w:r>
      <w:r w:rsidRPr="008939F2">
        <w:t xml:space="preserve">. </w:t>
      </w:r>
    </w:p>
    <w:p w:rsidR="00A1546C" w:rsidRPr="008939F2" w:rsidRDefault="00A1546C" w:rsidP="00A1546C">
      <w:r w:rsidRPr="008939F2">
        <w:t xml:space="preserve">Nestas circunstâncias o Partido Comunista da Indochina, que havia recebido apoio político e militar dos seus correligionários chineses e partilhado com eles a profunda hostilidade ao regime nipónico, decidiu mudar de orientação e em vez de acirrar, como até então havia feito, os antagonismos </w:t>
      </w:r>
      <w:r>
        <w:t xml:space="preserve">sociais </w:t>
      </w:r>
      <w:r w:rsidRPr="008939F2">
        <w:t>e estimular a insatisfação contra a classe dominante autóctone, passou a dar a primazia aos objectivos naciona</w:t>
      </w:r>
      <w:r w:rsidR="00302F5A">
        <w:t>l</w:t>
      </w:r>
      <w:r w:rsidRPr="008939F2">
        <w:t>is</w:t>
      </w:r>
      <w:r w:rsidR="00302F5A">
        <w:t>tas</w:t>
      </w:r>
      <w:r w:rsidRPr="008939F2">
        <w:t xml:space="preserve"> e pretendeu representar todo o país na luta contra o imperialismo francês e contra os ocupantes japoneses</w:t>
      </w:r>
      <w:r w:rsidRPr="008939F2">
        <w:rPr>
          <w:rStyle w:val="Refdenotaderodap"/>
        </w:rPr>
        <w:footnoteReference w:id="122"/>
      </w:r>
      <w:r w:rsidRPr="008939F2">
        <w:t xml:space="preserve">. O Viet Minh foi o instrumento organizacional da nova estratégia, dando ao Partido Comunista a possibilidade de conduzir uma </w:t>
      </w:r>
      <w:r w:rsidRPr="008939F2">
        <w:lastRenderedPageBreak/>
        <w:t>frente na qual participavam outras forças políticas</w:t>
      </w:r>
      <w:r w:rsidRPr="008939F2">
        <w:rPr>
          <w:rStyle w:val="Refdenotaderodap"/>
        </w:rPr>
        <w:footnoteReference w:id="123"/>
      </w:r>
      <w:r w:rsidRPr="008939F2">
        <w:t xml:space="preserve">. E os Aliados, neste </w:t>
      </w:r>
      <w:r w:rsidR="00302F5A">
        <w:t>lugar do mundo</w:t>
      </w:r>
      <w:r w:rsidRPr="008939F2">
        <w:t xml:space="preserve"> os norte-americanos, os franceses gaullistas e os nacionalistas chineses, que não estavam dispostos a desperdiçar um</w:t>
      </w:r>
      <w:r w:rsidR="00472D15">
        <w:t>a</w:t>
      </w:r>
      <w:r w:rsidRPr="008939F2">
        <w:t xml:space="preserve"> </w:t>
      </w:r>
      <w:r w:rsidR="00472D15">
        <w:t xml:space="preserve">base de sustentação </w:t>
      </w:r>
      <w:r w:rsidRPr="008939F2">
        <w:t>na retaguarda das linhas japonesas, contribuíram para armar as guerrilhas do Viet Minh</w:t>
      </w:r>
      <w:r w:rsidRPr="008939F2">
        <w:rPr>
          <w:rStyle w:val="Refdenotaderodap"/>
        </w:rPr>
        <w:footnoteReference w:id="124"/>
      </w:r>
      <w:r w:rsidRPr="008939F2">
        <w:t xml:space="preserve">. </w:t>
      </w:r>
    </w:p>
    <w:p w:rsidR="00A1546C" w:rsidRPr="008939F2" w:rsidRDefault="00A1546C" w:rsidP="00A1546C">
      <w:r w:rsidRPr="008939F2">
        <w:t xml:space="preserve">A administração francesa procurou responder </w:t>
      </w:r>
      <w:r>
        <w:t xml:space="preserve">à </w:t>
      </w:r>
      <w:r w:rsidRPr="008939F2">
        <w:t xml:space="preserve">mudança de situação através do enquadramento </w:t>
      </w:r>
      <w:r w:rsidR="00084BBA">
        <w:t>massiv</w:t>
      </w:r>
      <w:r w:rsidRPr="008939F2">
        <w:t xml:space="preserve">o da juventude em organizações desportivas, inspirando-se nos métodos aplicados na metrópole pelo governo de Vichy. O colonialismo, porém, </w:t>
      </w:r>
      <w:r>
        <w:t>estimulara</w:t>
      </w:r>
      <w:r w:rsidRPr="008939F2">
        <w:t xml:space="preserve"> sempre a fragmentação social da população nativa, e as autoridades estavam a brincar com o fogo ao dar a centenas de milhares de jovens, talvez meio milhão, uma oportunidade legal de se reunirem</w:t>
      </w:r>
      <w:r w:rsidRPr="008939F2">
        <w:rPr>
          <w:rStyle w:val="Refdenotaderodap"/>
        </w:rPr>
        <w:footnoteReference w:id="125"/>
      </w:r>
      <w:r w:rsidRPr="008939F2">
        <w:t xml:space="preserve">. Mas os acontecimentos precipitaram-se e não permitiram que esta contradição se desenvolvesse até o seu termo natural. </w:t>
      </w:r>
    </w:p>
    <w:p w:rsidR="00A1546C" w:rsidRPr="008939F2" w:rsidRDefault="00A1546C" w:rsidP="00A1546C">
      <w:r w:rsidRPr="008939F2">
        <w:t>Em Março de 1945, perante a derrocada iminente da Esfera da Co-Prosperidade e sabendo que as tropas francesas tencionavam inverter as alianças, os japoneses atacaram-nas, massacraram-nas, desarmaram-nas e dissolveram a administração francesa</w:t>
      </w:r>
      <w:r w:rsidRPr="008939F2">
        <w:rPr>
          <w:rStyle w:val="Refdenotaderodap"/>
        </w:rPr>
        <w:footnoteReference w:id="126"/>
      </w:r>
      <w:r w:rsidRPr="008939F2">
        <w:t xml:space="preserve">. O profundo desânimo que se apoderara dos agentes do colonialismo avalia-se ao sabermos que cinquenta mil colonos franceses e oitenta mil militares e funcionários coloniais </w:t>
      </w:r>
      <w:r>
        <w:t xml:space="preserve">foram </w:t>
      </w:r>
      <w:r w:rsidRPr="008939F2">
        <w:t>desbarata</w:t>
      </w:r>
      <w:r>
        <w:t>dos</w:t>
      </w:r>
      <w:r w:rsidRPr="008939F2">
        <w:t xml:space="preserve"> </w:t>
      </w:r>
      <w:r>
        <w:t xml:space="preserve">por </w:t>
      </w:r>
      <w:r w:rsidRPr="008939F2">
        <w:t>sessenta mil soldados nipónicos</w:t>
      </w:r>
      <w:r w:rsidRPr="008939F2">
        <w:rPr>
          <w:rStyle w:val="Refdenotaderodap"/>
        </w:rPr>
        <w:footnoteReference w:id="127"/>
      </w:r>
      <w:r w:rsidRPr="008939F2">
        <w:t>. Dois dias depois os japoneses persuadiram Bao Dai, o imperador do Annam nomeado pela França, a repudiar os tratados assinados com a antiga potência colonial, proclamar a independência do Annam e de Tongkin e constituir um governo favorável ao Japão</w:t>
      </w:r>
      <w:r w:rsidRPr="008939F2">
        <w:rPr>
          <w:rStyle w:val="Refdenotaderodap"/>
        </w:rPr>
        <w:footnoteReference w:id="128"/>
      </w:r>
      <w:r w:rsidRPr="008939F2">
        <w:t>. Entretanto, o exército ocupante conservou na sua dependência directa e exclusiva o sul do Vietname, a Cochinchina, onde estava estabelecido o quartel-general para o sudeste asiático</w:t>
      </w:r>
      <w:r w:rsidRPr="008939F2">
        <w:rPr>
          <w:rStyle w:val="Refdenotaderodap"/>
        </w:rPr>
        <w:footnoteReference w:id="129"/>
      </w:r>
      <w:r w:rsidRPr="008939F2">
        <w:t>. Mas mesmo neste momento, quando parecia que tinham acabado de liquidar o sistema colonial francês, as autoridades de Tóquio mostraram-se paradoxalmente empenhadas em lhe assegurar a continuidade e prestaram todo o apoio a uma organização nacionalista de direita que mobilizava apenas a elite culta, entre a qual os governadores enviados por Paris haviam tradicionalmente recrutado os quadros superiores da administração nativa</w:t>
      </w:r>
      <w:r w:rsidRPr="008939F2">
        <w:rPr>
          <w:rStyle w:val="Refdenotaderodap"/>
        </w:rPr>
        <w:footnoteReference w:id="130"/>
      </w:r>
      <w:r w:rsidRPr="008939F2">
        <w:t>. Ao constituírem um governo de técnicos neste meio social</w:t>
      </w:r>
      <w:r w:rsidRPr="008939F2">
        <w:rPr>
          <w:rStyle w:val="Refdenotaderodap"/>
        </w:rPr>
        <w:footnoteReference w:id="131"/>
      </w:r>
      <w:r w:rsidRPr="008939F2">
        <w:t xml:space="preserve">, os japoneses deram ao </w:t>
      </w:r>
      <w:r w:rsidRPr="008939F2">
        <w:lastRenderedPageBreak/>
        <w:t>novo regime a mesma base que sustentara o anterior. Outro elemento de continuidade foi assegurado pelas associações desportivas criadas nos últimos tempos da administração francesa. O governo de Bao Dai e os seus tutores tentaram fornecer um enquadramento político àquelas centenas de milhares de jovens, e no sul do Vietname, onde mais se faziam sentir as contingências da guerra, as associações começaram a ser transformadas num corpo de voluntários armados</w:t>
      </w:r>
      <w:r w:rsidRPr="008939F2">
        <w:rPr>
          <w:rStyle w:val="Refdenotaderodap"/>
        </w:rPr>
        <w:footnoteReference w:id="132"/>
      </w:r>
      <w:r w:rsidRPr="008939F2">
        <w:t>. Mas o colapso militar levou rapidamente os ocupantes a entregar a Bao Dai a soberania sobre a Cochinchina</w:t>
      </w:r>
      <w:r w:rsidRPr="008939F2">
        <w:rPr>
          <w:rStyle w:val="Refdenotaderodap"/>
        </w:rPr>
        <w:footnoteReference w:id="133"/>
      </w:r>
      <w:r w:rsidRPr="008939F2">
        <w:t xml:space="preserve"> e assim, graças à iniciativa nipónica, pela primeira vez desde há quase cem anos o país encontrava-se unificado sob o seu nome histórico de Vietname e submetido a um governo autóctone. Não se tratava, a bem dizer, de um governo, mas de uma ficção vazia de conteúdo, dependente de um exército em colapso, pois os japoneses não lhe tinham permitido a formação de um Ministério da Defesa nem a convocação de forças armadas próprias</w:t>
      </w:r>
      <w:r w:rsidRPr="008939F2">
        <w:rPr>
          <w:rStyle w:val="Refdenotaderodap"/>
        </w:rPr>
        <w:footnoteReference w:id="134"/>
      </w:r>
      <w:r w:rsidRPr="008939F2">
        <w:t xml:space="preserve">. </w:t>
      </w:r>
    </w:p>
    <w:p w:rsidR="00A1546C" w:rsidRPr="008939F2" w:rsidRDefault="00A1546C" w:rsidP="00A1546C">
      <w:r w:rsidRPr="008939F2">
        <w:t xml:space="preserve">Foi então, no preciso momento em que se extinguia, que o militarismo nipónico </w:t>
      </w:r>
      <w:r w:rsidR="00772613">
        <w:t xml:space="preserve">mudou </w:t>
      </w:r>
      <w:r w:rsidR="00F24489">
        <w:t>d</w:t>
      </w:r>
      <w:r w:rsidR="00772613">
        <w:t xml:space="preserve">e rumo </w:t>
      </w:r>
      <w:r>
        <w:t>e</w:t>
      </w:r>
      <w:r w:rsidRPr="008939F2">
        <w:t xml:space="preserve"> facilit</w:t>
      </w:r>
      <w:r>
        <w:t>ou</w:t>
      </w:r>
      <w:r w:rsidRPr="008939F2">
        <w:t xml:space="preserve"> aos comunistas a conquista do poder, em vez de tentar conferir um ânimo novo ao serôdio governo imperial ou de restabelecer nos seus postos as forças francesas </w:t>
      </w:r>
      <w:r w:rsidR="00897C2E">
        <w:t>destituídas</w:t>
      </w:r>
      <w:r w:rsidRPr="008939F2">
        <w:t xml:space="preserve"> poucos meses antes. O Viet Minh dispunha de um número pouco significativo de guerrilhas, isoladas nas montanhas do norte do país, e se em 19 de Agosto de 1945 conseguiu, com mil homens armados, tomar pacificamente Hanói, perto da qual estacionavam trinta mil soldados japoneses, isto deveu-se sobretudo ao facto de o comando militar nipónico o ter ajudado, primeiro de maneira passiva e depois contribuindo activamente para o seu progresso e aceitando mesmo que confiscasse armamento que pertencera às tropas francesas. Aliás, os cônsules-gerais japoneses em Hanói e Saigão instruíram os seus serviços de espionagem para negociarem com o Viet Minh a criação do novo governo provisório</w:t>
      </w:r>
      <w:r w:rsidRPr="008939F2">
        <w:rPr>
          <w:rStyle w:val="Refdenotaderodap"/>
        </w:rPr>
        <w:footnoteReference w:id="135"/>
      </w:r>
      <w:r w:rsidRPr="008939F2">
        <w:t xml:space="preserve">. Os chefes comunistas compreenderam a situação e preveniram as multidões que os vitoriavam nas ruas de Hanói de que relativamente aos japoneses «temos de agir com grande moderação e evitar todos os confrontos desnecessários, que não trazem vantagens para </w:t>
      </w:r>
      <w:r w:rsidR="00772613">
        <w:t>nenhum</w:t>
      </w:r>
      <w:r w:rsidRPr="008939F2">
        <w:t xml:space="preserve"> dos lados»</w:t>
      </w:r>
      <w:r w:rsidRPr="008939F2">
        <w:rPr>
          <w:rStyle w:val="Refdenotaderodap"/>
        </w:rPr>
        <w:footnoteReference w:id="136"/>
      </w:r>
      <w:r w:rsidRPr="008939F2">
        <w:t xml:space="preserve">. A Indochina, </w:t>
      </w:r>
      <w:r>
        <w:t xml:space="preserve">o único dos </w:t>
      </w:r>
      <w:r w:rsidRPr="008939F2">
        <w:t xml:space="preserve">territórios incluídos na Esfera da Co-Prosperidade </w:t>
      </w:r>
      <w:r>
        <w:t xml:space="preserve">que mantivera a administração do </w:t>
      </w:r>
      <w:r w:rsidRPr="008939F2">
        <w:t xml:space="preserve">período colonial, experimentava agora a ruptura mais drástica. Afinal o fascismo japonês voltava a mostrar que, acima de quaisquer outros interesses sociais e políticos, dava a primazia à liquidação do colonialismo ocidental. </w:t>
      </w:r>
    </w:p>
    <w:p w:rsidR="00A1546C" w:rsidRPr="008939F2" w:rsidRDefault="00A1546C" w:rsidP="00A1546C">
      <w:r w:rsidRPr="008939F2">
        <w:lastRenderedPageBreak/>
        <w:t xml:space="preserve">Mais </w:t>
      </w:r>
      <w:r>
        <w:t>esclarecedor</w:t>
      </w:r>
      <w:r w:rsidRPr="008939F2">
        <w:t xml:space="preserve"> ainda se torna o facto de os comunistas e os seus aliados do Viet Minh não terem poupado esforços para assegurar a continuidade legal entre o seu governo e o governo constituído sob a égide nipónica. A 22 de Agosto Bao Dai decidiu convidar o Viet Minh a formar um novo governo imperial, mas antes de a mensagem ter sido entregue chegou ao palácio de Hue uma comunicação do Viet Minh reclamando a abdicação do imperador e o reconhecimento da República Democrática. Bao Dai resignou com pompa perante um delegado do Viet Minh e no final do mês, numa cerimónia em Hue, transmitiu aos representantes do novo regime a espada e o selo, símbolos imperiais do poder e da autoridade</w:t>
      </w:r>
      <w:r w:rsidRPr="008939F2">
        <w:rPr>
          <w:rStyle w:val="Refdenotaderodap"/>
        </w:rPr>
        <w:footnoteReference w:id="137"/>
      </w:r>
      <w:r w:rsidRPr="008939F2">
        <w:t>. Só três dias depois, munido já de tão preciosas insígnias, Ho Chi Minh proclamou a independência da República Democrática do Vietname</w:t>
      </w:r>
      <w:r w:rsidRPr="008939F2">
        <w:rPr>
          <w:rStyle w:val="Refdenotaderodap"/>
        </w:rPr>
        <w:footnoteReference w:id="138"/>
      </w:r>
      <w:r w:rsidRPr="008939F2">
        <w:t>. E os elos de continuidade reforçaram-se quando o antigo imperador fantoche foi convidado para ocupar junto ao novo governo o cargo, em grande medida fictício, de supremo conselheiro político</w:t>
      </w:r>
      <w:r w:rsidRPr="008939F2">
        <w:rPr>
          <w:rStyle w:val="Refdenotaderodap"/>
        </w:rPr>
        <w:footnoteReference w:id="139"/>
      </w:r>
      <w:r w:rsidRPr="008939F2">
        <w:t xml:space="preserve">, que ele aliás cedo abandonou para prosseguir noutros climas, com menos preocupações, os prazeres de que era obsessivamente adepto. </w:t>
      </w:r>
    </w:p>
    <w:p w:rsidR="00A1546C" w:rsidRPr="008939F2" w:rsidRDefault="00A1546C" w:rsidP="009E2E95">
      <w:pPr>
        <w:pStyle w:val="Corpodetexto"/>
        <w:jc w:val="center"/>
        <w:rPr>
          <w:rFonts w:ascii="Arial Narrow" w:hAnsi="Arial Narrow"/>
        </w:rPr>
      </w:pPr>
      <w:r>
        <w:rPr>
          <w:rFonts w:ascii="Arial Narrow" w:hAnsi="Arial Narrow"/>
        </w:rPr>
        <w:t>6</w:t>
      </w:r>
      <w:r w:rsidRPr="008939F2">
        <w:rPr>
          <w:rFonts w:ascii="Arial Narrow" w:hAnsi="Arial Narrow"/>
        </w:rPr>
        <w:t xml:space="preserve">. Birmânia: </w:t>
      </w:r>
      <w:r w:rsidR="002228D7">
        <w:rPr>
          <w:rFonts w:ascii="Arial Narrow" w:hAnsi="Arial Narrow"/>
        </w:rPr>
        <w:t>Os independentistas situaram-se</w:t>
      </w:r>
      <w:r w:rsidR="002228D7">
        <w:rPr>
          <w:rFonts w:ascii="Arial Narrow" w:hAnsi="Arial Narrow"/>
        </w:rPr>
        <w:br/>
      </w:r>
      <w:r w:rsidRPr="008939F2">
        <w:rPr>
          <w:rFonts w:ascii="Arial Narrow" w:hAnsi="Arial Narrow"/>
        </w:rPr>
        <w:t>na encruzilhada do comunismo, do fascismo e da democracia</w:t>
      </w:r>
    </w:p>
    <w:p w:rsidR="00A1546C" w:rsidRPr="008939F2" w:rsidRDefault="00A1546C" w:rsidP="00A1546C">
      <w:r w:rsidRPr="008939F2">
        <w:t xml:space="preserve">No perímetro ocidental da Esfera da Co-Prosperidade e fazendo fronteira com a Índia, a Birmânia constituiu o ponto nevrálgico no confronto do fascismo nipónico com a democracia imperial britânica. Foi aí que a articulação entre as grandes componentes do movimento anticolonialista </w:t>
      </w:r>
      <w:r w:rsidR="0079590C">
        <w:t>—</w:t>
      </w:r>
      <w:r w:rsidRPr="008939F2">
        <w:t xml:space="preserve"> o comunismo, o fascismo e a democracia </w:t>
      </w:r>
      <w:r w:rsidR="0079590C">
        <w:t>—</w:t>
      </w:r>
      <w:r w:rsidRPr="008939F2">
        <w:t xml:space="preserve"> assumiu as formas mais intricadas. </w:t>
      </w:r>
    </w:p>
    <w:p w:rsidR="00A1546C" w:rsidRPr="008939F2" w:rsidRDefault="00A1546C" w:rsidP="00A1546C">
      <w:r w:rsidRPr="008939F2">
        <w:t xml:space="preserve">A vaga de revoltas camponesas desencadeada em 1930 fora derrotada dois anos depois, </w:t>
      </w:r>
      <w:r w:rsidR="002A67CB">
        <w:t xml:space="preserve">o que </w:t>
      </w:r>
      <w:r w:rsidRPr="008939F2">
        <w:t>acarret</w:t>
      </w:r>
      <w:r w:rsidR="002A67CB">
        <w:t>ou</w:t>
      </w:r>
      <w:r w:rsidRPr="008939F2">
        <w:t xml:space="preserve"> a falência política dos chefes nativos tradicionais. Em vez de pacificarem o território, porém, e apesar da forma sangrenta como haviam conduzido a repressão, deixando centenas de enforcados</w:t>
      </w:r>
      <w:r w:rsidRPr="008939F2">
        <w:rPr>
          <w:rStyle w:val="Refdenotaderodap"/>
        </w:rPr>
        <w:footnoteReference w:id="140"/>
      </w:r>
      <w:r w:rsidRPr="008939F2">
        <w:t xml:space="preserve">, os britânicos forneceram involuntariamente possibilidades de acção a uma nova elite. É certo que muitos elementos das camadas profissionais mais instruídas continuavam a adoptar uma orientação moderada e defendiam a participação nas instituições legislativas coloniais, mas quanto maior era o número de autóctones com habilitações médias e </w:t>
      </w:r>
      <w:r w:rsidRPr="008939F2">
        <w:lastRenderedPageBreak/>
        <w:t xml:space="preserve">superiores e quanto mais alto visavam as suas ambições tanto menos sedutoras eram as oportunidades de emprego e de estatuto social com que deparavam. E assim o esmagamento das insurreições rurais, ao mesmo tempo que desagregou certas estruturas arcaicas, </w:t>
      </w:r>
      <w:r w:rsidR="002A67CB">
        <w:t xml:space="preserve">entregou a </w:t>
      </w:r>
      <w:r w:rsidRPr="008939F2">
        <w:t xml:space="preserve">mobilização dos camponeses </w:t>
      </w:r>
      <w:r w:rsidR="002A67CB">
        <w:t>à</w:t>
      </w:r>
      <w:r>
        <w:t xml:space="preserve">quela </w:t>
      </w:r>
      <w:r w:rsidRPr="008939F2">
        <w:t xml:space="preserve">nova geração de militantes que nem se pudera satisfazer no âmbito da sociedade tradicional nem encontrava vias de promoção tão amplas quanto desejava nas carreiras da administração colonial, preenchidas em grande parte por funcionários oriundos da metrópole. </w:t>
      </w:r>
    </w:p>
    <w:p w:rsidR="00A1546C" w:rsidRPr="008939F2" w:rsidRDefault="00A1546C" w:rsidP="00A1546C">
      <w:r w:rsidRPr="008939F2">
        <w:t>Fundado e dirigido por Ba Maw, um advogado que se notabilizara na defesa dos insurrectos de 1930 e 1931, o Partido Proletário apoiava-se na base social que dera corpo e voz à insatisfação violenta do campesinato mais pobre, sobretudo os monges budistas e os seus fiéis, unanimemente antibritânicos. Era notável a simpatia de que o partido gozava nos mosteiros budistas e a religião foi sem dúvida um factor muito importante para o seu enraizamento na população rural</w:t>
      </w:r>
      <w:r w:rsidRPr="008939F2">
        <w:rPr>
          <w:rStyle w:val="Refdenotaderodap"/>
        </w:rPr>
        <w:footnoteReference w:id="141"/>
      </w:r>
      <w:r w:rsidRPr="008939F2">
        <w:t>, mas os objectivos eram agora formulados numa linguagem política moderna, reivindicando-se a independência completa do país e uma reforma agrária que entregasse a terra aos camponeses e lhes cancelasse as dívidas</w:t>
      </w:r>
      <w:r w:rsidRPr="008939F2">
        <w:rPr>
          <w:rStyle w:val="Refdenotaderodap"/>
        </w:rPr>
        <w:footnoteReference w:id="142"/>
      </w:r>
      <w:r w:rsidRPr="008939F2">
        <w:t xml:space="preserve">. Como Ba Maw recordou nas suas </w:t>
      </w:r>
      <w:r w:rsidR="00B42FF2" w:rsidRPr="008939F2">
        <w:t>Memórias</w:t>
      </w:r>
      <w:r w:rsidRPr="008939F2">
        <w:t>, este partido procurava «reconstruir a Birmânia de baixo para cima, começando por reconstruir a aldeia birmanesa e por transformá-la, na medida do possível, numa célula cooperativa auto-suficiente sob os pontos de vista social, económico e administrativo»</w:t>
      </w:r>
      <w:r w:rsidRPr="008939F2">
        <w:rPr>
          <w:rStyle w:val="Refdenotaderodap"/>
        </w:rPr>
        <w:footnoteReference w:id="143"/>
      </w:r>
      <w:r w:rsidRPr="008939F2">
        <w:t xml:space="preserve">. </w:t>
      </w:r>
    </w:p>
    <w:p w:rsidR="00A1546C" w:rsidRPr="008939F2" w:rsidRDefault="00A1546C" w:rsidP="00A1546C">
      <w:r w:rsidRPr="008939F2">
        <w:t>Entretanto, e reclamando igualmente a independência nacional, um núcleo de jovens exercitados nas lutas universitárias formou outro agrupamento político, a Associação Nós os Birmanes, conhecida por Partido Thakin</w:t>
      </w:r>
      <w:r w:rsidRPr="008939F2">
        <w:rPr>
          <w:rStyle w:val="Refdenotaderodap"/>
        </w:rPr>
        <w:footnoteReference w:id="144"/>
      </w:r>
      <w:r w:rsidRPr="008939F2">
        <w:t xml:space="preserve">. Tratava-se de uma frente muito ampla, aberta a todo o tipo de convicções nacionalistas, desde os comunistas até aos defensores da monarquia absoluta, e se pudermos acreditar nas </w:t>
      </w:r>
      <w:r w:rsidR="00723533" w:rsidRPr="008939F2">
        <w:t xml:space="preserve">Memórias </w:t>
      </w:r>
      <w:r w:rsidRPr="008939F2">
        <w:t xml:space="preserve">de Ba Maw, movidas em grande medida pelo ressentimento contra os thakins, eles teriam encontrado a principal base de apoio nos desempregados e nos </w:t>
      </w:r>
      <w:r w:rsidR="00A50ECD" w:rsidRPr="008939F2">
        <w:t xml:space="preserve">socialmente </w:t>
      </w:r>
      <w:r w:rsidRPr="008939F2">
        <w:t>desenraizados</w:t>
      </w:r>
      <w:r w:rsidRPr="008939F2">
        <w:rPr>
          <w:rStyle w:val="Refdenotaderodap"/>
        </w:rPr>
        <w:footnoteReference w:id="145"/>
      </w:r>
      <w:r w:rsidRPr="008939F2">
        <w:t>. Esta composição variada reflectia-se nos órgãos dirigentes do partido, onde coabitavam nacionalistas radicais como Aung San e U Nu</w:t>
      </w:r>
      <w:r w:rsidRPr="008939F2">
        <w:rPr>
          <w:rStyle w:val="Refdenotaderodap"/>
        </w:rPr>
        <w:footnoteReference w:id="146"/>
      </w:r>
      <w:r w:rsidRPr="008939F2">
        <w:t xml:space="preserve"> e comunistas como Than Tun e Soe. </w:t>
      </w:r>
    </w:p>
    <w:p w:rsidR="00A1546C" w:rsidRPr="008939F2" w:rsidRDefault="00A1546C" w:rsidP="00A1546C">
      <w:r w:rsidRPr="008939F2">
        <w:t xml:space="preserve">Com a promulgação de uma nova constituição, que entrou em vigor em 1937, as autoridades coloniais procuraram atenuar as pressões em favor da independência e </w:t>
      </w:r>
      <w:r w:rsidRPr="008939F2">
        <w:lastRenderedPageBreak/>
        <w:t>estabeleceram uma administração birmane que não dependia do vice-rei da Índia e era responsável perante um parlamento bicameral autóctone, embora o governador britânico continuasse a gozar de poderes arbitrários e os principais serviços administrativos não respeitassem as decisões do governo nativo. O primeiro chefe de governo nesta fase de maior autonomia foi Ba Maw. Mas a oposição radical encabeçada pelo Partido Thakin e pelas associações estudantis, e as terríveis lutas étnicas entre a maioria birmanesa, de religião budista, na qual se apoiava o Partido Proletário, e a minoria muçulmana, quase toda de origem indiana, levaram à queda do seu governo em Fevereiro de 1939</w:t>
      </w:r>
      <w:r w:rsidRPr="008939F2">
        <w:rPr>
          <w:rStyle w:val="Refdenotaderodap"/>
        </w:rPr>
        <w:footnoteReference w:id="147"/>
      </w:r>
      <w:r w:rsidRPr="008939F2">
        <w:t xml:space="preserve">. </w:t>
      </w:r>
      <w:r w:rsidR="00B76484">
        <w:t xml:space="preserve">Alguns meses depois, </w:t>
      </w:r>
      <w:r w:rsidR="00B76484" w:rsidRPr="008939F2">
        <w:t xml:space="preserve">em </w:t>
      </w:r>
      <w:r w:rsidRPr="008939F2">
        <w:t xml:space="preserve">Outubro, pondo provisoriamente de lado a recente animosidade, Ba Maw convidou os thakins e a Organização Estudantil, na qual prevaleciam os </w:t>
      </w:r>
      <w:r>
        <w:t>alunos</w:t>
      </w:r>
      <w:r w:rsidRPr="008939F2">
        <w:t xml:space="preserve"> da Universidade de Rangun, a aliarem-se ao seu partido para conseguirem a libertação do país. E em Setembro de 1940, quando o governo foi entregue ao chefe d</w:t>
      </w:r>
      <w:r w:rsidR="00B76484">
        <w:t xml:space="preserve">o fascismo </w:t>
      </w:r>
      <w:r w:rsidRPr="008939F2">
        <w:t xml:space="preserve">independentista, U Saw, pareciam criadas as condições para introduzir alguma clareza no alinhamento político, pois na oposição situava-se a aliança de três movimentos francamente conotados com a esquerda radical. </w:t>
      </w:r>
    </w:p>
    <w:p w:rsidR="00A1546C" w:rsidRPr="008939F2" w:rsidRDefault="00A1546C" w:rsidP="00A1546C">
      <w:r w:rsidRPr="008939F2">
        <w:t xml:space="preserve">Mas comprovar-se-ia na Birmânia que o processo de autodeterminação não deixava subsistir </w:t>
      </w:r>
      <w:r w:rsidR="00141301">
        <w:t>nenhumas</w:t>
      </w:r>
      <w:r w:rsidRPr="008939F2">
        <w:t xml:space="preserve"> demarcações firmes entre as várias tendências. É certo que tanto o Partido Proletário como o Partido Thakin representavam uma fusão do nacionalismo radical com um certo socialismo de inspiração soviética, sobre a base de uma mobilização das populações rurais ou dos deserdados urbanos. Ao mesmo tempo era perceptível em qualquer deles outra inspiração, de origem fascista, especialmente na modalidade nipónica, pois o prestígio intelectual do Japão irradiava por toda a Ásia. O Partido Proletário adoptou em Junho de 1940 uma estrutura interna hierarquizada e totalitária, reconhecendo a Ba Maw uma autoridade absoluta e atribuindo-lhe o título de Anashin, que deve traduzir</w:t>
      </w:r>
      <w:r w:rsidR="00141301">
        <w:t>-se</w:t>
      </w:r>
      <w:r w:rsidRPr="008939F2">
        <w:t xml:space="preserve"> por Ditador</w:t>
      </w:r>
      <w:r w:rsidRPr="008939F2">
        <w:rPr>
          <w:rStyle w:val="Refdenotaderodap"/>
        </w:rPr>
        <w:footnoteReference w:id="148"/>
      </w:r>
      <w:r w:rsidRPr="008939F2">
        <w:t>. E como o organismo juvenil deste partido tinha o curioso nome de Exército das Navalhas, não será talvez ousado concluir que se tratava na prática de milícias armadas. Por seu lado, os estudantes birmaneses não escaparam ao fascínio nipónico e muitos foram inscrever-se nas universidades e institutos japoneses, trazendo de volta o apreço pelo militarismo. Tanto na ideologia, nas palavras de ordem e nos cânticos como nas formas de organização, nas paradas e nas saudações foi reconhecida entre os thakins a influência do fascismo</w:t>
      </w:r>
      <w:r w:rsidRPr="008939F2">
        <w:rPr>
          <w:rStyle w:val="Refdenotaderodap"/>
        </w:rPr>
        <w:footnoteReference w:id="149"/>
      </w:r>
      <w:r w:rsidRPr="008939F2">
        <w:t xml:space="preserve">, o que é </w:t>
      </w:r>
      <w:r>
        <w:t>interessante</w:t>
      </w:r>
      <w:r w:rsidRPr="008939F2">
        <w:t xml:space="preserve">, porque desde meados da década de 1930 dois membros da direcção deste partido, Soe e Than Tun, haviam reunido em seu redor um pequeno grupo marxista, que pouco antes do começo da segunda </w:t>
      </w:r>
      <w:r w:rsidRPr="008939F2">
        <w:lastRenderedPageBreak/>
        <w:t>guerra mundial estabeleceu contacto com o Partido Comunista da Índia</w:t>
      </w:r>
      <w:r w:rsidRPr="008939F2">
        <w:rPr>
          <w:rStyle w:val="Refdenotaderodap"/>
        </w:rPr>
        <w:footnoteReference w:id="150"/>
      </w:r>
      <w:r w:rsidRPr="008939F2">
        <w:t xml:space="preserve">. Como se o desenho do </w:t>
      </w:r>
      <w:r w:rsidRPr="008939F2">
        <w:rPr>
          <w:i/>
        </w:rPr>
        <w:t>puzzle</w:t>
      </w:r>
      <w:r w:rsidRPr="008939F2">
        <w:t xml:space="preserve"> não fosse já suficientemente tortuoso, o primeiro-ministro U Saw, confesso admirador do militarismo nipónico, fundara em 1938 o Partido Patriótico, que se reclamava explicitamente do fascismo</w:t>
      </w:r>
      <w:r w:rsidR="00BC4D96">
        <w:t>,</w:t>
      </w:r>
      <w:r w:rsidRPr="008939F2">
        <w:t xml:space="preserve"> </w:t>
      </w:r>
      <w:r w:rsidR="00BC4D96" w:rsidRPr="008939F2">
        <w:t xml:space="preserve">defendia as instituições do capitalismo </w:t>
      </w:r>
      <w:r w:rsidRPr="008939F2">
        <w:t>e era coadjuvado por grupos de choque e milícias, consoante o modelo bem conhecido. Assim, o fascismo permea</w:t>
      </w:r>
      <w:r>
        <w:t>r</w:t>
      </w:r>
      <w:r w:rsidRPr="008939F2">
        <w:t xml:space="preserve">a todos os quadrantes do nacionalismo birmane. </w:t>
      </w:r>
    </w:p>
    <w:p w:rsidR="00A1546C" w:rsidRPr="008939F2" w:rsidRDefault="00A1546C" w:rsidP="00A1546C">
      <w:r w:rsidRPr="008939F2">
        <w:t xml:space="preserve">E todos os caminhos convergiam </w:t>
      </w:r>
      <w:r>
        <w:t>em</w:t>
      </w:r>
      <w:r w:rsidRPr="008939F2">
        <w:t xml:space="preserve"> Tóquio. O primeiro-ministro U Saw mantinha desde há vários anos ligações com os meios políticos nipónicos</w:t>
      </w:r>
      <w:r w:rsidRPr="008939F2">
        <w:rPr>
          <w:rStyle w:val="Refdenotaderodap"/>
        </w:rPr>
        <w:footnoteReference w:id="151"/>
      </w:r>
      <w:r w:rsidRPr="008939F2">
        <w:t>. Por seu lado, Ba Maw estabelecera secretamente contacto com as autoridades japonesas pelo menos em 1938, enquanto estava à frente do governo, e renovara discretamente as relações no final de 1939, quando era já a figura mais prestigiada da oposição, intensificando-as no ano seguinte; também outros dirigentes do Partido Proletário estavam em contacto com os japoneses e um deles deslocou-se ao Japão em Novembro de 1939, regressando com promessas de apoio e de auxílio financeiro na luta pela independência</w:t>
      </w:r>
      <w:r w:rsidRPr="008939F2">
        <w:rPr>
          <w:rStyle w:val="Refdenotaderodap"/>
        </w:rPr>
        <w:footnoteReference w:id="152"/>
      </w:r>
      <w:r w:rsidRPr="008939F2">
        <w:t>. E embora alguns estudantes tivessem levantado a hipótese de procurar ajuda na China, junto ao Kuomintang ou mesmo entre os comunistas, a opção japonesa prevaleceu na jovem direcção do Partido Thakin</w:t>
      </w:r>
      <w:r w:rsidRPr="008939F2">
        <w:rPr>
          <w:rStyle w:val="Refdenotaderodap"/>
        </w:rPr>
        <w:footnoteReference w:id="153"/>
      </w:r>
      <w:r w:rsidRPr="008939F2">
        <w:t xml:space="preserve">. </w:t>
      </w:r>
    </w:p>
    <w:p w:rsidR="00A1546C" w:rsidRPr="008939F2" w:rsidRDefault="00A1546C" w:rsidP="00A1546C">
      <w:r w:rsidRPr="008939F2">
        <w:t xml:space="preserve">Em Agosto de 1940 Aung San e outro thakin seguiram clandestinamente para o Japão, numa viagem preparada e organizada pelos representantes diplomáticos japoneses. Receberam treino militar e doutrinamento político, e passados alguns meses regressaram em segredo à Birmânia, onde recrutaram correligionários, </w:t>
      </w:r>
      <w:r w:rsidR="00A6162A">
        <w:t xml:space="preserve">por sua vez </w:t>
      </w:r>
      <w:r w:rsidRPr="008939F2">
        <w:t>enviados para o Japão, trinta jovens no total, os Trinta Camaradas, célebres de então em diante na história do país, com quem as autoridades nipónicas formaram o embrião de um exército independentista</w:t>
      </w:r>
      <w:r w:rsidRPr="008939F2">
        <w:rPr>
          <w:rStyle w:val="Refdenotaderodap"/>
        </w:rPr>
        <w:footnoteReference w:id="154"/>
      </w:r>
      <w:r w:rsidRPr="008939F2">
        <w:t xml:space="preserve">. No princípio de 1941, enquanto aprendia as artes </w:t>
      </w:r>
      <w:r>
        <w:t>marciais</w:t>
      </w:r>
      <w:r w:rsidRPr="008939F2">
        <w:t>, Aung San escreveu um manifesto em que anunci</w:t>
      </w:r>
      <w:r>
        <w:t>ou</w:t>
      </w:r>
      <w:r w:rsidRPr="008939F2">
        <w:t xml:space="preserve"> o futuro do seu país</w:t>
      </w:r>
      <w:r w:rsidR="00A6162A">
        <w:t>:</w:t>
      </w:r>
      <w:r w:rsidRPr="008939F2">
        <w:t xml:space="preserve"> «Queremos uma administração estatal forte, tal como existe na Alemanha e na Itália. Tem de haver uma nação, um Estado, um partido, um chefe»</w:t>
      </w:r>
      <w:r w:rsidRPr="008939F2">
        <w:rPr>
          <w:rStyle w:val="Refdenotaderodap"/>
        </w:rPr>
        <w:footnoteReference w:id="155"/>
      </w:r>
      <w:r w:rsidRPr="008939F2">
        <w:t>. Clareza não lhe faltava. Em Setembro de 1941 a instrução dos Trinta Camaradas estava concluída e quando as tropas nipónicas chegaram à capital da Tailândia, em Dezembro desse ano, Aung San, que as acompanhava, juntamente com os vinte e nove inseparáveis, proclamou a formação do Exército de Independência da Birmânia</w:t>
      </w:r>
      <w:r w:rsidRPr="008939F2">
        <w:rPr>
          <w:rStyle w:val="Refdenotaderodap"/>
        </w:rPr>
        <w:footnoteReference w:id="156"/>
      </w:r>
      <w:r w:rsidRPr="008939F2">
        <w:t xml:space="preserve">. </w:t>
      </w:r>
    </w:p>
    <w:p w:rsidR="00A1546C" w:rsidRDefault="00A1546C" w:rsidP="00A1546C">
      <w:r w:rsidRPr="008939F2">
        <w:lastRenderedPageBreak/>
        <w:t xml:space="preserve">Pouco depois os japoneses, com os seus preciosos aliados locais, ocuparam a Birmânia, mas nesta ocasião o primeiro-ministro, o fascista U Saw, estava ausente, tendo-se deslocado </w:t>
      </w:r>
      <w:r>
        <w:t xml:space="preserve">pouco antes </w:t>
      </w:r>
      <w:r w:rsidRPr="008939F2">
        <w:t>a Londres, e no decurso da viagem de regresso as autoridades britânicas prenderam-no, sob a acusação de manter contactos com o inimigo, e internaram-no até ao final da guerra, o que deixou desorganizado e inoperante o Partido Patriótico</w:t>
      </w:r>
      <w:r w:rsidRPr="008939F2">
        <w:rPr>
          <w:rStyle w:val="Refdenotaderodap"/>
        </w:rPr>
        <w:footnoteReference w:id="157"/>
      </w:r>
      <w:r w:rsidRPr="008939F2">
        <w:t xml:space="preserve">. </w:t>
      </w:r>
      <w:r w:rsidRPr="000D0C31">
        <w:t>Um historiador pretende</w:t>
      </w:r>
      <w:r>
        <w:t>u</w:t>
      </w:r>
      <w:r w:rsidRPr="000D0C31">
        <w:t xml:space="preserve"> que U Saw </w:t>
      </w:r>
      <w:r>
        <w:t>oferecera</w:t>
      </w:r>
      <w:r w:rsidRPr="000D0C31">
        <w:t xml:space="preserve"> aos britânicos a colaboração no esforço de guerra em troca da promessa de concess</w:t>
      </w:r>
      <w:r>
        <w:t>ão de um estatuto de Dominion, o que levara o governo de Londres, hostil à independência da Birmânia, a acusá-lo de estar em relação com os japoneses</w:t>
      </w:r>
      <w:r>
        <w:rPr>
          <w:rStyle w:val="Refdenotaderodap"/>
        </w:rPr>
        <w:footnoteReference w:id="158"/>
      </w:r>
      <w:r>
        <w:t xml:space="preserve">. </w:t>
      </w:r>
      <w:r w:rsidRPr="00457690">
        <w:t xml:space="preserve">Se esta versão for exacta, o </w:t>
      </w:r>
      <w:r w:rsidRPr="00923561">
        <w:rPr>
          <w:i/>
        </w:rPr>
        <w:t>chassé-croisé</w:t>
      </w:r>
      <w:r w:rsidRPr="00457690">
        <w:t xml:space="preserve"> </w:t>
      </w:r>
      <w:r>
        <w:t>torna-se</w:t>
      </w:r>
      <w:r w:rsidRPr="00457690">
        <w:t xml:space="preserve"> mais singular ainda, com o partido fascista a oferecer apoio aos Aliados e a esquerda a oferec</w:t>
      </w:r>
      <w:r>
        <w:t xml:space="preserve">ê-lo aos facistas. </w:t>
      </w:r>
    </w:p>
    <w:p w:rsidR="00A1546C" w:rsidRPr="008939F2" w:rsidRDefault="00A1546C" w:rsidP="00A1546C">
      <w:r>
        <w:t>Afastad</w:t>
      </w:r>
      <w:r w:rsidR="0010289C">
        <w:t xml:space="preserve">o </w:t>
      </w:r>
      <w:r>
        <w:t>da cena política</w:t>
      </w:r>
      <w:r w:rsidR="0010289C">
        <w:t xml:space="preserve"> o fascismo propriamente fascista</w:t>
      </w:r>
      <w:r w:rsidRPr="008939F2">
        <w:t>, os invasores contavam apenas com o fascismo que se difundira na esquerda, e encarregaram os thakins de administrar o país. O Exército de Independência avançou a coberto das tropas nipónicas e só por mero acaso participou numa batalha e em duas ou três escaramuças, não se destinando a combater, mas a servir de base à reorganização do Estado. Como pod</w:t>
      </w:r>
      <w:r w:rsidR="00CB4E3E">
        <w:t>er</w:t>
      </w:r>
      <w:r w:rsidRPr="008939F2">
        <w:t>ia fazê-lo, no entanto, se se reduzi</w:t>
      </w:r>
      <w:r w:rsidR="00EC47C2">
        <w:t xml:space="preserve">sse </w:t>
      </w:r>
      <w:r w:rsidRPr="008939F2">
        <w:t xml:space="preserve">aos trinta comandantes? Faltavam-lhe os soldados e a bem dizer faltava-lhe quase tudo, porque os japoneses o deixavam mal municionado e mal abastecido. Ba Maw, que não estimava o extremismo dos thakins e nunca lhes perdoou o facto de terem mantido o Exército de Independência sob o seu estrito controlo, pretendeu que eles não deram </w:t>
      </w:r>
      <w:r w:rsidR="00D1237E">
        <w:t>nenhuma</w:t>
      </w:r>
      <w:r w:rsidRPr="008939F2">
        <w:t xml:space="preserve"> preparação aos milhares de recrutas e que pilhavam aquilo de que precisavam e não conseguiam obter de outro modo. Acusou-os também de lançarem o caos na administração e terem um comportamento tão nocivo que por vezes as populações locais pediam protecção aos militares japoneses contra as unidades thakins</w:t>
      </w:r>
      <w:r w:rsidRPr="008939F2">
        <w:rPr>
          <w:rStyle w:val="Refdenotaderodap"/>
        </w:rPr>
        <w:footnoteReference w:id="159"/>
      </w:r>
      <w:r w:rsidRPr="008939F2">
        <w:t>. Mas é possível olhar estes acontecimentos de outra maneira e ver na actuação do Exército de Independência, em vez de um misto de malandragem e incompetência, a origem de transformações políticas profundas. À medida que os japoneses faziam recuar os britânicos, os thakins, além de angariarem colaboradores no meio urbano, tanto nas camadas cultas como entre os trabalhadores, iam também procedendo a recrutamentos ma</w:t>
      </w:r>
      <w:r w:rsidR="00D1237E">
        <w:t>ss</w:t>
      </w:r>
      <w:r w:rsidRPr="008939F2">
        <w:t>i</w:t>
      </w:r>
      <w:r w:rsidR="00D1237E">
        <w:t>v</w:t>
      </w:r>
      <w:r w:rsidRPr="008939F2">
        <w:t xml:space="preserve">os nas zonas rurais. Talvez mais de metade dos efectivos do seu exército fosse constituída por camponeses, e esta filiação entusiástica reflectiu o novo espírito de independência nacional. Com uma base de apoio disseminada por todo o país, os thakins ampliaram o seu controlo a oitenta por cento das cidades e multiplicaram os órgãos de </w:t>
      </w:r>
      <w:r w:rsidRPr="008939F2">
        <w:lastRenderedPageBreak/>
        <w:t>administração local. Graças a eles a população rural, até então afastada de um poder de decisão que se restringira à elite instruída e urbana, passou a participar no aparelho administrativo, e o Exército de Independência pôs assim em causa as estruturas políticas da sociedade tradicional</w:t>
      </w:r>
      <w:r w:rsidRPr="008939F2">
        <w:rPr>
          <w:rStyle w:val="Refdenotaderodap"/>
        </w:rPr>
        <w:footnoteReference w:id="160"/>
      </w:r>
      <w:r w:rsidRPr="008939F2">
        <w:t xml:space="preserve">. </w:t>
      </w:r>
    </w:p>
    <w:p w:rsidR="00A1546C" w:rsidRPr="008939F2" w:rsidRDefault="00A1546C" w:rsidP="00A1546C">
      <w:r w:rsidRPr="008939F2">
        <w:t>O certo é que as autoridades militares nipónicas, ou descontentes com o radicalismo dos thakins ou inquietas com a desordem no governo autóctone, começaram a implantar um típico regime de duplo poder. Em Março e Abril de 1942 os japoneses restauraram o antigo sistema britânico nos órgãos administrativos centrais, deixa</w:t>
      </w:r>
      <w:r>
        <w:t xml:space="preserve">ndo no entanto </w:t>
      </w:r>
      <w:r w:rsidRPr="008939F2">
        <w:t>subsistir a todos os níveis os comités populares</w:t>
      </w:r>
      <w:r w:rsidRPr="008939F2">
        <w:rPr>
          <w:rStyle w:val="Refdenotaderodap"/>
        </w:rPr>
        <w:footnoteReference w:id="161"/>
      </w:r>
      <w:r w:rsidRPr="008939F2">
        <w:t>. Todavia, e como sempre sucede, o duplo poder é uma pausa na competição entre modelos opostos, até que um ou outro assuma a hegemonia. Em Abril, enquanto os thakins, na apreciação de Ba Maw, intensificavam o carácter terrorista da sua administração, os comandantes japoneses lançaram tropas contra o Exército de Independência e procuraram dissolver os seus órgãos locais, prolongando-se até Junho os confrontos generalizados</w:t>
      </w:r>
      <w:r w:rsidRPr="008939F2">
        <w:rPr>
          <w:rStyle w:val="Refdenotaderodap"/>
        </w:rPr>
        <w:footnoteReference w:id="162"/>
      </w:r>
      <w:r w:rsidRPr="008939F2">
        <w:t>. Nestas circunstâncias a actuação dos thakins padeceu de uma grande fragilidade porque, se introduziram enormes mudanças políticas, tiveram no plano económico uma atitude conservadora e não promoveram medidas de reforma agrária</w:t>
      </w:r>
      <w:r w:rsidRPr="008939F2">
        <w:rPr>
          <w:rStyle w:val="Refdenotaderodap"/>
        </w:rPr>
        <w:footnoteReference w:id="163"/>
      </w:r>
      <w:r w:rsidRPr="008939F2">
        <w:t xml:space="preserve">. Faltando-lhes um fundamento seguro nas relações sociais de produção, as novas estruturas administrativas não conseguiriam resistir a um choque violento. </w:t>
      </w:r>
    </w:p>
    <w:p w:rsidR="00A1546C" w:rsidRPr="008939F2" w:rsidRDefault="00A1546C" w:rsidP="00A1546C">
      <w:r w:rsidRPr="008939F2">
        <w:t>Para reforçar os órgãos centrais do novo Estado as autoridades nipónicas ampliaram a sua base de sustentação política e nos primeiros dias de Junho de 1942 convidaram Ba Maw a dirigir o Comité Provisório da Administração Civil. De novo se revelou aqui a busca de uma continuidade legal, já que fora ele o primeiro a chefiar um governo autónomo sob tutela britânica. Aliás, a maioria dos funcionários da velha administração permaneceu nos seus lugares</w:t>
      </w:r>
      <w:r w:rsidRPr="008939F2">
        <w:rPr>
          <w:rStyle w:val="Refdenotaderodap"/>
        </w:rPr>
        <w:footnoteReference w:id="164"/>
      </w:r>
      <w:r w:rsidRPr="008939F2">
        <w:t>, o que confirma a vontade de restaurar o antigo sistema e liquidar a revolução nas hierarquias locais que fora desencadeada pelos thakins. A contra-ofensiva política e militar surtiu efeito. Em Junho Aung San teve de dar ordem aos seus homens para se afastarem completamente da actividade política e administrativa e aceitou a dissolução do Exército de Independência</w:t>
      </w:r>
      <w:r w:rsidRPr="008939F2">
        <w:rPr>
          <w:rStyle w:val="Refdenotaderodap"/>
        </w:rPr>
        <w:footnoteReference w:id="165"/>
      </w:r>
      <w:r w:rsidRPr="008939F2">
        <w:t>. Em compensação, continuou a comandar a nova formação, o Exército de Defesa da Birmânia, oficialmente inaugurado no final de Agosto, e que contou com</w:t>
      </w:r>
      <w:r w:rsidRPr="00156AA5">
        <w:t xml:space="preserve"> </w:t>
      </w:r>
      <w:r w:rsidRPr="00156AA5">
        <w:rPr>
          <w:rStyle w:val="Refdenotaderodap"/>
          <w:vertAlign w:val="baseline"/>
        </w:rPr>
        <w:t xml:space="preserve">conselheiros </w:t>
      </w:r>
      <w:r w:rsidRPr="008939F2">
        <w:t>japoneses</w:t>
      </w:r>
      <w:r w:rsidRPr="00156AA5">
        <w:t xml:space="preserve"> </w:t>
      </w:r>
      <w:r w:rsidRPr="00156AA5">
        <w:rPr>
          <w:rStyle w:val="Refdenotaderodap"/>
          <w:vertAlign w:val="baseline"/>
        </w:rPr>
        <w:t>em todos os níveis da hierarquia</w:t>
      </w:r>
      <w:r w:rsidRPr="008939F2">
        <w:t xml:space="preserve">. As várias dezenas de milhares de soldados que o antigo Exército de </w:t>
      </w:r>
      <w:r w:rsidRPr="008939F2">
        <w:lastRenderedPageBreak/>
        <w:t>Independência chegara a reunir ficaram reduzidas a três batalhões de mil homens cada, embora no final da guerra o Exército de Defesa tivesse duplicado os efectivos</w:t>
      </w:r>
      <w:r w:rsidRPr="008939F2">
        <w:rPr>
          <w:rStyle w:val="Refdenotaderodap"/>
        </w:rPr>
        <w:footnoteReference w:id="166"/>
      </w:r>
      <w:r w:rsidRPr="008939F2">
        <w:t xml:space="preserve">. </w:t>
      </w:r>
    </w:p>
    <w:p w:rsidR="00A1546C" w:rsidRPr="008939F2" w:rsidRDefault="00A1546C" w:rsidP="00A1546C">
      <w:r w:rsidRPr="008939F2">
        <w:t xml:space="preserve">Em Agosto de 1942 o governo foi reorganizado e os japoneses instalaram a Administração Executiva Birmane, chefiada </w:t>
      </w:r>
      <w:r w:rsidR="00F16339">
        <w:t>ainda</w:t>
      </w:r>
      <w:r w:rsidR="00F16339" w:rsidRPr="008939F2">
        <w:t xml:space="preserve"> </w:t>
      </w:r>
      <w:r w:rsidRPr="008939F2">
        <w:t>por Ba Maw. Responsável perante o comandante-chefe japonês, este governo contava em todos os ministérios e departamentos com a presença de assessores japoneses que, consoante as palavras de Ba Maw, «julgavam que o seu direito de dar conselhos incluía o direito de torná-los obrigatórios»</w:t>
      </w:r>
      <w:r w:rsidRPr="008939F2">
        <w:rPr>
          <w:rStyle w:val="Refdenotaderodap"/>
        </w:rPr>
        <w:footnoteReference w:id="167"/>
      </w:r>
      <w:r w:rsidRPr="008939F2">
        <w:t>. Uma facção das forças armadas nipónicas pretendia manter a Birmânia na situação da Coreia ou atribuir-lhe um estatuto idêntico ao do Manchukuo</w:t>
      </w:r>
      <w:r w:rsidRPr="008939F2">
        <w:rPr>
          <w:rStyle w:val="Refdenotaderodap"/>
        </w:rPr>
        <w:footnoteReference w:id="168"/>
      </w:r>
      <w:r w:rsidRPr="008939F2">
        <w:t xml:space="preserve">, mas a conveniência de estimular o apoio da população levou a proclamar em Agosto de 1943 a independência completa do país, que já havia sido prometida em Janeiro. Foi então formada uma nova administração, também presidida por Ba Maw, enquanto Chefe de Estado, livre da interferência dos conselheiros japoneses. Aung San recebeu o cargo de ministro da Defesa, à frente dos Negócios Estrangeiros ficou U Nu, e o comunista Than Tun obteve o Ministério da Terra e da Agricultura. Sob a égide do fascismo nipónico encontravam-se reunidos os representantes de todas as correntes independentistas </w:t>
      </w:r>
      <w:r w:rsidR="00200303">
        <w:t>—</w:t>
      </w:r>
      <w:r w:rsidRPr="008939F2">
        <w:t xml:space="preserve"> excepto U Saw, o chefe do partido mais propriamente fascista, detido noutras paragens </w:t>
      </w:r>
      <w:r w:rsidR="00200303">
        <w:t>—</w:t>
      </w:r>
      <w:r w:rsidRPr="008939F2">
        <w:t xml:space="preserve"> e era possível agora tentar a fusão das tendências rivais numa mesma ordem totalitária. </w:t>
      </w:r>
    </w:p>
    <w:p w:rsidR="00A1546C" w:rsidRPr="008939F2" w:rsidRDefault="00A1546C" w:rsidP="00A1546C">
      <w:r w:rsidRPr="008939F2">
        <w:t xml:space="preserve">Logo na nomenclatura se revelou a aspiração ao sincretismo, e para o partido único que se vinha a constituir desde há algum tempo foi escolhido o nome de Associação Proletária Nós os Birmanes, anunciando a convergência entre os thakins e os </w:t>
      </w:r>
      <w:r w:rsidR="00057F20">
        <w:t xml:space="preserve">seguidores </w:t>
      </w:r>
      <w:r w:rsidRPr="008939F2">
        <w:t>de Ba Maw. Mais tarde, quando se julgou que a organização estava consolidada, ela passou a denominar-se Partido da Grande Birmânia. «Uma raça, uma voz, um chefe», proclamava o partido, à imagem dos seus congéneres</w:t>
      </w:r>
      <w:r w:rsidRPr="008939F2">
        <w:rPr>
          <w:rStyle w:val="Refdenotaderodap"/>
        </w:rPr>
        <w:footnoteReference w:id="169"/>
      </w:r>
      <w:r w:rsidRPr="008939F2">
        <w:t xml:space="preserve">. «Um chefe» </w:t>
      </w:r>
      <w:r w:rsidR="00F36078">
        <w:t>—</w:t>
      </w:r>
      <w:r w:rsidRPr="008939F2">
        <w:t xml:space="preserve"> era Ba Maw, a quem a nova constituição atribuía poderes ditatoriais, e tal como na época do colonialismo britânico ele se fizera proclamar Anashin do Partido Proletário, também agora foi entronizado Anashin do partido único</w:t>
      </w:r>
      <w:r w:rsidRPr="008939F2">
        <w:rPr>
          <w:rStyle w:val="Refdenotaderodap"/>
        </w:rPr>
        <w:footnoteReference w:id="170"/>
      </w:r>
      <w:r w:rsidRPr="008939F2">
        <w:t xml:space="preserve">. «Uma voz» </w:t>
      </w:r>
      <w:r w:rsidR="00F36078">
        <w:t>—</w:t>
      </w:r>
      <w:r w:rsidRPr="008939F2">
        <w:t xml:space="preserve"> porque este partido devia assegurar a coesão de uma multiplicidade de organismos de carácter profissional e social e ditar-lhes a orientação política, de maneira a deixar a população </w:t>
      </w:r>
      <w:r w:rsidRPr="008939F2">
        <w:lastRenderedPageBreak/>
        <w:t>espartilhada por um corporativismo fascista</w:t>
      </w:r>
      <w:r w:rsidRPr="008939F2">
        <w:rPr>
          <w:rStyle w:val="Refdenotaderodap"/>
        </w:rPr>
        <w:footnoteReference w:id="171"/>
      </w:r>
      <w:r w:rsidRPr="008939F2">
        <w:t xml:space="preserve">. «Uma raça» </w:t>
      </w:r>
      <w:r w:rsidR="00F36078">
        <w:t>—</w:t>
      </w:r>
      <w:r w:rsidRPr="008939F2">
        <w:t xml:space="preserve"> eram os birmaneses e só eles, excluindo os outros componentes étnicos, consoante uma política que ainda hoje faz sentir neste país efeitos catastróficos. Pela sua especial ligação aos mosteiros budistas, cujos prosélitos eram exclusivamente birmaneses, o Partido Proletário tivera um carácter racista ou favorecera pelo menos a segregação étnica, e não fora decerto por acaso que a última grande chacina da minoria indiana ocorrera num período em que Ba Maw se encontrava à frente do governo. Também os thakins haviam sempre dado ao seu nacionalismo um carácter racial, como se tornava evidente na designação Nós os Birmanes, e o Exército de Independência preocupou-se em recrutar apenas birmanes</w:t>
      </w:r>
      <w:r w:rsidRPr="008939F2">
        <w:rPr>
          <w:rStyle w:val="Refdenotaderodap"/>
        </w:rPr>
        <w:footnoteReference w:id="172"/>
      </w:r>
      <w:r w:rsidRPr="008939F2">
        <w:t>. Num artigo publicado em Setembro de 1944, um dos mais destacados dirigentes thakins, U Nu, afirm</w:t>
      </w:r>
      <w:r>
        <w:t>ou</w:t>
      </w:r>
      <w:r w:rsidRPr="008939F2">
        <w:t xml:space="preserve"> que toda a história se resumia à luta entre raças e apresent</w:t>
      </w:r>
      <w:r>
        <w:t>ou</w:t>
      </w:r>
      <w:r w:rsidRPr="008939F2">
        <w:t xml:space="preserve"> numa perspectiva estritamente racial o combate contra o colonialismo britânico na Ásia</w:t>
      </w:r>
      <w:r w:rsidRPr="008939F2">
        <w:rPr>
          <w:rStyle w:val="Refdenotaderodap"/>
        </w:rPr>
        <w:footnoteReference w:id="173"/>
      </w:r>
      <w:r w:rsidRPr="008939F2">
        <w:t xml:space="preserve">. </w:t>
      </w:r>
    </w:p>
    <w:p w:rsidR="00A1546C" w:rsidRPr="008939F2" w:rsidRDefault="00A1546C" w:rsidP="00A1546C">
      <w:r w:rsidRPr="008939F2">
        <w:t xml:space="preserve">Estruturada agora a sociedade birmanesa de maneira totalitária e provida de um aparelho de Estado capaz de se fortalecer, não poderia ficar em risco a hegemonia nipónica? Para preservarem a sua influência e serem capazes de se opor ao governo quando </w:t>
      </w:r>
      <w:r w:rsidR="00044B3B">
        <w:t>lhes conviesse</w:t>
      </w:r>
      <w:r w:rsidRPr="008939F2">
        <w:t>, as autoridades militares japonesas começaram a mobilizar as massas sob o seu controlo directo e criaram um corpo de milícias civis e uma liga de juventude que depressa se converteu na maior organização do país</w:t>
      </w:r>
      <w:r w:rsidRPr="008939F2">
        <w:rPr>
          <w:rStyle w:val="Refdenotaderodap"/>
        </w:rPr>
        <w:footnoteReference w:id="174"/>
      </w:r>
      <w:r w:rsidRPr="008939F2">
        <w:t>. Mas em 1944 a ofensiva aliada tornou muito precária a posição dos ocupantes. Que força tinham eles para garantir a soberania concedida? De entre os principais dirigentes, o único a permanecer fiel aos seus protectores foi Ba Maw</w:t>
      </w:r>
      <w:r w:rsidRPr="008939F2">
        <w:rPr>
          <w:rStyle w:val="Refdenotaderodap"/>
        </w:rPr>
        <w:footnoteReference w:id="175"/>
      </w:r>
      <w:r w:rsidRPr="008939F2">
        <w:t xml:space="preserve">. Para os outros chegara a ocasião de inflectir o rumo. </w:t>
      </w:r>
    </w:p>
    <w:p w:rsidR="00A1546C" w:rsidRPr="008939F2" w:rsidRDefault="00A1546C" w:rsidP="00A1546C">
      <w:r w:rsidRPr="008939F2">
        <w:t>Há quem pretenda que desde cedo os thakins teriam conduzido ocultamente uma real actividade antifascista</w:t>
      </w:r>
      <w:r w:rsidRPr="008939F2">
        <w:rPr>
          <w:rStyle w:val="Refdenotaderodap"/>
        </w:rPr>
        <w:footnoteReference w:id="176"/>
      </w:r>
      <w:r w:rsidRPr="008939F2">
        <w:t xml:space="preserve">, de maneira que as suas declarações a favor de uma vitória japonesa seriam um mero artifício táctico, mas nas suas </w:t>
      </w:r>
      <w:r w:rsidR="00345760" w:rsidRPr="008939F2">
        <w:t xml:space="preserve">Memórias </w:t>
      </w:r>
      <w:r w:rsidRPr="008939F2">
        <w:t xml:space="preserve">Ba Maw denunciou esta tese como uma impostura. Até os comunistas, como Soe e Than Tun, só passaram para o campo dos Aliados quando viram que o colapso militar do Eixo era inevitável, afirmou Ba Maw, especificando que Than Tun decidira entrar secretamente em contacto com os britânicos e organizar uma resistência clandestina antinipónica apenas em meados de 1943, após a queda de Mussolini. E mesmo então, como sempre na Birmânia, não se rompeu a teia que ligava os campos políticos opostos, porque os comunistas foram acompanhados naquela decisão por U </w:t>
      </w:r>
      <w:r w:rsidRPr="008939F2">
        <w:lastRenderedPageBreak/>
        <w:t>Nu, de incontroverso pendor fascista. Por enquanto tratava-se de tecer discretamente uma conspiração, e Than Tun permaneceu no governo até 1945, quando achou que tinha chegado a ocasião de se refugiar numa área controlada pelos Aliados e dar início a um levantamento comunista. Ba Maw pretendeu também que Aung San só à última hora decidira contactar os britânicos, e apenas para não se isolar dos seus soldados, todos eles dispostos a inverter as alianças. Teria sido necessário chegar ao final de Março de 1945 para que a resistência antijaponesa começasse a mobilizar a população e desencadeasse as primeiras acções armadas</w:t>
      </w:r>
      <w:r w:rsidRPr="008939F2">
        <w:rPr>
          <w:rStyle w:val="Refdenotaderodap"/>
        </w:rPr>
        <w:footnoteReference w:id="177"/>
      </w:r>
      <w:r w:rsidRPr="008939F2">
        <w:t xml:space="preserve">. Os livros de memórias são sempre um ajuste de contas e os chefes políticos, em vez de seguirem o exemplo de Santo Agostinho ou de Oscar Wilde, que passaram a limpo o saldo da sua própria vida, preocupam-se em triunfar postumamente sobre os antigos rivais. Ba Maw não foi uma excepção. Mas apesar disso ele pode ter razão neste caso, porque já antes da ocupação japonesa os thakins se mostravam seduzidos pelo fascismo. </w:t>
      </w:r>
    </w:p>
    <w:p w:rsidR="00A1546C" w:rsidRPr="008939F2" w:rsidRDefault="00A1546C" w:rsidP="00A1546C">
      <w:r w:rsidRPr="008939F2">
        <w:t>Será que tudo se clarificou com a derrota do militarismo nipónico? Pelo contrário, tudo permaneceu confuso</w:t>
      </w:r>
      <w:r>
        <w:t xml:space="preserve"> ou tornou-se mais embrulhado ainda, como sucedeu quando os britânicos deram armas a tropas japonesas que se tinham rendido pouco antes e </w:t>
      </w:r>
      <w:r w:rsidR="00727988">
        <w:t xml:space="preserve">que </w:t>
      </w:r>
      <w:r>
        <w:t>as usaram para combater aqueles mesmos independentistas birmaneses de quem haviam sido aliadas</w:t>
      </w:r>
      <w:r>
        <w:rPr>
          <w:rStyle w:val="Refdenotaderodap"/>
        </w:rPr>
        <w:footnoteReference w:id="178"/>
      </w:r>
      <w:r>
        <w:t xml:space="preserve">. Não menos complexo é o facto de </w:t>
      </w:r>
      <w:r w:rsidRPr="008939F2">
        <w:t xml:space="preserve">o acordo que Aung San estabeleceu em Janeiro de 1947 com as autoridades britânicas quanto ao acesso à independência </w:t>
      </w:r>
      <w:r>
        <w:t xml:space="preserve">se ter </w:t>
      </w:r>
      <w:r w:rsidRPr="008939F2">
        <w:t>defront</w:t>
      </w:r>
      <w:r>
        <w:t>ado</w:t>
      </w:r>
      <w:r w:rsidRPr="008939F2">
        <w:t xml:space="preserve"> com uma dupla contestação. Por um lado, U Saw, libertado no final da guerra, regressara ao país e reconstituíra o seu próprio partido fascista, opondo-se </w:t>
      </w:r>
      <w:r>
        <w:t>à</w:t>
      </w:r>
      <w:r w:rsidRPr="008939F2">
        <w:t xml:space="preserve">queles que haviam passado a guerra em liberdade e tinham podido ser fascistas à vontade. Por outro lado, uma facção dos comunistas, encabeçada por Soe, ergueu-se contra o acordo, enquanto a outra facção, chefiada por Than Tun, continuou a sustentar Aung San. Chegara o momento crítico. Em Julho de 1947 Aung San e seis dos seus correligionários foram assassinados às ordens de U Saw, que no ano seguinte seria condenado à morte e executado. Com U Nu na presidência formou-se outro governo, que em Janeiro de 1948 levou novamente o país à independência. Pouco depois a facção comunista de Than Tun passou para a oposição e lançou-se em acções de guerrilha, adoptando uma década e meia mais tarde a orientação maoísta, contra a linha de Moscovo encabeçada por Soe. Mas esta seria já outra história, embora a vida política da Birmânia tivesse continuado a oferecer o exemplo talvez mais completo, e mais complexo, de articulação entre as três vertentes do movimento anticolonial. </w:t>
      </w:r>
    </w:p>
    <w:p w:rsidR="00A1546C" w:rsidRPr="008939F2" w:rsidRDefault="00A1546C" w:rsidP="000E2C96">
      <w:pPr>
        <w:pStyle w:val="Corpodetexto"/>
        <w:jc w:val="center"/>
        <w:rPr>
          <w:rFonts w:ascii="Arial Narrow" w:hAnsi="Arial Narrow"/>
        </w:rPr>
      </w:pPr>
      <w:r>
        <w:rPr>
          <w:rFonts w:ascii="Arial Narrow" w:hAnsi="Arial Narrow"/>
        </w:rPr>
        <w:lastRenderedPageBreak/>
        <w:t>7</w:t>
      </w:r>
      <w:r w:rsidRPr="008939F2">
        <w:rPr>
          <w:rFonts w:ascii="Arial Narrow" w:hAnsi="Arial Narrow"/>
        </w:rPr>
        <w:t xml:space="preserve">. Índia: O destino de </w:t>
      </w:r>
      <w:r w:rsidR="002228D7">
        <w:rPr>
          <w:rFonts w:ascii="Arial Narrow" w:hAnsi="Arial Narrow"/>
        </w:rPr>
        <w:t>Subhas Chandra Bose mostrou que</w:t>
      </w:r>
      <w:r w:rsidR="002228D7">
        <w:rPr>
          <w:rFonts w:ascii="Arial Narrow" w:hAnsi="Arial Narrow"/>
        </w:rPr>
        <w:br/>
      </w:r>
      <w:r w:rsidRPr="008939F2">
        <w:rPr>
          <w:rFonts w:ascii="Arial Narrow" w:hAnsi="Arial Narrow"/>
        </w:rPr>
        <w:t>a síntese do comunismo e do fascismo só pode ser outro fascismo</w:t>
      </w:r>
    </w:p>
    <w:p w:rsidR="00A1546C" w:rsidRPr="008939F2" w:rsidRDefault="00A1546C" w:rsidP="00A1546C">
      <w:r w:rsidRPr="008939F2">
        <w:t>Num ensaio escrito e publicado nos primeiros anos da guerra, George Orwell prop</w:t>
      </w:r>
      <w:r>
        <w:t xml:space="preserve">ôs </w:t>
      </w:r>
      <w:r w:rsidRPr="008939F2">
        <w:t>que se utilizasse o patriotismo da grande maioria da população britânica para promover uma transformação socialista do país e combater assim mais eficazmente a Alemanha hitleriana</w:t>
      </w:r>
      <w:r w:rsidRPr="008939F2">
        <w:rPr>
          <w:rStyle w:val="Refdenotaderodap"/>
        </w:rPr>
        <w:footnoteReference w:id="179"/>
      </w:r>
      <w:r w:rsidRPr="008939F2">
        <w:t xml:space="preserve">. O internacionalismo tão divulgado entre a esquerda aparecia-lhe como um perigoso absurdo, porque punha em causa a solidariedade nacional precisamente quando as forças armadas britânicas eram o único obstáculo que se erguia perante Hitler. Numa certa perspectiva a atitude de Orwell não deixava de ser lógica. A classe trabalhadora alemã revelara-se incapaz de se opor à ascensão e ao triunfo do nacional-socialismo, e o proletariado dos campos e das cidades italianas, apesar do denodo com que resistira às milícias de Mussolini, havia igualmente sido esmagado. Se nos tempos mais próximos o fascismo não podia ser derrubado a partir do seu interior, havia que destruí-lo do exterior. E neste sentido a esquerda comunista era, então, um obstáculo. Estava ainda em vigor o pacto germano-soviético e os comunistas, bem como os seus numerosos </w:t>
      </w:r>
      <w:r w:rsidRPr="008939F2">
        <w:rPr>
          <w:i/>
        </w:rPr>
        <w:t>compagnons de route,</w:t>
      </w:r>
      <w:r w:rsidRPr="008939F2">
        <w:t xml:space="preserve"> mostravam-se pouco beligerantes a respeito dos novos aliados de Stalin, quando não sabotavam mesmo o esforço de guerra. </w:t>
      </w:r>
      <w:r>
        <w:t>Ora,</w:t>
      </w:r>
      <w:r w:rsidRPr="008939F2">
        <w:t xml:space="preserve"> esta situação constituía precisamente o problema, não a solução. E para aquele problema não existia </w:t>
      </w:r>
      <w:r w:rsidR="00C11D45">
        <w:t>nenhuma</w:t>
      </w:r>
      <w:r w:rsidRPr="008939F2">
        <w:t xml:space="preserve"> solução rápida, mas apenas, e como quase sempre tem sucedido, o horizonte pouco glorioso de uma luta longa e um penoso isolamento político. Orwell escolheu, pelo contrário, a alternativa imediata, e esta não podia ser senão o nacionalismo. Todavia, ao propor a realização do socialismo no quadro do nacionalismo e com os meios do nacionalismo, Orwell estava a reproduzir, sem decerto se dar conta, o mesmo passo que algumas décadas antes havia convertido os sindicalistas revolucionários em fascistas. Não é uma das lições menos eloquentes daqueles anos dramáticos que para combaterem o fascismo tantos porta-vozes do antifascismo tivessem recorrido aos mecanismos fundamentais do próprio fascismo. O fascismo pôde, assim, ser liquidado militarmente e sobreviver </w:t>
      </w:r>
      <w:r w:rsidR="008116A0">
        <w:t>em</w:t>
      </w:r>
      <w:r w:rsidRPr="008939F2">
        <w:t xml:space="preserve"> níveis profundos da sociedade. </w:t>
      </w:r>
    </w:p>
    <w:p w:rsidR="00A1546C" w:rsidRPr="008939F2" w:rsidRDefault="00A1546C" w:rsidP="00A1546C">
      <w:r w:rsidRPr="008939F2">
        <w:t xml:space="preserve">Foi neste contexto que Orwell procedeu a uma observação curiosa. Apesar de todo o patriotismo que atribuía à classe dominante britânica, embora a reconhecesse minada por preconceitos e pela estupidez retrógrada dos membros da elite, ele acreditava que uma reforma socialista da economia e das estruturas do poder depararia com resistências fortes ou até com veleidades insurreccionais. Onde? Na Grã-Bretanha? De modo </w:t>
      </w:r>
      <w:r w:rsidR="00827819">
        <w:t>nenhum</w:t>
      </w:r>
      <w:r w:rsidRPr="008939F2">
        <w:t xml:space="preserve">! No outro extremo do </w:t>
      </w:r>
      <w:r w:rsidRPr="008939F2">
        <w:lastRenderedPageBreak/>
        <w:t>império. «É fácil imaginar», admitiu Orwell, «uma revolta pró-fascista ocorrendo, por exemplo, na Índia»</w:t>
      </w:r>
      <w:r w:rsidRPr="008939F2">
        <w:rPr>
          <w:rStyle w:val="Refdenotaderodap"/>
        </w:rPr>
        <w:footnoteReference w:id="180"/>
      </w:r>
      <w:r w:rsidRPr="008939F2">
        <w:t xml:space="preserve">. E, com efeito, não errou muito a pontaria, embora por um viés inesperado. </w:t>
      </w:r>
    </w:p>
    <w:p w:rsidR="00A1546C" w:rsidRPr="008939F2" w:rsidRDefault="00D96B03" w:rsidP="00A1546C">
      <w:r w:rsidRPr="008939F2">
        <w:t xml:space="preserve">Os </w:t>
      </w:r>
      <w:r w:rsidR="00A1546C" w:rsidRPr="008939F2">
        <w:t xml:space="preserve">planos japoneses não previam </w:t>
      </w:r>
      <w:r w:rsidRPr="008939F2">
        <w:t xml:space="preserve">de imediato </w:t>
      </w:r>
      <w:r w:rsidR="00A1546C" w:rsidRPr="008939F2">
        <w:t xml:space="preserve">para a Índia </w:t>
      </w:r>
      <w:r w:rsidR="00827819">
        <w:t>nenhumas</w:t>
      </w:r>
      <w:r w:rsidR="00A1546C" w:rsidRPr="008939F2">
        <w:t xml:space="preserve"> operações de vulto</w:t>
      </w:r>
      <w:r w:rsidR="00A1546C" w:rsidRPr="008939F2">
        <w:rPr>
          <w:rStyle w:val="Refdenotaderodap"/>
        </w:rPr>
        <w:footnoteReference w:id="181"/>
      </w:r>
      <w:r w:rsidR="00A1546C" w:rsidRPr="008939F2">
        <w:t xml:space="preserve"> e vimos que mesmo no projecto incrivelmente ambicioso formulado por uma secção do Ministério da Guerra em Dezembro de 1941 só uma porção meridional da Índia se integraria na Esfera da Co-Prosperidade. Mas residia ali o centro do poder britânico, o outro braço da tenaz que, com os Estados Unidos, ameaçava o sonho de grandeza do fascismo nipónico. Por isso convinha estimular o movimento de independência indiano, e foi a sua ala radical e socializante que recebeu o apoio de Tóquio. Um nome basta para alinhavar esta história, o de Subhas Chandra Bose. </w:t>
      </w:r>
    </w:p>
    <w:p w:rsidR="00A1546C" w:rsidRPr="008939F2" w:rsidRDefault="00A1546C" w:rsidP="00A1546C">
      <w:r w:rsidRPr="008939F2">
        <w:t xml:space="preserve">Desde o início da sua actividade política que Bose se distanciou do Mahatma Gandhi, e no final da década de 1920 os serviços de informação britânicos expressavam decerto a opinião corrente quando viam nele e em Jawaharlal Nehru as duas principais figuras da nova geração de dirigentes nacionalistas. Mas Nehru, embora discordasse também dos projectos de Gandhi, nunca se separou dele, e foi Bose quem levou </w:t>
      </w:r>
      <w:r>
        <w:t>o</w:t>
      </w:r>
      <w:r w:rsidRPr="008939F2">
        <w:t xml:space="preserve"> </w:t>
      </w:r>
      <w:r>
        <w:t>dissídio</w:t>
      </w:r>
      <w:r w:rsidRPr="008939F2">
        <w:t xml:space="preserve"> ao ponto de ruptura, para se apresentar como o chefe alternativo do nacionalismo indiano. Numa época em que muitos dirigentes do Partido do Congresso se contentavam ainda em reivindicar formas limitadas de autonomia, Bose reclamava a independência total do país. E para alcançar este objectivo opunha-se ao pacifismo de Gandhi, não lhe atribuindo </w:t>
      </w:r>
      <w:r w:rsidR="00827819">
        <w:t>nenhuma</w:t>
      </w:r>
      <w:r w:rsidRPr="008939F2">
        <w:t xml:space="preserve"> primazia filosófica nem renunciando à violência se parecesse a melhor opção. Ao assumir em 1928 uma das três secretarias-gerais do partido, Bose tomou o comando dos voluntários, que até então tinham sido organizados de maneira apenas esporádica e seguiam métodos não violentos, e converteu-os num corpo permanente, disciplinado e aguerrido. Com o evidente desagrado de Gandhi, ele passou assim a dispor de uma milícia de dois mil homens, metade deles envergando uniforme</w:t>
      </w:r>
      <w:r w:rsidRPr="008939F2">
        <w:rPr>
          <w:rStyle w:val="Refdenotaderodap"/>
        </w:rPr>
        <w:footnoteReference w:id="182"/>
      </w:r>
      <w:r w:rsidRPr="008939F2">
        <w:t xml:space="preserve">. Por outro lado, enquanto Gandhi dava </w:t>
      </w:r>
      <w:r w:rsidR="002B1695">
        <w:t xml:space="preserve">o primeiro lugar </w:t>
      </w:r>
      <w:r w:rsidRPr="008939F2">
        <w:t>às comunidades rurais e permanecia envolto nos sonhos nebulosos do artesanato arcaico, Bose propunha a modernização industrial do país. Nesta perspectiva</w:t>
      </w:r>
      <w:r w:rsidR="00827819">
        <w:t>,</w:t>
      </w:r>
      <w:r w:rsidRPr="008939F2">
        <w:t xml:space="preserve"> defendia que o Partido do Congresso se aliasse aos sindicatos e aproveitasse a enorme força de contestação que residia nos trabalhadores organizados, e em 1931 obteve a presidência da confederação sindical, o que novamente esta</w:t>
      </w:r>
      <w:r w:rsidR="00827819">
        <w:t>v</w:t>
      </w:r>
      <w:r w:rsidRPr="008939F2">
        <w:t xml:space="preserve">a longe de agradar a Gandhi, para quem as greves por motivos políticos </w:t>
      </w:r>
      <w:r w:rsidR="00827819">
        <w:t>s</w:t>
      </w:r>
      <w:r w:rsidRPr="008939F2">
        <w:t>er</w:t>
      </w:r>
      <w:r w:rsidR="00827819">
        <w:t>i</w:t>
      </w:r>
      <w:r w:rsidRPr="008939F2">
        <w:t xml:space="preserve">am sempre nefastas e </w:t>
      </w:r>
      <w:r>
        <w:t>até</w:t>
      </w:r>
      <w:r w:rsidRPr="008939F2">
        <w:t xml:space="preserve"> as devidas a razões </w:t>
      </w:r>
      <w:r w:rsidRPr="008939F2">
        <w:lastRenderedPageBreak/>
        <w:t>económicas se dev</w:t>
      </w:r>
      <w:r w:rsidR="00827819">
        <w:t>er</w:t>
      </w:r>
      <w:r w:rsidRPr="008939F2">
        <w:t xml:space="preserve">iam evitar. Sete anos mais tarde Bose candidatou-se à presidência do Partido do Congresso. O momento não podia ser mais oportuno. Com as eleições de 1937, que lhe haviam dado acesso ao governo em sete das onze províncias, o Partido do Congresso vira-se obrigado a clarificar na prática o que </w:t>
      </w:r>
      <w:r>
        <w:t xml:space="preserve">antes </w:t>
      </w:r>
      <w:r w:rsidRPr="008939F2">
        <w:t>procurara confundir sob a retórica nacionalista. As promessas de reforma agrária em nada interessavam aos donos da terra que dominavam as clientelas locais, e os grandes capitalistas indianos que sustentavam financeiramente o Congresso dispunham de meios sonantes para debilitar a relação do partido com os sindicatos e abafar as veleidades de remodelação da economia</w:t>
      </w:r>
      <w:r w:rsidRPr="008939F2">
        <w:rPr>
          <w:rStyle w:val="Refdenotaderodap"/>
        </w:rPr>
        <w:footnoteReference w:id="183"/>
      </w:r>
      <w:r w:rsidRPr="008939F2">
        <w:t>. Com o apoio de comunistas e socialistas, Bose enfrent</w:t>
      </w:r>
      <w:r>
        <w:t>ou</w:t>
      </w:r>
      <w:r w:rsidRPr="008939F2">
        <w:t xml:space="preserve"> as reticências de Gandhi, que apesar de tudo esperava aprisioná-lo através do controlo que detinha sobre o aparelho partidário. Com efeito, Gandhi conseguiu impedir que Bose pusesse em prática as suas orientações e frustrou os resultados da comissão nacional para a planificação da economia, criada no interior do partido para promover a política de industrialização, e cuja direcção fora entregue a Nehru. Mas se Gandhi pôde boicotar a actividade de Bose, não lhe foi possível evitar a cisão. Em Janeiro de 1939, com o apoio unânime da esquerda, Bose renovou a candidatura à presidência do partido e </w:t>
      </w:r>
      <w:r w:rsidR="002A0A97">
        <w:t>—</w:t>
      </w:r>
      <w:r w:rsidRPr="008939F2">
        <w:t xml:space="preserve"> facto inaudito! </w:t>
      </w:r>
      <w:r w:rsidR="002A0A97">
        <w:t>—</w:t>
      </w:r>
      <w:r w:rsidRPr="008939F2">
        <w:t xml:space="preserve"> venceu o candidato proposto por Gandhi. Os seguidores do Mahatma continuavam, todavia, a dispor do aparelho partidário, e Nehru, que podia fazer a balança pender para um lado ou para o outro, manteve-se solidário com Gandhi. Para reforçar a sua posição, Bose anunciou em Abril a criação do Forward Bloc, destinado a coligar em torno de um programa mínimo as formações de esquerda no âmbito do Partido do Congresso, e em Junho diversas organizações reuniram-se num Comité de Consolidação da Esquerda. Seria Bose o chefe da esquerda indiana? </w:t>
      </w:r>
    </w:p>
    <w:p w:rsidR="00A1546C" w:rsidRPr="008939F2" w:rsidRDefault="00A1546C" w:rsidP="00A1546C">
      <w:r w:rsidRPr="008939F2">
        <w:t xml:space="preserve">A resposta é complexa, porque todas as atitudes de esquerda tomadas por Bose se apresentaram igualmente </w:t>
      </w:r>
      <w:r w:rsidR="005D48BB">
        <w:t>noutro pólo do leque político</w:t>
      </w:r>
      <w:r w:rsidRPr="008939F2">
        <w:t>. N</w:t>
      </w:r>
      <w:r w:rsidR="005D48BB">
        <w:t xml:space="preserve">o </w:t>
      </w:r>
      <w:r w:rsidR="00B57466">
        <w:t>plano</w:t>
      </w:r>
      <w:r w:rsidR="005D48BB">
        <w:t xml:space="preserve"> </w:t>
      </w:r>
      <w:r w:rsidRPr="008939F2">
        <w:t>extern</w:t>
      </w:r>
      <w:r w:rsidR="005D48BB">
        <w:t>o</w:t>
      </w:r>
      <w:r w:rsidRPr="008939F2">
        <w:t xml:space="preserve"> ele não escondia a simpatia pelos fascismos e durante a sua permanência na Europa entre 1933 e 1936 visitou longamente a Alemanha e a Itália. Como o governo do Reich não estava então com vontade de indispor o Reino Unido a propósito da Índia, </w:t>
      </w:r>
      <w:r w:rsidR="00CA47EE">
        <w:t xml:space="preserve">Alfred </w:t>
      </w:r>
      <w:r w:rsidRPr="008939F2">
        <w:t>Rosenberg foi a única personalidade proeminente que aceitou receber Bose, mas o governo italiano não sofria as mesmas restrições, porque se opunha sistematicamente aos britânicos, e Bose pôde encontrar-se cinco vezes com o Duce</w:t>
      </w:r>
      <w:r w:rsidRPr="008939F2">
        <w:rPr>
          <w:rStyle w:val="Refdenotaderodap"/>
        </w:rPr>
        <w:footnoteReference w:id="184"/>
      </w:r>
      <w:r w:rsidRPr="008939F2">
        <w:t xml:space="preserve">. É certo que devemos distinguir as verdadeiras afinidades ideológicas das meras conveniências tácticas, e já em 1931 Gandhi, acompanhado por uma cabra, havia sido recebido por Mussolini não só no seu palácio oficial mas também, o que era insólito, na sua residência </w:t>
      </w:r>
      <w:r w:rsidRPr="008939F2">
        <w:lastRenderedPageBreak/>
        <w:t>privada. Acerca de Gandhi o Duce dissera na ocasião que «é um génio e um santo»</w:t>
      </w:r>
      <w:r w:rsidRPr="008939F2">
        <w:rPr>
          <w:rStyle w:val="Refdenotaderodap"/>
        </w:rPr>
        <w:footnoteReference w:id="185"/>
      </w:r>
      <w:r w:rsidRPr="008939F2">
        <w:t xml:space="preserve">, deixando-nos sem saber que opinião teve a respeito do bicho. </w:t>
      </w:r>
      <w:r w:rsidR="005D48BB">
        <w:t xml:space="preserve">Assim, </w:t>
      </w:r>
      <w:r w:rsidR="005D48BB" w:rsidRPr="008939F2">
        <w:t xml:space="preserve">mais </w:t>
      </w:r>
      <w:r w:rsidRPr="008939F2">
        <w:t xml:space="preserve">do que nas visitas aos chefes e dignitários do fascismo, era na maneira como encarava os problemas da Índia que Bose manifestava opções </w:t>
      </w:r>
      <w:r w:rsidR="005D48BB">
        <w:t>fascistas</w:t>
      </w:r>
      <w:r w:rsidRPr="008939F2">
        <w:t>. No corporativismo ele encontrava o modelo da economia industrial moderna, e via no</w:t>
      </w:r>
      <w:r w:rsidR="005D48BB">
        <w:t>s</w:t>
      </w:r>
      <w:r w:rsidRPr="008939F2">
        <w:t xml:space="preserve"> totalitarismo</w:t>
      </w:r>
      <w:r w:rsidR="005D48BB">
        <w:t>s</w:t>
      </w:r>
      <w:r w:rsidRPr="008939F2">
        <w:t xml:space="preserve"> italiano e </w:t>
      </w:r>
      <w:r w:rsidR="00CA47EE">
        <w:t>germânico</w:t>
      </w:r>
      <w:r w:rsidRPr="008939F2">
        <w:t xml:space="preserve"> exemplos a ser seguidos por quem quisesse usar o aparelho político para remodelar profundamente a sociedade. Mesmo os sindicatos, cuja aliança Bose considerava necessária na luta pela independência, deviam sujeitar os antagonismos de classe à colaboração com o patronato indiano favorável à expulsão dos britânicos</w:t>
      </w:r>
      <w:r w:rsidRPr="008939F2">
        <w:rPr>
          <w:rStyle w:val="Refdenotaderodap"/>
        </w:rPr>
        <w:footnoteReference w:id="186"/>
      </w:r>
      <w:r w:rsidRPr="008939F2">
        <w:t xml:space="preserve">, e nesta articulação do sindicalismo com o nacionalismo residia decerto o embrião de um futuro sindicalismo de Estado, caracterizadamente fascista. Teríamos, então, a esquerda do Partido do Congresso chefiada por um </w:t>
      </w:r>
      <w:r w:rsidR="005D48BB">
        <w:t xml:space="preserve">fascista </w:t>
      </w:r>
      <w:r w:rsidRPr="008939F2">
        <w:t xml:space="preserve">radical? </w:t>
      </w:r>
    </w:p>
    <w:p w:rsidR="00A1546C" w:rsidRPr="008939F2" w:rsidRDefault="00A1546C" w:rsidP="00A1546C">
      <w:r w:rsidRPr="008939F2">
        <w:t>Também para esta pergunta a resposta não é simples, porque Bose pronuncia</w:t>
      </w:r>
      <w:r>
        <w:t>r</w:t>
      </w:r>
      <w:r w:rsidRPr="008939F2">
        <w:t>a-se em 1931 contra a colaboração entre as classes e defend</w:t>
      </w:r>
      <w:r>
        <w:t>er</w:t>
      </w:r>
      <w:r w:rsidRPr="008939F2">
        <w:t>a que a emancipação política do país devia ser acompanhada pela emancipação económica, de maneira a que a Índia se transformasse numa república socialista</w:t>
      </w:r>
      <w:r w:rsidRPr="008939F2">
        <w:rPr>
          <w:rStyle w:val="Refdenotaderodap"/>
        </w:rPr>
        <w:footnoteReference w:id="187"/>
      </w:r>
      <w:r w:rsidRPr="008939F2">
        <w:t>. Quatro anos depois, numa conferência de imprensa, denunciou em termos vigorosos o Reich hitleriano</w:t>
      </w:r>
      <w:r w:rsidR="00C74D4E">
        <w:t>:</w:t>
      </w:r>
      <w:r w:rsidRPr="008939F2">
        <w:t xml:space="preserve"> «No plano económico está mais ou menos nas mãos do grande capital, e politicamente é favorável aos britânicos»</w:t>
      </w:r>
      <w:r w:rsidRPr="008939F2">
        <w:rPr>
          <w:rStyle w:val="Refdenotaderodap"/>
        </w:rPr>
        <w:footnoteReference w:id="188"/>
      </w:r>
      <w:r w:rsidRPr="008939F2">
        <w:t>. Se Bose conheceu a Alemanha e a Itália durante a sua viagem à Europa nos meados da década de 1930 não foi porque lhe faltasse vontade de se encontrar com os dirigentes soviéticos. Foram estes que nunca quiseram convidá-lo</w:t>
      </w:r>
      <w:r w:rsidRPr="008939F2">
        <w:rPr>
          <w:rStyle w:val="Refdenotaderodap"/>
        </w:rPr>
        <w:footnoteReference w:id="189"/>
      </w:r>
      <w:r w:rsidRPr="008939F2">
        <w:t>. Em 1939, perante a iminência da guerra, e de novo ao longo do ano seguinte, Bose insistiu em estabelecer contacto com o governo soviético e pedir-lhe ajuda para preparar uma insurreição na Índia, mas sempre sem resultado</w:t>
      </w:r>
      <w:r w:rsidRPr="008939F2">
        <w:rPr>
          <w:rStyle w:val="Refdenotaderodap"/>
        </w:rPr>
        <w:footnoteReference w:id="190"/>
      </w:r>
      <w:r w:rsidRPr="008939F2">
        <w:t xml:space="preserve">. </w:t>
      </w:r>
    </w:p>
    <w:p w:rsidR="00A1546C" w:rsidRPr="008939F2" w:rsidRDefault="00A1546C" w:rsidP="00A1546C">
      <w:r w:rsidRPr="008939F2">
        <w:t>Afinal, o próprio Bose anunciou claramente onde pretendia situar-se, nem no socialismo nem no fascismo, mas numa tensão entre ambos os campos. Discursando em 1930, resumiu o seu programa como «uma síntese daquilo que hoje na Europa se chama socialismo e fascismo. Ele contém a justiça, a igualdade e o amor, que são a base do socialismo, combinados com a eficácia e a disciplina do fascismo, tal como se apresenta actualmente na Europa»</w:t>
      </w:r>
      <w:r w:rsidRPr="008939F2">
        <w:rPr>
          <w:rStyle w:val="Refdenotaderodap"/>
        </w:rPr>
        <w:footnoteReference w:id="191"/>
      </w:r>
      <w:r w:rsidRPr="008939F2">
        <w:t xml:space="preserve">. Estas ideias foram detalhadas num livro publicado cinco anos mais tarde. «Apesar da antítese entre o comunismo e o fascismo, eles têm alguns traços comuns», escreveu Bose. «Ambos acreditam </w:t>
      </w:r>
      <w:r w:rsidRPr="008939F2">
        <w:lastRenderedPageBreak/>
        <w:t>na supremacia do Estado sobre os indivíduos, ambos criticam a democracia parlamentar, ambos acreditam na função dirigente do partido, ambos acreditam na ditadura do partido e na necessidade de reprimir impiedosamente as minorias oposicionistas, ambos acreditam na reorganização nacional através da planificação da indústria. Estes traços comuns constituirão a base da nova síntese. [...] A missão da Índia será construir essa síntese»</w:t>
      </w:r>
      <w:r w:rsidRPr="008939F2">
        <w:rPr>
          <w:rStyle w:val="Refdenotaderodap"/>
        </w:rPr>
        <w:footnoteReference w:id="192"/>
      </w:r>
      <w:r w:rsidRPr="008939F2">
        <w:t>. E mesmo quando pareceu mudar de ideias, numa entrevista concedida em 1937, Bose limitou-se na realidade a formular a síntese de outra maneira, porque apenas objectou ao fascismo o facto de ele se ter convertido de um nacionalismo agressivo num imperialismo expansionista, assim como, simetricamente, censurou a muitos comunistas indianos o seu internacionalismo antinacionalista</w:t>
      </w:r>
      <w:r w:rsidRPr="008939F2">
        <w:rPr>
          <w:rStyle w:val="Refdenotaderodap"/>
        </w:rPr>
        <w:footnoteReference w:id="193"/>
      </w:r>
      <w:r w:rsidRPr="008939F2">
        <w:t>. Independentemente do que pudesse passar-se no plano externo, a síntese continua</w:t>
      </w:r>
      <w:r>
        <w:t>ri</w:t>
      </w:r>
      <w:r w:rsidRPr="008939F2">
        <w:t>a válida nas questões internas, e numa conferência proferida em 1944 na Universidade de Tóquio Bose afirmou uma vez mais que «a nossa filosofia política deve ser uma síntese entre o nacional-socialismo e o comunismo. O conflito entre a tese e a antítese tem de ser resolvido numa síntese superior»</w:t>
      </w:r>
      <w:r w:rsidRPr="008939F2">
        <w:rPr>
          <w:rStyle w:val="Refdenotaderodap"/>
        </w:rPr>
        <w:footnoteReference w:id="194"/>
      </w:r>
      <w:r w:rsidRPr="008939F2">
        <w:t>. A história demonstrou, porém, sem deixar lugar para dúvidas, que qualquer ensaio de síntese entre o comunismo e o fascismo não é mais do que uma reconstituição do fascismo, e o percurso de Bose durante a segunda guerra mundial foi uma ilustraç</w:t>
      </w:r>
      <w:r w:rsidR="00EE04F3">
        <w:t>ão</w:t>
      </w:r>
      <w:r w:rsidRPr="008939F2">
        <w:t xml:space="preserve"> </w:t>
      </w:r>
      <w:r w:rsidR="00EE04F3" w:rsidRPr="008939F2">
        <w:t xml:space="preserve">flagrante </w:t>
      </w:r>
      <w:r w:rsidRPr="008939F2">
        <w:t xml:space="preserve">desta regra. </w:t>
      </w:r>
    </w:p>
    <w:p w:rsidR="00A1546C" w:rsidRPr="008939F2" w:rsidRDefault="00A1546C" w:rsidP="00A1546C">
      <w:r w:rsidRPr="008939F2">
        <w:t xml:space="preserve">Em 1940 Bose encontrava-se numa situação deveras embaraçosa. Ele havia proposto que o Partido do Congresso aproveitasse as dificuldades militares da potência colonizadora para se lançar ao assalto final, mas a direcção do partido recusou esta orientação. Bose só podia contar com as próprias forças e, apesar das multidões que sempre acorriam a ouvi-lo e saudá-lo por onde quer que passasse, não conseguiu converter o Forward Bloc numa verdadeira organização de massas, e o Comité de Consolidação da Esquerda fora um completo fracasso. Bose havia perdido o combate contra Gandhi e contra o aparelho do Partido do Congresso. Só uma mudança de base política lhe permitiria retomar a iniciativa. </w:t>
      </w:r>
      <w:r w:rsidR="00F83D23">
        <w:t>Ele</w:t>
      </w:r>
      <w:r w:rsidRPr="008939F2">
        <w:t xml:space="preserve"> preparou-se então para fugir e, através do Afeganistão, alcançar a União Soviética, de onde tencionava lançar uma nova frente de combate</w:t>
      </w:r>
      <w:r w:rsidRPr="008939F2">
        <w:rPr>
          <w:rStyle w:val="Refdenotaderodap"/>
        </w:rPr>
        <w:footnoteReference w:id="195"/>
      </w:r>
      <w:r w:rsidRPr="008939F2">
        <w:t xml:space="preserve">. Mas em Julho de 1940 decidiu, de maneira inesperada, conduzir pessoalmente uma manifestação que para as autoridades coloniais constituiria uma provocação inaceitável. Na véspera foi preso, a décima primeira vez que tal lhe sucedia, e em Novembro iniciou uma greve da fome que levou os britânicos a libertá-lo no início de Dezembro. </w:t>
      </w:r>
    </w:p>
    <w:p w:rsidR="00A1546C" w:rsidRPr="008939F2" w:rsidRDefault="00A1546C" w:rsidP="00A1546C">
      <w:r w:rsidRPr="008939F2">
        <w:lastRenderedPageBreak/>
        <w:t>Em Janeiro de 1941 Bose saiu clandestinamente da Índia e, mantendo secreto o seu paradeiro, seguiu para o Afeganistão. Se acreditarmos no testemunho de várias pessoas que o ajudaram na fuga, o objectivo</w:t>
      </w:r>
      <w:r w:rsidRPr="00870390">
        <w:t xml:space="preserve"> era</w:t>
      </w:r>
      <w:r w:rsidRPr="008939F2">
        <w:t>, em primeiro lugar, Moscovo, de onde tencionava posteriormente deslocar-se a Berlim</w:t>
      </w:r>
      <w:r w:rsidRPr="008939F2">
        <w:rPr>
          <w:rStyle w:val="Refdenotaderodap"/>
        </w:rPr>
        <w:footnoteReference w:id="196"/>
      </w:r>
      <w:r w:rsidRPr="008939F2">
        <w:t>. Mas enquanto aguardava em Kabul sob uma falsa identidade Bose não conseguiu estabelecer um contacto frutuoso com os representantes diplomáticos soviéticos e decidiu então recorrer à embaixada do Reich. No final, os soviéticos aceitaram fornecer-lhe uma autorização de trânsito em direcção à Alemanha, e na passagem por Moscovo ficaram novamente frustrados os seus esforços para obter a ajuda do governo comunista. Chegado a Berlim em Março de 1941, propôs aos dirigentes naciona</w:t>
      </w:r>
      <w:r w:rsidR="00687897">
        <w:t>l</w:t>
      </w:r>
      <w:r w:rsidRPr="008939F2">
        <w:t>-socialistas que, a troco da promessa de facilidades especiais na Índia, as potências do Eixo o reconhecessem como chefe de um governo independente</w:t>
      </w:r>
      <w:r w:rsidRPr="008939F2">
        <w:rPr>
          <w:rStyle w:val="Refdenotaderodap"/>
        </w:rPr>
        <w:footnoteReference w:id="197"/>
      </w:r>
      <w:r w:rsidRPr="008939F2">
        <w:t xml:space="preserve">. Mas os </w:t>
      </w:r>
      <w:r w:rsidR="005F4FFE">
        <w:t xml:space="preserve">germânicos </w:t>
      </w:r>
      <w:r w:rsidRPr="008939F2">
        <w:t>mostraram-se prudentes e os italianos foram igualmente reservados. Só após bastantes dificuldades Bose acabou por inaugurar em Berlim, no final de Outubro, o Centro Índia Livre, que pouco depois começou a transmitir programas radiofónicos para a Índia. Entretanto, entre os quinze mil prisioneiros de guerra indianos que a Wehrmacht capturara nas campanhas do Norte de África os SS tinham começado a seleccionar aqueles que fossem susceptíveis de constituir um exército independentista. Mas mesmo depois das sessões de propaganda de Bose, que à imagem dos demais chefes fascistas se ornamentou com o título de Netaji, equivalente a Führer, só quatro mil prisioneiros se ofereceram para incorporar o que veio a ser a Legião Indiana. Em Dezembro de 1942 estavam formados três batalhões operacionais, cada um com mil homens</w:t>
      </w:r>
      <w:r w:rsidRPr="008939F2">
        <w:rPr>
          <w:rStyle w:val="Refdenotaderodap"/>
        </w:rPr>
        <w:footnoteReference w:id="198"/>
      </w:r>
      <w:r w:rsidRPr="008939F2">
        <w:t xml:space="preserve">. Pouco depois Bose abandonou o Reich, rumo ao Japão. </w:t>
      </w:r>
    </w:p>
    <w:p w:rsidR="00A1546C" w:rsidRPr="008939F2" w:rsidRDefault="00A1546C" w:rsidP="00A1546C">
      <w:r w:rsidRPr="008939F2">
        <w:t xml:space="preserve">Com efeito, em Fevereiro de 1942 o império britânico sofrera em Singapura a sua maior derrota militar do último século e meio, quando mais de sessenta mil homens, metade dos quais indianos, se renderam aos japoneses, ficando detidos como prisioneiros de guerra. Bose tinha aí um teatro de operações muito mais promissor e, sobretudo, mais próximo do seu país. É certo que anos atrás ele havia manifestado inquietação perante as ambições expansionistas do Japão na Ásia, mas em 1939 estabelecera contactos secretos com Tóquio e o Forward Bloc contara então com subsídios nipónicos, e desde o final de 1941 Bose mantinha relações regulares com a </w:t>
      </w:r>
      <w:r w:rsidRPr="008939F2">
        <w:lastRenderedPageBreak/>
        <w:t>embaixada japonesa em Berlim</w:t>
      </w:r>
      <w:r w:rsidRPr="008939F2">
        <w:rPr>
          <w:rStyle w:val="Refdenotaderodap"/>
        </w:rPr>
        <w:footnoteReference w:id="199"/>
      </w:r>
      <w:r w:rsidRPr="008939F2">
        <w:t xml:space="preserve">. Em Abril de 1942 o governo japonês convidara-o a regressar ao Oriente e em Janeiro do ano seguinte comunicou-lhe que as condições eram propícias para o acolher. </w:t>
      </w:r>
    </w:p>
    <w:p w:rsidR="00A1546C" w:rsidRPr="008939F2" w:rsidRDefault="00A1546C" w:rsidP="00A1546C">
      <w:r w:rsidRPr="008939F2">
        <w:t xml:space="preserve">Embarcado em Fevereiro de 1943 num submarino </w:t>
      </w:r>
      <w:r w:rsidR="005F4FFE">
        <w:t>germânico</w:t>
      </w:r>
      <w:r w:rsidRPr="008939F2">
        <w:t xml:space="preserve">, em Abril foi transferido a meio do mar para um submarino japonês e em Junho estava em Tóquio, onde </w:t>
      </w:r>
      <w:r w:rsidR="004F1196">
        <w:t xml:space="preserve">conseguiu que </w:t>
      </w:r>
      <w:r w:rsidRPr="008939F2">
        <w:t xml:space="preserve">o governo lhe </w:t>
      </w:r>
      <w:r w:rsidR="004F1196" w:rsidRPr="008939F2">
        <w:t>atribu</w:t>
      </w:r>
      <w:r w:rsidR="004F1196">
        <w:t>ísse</w:t>
      </w:r>
      <w:r w:rsidR="004F1196" w:rsidRPr="008939F2">
        <w:t xml:space="preserve"> </w:t>
      </w:r>
      <w:r w:rsidRPr="008939F2">
        <w:t xml:space="preserve">o comando do Exército Nacional Indiano, uma segunda versão de um considerável corpo de tropas que havia sido formado mais de um ano antes por outros nacionalistas indianos, também sob a égide das autoridades nipónicas. Eram doze ou treze mil antigos prisioneiros de guerra, junto com voluntários </w:t>
      </w:r>
      <w:r w:rsidR="00736B40">
        <w:t>—</w:t>
      </w:r>
      <w:r w:rsidRPr="008939F2">
        <w:t xml:space="preserve"> homens e mulheres </w:t>
      </w:r>
      <w:r w:rsidR="00736B40">
        <w:t>—</w:t>
      </w:r>
      <w:r w:rsidRPr="008939F2">
        <w:t xml:space="preserve"> vindos de Singapura, da Malásia e de outras regiões do sudeste asiático. Em breve os esforços de recrutamento conduzidos por Bose somaram-lhes mais duas mil pessoas, mas decerto muitíssimas outras aderiram depois, porque terminada a guerra estavam nas prisões britânicas vinte e cinco mil membros do Exército Nacional Indiano</w:t>
      </w:r>
      <w:r w:rsidRPr="008939F2">
        <w:rPr>
          <w:rStyle w:val="Refdenotaderodap"/>
        </w:rPr>
        <w:footnoteReference w:id="200"/>
      </w:r>
      <w:r w:rsidRPr="008939F2">
        <w:t xml:space="preserve">. </w:t>
      </w:r>
    </w:p>
    <w:p w:rsidR="00A1546C" w:rsidRPr="008939F2" w:rsidRDefault="00A1546C" w:rsidP="00A1546C">
      <w:r w:rsidRPr="008939F2">
        <w:t>E os homens da Legião Indiana, esquecidos por Bose no Reich, que lhes sucedeu? Mobilizados pelo apelo de alguém que aparecia como chefe incontroverso da esquerda na Índia, eles viravam as suas simpatias para a União Soviética, como aliás Bose prevenira as autoridades naciona</w:t>
      </w:r>
      <w:r w:rsidR="00687897">
        <w:t>l</w:t>
      </w:r>
      <w:r w:rsidRPr="008939F2">
        <w:t>-socialistas</w:t>
      </w:r>
      <w:r w:rsidRPr="008939F2">
        <w:rPr>
          <w:rStyle w:val="Refdenotaderodap"/>
        </w:rPr>
        <w:footnoteReference w:id="201"/>
      </w:r>
      <w:r w:rsidRPr="008939F2">
        <w:t>. Dois meses depois da partida de Bose para o Oriente a Legião Indiana recusou-se a combater na frente leste e o motim teve algum sucesso porque, embora fossem fuzilados dez cabecilhas, as restantes tropas foram integradas na Wehrmacht e enviadas para França. Mais tarde, no Verão de 1944, os indianos receberam ordem de retirar para o Reich e incorporaram-se nos Waffen</w:t>
      </w:r>
      <w:r w:rsidR="007623C8">
        <w:t>-</w:t>
      </w:r>
      <w:r w:rsidRPr="008939F2">
        <w:t>SS, até que os britânicos capturaram os sobreviventes e os julgaram em Deli no final da guerra</w:t>
      </w:r>
      <w:r w:rsidRPr="008939F2">
        <w:rPr>
          <w:rStyle w:val="Refdenotaderodap"/>
        </w:rPr>
        <w:footnoteReference w:id="202"/>
      </w:r>
      <w:r w:rsidRPr="008939F2">
        <w:t>. A que título? Nacionais-socialistas e participantes na experiência de constituição da nova raça de senhores, não há dúvida que o eram, pois haviam vestido os uniformes dos Waffen</w:t>
      </w:r>
      <w:r w:rsidR="007623C8">
        <w:t>-</w:t>
      </w:r>
      <w:r w:rsidRPr="008939F2">
        <w:t xml:space="preserve">SS. Anti-imperialistas eram-no igualmente, decerto, eles que tinham aproveitado a ocasião para continuar a luta contra a odiada potência colonizadora. Convictos homens de esquerda, socialistas e pró-comunistas, não podemos duvidar de que o fossem também, como testemunha o motim em que se negaram a enfrentar as </w:t>
      </w:r>
      <w:r w:rsidRPr="008939F2">
        <w:lastRenderedPageBreak/>
        <w:t xml:space="preserve">tropas soviéticas. É inútil meditarmos sobre as contradições pessoais desta gente. Interessa-me apenas analisar uma época que tornou tais contradições possíveis ou até obrigatórias para aqueles que se haviam deixado aprisionar pelo labirinto. </w:t>
      </w:r>
    </w:p>
    <w:p w:rsidR="00A1546C" w:rsidRPr="008939F2" w:rsidRDefault="00A1546C" w:rsidP="00A1546C">
      <w:r w:rsidRPr="008939F2">
        <w:t>Porque foi exactamente igual, nos seus paradoxos, o destino de Bose. Em Outubro de 1943 vários países da área fascista reconheceram o Governo Provisório da Índia Livre, e Bose rode</w:t>
      </w:r>
      <w:r>
        <w:t>ou</w:t>
      </w:r>
      <w:r w:rsidRPr="008939F2">
        <w:t xml:space="preserve">-se de um cerimonial de chefe de Estado, sempre saudado como Netaji. Nas suas </w:t>
      </w:r>
      <w:r w:rsidR="00723533" w:rsidRPr="008939F2">
        <w:t>Memórias</w:t>
      </w:r>
      <w:r w:rsidRPr="008939F2">
        <w:t xml:space="preserve">, Ba Maw, que </w:t>
      </w:r>
      <w:r>
        <w:t>tivera</w:t>
      </w:r>
      <w:r w:rsidRPr="008939F2">
        <w:t xml:space="preserve"> oportunidade de conversar longamente com ele, cont</w:t>
      </w:r>
      <w:r>
        <w:t>ou</w:t>
      </w:r>
      <w:r w:rsidRPr="008939F2">
        <w:t xml:space="preserve"> que o ouvi</w:t>
      </w:r>
      <w:r>
        <w:t>ra</w:t>
      </w:r>
      <w:r w:rsidRPr="008939F2">
        <w:t xml:space="preserve"> defender a organização totalitária do partido e do Estado</w:t>
      </w:r>
      <w:r w:rsidRPr="008939F2">
        <w:rPr>
          <w:rStyle w:val="Refdenotaderodap"/>
        </w:rPr>
        <w:footnoteReference w:id="203"/>
      </w:r>
      <w:r w:rsidRPr="008939F2">
        <w:t xml:space="preserve">. Quaisquer que fossem os seus desejos e ambições, porém, de momento Bose tinha nas mãos apenas um instrumento real, o Exército Nacional Indiano, que avançou através da Birmânia até às fronteiras da Índia para participar nas campanhas de Março a Julho de 1944. Mas foram catastróficos os resultados, tanto militares como políticos. A Esfera da Co-Prosperidade estava em retracção e os japoneses </w:t>
      </w:r>
      <w:r>
        <w:t>fo</w:t>
      </w:r>
      <w:r w:rsidRPr="008939F2">
        <w:t>ram incapazes de prestar aos seus aliados indianos o necessário apoio aéreo. Bose confiara, todavia, que ao depararem com o exército da Índia Livre os seus compatriotas integrados nas forças coloniais desertassem em massa. Em vez disso, mais de setecentos soldados de Bose passaram-se para os britânicos e em seguida, durante a retirada pela Birmânia, verificou-se a fuga de vários comandantes</w:t>
      </w:r>
      <w:r w:rsidRPr="008939F2">
        <w:rPr>
          <w:rStyle w:val="Refdenotaderodap"/>
        </w:rPr>
        <w:footnoteReference w:id="204"/>
      </w:r>
      <w:r w:rsidRPr="008939F2">
        <w:t xml:space="preserve">. A desagregação do exército colonial, em que Bose havia depositado tantas esperanças, viria mais tarde </w:t>
      </w:r>
      <w:r w:rsidR="00571ED1">
        <w:t>—</w:t>
      </w:r>
      <w:r w:rsidRPr="008939F2">
        <w:t xml:space="preserve"> tarde demais para ele </w:t>
      </w:r>
      <w:r w:rsidR="00571ED1">
        <w:t>—</w:t>
      </w:r>
      <w:r w:rsidRPr="008939F2">
        <w:t xml:space="preserve"> e dever-se-ia paradoxalmente não a um Exército Nacional Indiano vencedor, mas destroçado. </w:t>
      </w:r>
    </w:p>
    <w:p w:rsidR="00A1546C" w:rsidRPr="008939F2" w:rsidRDefault="00A1546C" w:rsidP="00A1546C">
      <w:r w:rsidRPr="008939F2">
        <w:t xml:space="preserve">Todavia, não antecipemos a história. Sem outra alternativa senão acompanhar o recuo dos seus protectores, Bose procurou não se afastar muito da fronteira da Índia, mas em Agosto de 1945, ao tomar conhecimento da capitulação das tropas japonesas, decidiu ir para a União Soviética e tentar aí, </w:t>
      </w:r>
      <w:r w:rsidR="006A39CD">
        <w:t>de novo</w:t>
      </w:r>
      <w:r w:rsidRPr="008939F2">
        <w:t xml:space="preserve">, obter apoio para a independência do seu país. Malgrado a frieza que os dirigentes soviéticos sempre lhe mostraram, </w:t>
      </w:r>
      <w:r w:rsidR="00B96009">
        <w:t>ele</w:t>
      </w:r>
      <w:r w:rsidRPr="008939F2">
        <w:t xml:space="preserve"> nunca desesperou de os convencer. Durante a guerra jamais fez declarações inamistosas acerca da URSS e manteve-se em contacto secreto com os dirigentes do Partido Comunista da Índia, apesar dos insultos com que eles </w:t>
      </w:r>
      <w:r w:rsidR="006A39CD">
        <w:t xml:space="preserve">o </w:t>
      </w:r>
      <w:r w:rsidRPr="008939F2">
        <w:t>cobriam publicamente</w:t>
      </w:r>
      <w:r w:rsidRPr="008939F2">
        <w:rPr>
          <w:rStyle w:val="Refdenotaderodap"/>
        </w:rPr>
        <w:footnoteReference w:id="205"/>
      </w:r>
      <w:r w:rsidRPr="008939F2">
        <w:t>. À medida que a situação militar do Eixo se ia deteriorando, Bose confidenciou a alguns amigos que estava disposto a recorrer a Moscovo</w:t>
      </w:r>
      <w:r w:rsidRPr="008939F2">
        <w:rPr>
          <w:rStyle w:val="Refdenotaderodap"/>
        </w:rPr>
        <w:footnoteReference w:id="206"/>
      </w:r>
      <w:r w:rsidRPr="008939F2">
        <w:t xml:space="preserve">, e é curioso que na segunda metade de 1944 houvesse oficiais japoneses de alta patente a sugerir-lhe discretamente que chegara a hora de procurar do lado soviético um auxílio que o Japão já não se encontrava capaz de dar. Sondado neste sentido, porém, o governo nipónico não aceitou a </w:t>
      </w:r>
      <w:r w:rsidRPr="008939F2">
        <w:lastRenderedPageBreak/>
        <w:t>sugestão, e quando Bose visitou Tóquio em Novembro desse ano o embaixador soviético escusou-se a recebê-lo</w:t>
      </w:r>
      <w:r w:rsidRPr="008939F2">
        <w:rPr>
          <w:rStyle w:val="Refdenotaderodap"/>
        </w:rPr>
        <w:footnoteReference w:id="207"/>
      </w:r>
      <w:r w:rsidRPr="008939F2">
        <w:t>. Mas em Maio de 1945 Bose concluiu que a situação se alterara, porque decerto a iminente vitória aliada iria desencadear a curto prazo um conflito entre os ocidentais e os comunistas, e estes teriam vantagem em apoiá-lo. Bose tomou a firme decisão de alcançar o território soviético</w:t>
      </w:r>
      <w:r w:rsidRPr="008939F2">
        <w:rPr>
          <w:rStyle w:val="Refdenotaderodap"/>
        </w:rPr>
        <w:footnoteReference w:id="208"/>
      </w:r>
      <w:r w:rsidRPr="008939F2">
        <w:t xml:space="preserve">, e de novo deparamos com responsáveis nipónicos que, à beira do fim, colocaram a liquidação do colonialismo ocidental acima de quaisquer outros interesses. Naqueles dias caóticos em que tudo faltava, foi o próprio marechal Terauchi quem enfrentou o parecer desfavorável do alto comando e conseguiu obter um avião que transportasse Bose para a Manchúria, onde ele esperava entrar em contacto com os soviéticos. Mas na escala em Taiwan, a 18 de Agosto de 1945, o avião caiu ao levantar voo. Bose ficou gravemente queimado e morreu pouco depois num hospital japonês. </w:t>
      </w:r>
    </w:p>
    <w:p w:rsidR="00A1546C" w:rsidRPr="008939F2" w:rsidRDefault="00A1546C" w:rsidP="00A1546C">
      <w:r w:rsidRPr="008939F2">
        <w:t xml:space="preserve">Peregrinando por terra desde a Índia até ao Reich nacional-socialista e daí, sob os oceanos, até à área de soberania do militarismo nipónico, para no final, cruzando os ares, demandar as fronteiras do comunismo russo </w:t>
      </w:r>
      <w:r w:rsidR="00A04DDC">
        <w:t>—</w:t>
      </w:r>
      <w:r w:rsidRPr="008939F2">
        <w:t xml:space="preserve"> não houve limites, nem geográficos nem políticos, para um tão exaltado anticolonialismo. Bose esforçou-se por realizar na sua própria vida a síntese do fascismo e do comunismo que ele apresentava como a razão de ser do seu programa político. Mas a história, como sempre, é simbólica, e ao morrer em território nipónico, definitivamente aprisionado pelo fascismo, Bose mostrou a futilidade daquela tentativa. Neste caso a história foi duplamente simbólica, porque os seguidores de Bose, para não desesperarem da validade da síntese entre os dois campos antagónicos, tiveram de se recusar a acreditar na morte do Netaji, e passados trinta ou quarenta anos do final da guerra havia ainda na Índia muitas dezenas de milhares de pessoas convictas de que ele se encontrava na União Soviética, em segredo, para regressar um dia</w:t>
      </w:r>
      <w:r w:rsidRPr="008939F2">
        <w:rPr>
          <w:rStyle w:val="Refdenotaderodap"/>
        </w:rPr>
        <w:footnoteReference w:id="209"/>
      </w:r>
      <w:r w:rsidRPr="008939F2">
        <w:t xml:space="preserve">. </w:t>
      </w:r>
    </w:p>
    <w:p w:rsidR="00A1546C" w:rsidRPr="008939F2" w:rsidRDefault="00A1546C" w:rsidP="00A1546C">
      <w:r w:rsidRPr="008939F2">
        <w:t xml:space="preserve">No périplo da sua vida Bose reproduziu </w:t>
      </w:r>
      <w:r w:rsidR="00842D67">
        <w:t>—</w:t>
      </w:r>
      <w:r w:rsidRPr="008939F2">
        <w:t xml:space="preserve"> tanto mais curiosamente quanto não existem coincidências na história </w:t>
      </w:r>
      <w:r w:rsidR="00842D67">
        <w:t>—</w:t>
      </w:r>
      <w:r w:rsidRPr="008939F2">
        <w:t xml:space="preserve"> as deslocações de Mahendra Pratap, um dos seus predecessores na causa do nacionalismo indiano. Durante a primeira guerra mundial Pratap conseguira ir para a Alemanha, onde incitou as autoridades a fomentarem os sentimentos antibritânicos da população indiana, chegando a formar em Berlim um Governo Provisório da Índia Livre, e prosseguiu uma activa diplomacia junto dos dirigentes do Afeganistão, na esperança de os convencer a entrarem em guerra contra a Grã-Bretanha. Ao mesmo tempo, em 1918 e 1919, </w:t>
      </w:r>
      <w:r w:rsidR="0060524B">
        <w:t xml:space="preserve">visitou </w:t>
      </w:r>
      <w:r w:rsidRPr="008939F2">
        <w:t xml:space="preserve">várias vezes </w:t>
      </w:r>
      <w:r w:rsidR="0060524B">
        <w:t>a</w:t>
      </w:r>
      <w:r w:rsidRPr="008939F2">
        <w:t xml:space="preserve"> Rússia e encontrou-se repetidamente com Trotsky e Lenin, procurando também desse lado uma </w:t>
      </w:r>
      <w:r w:rsidRPr="008939F2">
        <w:lastRenderedPageBreak/>
        <w:t>aliança contra os colonizadores do seu país. E em 1934 Pratap fixou-se no Japão, defendendo uma concepção de governo federativo mundial que me parece bastante próxima da divulgada por Kita Ikki. Mas Pratap era demasiado visionário para o gosto do militarismo nipónico, e sobretudo os seus planos não atribuíam ao Japão a tutela que este se achava com o direito de exercer sobre as demais nações asiáticas. Por fim, em 1942 as autoridades japonesas deram-lhe ordem para se manter afastado da actividade política</w:t>
      </w:r>
      <w:r w:rsidRPr="008939F2">
        <w:rPr>
          <w:rStyle w:val="Refdenotaderodap"/>
        </w:rPr>
        <w:footnoteReference w:id="210"/>
      </w:r>
      <w:r w:rsidRPr="008939F2">
        <w:t xml:space="preserve">. Noutra escala e com maior sensatez, Bose ampliou um caminho que estava já traçado. </w:t>
      </w:r>
    </w:p>
    <w:p w:rsidR="00A1546C" w:rsidRPr="008939F2" w:rsidRDefault="00A1546C" w:rsidP="00A1546C">
      <w:r w:rsidRPr="008939F2">
        <w:t>Terminada a guerra, que faria o governo colonial britânico com os vinte e cinco mil membros do antigo Exército Nacional Indiano que tinha nos seus campos de prisioneiros? Em Novembro de 1945 começou o julgamento de três comandantes, um hindu, um sikh e um muçulmano. Mas se as autoridades pretend</w:t>
      </w:r>
      <w:r>
        <w:t>er</w:t>
      </w:r>
      <w:r w:rsidRPr="008939F2">
        <w:t>am mostrar que a justiça, ou antes a repressão, era distribuída com igualdade pelas principais comunidades étnicas, o que conseguiram fazer foi uní-las todas num protesto unânime. A simpatia pelos acusados foi tão generalizada e tão vastas e violentas as manifestações populares de indignação que os juízes os deixaram sair em liberdade. Em Calcutá uma greve geral de repúdio durara uma semana, de 21 a 26 de Novembro</w:t>
      </w:r>
      <w:r w:rsidR="00BD35DF">
        <w:t xml:space="preserve">, </w:t>
      </w:r>
      <w:r w:rsidR="009A664F">
        <w:t xml:space="preserve">acompanhada por </w:t>
      </w:r>
      <w:r w:rsidR="00BD35DF">
        <w:t xml:space="preserve">distúrbios que </w:t>
      </w:r>
      <w:r w:rsidR="008868BB">
        <w:t xml:space="preserve">levaram à proclamação da lei marcial na cidade e </w:t>
      </w:r>
      <w:r w:rsidR="00BD35DF">
        <w:t>deixaram quarenta e cinco indianos mortos</w:t>
      </w:r>
      <w:r w:rsidRPr="008939F2">
        <w:t>. Apesar disto, os britânicos abalançaram-se a fazer julgar e condenar outro antigo comandante de Bose, e então os protestos tornaram-se insurreccionais e alastraram nas forças armadas da colónia. A 20 de Fevereiro de 1946 praticamente toda a Marinha Real Indiana estava amotinada e sublevaram-se ainda unidades da aviação e do exército. Juntando outras reivindicações à defesa dos réus, os marinheiros reclama</w:t>
      </w:r>
      <w:r>
        <w:t>r</w:t>
      </w:r>
      <w:r w:rsidRPr="008939F2">
        <w:t>am igualmente a melhoria da alimentação e uma desmobilização mais rápida, mas o carácter do movimento ficou bem expresso quando os insurrectos destruíram bandeiras britânicas e escreveram nas paredes palavras de ordem do antigo exército independentista. Entretanto, os comunistas e a esquerda do Partido do Congresso apelaram para a organização de greves de solidariedade, que em Bombaim mobilizaram mais de seiscentos mil trabalhadores da indústria têxtil. Finalmente todos os réus foram libertados e esta onda de revoltas convenceu o governo de Londres da impossibilidade de manter o controlo sobre a Índia</w:t>
      </w:r>
      <w:r w:rsidRPr="008939F2">
        <w:rPr>
          <w:rStyle w:val="Refdenotaderodap"/>
        </w:rPr>
        <w:footnoteReference w:id="211"/>
      </w:r>
      <w:r w:rsidRPr="008939F2">
        <w:t>. Reflectindo candidamente a opinião de que</w:t>
      </w:r>
      <w:r>
        <w:t>m</w:t>
      </w:r>
      <w:r w:rsidRPr="008939F2">
        <w:t xml:space="preserve"> desejava perpetuar o domínio colonial, escrev</w:t>
      </w:r>
      <w:r>
        <w:t>eu</w:t>
      </w:r>
      <w:r w:rsidRPr="008939F2">
        <w:t xml:space="preserve"> o correspondente do </w:t>
      </w:r>
      <w:r w:rsidRPr="008939F2">
        <w:rPr>
          <w:i/>
        </w:rPr>
        <w:t>Daily Telegraph:</w:t>
      </w:r>
      <w:r w:rsidRPr="008939F2">
        <w:t xml:space="preserve"> «O Exército Nacional Indiano, que se rendera por ocasião da derrota japonesa, foi colectivamente indultado </w:t>
      </w:r>
      <w:r w:rsidR="00DE58DC">
        <w:t>—</w:t>
      </w:r>
      <w:r w:rsidRPr="008939F2">
        <w:t xml:space="preserve"> para grande indignação de muita gente </w:t>
      </w:r>
      <w:r w:rsidR="00DE58DC">
        <w:t>—</w:t>
      </w:r>
      <w:r w:rsidRPr="008939F2">
        <w:t xml:space="preserve"> e </w:t>
      </w:r>
      <w:r w:rsidRPr="008939F2">
        <w:lastRenderedPageBreak/>
        <w:t>mesmo que se tivessem limitado a regressar às aldeias de origem os seus membros tinham aprendido que os britânicos podiam ser desafiados»</w:t>
      </w:r>
      <w:r w:rsidRPr="008939F2">
        <w:rPr>
          <w:rStyle w:val="Refdenotaderodap"/>
        </w:rPr>
        <w:footnoteReference w:id="212"/>
      </w:r>
      <w:r w:rsidRPr="008939F2">
        <w:t xml:space="preserve">. </w:t>
      </w:r>
    </w:p>
    <w:p w:rsidR="00A1546C" w:rsidRPr="008939F2" w:rsidRDefault="00A1546C" w:rsidP="00A1546C">
      <w:r w:rsidRPr="008939F2">
        <w:t>O destino daqueles vinte e cinco mil nacionalistas acrescenta ainda alguma coisa, além da magnitude dos números, à compreensão do papel do fascismo no processo de descolonização. Numa ampla policromia ideológica, as bandeiras vermelhas dos comunistas e dos socialistas desfraldadas ao lado das bandeiras verdes dos islamistas e das bandeiras tricolores do Partido do Congresso, em defesa dos antigos membros do exército independentista</w:t>
      </w:r>
      <w:r w:rsidRPr="008939F2">
        <w:rPr>
          <w:rStyle w:val="Refdenotaderodap"/>
        </w:rPr>
        <w:footnoteReference w:id="213"/>
      </w:r>
      <w:r w:rsidRPr="008939F2">
        <w:t xml:space="preserve">, mostraram que afinal o fascismo indiano conseguira dar corpo à sua ambição de fundar uma unidade nacional sobre um movimento popular e radical. Parece que Subhas Chandra Bose teve de morrer para que chegasse a bom termo a síntese do fascismo e do comunismo com que ele sonhara toda a vida e em que contara alicerçar a independência do seu país, porque as vicissitudes do Exército Nacional Indiano, constituído sob a égide do fascismo, serviram depois da guerra para mobilizar a esquerda comunista e socialista. E se for exacto, como creio que é, o que há pouco escrevi, que qualquer tentativa de síntese entre o fascismo e o comunismo não é mais do que uma reconstituição do fascismo, dispomos então de um cruel diagnóstico do terceiro-mundismo. </w:t>
      </w:r>
    </w:p>
    <w:p w:rsidR="00A1546C" w:rsidRPr="008939F2" w:rsidRDefault="00A1546C" w:rsidP="00A1546C">
      <w:r w:rsidRPr="008939F2">
        <w:t xml:space="preserve">A história não acaba aqui, porque a meio do périplo de Bose mencionei o seu exílio no Reich nacional-socialista e os seus contactos com o fascismo italiano. Chegou o momento de avaliar a participação destes dois regimes na emancipação das colónias. </w:t>
      </w:r>
    </w:p>
    <w:p w:rsidR="00A1546C" w:rsidRPr="008939F2" w:rsidRDefault="00A1546C" w:rsidP="006E4B0B">
      <w:pPr>
        <w:pStyle w:val="Corpodetexto"/>
        <w:jc w:val="center"/>
        <w:rPr>
          <w:rFonts w:ascii="Arial Narrow" w:hAnsi="Arial Narrow"/>
        </w:rPr>
      </w:pPr>
      <w:r>
        <w:rPr>
          <w:rFonts w:ascii="Arial Narrow" w:hAnsi="Arial Narrow"/>
        </w:rPr>
        <w:t>8</w:t>
      </w:r>
      <w:r w:rsidRPr="008939F2">
        <w:rPr>
          <w:rFonts w:ascii="Arial Narrow" w:hAnsi="Arial Narrow"/>
        </w:rPr>
        <w:t>. Paíse</w:t>
      </w:r>
      <w:r w:rsidR="002228D7">
        <w:rPr>
          <w:rFonts w:ascii="Arial Narrow" w:hAnsi="Arial Narrow"/>
        </w:rPr>
        <w:t>s árabes: O nacional-socialismo</w:t>
      </w:r>
      <w:r w:rsidR="002228D7">
        <w:rPr>
          <w:rFonts w:ascii="Arial Narrow" w:hAnsi="Arial Narrow"/>
        </w:rPr>
        <w:br/>
      </w:r>
      <w:r w:rsidRPr="008939F2">
        <w:rPr>
          <w:rFonts w:ascii="Arial Narrow" w:hAnsi="Arial Narrow"/>
        </w:rPr>
        <w:t>descobriu uma vocação anticolonialista</w:t>
      </w:r>
    </w:p>
    <w:p w:rsidR="00247F17" w:rsidRDefault="00247F17" w:rsidP="00A1546C">
      <w:r>
        <w:t xml:space="preserve">Em 20 de Novembro de 1939 o principal diário nacional-socialista proclamou em editorial que «a Alemanha está a travar </w:t>
      </w:r>
      <w:r w:rsidR="004112E2">
        <w:t>a</w:t>
      </w:r>
      <w:r>
        <w:t xml:space="preserve"> guerra não só pela sua própria sua existência mas ao mesmo tempo pela de </w:t>
      </w:r>
      <w:r w:rsidRPr="004112E2">
        <w:rPr>
          <w:i/>
        </w:rPr>
        <w:t>todas</w:t>
      </w:r>
      <w:r>
        <w:t xml:space="preserve"> as nações oprimidas do mundo»</w:t>
      </w:r>
      <w:r w:rsidR="004112E2">
        <w:rPr>
          <w:rStyle w:val="Refdenotaderodap"/>
        </w:rPr>
        <w:footnoteReference w:id="214"/>
      </w:r>
      <w:r>
        <w:t xml:space="preserve">. A quem se dirigia esta declaração, que hoje pode parecer </w:t>
      </w:r>
      <w:r w:rsidR="0030190A">
        <w:t>estranha</w:t>
      </w:r>
      <w:r>
        <w:t xml:space="preserve">? </w:t>
      </w:r>
    </w:p>
    <w:p w:rsidR="00A1546C" w:rsidRPr="008939F2" w:rsidRDefault="00A1546C" w:rsidP="00A1546C">
      <w:r w:rsidRPr="008939F2">
        <w:t xml:space="preserve">Hitler deixara bem claro em </w:t>
      </w:r>
      <w:r w:rsidRPr="008939F2">
        <w:rPr>
          <w:i/>
        </w:rPr>
        <w:t>Mein Kampf</w:t>
      </w:r>
      <w:r w:rsidRPr="008939F2">
        <w:t xml:space="preserve"> que o destino imperial da Alemanha não a conduzia para a África nem para </w:t>
      </w:r>
      <w:r>
        <w:t>o Oriente</w:t>
      </w:r>
      <w:r w:rsidRPr="008939F2">
        <w:t xml:space="preserve"> nem para a Arábia, mas rumo a leste, para esmagar os eslavos. E assim, enquanto implantavam um vasto império assente na escravização de </w:t>
      </w:r>
      <w:r w:rsidRPr="008939F2">
        <w:lastRenderedPageBreak/>
        <w:t xml:space="preserve">milhões de </w:t>
      </w:r>
      <w:r w:rsidRPr="008939F2">
        <w:rPr>
          <w:i/>
        </w:rPr>
        <w:t>Untermenschen</w:t>
      </w:r>
      <w:r w:rsidRPr="008939F2">
        <w:t xml:space="preserve">, que durou alguns anos de inominável horror, os nacionais-socialistas propuseram-se </w:t>
      </w:r>
      <w:r w:rsidR="00530D1F">
        <w:t>—</w:t>
      </w:r>
      <w:r w:rsidRPr="008939F2">
        <w:t xml:space="preserve"> sem temer o paradoxo </w:t>
      </w:r>
      <w:r w:rsidR="00530D1F">
        <w:t>—</w:t>
      </w:r>
      <w:r w:rsidRPr="008939F2">
        <w:t xml:space="preserve"> fomentar os movimentos anticoloniais nas regiões sob tutela britânica. </w:t>
      </w:r>
      <w:r>
        <w:t>Por isso um fascista e colaboracionista checo, exemplar praticamente único num povo destinado a ser em parte escravizado e chacinado na parte restante, pôde levar o aviltamento ao ponto de apresentar o Terceiro Reich numa perspectiva anticolonialista</w:t>
      </w:r>
      <w:r>
        <w:rPr>
          <w:rStyle w:val="Refdenotaderodap"/>
        </w:rPr>
        <w:footnoteReference w:id="215"/>
      </w:r>
      <w:r>
        <w:t xml:space="preserve">. </w:t>
      </w:r>
      <w:r w:rsidRPr="008939F2">
        <w:t xml:space="preserve">Já antes da guerra </w:t>
      </w:r>
      <w:r>
        <w:t>os</w:t>
      </w:r>
      <w:r w:rsidRPr="008939F2">
        <w:t xml:space="preserve"> </w:t>
      </w:r>
      <w:r w:rsidR="00530D1F">
        <w:t>nacionais-socialistas</w:t>
      </w:r>
      <w:r w:rsidRPr="008939F2">
        <w:t xml:space="preserve"> havia</w:t>
      </w:r>
      <w:r>
        <w:t>m</w:t>
      </w:r>
      <w:r w:rsidRPr="008939F2">
        <w:t xml:space="preserve"> recorrido a emissões radiofónicas para estimular os sentimentos </w:t>
      </w:r>
      <w:r w:rsidR="007D2AFE">
        <w:t>independentistas</w:t>
      </w:r>
      <w:r w:rsidRPr="008939F2">
        <w:t xml:space="preserve"> no Médio Oriente</w:t>
      </w:r>
      <w:r w:rsidRPr="008939F2">
        <w:rPr>
          <w:rStyle w:val="Refdenotaderodap"/>
        </w:rPr>
        <w:footnoteReference w:id="216"/>
      </w:r>
      <w:r w:rsidRPr="008939F2">
        <w:t xml:space="preserve"> e fizera</w:t>
      </w:r>
      <w:r>
        <w:t>m</w:t>
      </w:r>
      <w:r w:rsidRPr="008939F2">
        <w:t>-</w:t>
      </w:r>
      <w:r>
        <w:t>n</w:t>
      </w:r>
      <w:r w:rsidRPr="008939F2">
        <w:t>o com tanto êxito que em 1938 a BBC se vira obrigada a inaugurar as suas transmissões em língua estrangeira com um serviço de contrapropaganda em árabe</w:t>
      </w:r>
      <w:r w:rsidRPr="008939F2">
        <w:rPr>
          <w:rStyle w:val="Refdenotaderodap"/>
        </w:rPr>
        <w:footnoteReference w:id="217"/>
      </w:r>
      <w:r w:rsidRPr="008939F2">
        <w:t>. Apesar dis</w:t>
      </w:r>
      <w:r>
        <w:t>t</w:t>
      </w:r>
      <w:r w:rsidRPr="008939F2">
        <w:t>o, se para o governo de Tóquio o combate à presença ocidental na Ásia era uma questão de vida ou de morte, para Hitler a ajuda ao anticolonialismo árabe não constituía uma prioridade. E os programas de rádio italianos ou mesmo os discursos do Duce destinados a excitar o nacionalismo dos árabes sujeitos ao domínio britânico ou francês</w:t>
      </w:r>
      <w:r w:rsidRPr="008939F2">
        <w:rPr>
          <w:rStyle w:val="Refdenotaderodap"/>
        </w:rPr>
        <w:footnoteReference w:id="218"/>
      </w:r>
      <w:r w:rsidRPr="008939F2">
        <w:t xml:space="preserve"> eram francamente desmentidos pelos massacres </w:t>
      </w:r>
      <w:r w:rsidR="0030190A">
        <w:t xml:space="preserve">ocorridos durante a </w:t>
      </w:r>
      <w:r w:rsidRPr="008939F2">
        <w:t xml:space="preserve">pacificação da Líbia, pelo regime concentracionário imposto a tantas populações desta colónia, pela conquista e ocupação da Abissínia e pela anexação da Albânia. </w:t>
      </w:r>
    </w:p>
    <w:p w:rsidR="00A1546C" w:rsidRPr="008939F2" w:rsidRDefault="00A1546C" w:rsidP="00A1546C">
      <w:r w:rsidRPr="008939F2">
        <w:t>Começada a segunda guerra mundial, porém, os políticos árabes, mesmo quando não se entusiasmavam pelo fascismo na ordem interna, inclinavam-se geralmente mais para o lado do Eixo do que para o dos Aliados. O lugar de destaque coube sem dúvida ao mufti de Jerusalém, Hadj Amin el-Husseini, que após os tumultos de 1929 havia emergido como o campeão da causa árabe na Palestina. Era ele quem mobilizava os apoios de que Hitler e Mussolini dispunham na região e quem tentava organizá-los numa acção comum</w:t>
      </w:r>
      <w:r w:rsidRPr="008939F2">
        <w:rPr>
          <w:rStyle w:val="Refdenotaderodap"/>
        </w:rPr>
        <w:footnoteReference w:id="219"/>
      </w:r>
      <w:r w:rsidRPr="008939F2">
        <w:t>. Encontramos o mufti por detrás das conspirações a favor do Reich no Egipto</w:t>
      </w:r>
      <w:r w:rsidRPr="008939F2">
        <w:rPr>
          <w:rStyle w:val="Refdenotaderodap"/>
        </w:rPr>
        <w:footnoteReference w:id="220"/>
      </w:r>
      <w:r w:rsidRPr="008939F2">
        <w:t xml:space="preserve"> e no Iraque</w:t>
      </w:r>
      <w:r w:rsidRPr="008939F2">
        <w:rPr>
          <w:rStyle w:val="Refdenotaderodap"/>
        </w:rPr>
        <w:footnoteReference w:id="221"/>
      </w:r>
      <w:r w:rsidRPr="008939F2">
        <w:t>, e mais tarde, quando os revezes militares obrigaram as tropas do Eixo a abandonar o Norte de África, o mufti ajudou os SS a recrutar uma legião muçulmana nos Balcãs e colaborou no programa de extermínio dos judeus</w:t>
      </w:r>
      <w:r w:rsidRPr="008939F2">
        <w:rPr>
          <w:rStyle w:val="Refdenotaderodap"/>
        </w:rPr>
        <w:footnoteReference w:id="222"/>
      </w:r>
      <w:r w:rsidRPr="008939F2">
        <w:t xml:space="preserve">. </w:t>
      </w:r>
      <w:r w:rsidR="00B91D27">
        <w:t>Hitler considerava-o «um homem com mais de um ariano entre os seus antepassados e que muito possivelmente d</w:t>
      </w:r>
      <w:r w:rsidR="003A33F2">
        <w:t>escende do melhor sangue romano»</w:t>
      </w:r>
      <w:r w:rsidR="003A33F2">
        <w:rPr>
          <w:rStyle w:val="Refdenotaderodap"/>
        </w:rPr>
        <w:footnoteReference w:id="223"/>
      </w:r>
      <w:r w:rsidR="003A33F2">
        <w:t xml:space="preserve"> </w:t>
      </w:r>
      <w:r w:rsidR="003A33F2">
        <w:lastRenderedPageBreak/>
        <w:t xml:space="preserve">e </w:t>
      </w:r>
      <w:r w:rsidR="000F60B5" w:rsidRPr="008939F2">
        <w:t xml:space="preserve">a </w:t>
      </w:r>
      <w:r w:rsidRPr="008939F2">
        <w:t xml:space="preserve">propaganda </w:t>
      </w:r>
      <w:r w:rsidR="00046312">
        <w:t>nacional-socialista</w:t>
      </w:r>
      <w:r w:rsidRPr="008939F2">
        <w:t xml:space="preserve"> divulgou amplamente uma fotografia onde se vê o mufti passando em revista os SS islâmicos, o que aliás não o impediria de beneficiar em 1955 de um tratamento de honra como convidado na Conferência de Bandung. Mas haverá razão para espanto? </w:t>
      </w:r>
    </w:p>
    <w:p w:rsidR="00A1546C" w:rsidRPr="008939F2" w:rsidRDefault="00A1546C" w:rsidP="00A1546C">
      <w:r w:rsidRPr="008939F2">
        <w:t xml:space="preserve">Foi sobretudo graças à presença das suas tropas no Norte de África que os </w:t>
      </w:r>
      <w:r w:rsidR="005F4FFE">
        <w:t xml:space="preserve">germânicos </w:t>
      </w:r>
      <w:r w:rsidRPr="008939F2">
        <w:t xml:space="preserve">e os italianos intervieram no processo de autodeterminação. A popularidade do marechal Rommel era enorme entre os povos árabes, que durante as campanhas de 1941 e 1942 o consideraram um libertador da opressão britânica. No Egipto, o principal bastião do Reino Unido na região, tanto os </w:t>
      </w:r>
      <w:r w:rsidR="006947E6">
        <w:t xml:space="preserve">estratos </w:t>
      </w:r>
      <w:r w:rsidRPr="008939F2">
        <w:t>dirigentes como o que é comum chamar a opinião pública esperavam a vitória germânica e, com ela, a emancipação completa do país</w:t>
      </w:r>
      <w:r w:rsidRPr="008939F2">
        <w:rPr>
          <w:rStyle w:val="Refdenotaderodap"/>
        </w:rPr>
        <w:footnoteReference w:id="224"/>
      </w:r>
      <w:r w:rsidRPr="008939F2">
        <w:t>. Os serviços secretos do Reich mantinham contacto com todas as forças políticas, do governo como da oposição, salientando-se o palácio real no centro das conspirações</w:t>
      </w:r>
      <w:r w:rsidRPr="008939F2">
        <w:rPr>
          <w:rStyle w:val="Refdenotaderodap"/>
        </w:rPr>
        <w:footnoteReference w:id="225"/>
      </w:r>
      <w:r w:rsidRPr="008939F2">
        <w:t>. O monarca e o seu governo resistiram às enormes pressões britânicas e negaram-se a declarar guerra ao Eixo, mesmo quando as tropas italianas penetraram no país em Setembro de 1940</w:t>
      </w:r>
      <w:r w:rsidRPr="008939F2">
        <w:rPr>
          <w:rStyle w:val="Refdenotaderodap"/>
        </w:rPr>
        <w:footnoteReference w:id="226"/>
      </w:r>
      <w:r w:rsidRPr="008939F2">
        <w:t>, e através de intermediários de confiança o rei Faruq correspondeu-se secretamente com Hitler, fornecendo-lhe informações acerca dos movimentos militares dos Aliados e prometendo-lhe que no momento oportuno passaria para o lado do Reich</w:t>
      </w:r>
      <w:r w:rsidRPr="008939F2">
        <w:rPr>
          <w:rStyle w:val="Refdenotaderodap"/>
        </w:rPr>
        <w:footnoteReference w:id="227"/>
      </w:r>
      <w:r w:rsidRPr="008939F2">
        <w:t xml:space="preserve">. Nos primeiros meses de 1942, quando as forças do Eixo se aproximavam de Alexandria com um ímpeto que parecia irrefreável, o monarca preparava-se para acolher Rommel e nas ruas da capital multidões de manifestantes vitoriavam o general </w:t>
      </w:r>
      <w:r w:rsidR="005F4FFE">
        <w:t>germânico</w:t>
      </w:r>
      <w:r w:rsidRPr="008939F2">
        <w:rPr>
          <w:rStyle w:val="Refdenotaderodap"/>
        </w:rPr>
        <w:footnoteReference w:id="228"/>
      </w:r>
      <w:r w:rsidRPr="008939F2">
        <w:t>. Entretanto, um grupo secreto de oficiais descontentes com a monarquia enviou uma mensagem em que, denunciando a verdade óbvia de que o rei e a corte se preocupavam apenas com o enriquecimento pessoal, pedia o apoio das autoridades naciona</w:t>
      </w:r>
      <w:r w:rsidR="00687897">
        <w:t>l</w:t>
      </w:r>
      <w:r w:rsidRPr="008939F2">
        <w:t>-socialistas para a instauração de um regime militar que procedesse a reformas sociais e melhorasse a situação dos camponeses e dos operários. Sabe-se que pelo menos um dos conspiradores, e dos mais importantes, Nasser, que haveria de tomar o poder na sequência do golpe militar de Julho de 1952, sofrera a influência do Partido Nacional-Socialista Árabe, desarticulado pelos britânicos desde o início da guerra</w:t>
      </w:r>
      <w:r w:rsidRPr="008939F2">
        <w:rPr>
          <w:rStyle w:val="Refdenotaderodap"/>
        </w:rPr>
        <w:footnoteReference w:id="229"/>
      </w:r>
      <w:r w:rsidRPr="008939F2">
        <w:t>. E outro dos conspiradores, Anwar a</w:t>
      </w:r>
      <w:r w:rsidR="006947E6">
        <w:t>l</w:t>
      </w:r>
      <w:r w:rsidRPr="008939F2">
        <w:t>-</w:t>
      </w:r>
      <w:r w:rsidRPr="008939F2">
        <w:lastRenderedPageBreak/>
        <w:t xml:space="preserve">Sadat, que em 1970 sucederia a Nasser na presidência, manteve relações com os serviços de espionagem </w:t>
      </w:r>
      <w:r w:rsidR="00605672">
        <w:t>do Reich</w:t>
      </w:r>
      <w:r w:rsidRPr="008939F2">
        <w:t xml:space="preserve"> durante a primeira metade de 1942, até ser preso pela polícia britânica</w:t>
      </w:r>
      <w:r w:rsidRPr="008939F2">
        <w:rPr>
          <w:rStyle w:val="Refdenotaderodap"/>
        </w:rPr>
        <w:footnoteReference w:id="230"/>
      </w:r>
      <w:r w:rsidRPr="008939F2">
        <w:t>. Mas o destino daquela mensagem permanece envolto em mistério, porque foram dois os emissários que tentaram atravessar de avião as linhas de combate, morrendo um e conseguindo o outro alcançar o território controlado pelas tropas de Rommel. Ora, tanto Faruq como os futuros Oficiais Livres pretenderam ter enviado uma mensagem através de um piloto nesta ocasião</w:t>
      </w:r>
      <w:r w:rsidRPr="008939F2">
        <w:rPr>
          <w:rStyle w:val="Refdenotaderodap"/>
        </w:rPr>
        <w:footnoteReference w:id="231"/>
      </w:r>
      <w:r w:rsidRPr="008939F2">
        <w:t xml:space="preserve">. </w:t>
      </w:r>
    </w:p>
    <w:p w:rsidR="00A1546C" w:rsidRPr="008939F2" w:rsidRDefault="00A1546C" w:rsidP="00A1546C">
      <w:r w:rsidRPr="008939F2">
        <w:t>Os acontecimentos no Iraque distinguiram-se da situação do Egipto em dois aspectos</w:t>
      </w:r>
      <w:r w:rsidR="00C51751">
        <w:t>:</w:t>
      </w:r>
      <w:r w:rsidRPr="008939F2">
        <w:t xml:space="preserve"> por um lado, porque os meios dirigentes estavam divididos nas suas simpatias e o regente se situava do lado da Grã-Bretanha e, por outro lado, porque o confronto com os britânicos atingiu aqui o ponto de ruptura. Mesmo que entre a população comum fosse generalizada a insatisfação com a tutela colonial, nas camadas dominantes a vontade de procurar apoio junto do Reich caracterizava só a facção nacionalista mais extrema, organizada na sombra pelos quatro coronéis conhecidos como Quadrado de Ouro e encabeçada publicamente por Rashid Ali </w:t>
      </w:r>
      <w:r>
        <w:t>al-G</w:t>
      </w:r>
      <w:r w:rsidRPr="008939F2">
        <w:t>a</w:t>
      </w:r>
      <w:r>
        <w:t>y</w:t>
      </w:r>
      <w:r w:rsidRPr="008939F2">
        <w:t xml:space="preserve">lani, primeiro-ministro desde Abril de 1940. O seu governo não era coeso e incluía elementos favoráveis à Grã-Bretanha ou que pelo menos achavam mais prudente não indispor os Aliados. Mas </w:t>
      </w:r>
      <w:r w:rsidR="00361AA6">
        <w:t xml:space="preserve">estes elementos </w:t>
      </w:r>
      <w:r w:rsidRPr="008939F2">
        <w:t xml:space="preserve">não conseguiram levar a um corte das relações diplomáticas com a Itália, como a embaixada britânica pretendia, e, na facção oposta, o ministro da Justiça mantinha contacto com representantes do Reich. A cisão era insanável e no meio de uma instabilidade política permanente ambos os lados começaram a preparar-se para o desfecho. Desde pelo menos Dezembro de 1940 Rashid Ali implorava insistentemente armas e assistência financeira a Berlim, assim como pedia ao governo de Tóquio que lhe vendesse armas. Mas o Japão estava muito distante e em breve necessitaria para si próprio de todo o material de guerra de que dispunha. E a indecisão e a falta de diligência que as autoridades do Reich mostraram neste assunto revelam o lugar secundário que os problemas árabes ocupavam na sua estratégia. A crise, porém, tornara-se irreversível e Rashid Ali e os militares do Quadrado de Ouro, beneficiando da simpatia do rei Faruq do Egipto, organizaram um golpe de Estado em 1 de Abril de 1941 e depuseram o regente. As discórdias no interior das classes dominantes tiveram então um efeito decisivo, porque junto com o regente fugiram muitas personalidades importantes, e quando o parlamento foi convocado para legalizar o golpe de Estado só se apresentaram </w:t>
      </w:r>
      <w:r w:rsidRPr="008939F2">
        <w:lastRenderedPageBreak/>
        <w:t>quarenta e nove dos cento e dezoito deputados. No plano político os britânicos encontravam-se em posição forte para contra-atacar. No plano militar também, porque apesar das suas vitórias as tropas do Eixo estavam demasiado longe e as armas e aviões provenientes do Reich, chegados tarde e em quantidade insuficiente, não conseguiram inverter o desequilíbrio de forças e tiveram como único efeito comprometer os novos governantes. A 2 de Maio os britânicos iniciaram as hostilidades e no final do mês ocuparam a capital, enforcando aqueles responsáveis pelo golpe de Estado que não haviam conseguido pôr-se a salvo no Reich</w:t>
      </w:r>
      <w:r w:rsidRPr="008939F2">
        <w:rPr>
          <w:rStyle w:val="Refdenotaderodap"/>
        </w:rPr>
        <w:footnoteReference w:id="232"/>
      </w:r>
      <w:r w:rsidRPr="008939F2">
        <w:t xml:space="preserve">. </w:t>
      </w:r>
      <w:r w:rsidR="00B16CA0">
        <w:t xml:space="preserve">Este fiasco não impediu </w:t>
      </w:r>
      <w:r w:rsidR="00DD2818">
        <w:t xml:space="preserve">a Wehrmacht de continuar a incluir o Iraque nos seus </w:t>
      </w:r>
      <w:r w:rsidR="000538CE">
        <w:t>projectos</w:t>
      </w:r>
      <w:r w:rsidR="00DD2818">
        <w:t xml:space="preserve"> de operações futuras</w:t>
      </w:r>
      <w:r w:rsidR="00DD2818">
        <w:rPr>
          <w:rStyle w:val="Refdenotaderodap"/>
        </w:rPr>
        <w:footnoteReference w:id="233"/>
      </w:r>
      <w:r w:rsidR="00DD2818">
        <w:t xml:space="preserve">. </w:t>
      </w:r>
    </w:p>
    <w:p w:rsidR="00A1546C" w:rsidRPr="008939F2" w:rsidRDefault="00A1546C" w:rsidP="00A1546C">
      <w:r w:rsidRPr="008939F2">
        <w:t>Se podemos não ter motivo de admiração ao ver as autoridades naciona</w:t>
      </w:r>
      <w:r w:rsidR="00687897">
        <w:t>l</w:t>
      </w:r>
      <w:r w:rsidRPr="008939F2">
        <w:t xml:space="preserve">-socialistas admitirem a plena independência do Egipto e do Iraque, porque os britânicos eram um inimigo de guerra, deve merecer-nos uma reflexão mais cuidada o facto de darem uma certa margem de actuação ao movimento autonomista no Norte de África francês. Aparentemente não se importavam de desmistificar o marechal Pétain, pois quando ele invocava a preservação do império colonial como um dos principais argumentos para justificar a colaboração com o vencedor, como podia explicar que o anticolonialismo </w:t>
      </w:r>
      <w:r w:rsidR="005F4FFE">
        <w:t>nacional-socialista</w:t>
      </w:r>
      <w:r w:rsidRPr="008939F2">
        <w:t xml:space="preserve"> se virasse também contra a França? É certo que, enquanto o governo de Vichy controlou a Argélia, a simpatia que o Reich manifestava pelos partidários da emancipação permaneceu ambígua e não ultrapassou o terreno propagandístico, com as emissões de rádio germânicas destinadas ao Maghreb anunciando no Führer o futuro libertador. Mas o desembarque aliado no noroeste de África, em Novembro de 1942, levou os nacionais-socialist</w:t>
      </w:r>
      <w:r w:rsidR="00606793">
        <w:t>as a intensificar o patrocínio a</w:t>
      </w:r>
      <w:r w:rsidRPr="008939F2">
        <w:t xml:space="preserve">os movimentos autonomistas. </w:t>
      </w:r>
    </w:p>
    <w:p w:rsidR="00A1546C" w:rsidRPr="008939F2" w:rsidRDefault="00A1546C" w:rsidP="00A1546C">
      <w:r w:rsidRPr="008939F2">
        <w:t xml:space="preserve">Na Tunísia </w:t>
      </w:r>
      <w:r w:rsidR="00476E2C">
        <w:t xml:space="preserve">os problemas </w:t>
      </w:r>
      <w:r w:rsidRPr="008939F2">
        <w:t>era</w:t>
      </w:r>
      <w:r w:rsidR="00476E2C">
        <w:t>m especialmente complicados</w:t>
      </w:r>
      <w:r w:rsidRPr="008939F2">
        <w:t>. Embora a colónia fosse governada por um delegado de Vichy, Mussolini exigira que depois da guerra ela passasse para a esfera de influência italiana e por isso achava-se no direito de interferir desde já nas suas questões internas. Ora, a invasão aliada de Marrocos e da Argélia, em Novembro de 1942, levou as tropas do Eixo a ocuparem a Tunísia e</w:t>
      </w:r>
      <w:r w:rsidR="007B2506">
        <w:t>,</w:t>
      </w:r>
      <w:r w:rsidRPr="008939F2">
        <w:t xml:space="preserve"> como os soldados </w:t>
      </w:r>
      <w:r w:rsidR="00476E2C">
        <w:t>germânicos</w:t>
      </w:r>
      <w:r w:rsidRPr="008939F2">
        <w:t xml:space="preserve"> eram em muito maior número do que os italianos e os interesses de ambos nem sempre coincidiam</w:t>
      </w:r>
      <w:r w:rsidRPr="008939F2">
        <w:rPr>
          <w:rStyle w:val="Refdenotaderodap"/>
        </w:rPr>
        <w:footnoteReference w:id="234"/>
      </w:r>
      <w:r w:rsidR="007B2506">
        <w:t>,</w:t>
      </w:r>
      <w:r w:rsidRPr="008939F2">
        <w:t xml:space="preserve"> a situação tornou-se ainda mais confusa. Por outro lado, reproduzira-se aqui a divisão existente na metrópole entre os fascistas conservadores que veneravam Pétain e os fascistas radicais que se agitavam em Paris. À revelia do residente-geral, personagem timorato e moderado, o ministro da Propaganda de Vichy, </w:t>
      </w:r>
      <w:r w:rsidR="00476E2C">
        <w:t xml:space="preserve">Paul </w:t>
      </w:r>
      <w:r w:rsidRPr="008939F2">
        <w:t xml:space="preserve">Marion, um extremista radical, enviou logo em Novembro para a </w:t>
      </w:r>
      <w:r w:rsidRPr="008939F2">
        <w:lastRenderedPageBreak/>
        <w:t>Tunísia um delegado que conseguiu reunir várias organizações de juventude num Comité de Unidade de Acção Revolucionária, destinado a constituir uma polícia paralela e a colaborar sem restrições com as autoridades germânicas</w:t>
      </w:r>
      <w:r w:rsidRPr="008939F2">
        <w:rPr>
          <w:rStyle w:val="Refdenotaderodap"/>
        </w:rPr>
        <w:footnoteReference w:id="235"/>
      </w:r>
      <w:r w:rsidRPr="008939F2">
        <w:t xml:space="preserve">. </w:t>
      </w:r>
    </w:p>
    <w:p w:rsidR="00A1546C" w:rsidRPr="008939F2" w:rsidRDefault="00A1546C" w:rsidP="00A1546C">
      <w:r w:rsidRPr="008939F2">
        <w:t xml:space="preserve">No meio político autóctone a situação não era menos enredada. Além da tradicional oposição entre os nacionalistas conservadores e os </w:t>
      </w:r>
      <w:r w:rsidR="007E033F">
        <w:t xml:space="preserve">independentistas </w:t>
      </w:r>
      <w:r w:rsidRPr="008939F2">
        <w:t>mais activos, reunidos no Néo-Destour, este partido dividira-se desde o começo da guerra numa maioria que na ordem interna defendia o modelo fascista e no plano externo apostava francamente no Eixo e numa minoria que mostrava talvez uma certa propensão pelas instituições democráticas e de qualquer modo acreditava na vitória final dos Aliados</w:t>
      </w:r>
      <w:r w:rsidRPr="008939F2">
        <w:rPr>
          <w:rStyle w:val="Refdenotaderodap"/>
        </w:rPr>
        <w:footnoteReference w:id="236"/>
      </w:r>
      <w:r w:rsidRPr="008939F2">
        <w:t>. Detido numa cela de prisão no sul da França, Habib Bourguiba, um dos fundadores e o principal dirigente do Néo-Destour, desde o início de 1942 prevenia os seus correligionários contra a tentação de optarem pelo Eixo. Bourguiba não simpatizava com o sistema fascista e conhecia evidentemente os planos de hegemonia da Itália sobre a Tunísia, mas para alguém como ele, que fazia do estrito oportunismo a primeira regra política e da independência do país o único objectivo, a percepção de que os Aliados estavam em posição de vencer foi decerto determinante para manter uma atitude de prudência</w:t>
      </w:r>
      <w:r w:rsidRPr="008939F2">
        <w:rPr>
          <w:rStyle w:val="Refdenotaderodap"/>
        </w:rPr>
        <w:footnoteReference w:id="237"/>
      </w:r>
      <w:r w:rsidRPr="008939F2">
        <w:t>. Apesar do seu prestígio, porém, Bourguiba não conseguiu demover os adeptos do Eixo, em especial a direcção do partido que permanecera na Tunísia</w:t>
      </w:r>
      <w:r w:rsidRPr="008939F2">
        <w:rPr>
          <w:rStyle w:val="Refdenotaderodap"/>
        </w:rPr>
        <w:footnoteReference w:id="238"/>
      </w:r>
      <w:r w:rsidRPr="008939F2">
        <w:t xml:space="preserve">. As fricções exacerbaram-se em Dezembro de 1942, quando os ocupantes </w:t>
      </w:r>
      <w:r w:rsidR="00476E2C">
        <w:t>germânicos</w:t>
      </w:r>
      <w:r w:rsidRPr="008939F2">
        <w:t xml:space="preserve"> libertaram todos os independentistas presos na Tunísia e lhes deram liberdade de acção. Alguns, incluindo os chefes do aparelho clandestino do Néo-Destour, proclamaram publicamente a sua simpatia pelo nacional-socialismo, partilhada pelos militantes de base, sobretudo os jovens</w:t>
      </w:r>
      <w:r w:rsidRPr="008939F2">
        <w:rPr>
          <w:rStyle w:val="Refdenotaderodap"/>
        </w:rPr>
        <w:footnoteReference w:id="239"/>
      </w:r>
      <w:r w:rsidRPr="008939F2">
        <w:t xml:space="preserve">. Aproveitando este entusiasmo, os </w:t>
      </w:r>
      <w:r w:rsidR="00476E2C">
        <w:t>germânicos</w:t>
      </w:r>
      <w:r w:rsidRPr="008939F2">
        <w:t xml:space="preserve"> mobilizaram dois ou três mil tunisinos num corpo de polícia, enquanto outros, em número reduzido, como convinha a um pretenso escol, </w:t>
      </w:r>
      <w:r>
        <w:t>fo</w:t>
      </w:r>
      <w:r w:rsidRPr="008939F2">
        <w:t>ram aceites nos SS</w:t>
      </w:r>
      <w:r w:rsidRPr="008939F2">
        <w:rPr>
          <w:rStyle w:val="Refdenotaderodap"/>
        </w:rPr>
        <w:footnoteReference w:id="240"/>
      </w:r>
      <w:r w:rsidRPr="008939F2">
        <w:t>. Ao mesmo tempo, o governo italiano pediu ao Reich, que havia acabado de ocupar a área da França mantida até então sob o controlo de Vichy, para libertar os independentistas tunisinos detidos na metrópole e envi</w:t>
      </w:r>
      <w:r w:rsidR="00FE04EB">
        <w:t>á-los</w:t>
      </w:r>
      <w:r w:rsidRPr="008939F2">
        <w:t xml:space="preserve"> para Roma, onde os esperava uma recepção aparatosa e lhes foram prodigalizadas manifestações de grande respeito</w:t>
      </w:r>
      <w:r w:rsidRPr="008939F2">
        <w:rPr>
          <w:rStyle w:val="Refdenotaderodap"/>
        </w:rPr>
        <w:footnoteReference w:id="241"/>
      </w:r>
      <w:r w:rsidRPr="008939F2">
        <w:t>. Também a maioria destes dirigentes do Néo-Destour optara pelas potências do Eixo</w:t>
      </w:r>
      <w:r w:rsidRPr="008939F2">
        <w:rPr>
          <w:rStyle w:val="Refdenotaderodap"/>
        </w:rPr>
        <w:footnoteReference w:id="242"/>
      </w:r>
      <w:r w:rsidRPr="008939F2">
        <w:t xml:space="preserve">, e no final de Fevereiro de 1943 as autoridades italianas começaram a providenciar-lhes o transporte para Tunis. Foi com Bourguiba que </w:t>
      </w:r>
      <w:r w:rsidR="00FE04EB">
        <w:t>as</w:t>
      </w:r>
      <w:r w:rsidRPr="008939F2">
        <w:t xml:space="preserve"> </w:t>
      </w:r>
      <w:r w:rsidR="00FE04EB">
        <w:t xml:space="preserve">dificuldades </w:t>
      </w:r>
      <w:r w:rsidRPr="008939F2">
        <w:lastRenderedPageBreak/>
        <w:t>surgiram, porque mostrava-se relutante em proferir qualquer declaração de apoio ao Reich ou à Itália e, esforçando-se por aproveitar a situação, reclamava do governo de Roma o reconhecimento da independência da Tunísia ou pelo menos a concessão de um amplo grau de autonomia, o que evidentemente não condizia com o império mediterrânico sonhado por Mussolini. Afinal, tudo o que Bourguiba aceitou foi proferir aos microfones da rádio uma declaração ambígua, mas bastante clara nas entrelinhas, em que ao mesmo tempo que agradecia a sua libertação às autoridades do Eixo recomendava aos compatriotas a vigilância contra todas as cobiças do estrangeiro. E os italianos, percebendo que seria escandaloso retê-lo, mandaram-no de volta para o seu país em Abril de 1943</w:t>
      </w:r>
      <w:r w:rsidRPr="008939F2">
        <w:rPr>
          <w:rStyle w:val="Refdenotaderodap"/>
        </w:rPr>
        <w:footnoteReference w:id="243"/>
      </w:r>
      <w:r w:rsidRPr="008939F2">
        <w:t>. Entretanto, nos últimos dias de Fevereiro o confronto entre a maioria pró-fascista do Néo-Destour e a minoria adepta de uma atitude de prudência atingira o ponto de ruptura e ocorreu uma cisão no partido</w:t>
      </w:r>
      <w:r w:rsidRPr="008939F2">
        <w:rPr>
          <w:rStyle w:val="Refdenotaderodap"/>
        </w:rPr>
        <w:footnoteReference w:id="244"/>
      </w:r>
      <w:r w:rsidRPr="008939F2">
        <w:t xml:space="preserve">. </w:t>
      </w:r>
    </w:p>
    <w:p w:rsidR="00A1546C" w:rsidRPr="008939F2" w:rsidRDefault="00A1546C" w:rsidP="00A1546C">
      <w:r w:rsidRPr="008939F2">
        <w:t>Os representantes do Reich conseguiram manter-se árbitros da situação, evitando que a balança pendesse de maneira definitiva para qualquer dos lados e utilizando aquelas facções umas contra as outras, mas para is</w:t>
      </w:r>
      <w:r w:rsidR="00FF3BBA">
        <w:t>t</w:t>
      </w:r>
      <w:r w:rsidRPr="008939F2">
        <w:t>o tiveram de garantir aos nacionalistas árabes uma certa liberdade de acção, que beneficiou singularmente o movimento pela independência</w:t>
      </w:r>
      <w:r w:rsidRPr="008939F2">
        <w:rPr>
          <w:rStyle w:val="Refdenotaderodap"/>
        </w:rPr>
        <w:footnoteReference w:id="245"/>
      </w:r>
      <w:r w:rsidRPr="008939F2">
        <w:t xml:space="preserve">. Quando o avanço aliado forçou as tropas do Eixo a abandonar a Tunísia, em Maio de 1943, elas haviam já dado um contributo indelével ao processo de autonomia, permitindo que a organização nacionalista se consolidasse e revolvesse politicamente de cima a baixo a sociedade local. A independência da Tunísia, que o governo francês se viu na necessidade de conceder em 1956, começara uma dúzia de anos antes, na esfera do fascismo. </w:t>
      </w:r>
    </w:p>
    <w:p w:rsidR="00A1546C" w:rsidRPr="008939F2" w:rsidRDefault="00A1546C" w:rsidP="00A1546C">
      <w:r w:rsidRPr="008939F2">
        <w:t>Depois de os Aliados terem invadido a Argélia em Novembro de 1942 as autoridades naciona</w:t>
      </w:r>
      <w:r w:rsidR="00687897">
        <w:t>l</w:t>
      </w:r>
      <w:r w:rsidRPr="008939F2">
        <w:t>-socialistas esforçaram-se por mobilizar os imigrantes argelinos na metrópole</w:t>
      </w:r>
      <w:r w:rsidR="00ED3130">
        <w:t>,</w:t>
      </w:r>
      <w:r w:rsidRPr="008939F2">
        <w:t xml:space="preserve"> </w:t>
      </w:r>
      <w:r w:rsidR="00ED3130">
        <w:t>muitos dos quais haviam já antes da guerra militado numa liga fascista</w:t>
      </w:r>
      <w:r w:rsidR="00ED3130">
        <w:rPr>
          <w:rStyle w:val="Refdenotaderodap"/>
        </w:rPr>
        <w:footnoteReference w:id="246"/>
      </w:r>
      <w:r w:rsidR="00ED3130">
        <w:t xml:space="preserve">, </w:t>
      </w:r>
      <w:r w:rsidRPr="008939F2">
        <w:t>e procuraram organizar redes clandestinas na própria colónia, capazes de iniciar a luta armada contra os novos ocupantes. Nos seus termos estritos o projecto revelou-se utópico, e aliás as aspirações dos povos do Maghreb à independência tinham raízes antigas, não sendo decerto esta a sua vertente principal. Mas apesar dis</w:t>
      </w:r>
      <w:r w:rsidR="00E847F8">
        <w:t>s</w:t>
      </w:r>
      <w:r w:rsidRPr="008939F2">
        <w:t xml:space="preserve">o é reveladora do ambiente de uma época e das possibilidades de acção oferecidas ao nacionalismo a mudança de atitude do jornalista Mohammed </w:t>
      </w:r>
      <w:r w:rsidR="00C15E91">
        <w:t>el-</w:t>
      </w:r>
      <w:r w:rsidRPr="008939F2">
        <w:t xml:space="preserve">Maadi. Antes da guerra ele introduzira na conspiração da </w:t>
      </w:r>
      <w:r w:rsidRPr="008939F2">
        <w:rPr>
          <w:i/>
        </w:rPr>
        <w:t>Cagoule</w:t>
      </w:r>
      <w:r w:rsidRPr="008939F2">
        <w:t xml:space="preserve"> um grupo de norte-africanos denominado Argélia Francesa, e depois de iniciada a ocupação </w:t>
      </w:r>
      <w:r w:rsidR="00C15E91">
        <w:t>germânica</w:t>
      </w:r>
      <w:r w:rsidRPr="008939F2">
        <w:t xml:space="preserve"> acompanhou </w:t>
      </w:r>
      <w:r w:rsidRPr="008939F2">
        <w:lastRenderedPageBreak/>
        <w:t xml:space="preserve">Deloncle no MSR e no RNP, tornando-se em seguida presidente do Cercle Franco-Musulman de Paris. Até então, sob um ponto de vista árabe </w:t>
      </w:r>
      <w:r w:rsidR="00C15E91">
        <w:t>el-</w:t>
      </w:r>
      <w:r w:rsidRPr="008939F2">
        <w:t>Maadi só podia classificar-se como um renegado, o oposto de um nacionalista. Mas em Janeiro de 1943, mal haviam passado dois meses sobre o desembarque aliado na África do Norte, lançou uma publicação em que</w:t>
      </w:r>
      <w:r>
        <w:t>,</w:t>
      </w:r>
      <w:r w:rsidRPr="008939F2">
        <w:t xml:space="preserve"> </w:t>
      </w:r>
      <w:r>
        <w:t xml:space="preserve">com geografia audaciosa, </w:t>
      </w:r>
      <w:r w:rsidRPr="008939F2">
        <w:t>reclam</w:t>
      </w:r>
      <w:r>
        <w:t>ou</w:t>
      </w:r>
      <w:r w:rsidRPr="008939F2">
        <w:t xml:space="preserve"> para a Argélia «a independência total na nova Europa». Ao mesmo tempo </w:t>
      </w:r>
      <w:r>
        <w:t>participou</w:t>
      </w:r>
      <w:r w:rsidRPr="008939F2">
        <w:t xml:space="preserve"> na campanha antisemita e em Janeiro de 1944, com a ajuda dos colaboradores franceses da Gestapo, recrutou um corpo de cerca de duzentos norte-africanos que se salientaram pelas atrocidades na repressão à resistência</w:t>
      </w:r>
      <w:r w:rsidRPr="008939F2">
        <w:rPr>
          <w:rStyle w:val="Refdenotaderodap"/>
        </w:rPr>
        <w:footnoteReference w:id="247"/>
      </w:r>
      <w:r w:rsidRPr="008939F2">
        <w:t xml:space="preserve">. Talvez nada disto tivesse importância se se tratasse do exemplo isolado de uma figura obscura. Mas um número significativo de quadros e dirigentes do futuro FLN argelino deixou-se mobilizar pelos </w:t>
      </w:r>
      <w:r w:rsidR="00C15E91">
        <w:t>nacionais-socialistas</w:t>
      </w:r>
      <w:r w:rsidRPr="008939F2">
        <w:t xml:space="preserve"> durante a guerra e alguns pertenceram a partidos fascistas franceses, nomeadamente ao maior deles, o PPF, estabelecendo-se aqui também um nexo indiscutível entre o nacional-socialismo e o anticolonialismo</w:t>
      </w:r>
      <w:r w:rsidRPr="008939F2">
        <w:rPr>
          <w:rStyle w:val="Refdenotaderodap"/>
        </w:rPr>
        <w:footnoteReference w:id="248"/>
      </w:r>
      <w:r w:rsidRPr="008939F2">
        <w:t xml:space="preserve">. Não é paradoxal, mas pelo contrário perfeitamente coerente </w:t>
      </w:r>
      <w:r w:rsidR="00C15E91">
        <w:t>—</w:t>
      </w:r>
      <w:r w:rsidRPr="008939F2">
        <w:t xml:space="preserve"> com uma das possíveis coerências do terceiro-mundismo </w:t>
      </w:r>
      <w:r w:rsidR="00C15E91">
        <w:t>—</w:t>
      </w:r>
      <w:r w:rsidRPr="008939F2">
        <w:t xml:space="preserve"> o percurso de Mohammad Said, combatendo na frente leste contra os soviéticos como sargento da Légion des Volontaires Français</w:t>
      </w:r>
      <w:r w:rsidR="00C15E91">
        <w:t>,</w:t>
      </w:r>
      <w:r w:rsidRPr="008939F2">
        <w:t xml:space="preserve"> pondo-se depois à disposição dos serviços secretos do Reich para realizar operações de sabotagem na Argélia ocupada pelos Aliados</w:t>
      </w:r>
      <w:r w:rsidR="00C15E91">
        <w:t xml:space="preserve"> </w:t>
      </w:r>
      <w:r w:rsidRPr="008939F2">
        <w:t>e sendo mais tarde ministro de Estado no governo provisório argelino no exílio e, depois da independência, titular de vários ministérios e membro do Conselho do Comando Revolucionário</w:t>
      </w:r>
      <w:r w:rsidRPr="008939F2">
        <w:rPr>
          <w:rStyle w:val="Refdenotaderodap"/>
        </w:rPr>
        <w:footnoteReference w:id="249"/>
      </w:r>
      <w:r w:rsidRPr="008939F2">
        <w:t xml:space="preserve">. </w:t>
      </w:r>
    </w:p>
    <w:p w:rsidR="00A1546C" w:rsidRPr="008939F2" w:rsidRDefault="00A1546C" w:rsidP="00A1546C">
      <w:r w:rsidRPr="008939F2">
        <w:t>Conhecendo esta teia, é fácil compreender que, durante a guerra pela independência da Argélia, Maurice Bardèche, um dos mais argutos fascistas radicais franceses, tivesse censurado aos neofascistas do seu país a reacção «sentimental» que os levava a lutar pela presença da metrópole no Norte de África, sem verem que estavam assim a defender também «os interesses da democracia plutocrática». «É preciso escolher as suas guerras», preveni</w:t>
      </w:r>
      <w:r>
        <w:t>u</w:t>
      </w:r>
      <w:r w:rsidRPr="008939F2">
        <w:t xml:space="preserve"> Bardèche, e em vez disso os neofascistas aceitavam todas. «Eles não examinaram se, na realidade, os nacionalistas argelinos não fazem parte dessas forças que querem estabelecer regimes novos e autoritários, independentes de Washington e de Moscovo»</w:t>
      </w:r>
      <w:r w:rsidRPr="008939F2">
        <w:rPr>
          <w:rStyle w:val="Refdenotaderodap"/>
        </w:rPr>
        <w:footnoteReference w:id="250"/>
      </w:r>
      <w:r w:rsidRPr="008939F2">
        <w:t xml:space="preserve">. O que permaneceu em filigrana nas observações de Bardèche, demasiado escandaloso para se afirmar claramente, é que na guerra da Argélia o fascismo estava talvez do lado dos independentistas. Mas o sentido das suas </w:t>
      </w:r>
      <w:r w:rsidRPr="008939F2">
        <w:lastRenderedPageBreak/>
        <w:t>conclusões é tanto mais claro quanto no capítulo seguinte Bardèche se dedicou a mostrar o carácter fascista do regime de Nasser, para detectar adiante um carácter nasseriano em alguns elementos do FLN argelino</w:t>
      </w:r>
      <w:r w:rsidRPr="008939F2">
        <w:rPr>
          <w:rStyle w:val="Refdenotaderodap"/>
        </w:rPr>
        <w:footnoteReference w:id="251"/>
      </w:r>
      <w:r w:rsidRPr="008939F2">
        <w:t xml:space="preserve">. </w:t>
      </w:r>
    </w:p>
    <w:p w:rsidR="00A1546C" w:rsidRPr="008939F2" w:rsidRDefault="00A1546C" w:rsidP="00A1546C">
      <w:r w:rsidRPr="008939F2">
        <w:t xml:space="preserve">Como se tudo isto não fosse suficientemente ilustrativo, é ainda possível ornamentar com um epílogo inesperado a análise do papel dos fascismos na promoção do nacionalismo árabe. Durante a guerra civil em Espanha, além dos soldados italianos e portugueses e do pessoal </w:t>
      </w:r>
      <w:r w:rsidR="0094706E">
        <w:t xml:space="preserve">germânico </w:t>
      </w:r>
      <w:r w:rsidRPr="008939F2">
        <w:t xml:space="preserve">qualificado, as únicas tropas em que os fascistas podiam depositar verdadeira confiança eram a Legião Estrangeira e os mouros recrutados no Marrocos espanhol. Nestas circunstâncias, pareceria </w:t>
      </w:r>
      <w:r w:rsidR="0080032B">
        <w:t>lógico</w:t>
      </w:r>
      <w:r w:rsidRPr="008939F2">
        <w:t xml:space="preserve"> que o governo republicano respondesse favoravelmente aos pedidos de ajuda dos nacionalistas marroquinos, o que contribuiria para voltar os mouros contra Franco. </w:t>
      </w:r>
      <w:r>
        <w:t xml:space="preserve">Um dirigente nacionalista, </w:t>
      </w:r>
      <w:r w:rsidRPr="00E36943">
        <w:t>Abd</w:t>
      </w:r>
      <w:r>
        <w:t xml:space="preserve">el </w:t>
      </w:r>
      <w:r w:rsidRPr="00E36943">
        <w:t xml:space="preserve">Torres, </w:t>
      </w:r>
      <w:r>
        <w:t xml:space="preserve">chegou a prometer que desencadearia uma insurreição em Marrocos se o governo republicano lhe fornecesse armas e assegurasse o reconhecimento da independência do protectorado. </w:t>
      </w:r>
      <w:r w:rsidRPr="008939F2">
        <w:t xml:space="preserve">Mas foi exactamente o contrário que sucedeu, porque qualquer reforço do movimento independentista no Marrocos espanhol teria repercussões imediatas no vizinho Marrocos francês, e Largo Caballero sabia que o governo de Paris, mesmo com a etiqueta do Front Populaire, se oporia a todas as medidas desse género. Para preservar as boas relações com a esquerda francesa, a esquerda espanhola sacrificou o nacionalismo árabe. E </w:t>
      </w:r>
      <w:r w:rsidR="0094706E">
        <w:t>—</w:t>
      </w:r>
      <w:r w:rsidRPr="008939F2">
        <w:t xml:space="preserve"> cúmulo do paradoxo! </w:t>
      </w:r>
      <w:r w:rsidR="0094706E">
        <w:t>—</w:t>
      </w:r>
      <w:r w:rsidRPr="008939F2">
        <w:t xml:space="preserve"> foram os fascistas espanhóis, a quem importava dispor da boa vontade dos mouros, que contemporizar</w:t>
      </w:r>
      <w:r>
        <w:t>am</w:t>
      </w:r>
      <w:r w:rsidRPr="008939F2">
        <w:t xml:space="preserve"> com as aspirações autonomistas, chegando a autorizar no Marrocos espanhol a difusão de publicações e a realização de reuniões que o governo de Léon Blum havia suspendido ou proibido no Marrocos francês</w:t>
      </w:r>
      <w:r w:rsidRPr="008939F2">
        <w:rPr>
          <w:rStyle w:val="Refdenotaderodap"/>
        </w:rPr>
        <w:footnoteReference w:id="252"/>
      </w:r>
      <w:r w:rsidRPr="008939F2">
        <w:t xml:space="preserve">. </w:t>
      </w:r>
    </w:p>
    <w:p w:rsidR="00A1546C" w:rsidRPr="008939F2" w:rsidRDefault="00A1546C" w:rsidP="00A1546C">
      <w:r w:rsidRPr="008939F2">
        <w:lastRenderedPageBreak/>
        <w:t xml:space="preserve">Apesar do seu imperialismo e do seu racismo, os fascistas puderam estimular a luta anticolonial porque as metrópoles democráticas não eram menos racistas nem menos imperialistas. </w:t>
      </w:r>
    </w:p>
    <w:p w:rsidR="00A1546C" w:rsidRPr="008939F2" w:rsidRDefault="00A1546C" w:rsidP="00A636C3">
      <w:pPr>
        <w:keepNext/>
        <w:spacing w:before="720" w:after="360"/>
        <w:ind w:firstLine="0"/>
        <w:jc w:val="center"/>
        <w:rPr>
          <w:b/>
          <w:sz w:val="28"/>
        </w:rPr>
      </w:pPr>
      <w:r>
        <w:rPr>
          <w:b/>
          <w:sz w:val="28"/>
        </w:rPr>
        <w:t>9</w:t>
      </w:r>
      <w:r w:rsidRPr="008939F2">
        <w:rPr>
          <w:b/>
          <w:sz w:val="28"/>
        </w:rPr>
        <w:t>. Estados Unidos: Marcus Garvey, inventor do fascismo</w:t>
      </w:r>
    </w:p>
    <w:p w:rsidR="00A1546C" w:rsidRPr="008939F2" w:rsidRDefault="00A1546C" w:rsidP="00A1546C">
      <w:r w:rsidRPr="008939F2">
        <w:t>Nas pulsões históricas profundas o fascismo foi um precursor das aspirações à autodeterminação em quadros nacionais. Foi precursor? Sem dúvida que sim, mas um processo cronológico inverso pode encontrar-se também. E quando um dos mais importantes políticos negros dos Estados Unidos afirm</w:t>
      </w:r>
      <w:r>
        <w:t>ou</w:t>
      </w:r>
      <w:r w:rsidRPr="008939F2">
        <w:t xml:space="preserve"> ter inspirado Mussolini, não </w:t>
      </w:r>
      <w:r>
        <w:t>foi</w:t>
      </w:r>
      <w:r w:rsidRPr="008939F2">
        <w:t xml:space="preserve"> apenas jactância de uma inegável megalomania, mas algo muito mais sério. </w:t>
      </w:r>
    </w:p>
    <w:p w:rsidR="00A1546C" w:rsidRPr="008939F2" w:rsidRDefault="00A1546C" w:rsidP="00A1546C">
      <w:r w:rsidRPr="008939F2">
        <w:t xml:space="preserve">Marcus Garvey fundou em 1914, na Jamaica, a Universal Negro Improvement Association, e dois anos depois, ao estabelecer-se nos Estados Unidos, </w:t>
      </w:r>
      <w:r>
        <w:t xml:space="preserve">começou a </w:t>
      </w:r>
      <w:r w:rsidRPr="008939F2">
        <w:t>mobiliz</w:t>
      </w:r>
      <w:r>
        <w:t>ar</w:t>
      </w:r>
      <w:r w:rsidRPr="008939F2">
        <w:t xml:space="preserve"> </w:t>
      </w:r>
      <w:r>
        <w:t>com</w:t>
      </w:r>
      <w:r w:rsidRPr="008939F2">
        <w:t xml:space="preserve"> a sua organização um número de participantes que só seria ultrapassado pela campanha pelos direitos cívicos, durante a década de 1960</w:t>
      </w:r>
      <w:r w:rsidRPr="008939F2">
        <w:rPr>
          <w:rStyle w:val="Refdenotaderodap"/>
        </w:rPr>
        <w:footnoteReference w:id="253"/>
      </w:r>
      <w:r w:rsidRPr="008939F2">
        <w:t>. Aliás, a UNIA conseguiu ter filiados praticamente por todo o mundo, e nesta perspectiva é ainda hoje um caso ímpar. O colossal apoio de massas de que beneficiou era especialmente notável</w:t>
      </w:r>
      <w:r>
        <w:t>,</w:t>
      </w:r>
      <w:r w:rsidRPr="008939F2">
        <w:t xml:space="preserve"> porque jamais conseguiu atrair os intelectuais negros, que em geral se mantiveram afastados ou lhe foram mesmo hostis</w:t>
      </w:r>
      <w:r w:rsidRPr="008939F2">
        <w:rPr>
          <w:rStyle w:val="Refdenotaderodap"/>
        </w:rPr>
        <w:footnoteReference w:id="254"/>
      </w:r>
      <w:r>
        <w:t>.</w:t>
      </w:r>
      <w:r w:rsidRPr="008939F2">
        <w:t xml:space="preserve"> E apesar da estrutura capitalista que Garvey imprimira à associação</w:t>
      </w:r>
      <w:r>
        <w:t>,</w:t>
      </w:r>
      <w:r w:rsidRPr="008939F2">
        <w:t xml:space="preserve"> os homens de negócios negros consideraram-na também com desconfiança</w:t>
      </w:r>
      <w:r w:rsidRPr="008939F2">
        <w:rPr>
          <w:rStyle w:val="Refdenotaderodap"/>
        </w:rPr>
        <w:footnoteReference w:id="255"/>
      </w:r>
      <w:r w:rsidRPr="008939F2">
        <w:t>, aliás justificada pelos acontecimentos posteriores. A principal base de apoio da UNIA encontrava-se entre o proletariado negro das cidades do norte e do leste dos Estados Unidos. Tratava-se em grande parte de um meio social de formação muito recente, constituído sobretudo por imigrantes oriundos do sudeste do país e das Antilhas, que haviam sido atraídos pelo crescimento industrial. Com a participação dos Estados Unidos na primeira guerra mundial</w:t>
      </w:r>
      <w:r>
        <w:t>,</w:t>
      </w:r>
      <w:r w:rsidRPr="008939F2">
        <w:t xml:space="preserve"> o recrutamento militar de brancos permitiu aos negros encontrarem mais facilmente lugares nas fábricas, e além disso o elevado crescimento económico no período de 1916 a 1918 e também durante a primeira metade da década seguinte exigiu quantidades ma</w:t>
      </w:r>
      <w:r w:rsidR="00084BBA">
        <w:t>ss</w:t>
      </w:r>
      <w:r w:rsidRPr="008939F2">
        <w:t>i</w:t>
      </w:r>
      <w:r w:rsidR="00084BBA">
        <w:t>v</w:t>
      </w:r>
      <w:r w:rsidRPr="008939F2">
        <w:t>as de mão-de-obra não</w:t>
      </w:r>
      <w:r w:rsidR="00684BF5">
        <w:t xml:space="preserve"> </w:t>
      </w:r>
      <w:r w:rsidRPr="008939F2">
        <w:t xml:space="preserve">qualificada. Entretanto, a descida dos preços do algodão no mercado mundial contribuiu para estimular os negros a abandonarem os estados do sul. Nestas condições, o fluxo migratório tradicional atingiu uma dimensão sem precedentes e calcula-se que entre 1916 e 1918 cerca de meio milhão de negros se tivesse deslocado para os </w:t>
      </w:r>
      <w:r w:rsidRPr="008939F2">
        <w:lastRenderedPageBreak/>
        <w:t>centros industriais do norte do país. Em Chicago, uma cidade exemplar sob este ponto de vista, enquanto o número de habitantes brancos aumentou de pouco mais de 20% entre 1910 e 1920, a população negra cresceu quase 150%. Como todos os desenraizados, bruscamente retirados de um</w:t>
      </w:r>
      <w:r w:rsidR="00684BF5">
        <w:t xml:space="preserve">a rede de relações </w:t>
      </w:r>
      <w:r w:rsidRPr="008939F2">
        <w:t>socia</w:t>
      </w:r>
      <w:r w:rsidR="00684BF5">
        <w:t>is</w:t>
      </w:r>
      <w:r w:rsidRPr="008939F2">
        <w:t xml:space="preserve"> e ainda não assimilados por outr</w:t>
      </w:r>
      <w:r w:rsidR="00684BF5">
        <w:t>a</w:t>
      </w:r>
      <w:r w:rsidRPr="008939F2">
        <w:t>, esta gente mal habituada à vida urbana era uma vítima fácil, porque voluntária, dos messianismos</w:t>
      </w:r>
      <w:r w:rsidRPr="008939F2">
        <w:rPr>
          <w:rStyle w:val="Refdenotaderodap"/>
        </w:rPr>
        <w:footnoteReference w:id="256"/>
      </w:r>
      <w:r w:rsidRPr="008939F2">
        <w:t xml:space="preserve">. Garvey parece ter sido um notável orador, magnético e cativante, ele viera no momento oportuno, era o Moisés Negro a indicar o caminho do cativeiro para a Terra Prometida. </w:t>
      </w:r>
    </w:p>
    <w:p w:rsidR="00A1546C" w:rsidRPr="008939F2" w:rsidRDefault="00A1546C" w:rsidP="00A1546C">
      <w:r w:rsidRPr="008939F2">
        <w:t>A partir de 1920 o programa da UNIA confundiu-se praticamente com o tema do regresso a África, e foi então que ela se tornou uma enorme organização de massas. Reunindo em Agosto de 1920 delegados de vinte e cinco países no primeiro congresso internacional de representantes da população negra, Garvey reclamou que a África fosse reservada aos africanos e se organizasse o regresso a África dos negros de outros continentes</w:t>
      </w:r>
      <w:r w:rsidRPr="008939F2">
        <w:rPr>
          <w:rStyle w:val="Refdenotaderodap"/>
        </w:rPr>
        <w:footnoteReference w:id="257"/>
      </w:r>
      <w:r w:rsidRPr="008939F2">
        <w:t>. Tratar-se-ia de uma verdadeira expedição colonial, porque em terras africanas os negros vindos do outro lado do Atlântico constituiriam inevitavelmente uma elite, detentora de capacidades técnicas e administrativas com as quais os autóctones não saberiam competir, e transformar-se-iam em exploradores da mão-de-obra nativa. Esses imigrantes negros, proclamou Garvey, iriam «ajudar a civilizar as tribos africanas atrasadas»</w:t>
      </w:r>
      <w:r w:rsidRPr="008939F2">
        <w:rPr>
          <w:rStyle w:val="Refdenotaderodap"/>
        </w:rPr>
        <w:footnoteReference w:id="258"/>
      </w:r>
      <w:r w:rsidRPr="008939F2">
        <w:t>, e se tal suced</w:t>
      </w:r>
      <w:r w:rsidR="00657F34">
        <w:t>esse</w:t>
      </w:r>
      <w:r w:rsidRPr="008939F2">
        <w:t xml:space="preserve"> ter-se-ia reeditado em grande escala uma experiência anterior. A partir do segundo quartel do século XIX e até ao final desse século, vários milhares de antigos escravos haviam abandonado a América do Norte para se instalar numa região da costa ocidental africana, onde implantaram um Estado próprio, a Libéria, independente desde 1847. Ora, estes escravos emancipados tinham-se convertido numa classe dominante tão feroz que condenou ao trabalho forçado a população autóctone, a quem foi inclusivamente negado o direito de representação política. E era agora a Libéria a inspirar Garvey. Em 1920 ele enviou a Monróvia uma delegação da UNIA, que regressou com a promessa de que o governo local facilitaria empreendimentos agrícolas, comerciais e industriais. No seu relatório, porém, o chefe da delegação, depois de ter insistido nas potencialidades naturais da Libéria, denunci</w:t>
      </w:r>
      <w:r>
        <w:t>ou</w:t>
      </w:r>
      <w:r w:rsidRPr="008939F2">
        <w:t xml:space="preserve"> em termos vigorosos a elite desse país e cham</w:t>
      </w:r>
      <w:r>
        <w:t>ou</w:t>
      </w:r>
      <w:r w:rsidRPr="008939F2">
        <w:t xml:space="preserve"> a atenção para o facto de os liberianos oriundos dos Estados Unidos manterem os nativos num regime de verdadeira escravidão. Mas para não deteriorar relações que se afiguravam promissoras Garvey decidiu manter secreto o documento</w:t>
      </w:r>
      <w:r w:rsidRPr="008939F2">
        <w:rPr>
          <w:rStyle w:val="Refdenotaderodap"/>
        </w:rPr>
        <w:footnoteReference w:id="259"/>
      </w:r>
      <w:r w:rsidRPr="008939F2">
        <w:t xml:space="preserve"> e lançou no final desse ano uma enorme campanha destinada a recolher os capitais necessários para a promoção económica da Libéria, </w:t>
      </w:r>
      <w:r w:rsidRPr="008939F2">
        <w:lastRenderedPageBreak/>
        <w:t xml:space="preserve">nomeadamente a edificação de vias de transporte e outras obras públicas, a inauguração de estabelecimentos de ensino e a construção de fábricas. No começo de 1921 estava instalada em Monróvia uma delegação permanente da UNIA. </w:t>
      </w:r>
    </w:p>
    <w:p w:rsidR="00A1546C" w:rsidRPr="00415B37" w:rsidRDefault="00657F34" w:rsidP="00A1546C">
      <w:r>
        <w:t xml:space="preserve">Para estimular o </w:t>
      </w:r>
      <w:r w:rsidR="00A1546C" w:rsidRPr="008939F2">
        <w:t xml:space="preserve">regresso a África </w:t>
      </w:r>
      <w:r>
        <w:t xml:space="preserve">seria necessário </w:t>
      </w:r>
      <w:r w:rsidR="00A1546C" w:rsidRPr="008939F2">
        <w:t>aprofunda</w:t>
      </w:r>
      <w:r>
        <w:t>r</w:t>
      </w:r>
      <w:r w:rsidR="00A1546C" w:rsidRPr="008939F2">
        <w:t xml:space="preserve"> a clivagem entre os negros norte-americanos e a restante população do país. Foi esta razão que levou Garvey a aceitar teses racistas extremas, opondo-se à miscigenação e excluindo os mestiços do seu movimento</w:t>
      </w:r>
      <w:r w:rsidR="00A1546C" w:rsidRPr="008939F2">
        <w:rPr>
          <w:rStyle w:val="Refdenotaderodap"/>
        </w:rPr>
        <w:footnoteReference w:id="260"/>
      </w:r>
      <w:r w:rsidR="00A1546C" w:rsidRPr="008939F2">
        <w:t>. Ele defendia a segregação e pretendia a pureza racial, manifestada em cores de pele bem diferenciadas, que testemunhariam a ausência de contactos. «Eu acredito numa raça negra pura</w:t>
      </w:r>
      <w:r w:rsidR="00E73EA1">
        <w:t>»</w:t>
      </w:r>
      <w:r w:rsidR="00F61A9C">
        <w:t>,</w:t>
      </w:r>
      <w:r w:rsidR="00E73EA1">
        <w:t xml:space="preserve"> disse ele</w:t>
      </w:r>
      <w:r w:rsidR="00A1546C" w:rsidRPr="008939F2">
        <w:t xml:space="preserve">, </w:t>
      </w:r>
      <w:r w:rsidR="00E73EA1">
        <w:t>«</w:t>
      </w:r>
      <w:r w:rsidR="00A1546C" w:rsidRPr="008939F2">
        <w:t>tal como todos os brancos que se prezam acreditam numa raça branca tanto quanto possível pura»</w:t>
      </w:r>
      <w:r w:rsidR="00A1546C" w:rsidRPr="008939F2">
        <w:rPr>
          <w:rStyle w:val="Refdenotaderodap"/>
        </w:rPr>
        <w:footnoteReference w:id="261"/>
      </w:r>
      <w:r w:rsidR="00A1546C" w:rsidRPr="008939F2">
        <w:t>. A ideia de expulsar os negros, fixando-os em África, era já antiga e fora proposta por alguns ilustres fundadores da independência, Jefferson por exemplo</w:t>
      </w:r>
      <w:r w:rsidR="00A1546C" w:rsidRPr="008939F2">
        <w:rPr>
          <w:rStyle w:val="Refdenotaderodap"/>
        </w:rPr>
        <w:footnoteReference w:id="262"/>
      </w:r>
      <w:r w:rsidR="00A1546C" w:rsidRPr="008939F2">
        <w:t>. Desde então não faltaram reformadores religiosos e figuras políticas a defender a colonização da costa ocidental africana por negros livres procedentes dos Estados Unidos, e em 1819 o governo federal encarou, embora com pouco afinco, a possibilidade de adoptar medidas neste sentido, encetando-se o processo de que resultaria a fundação da Libéria</w:t>
      </w:r>
      <w:r w:rsidR="00A1546C" w:rsidRPr="008939F2">
        <w:rPr>
          <w:rStyle w:val="Refdenotaderodap"/>
        </w:rPr>
        <w:footnoteReference w:id="263"/>
      </w:r>
      <w:r w:rsidR="00A1546C" w:rsidRPr="008939F2">
        <w:t xml:space="preserve">. </w:t>
      </w:r>
      <w:r w:rsidR="00A1546C" w:rsidRPr="00415B37">
        <w:t xml:space="preserve">Com uma argúcia que nunca deixa de surpreender, Tocqueville identificou na primeira metade da década de 1830 muitos dos êxitos e dos problemas da sociedade norte-americana, contando entre as dificuldades a presença dos negros. Nos estados do norte a situação contraditória </w:t>
      </w:r>
      <w:r w:rsidR="00A1546C">
        <w:t xml:space="preserve">da população </w:t>
      </w:r>
      <w:r w:rsidR="00A1546C" w:rsidRPr="00415B37">
        <w:t>negr</w:t>
      </w:r>
      <w:r w:rsidR="00A1546C">
        <w:t>a</w:t>
      </w:r>
      <w:r w:rsidR="00A1546C" w:rsidRPr="00415B37">
        <w:t xml:space="preserve"> </w:t>
      </w:r>
      <w:r w:rsidR="00E73EA1">
        <w:t>—</w:t>
      </w:r>
      <w:r w:rsidR="00A1546C" w:rsidRPr="00415B37">
        <w:t xml:space="preserve"> que por um lado era</w:t>
      </w:r>
      <w:r w:rsidR="00A1546C">
        <w:t xml:space="preserve"> livre</w:t>
      </w:r>
      <w:r w:rsidR="00A1546C" w:rsidRPr="00415B37">
        <w:t xml:space="preserve">, mas por outro lado não exercia na prática os direitos de que dispunha em teoria </w:t>
      </w:r>
      <w:r w:rsidR="00E73EA1">
        <w:t>—</w:t>
      </w:r>
      <w:r w:rsidR="00A1546C" w:rsidRPr="00415B37">
        <w:t xml:space="preserve"> não tinha consequências ameaçadoras, porque era em número relativamente reduzido</w:t>
      </w:r>
      <w:r w:rsidR="00A1546C" w:rsidRPr="00415B37">
        <w:rPr>
          <w:vertAlign w:val="superscript"/>
        </w:rPr>
        <w:footnoteReference w:id="264"/>
      </w:r>
      <w:r w:rsidR="00A1546C" w:rsidRPr="00415B37">
        <w:t>. Mas era abundante nos estados do sul e aí os brancos, para conservarem a supremacia, teriam de manter a escravidão, apesar de para muitos deles serem já notórios os inconvenientes económicos deste sistema</w:t>
      </w:r>
      <w:r w:rsidR="00A1546C" w:rsidRPr="00415B37">
        <w:rPr>
          <w:vertAlign w:val="superscript"/>
        </w:rPr>
        <w:footnoteReference w:id="265"/>
      </w:r>
      <w:r w:rsidR="00A1546C" w:rsidRPr="00415B37">
        <w:t>. Tocqueville não considerava que houvesse possibilidade de resolver pacificamente a questão</w:t>
      </w:r>
      <w:r w:rsidR="00A1546C" w:rsidRPr="00415B37">
        <w:rPr>
          <w:vertAlign w:val="superscript"/>
        </w:rPr>
        <w:footnoteReference w:id="266"/>
      </w:r>
      <w:r w:rsidR="00A1546C" w:rsidRPr="00415B37">
        <w:t xml:space="preserve"> e adiantou que, no caso de a federação se desfazer, rompendo-se portanto a unidade existente entre os brancos, os negros do sul ficariam em condições de obter a vitória</w:t>
      </w:r>
      <w:r w:rsidR="00A1546C" w:rsidRPr="00415B37">
        <w:rPr>
          <w:vertAlign w:val="superscript"/>
        </w:rPr>
        <w:footnoteReference w:id="267"/>
      </w:r>
      <w:r w:rsidR="00A1546C" w:rsidRPr="00415B37">
        <w:t xml:space="preserve">. Esta antecipação da Guerra da Secessão </w:t>
      </w:r>
      <w:r w:rsidR="00E73EA1">
        <w:t xml:space="preserve">é um dos rasgos </w:t>
      </w:r>
      <w:r w:rsidR="00A1546C" w:rsidRPr="00415B37">
        <w:t xml:space="preserve">surpreendentes </w:t>
      </w:r>
      <w:r w:rsidR="00E73EA1">
        <w:t xml:space="preserve">de </w:t>
      </w:r>
      <w:r w:rsidR="00A1546C" w:rsidRPr="00415B37">
        <w:t xml:space="preserve">Tocqueville, mas é outra faceta da sua análise que me </w:t>
      </w:r>
      <w:r w:rsidR="00A1546C" w:rsidRPr="00415B37">
        <w:lastRenderedPageBreak/>
        <w:t>interessa aqui salientar. Para evitar os inconvenientes da luta entre pessoas de cor diferente, ele relatou aos leitores o projecto nascido de um grupo de cidadãos que em 1820 fundara a Libéria, mas não acreditava que o transporte em massa dos negros para África resolvesse o problema. «Em doze anos, a Sociedade de Colonização dos negros transportou para África dois mil e quinhentos negros. No mesmo período, nasciam nos Estados Unidos cerca de setecentos mil negros». Mesmo que a Libéria estivesse em condições de receber um fluxo imigratório maior e que o governo federal norte-americano empregasse as suas reservas e os seus navios para proceder ao transporte, argumentou Tocqueville, ainda assim não se suprimiria aquele excedente demográfico</w:t>
      </w:r>
      <w:r w:rsidR="00A1546C" w:rsidRPr="00415B37">
        <w:rPr>
          <w:vertAlign w:val="superscript"/>
        </w:rPr>
        <w:footnoteReference w:id="268"/>
      </w:r>
      <w:r w:rsidR="00A1546C" w:rsidRPr="00415B37">
        <w:t>. Como o facto de ter sido demonstrada a inviabilidade desta solução não impediu que ela continuasse a ser proposta por gerações sucessivas de polític</w:t>
      </w:r>
      <w:r w:rsidR="00A1546C">
        <w:t>o</w:t>
      </w:r>
      <w:r w:rsidR="00A1546C" w:rsidRPr="00415B37">
        <w:t xml:space="preserve">s, vemos que se tratava aqui de necessidades históricas e não de opções racionais. </w:t>
      </w:r>
    </w:p>
    <w:p w:rsidR="00A1546C" w:rsidRPr="008939F2" w:rsidRDefault="00A1546C" w:rsidP="00A1546C">
      <w:r w:rsidRPr="008939F2">
        <w:t>O que melhor caracteriza socialmente este projecto é a simpatia com que cont</w:t>
      </w:r>
      <w:r w:rsidR="00B955DE">
        <w:t>ava</w:t>
      </w:r>
      <w:r w:rsidRPr="008939F2">
        <w:t xml:space="preserve"> por parte de elementos dos estados escravistas do sul e a oposição com que depar</w:t>
      </w:r>
      <w:r w:rsidR="00B955DE">
        <w:t>ava</w:t>
      </w:r>
      <w:r w:rsidRPr="008939F2">
        <w:t xml:space="preserve"> por parte da esmagadora maioria dos negros, que reivindic</w:t>
      </w:r>
      <w:r w:rsidR="00B955DE">
        <w:t>ava</w:t>
      </w:r>
      <w:r w:rsidRPr="008939F2">
        <w:t xml:space="preserve"> o direito de viver no seu país em situação de igualdade com </w:t>
      </w:r>
      <w:r>
        <w:t xml:space="preserve">o resto da </w:t>
      </w:r>
      <w:r w:rsidRPr="008939F2">
        <w:t>população e denunci</w:t>
      </w:r>
      <w:r w:rsidR="00B955DE">
        <w:t>ava</w:t>
      </w:r>
      <w:r w:rsidRPr="008939F2">
        <w:t xml:space="preserve"> na colonização africana uma estratégia destinada a transferir além-mar os críticos mais enérgicos do escravismo</w:t>
      </w:r>
      <w:r w:rsidRPr="008939F2">
        <w:rPr>
          <w:rStyle w:val="Refdenotaderodap"/>
        </w:rPr>
        <w:footnoteReference w:id="269"/>
      </w:r>
      <w:r w:rsidRPr="008939F2">
        <w:t xml:space="preserve">. Mas a escassez de realizações práticas e a antipatia generalizada dos negros não dissuadiu os promotores de um movimento </w:t>
      </w:r>
      <w:r>
        <w:t>migratório</w:t>
      </w:r>
      <w:r w:rsidRPr="008939F2">
        <w:t xml:space="preserve"> concebido para evitar que a população branca enfrentasse os problemas de uma sociedade etnicamente variada, e tanto antes como durante e depois da Guerra da Secessão Lincoln defendeu o envio dos escravos libertos não só para a África mas </w:t>
      </w:r>
      <w:r>
        <w:t>também</w:t>
      </w:r>
      <w:r w:rsidRPr="008939F2">
        <w:t xml:space="preserve"> para a América Central e do Sul ou para as Antilhas</w:t>
      </w:r>
      <w:r w:rsidRPr="008939F2">
        <w:rPr>
          <w:rStyle w:val="Refdenotaderodap"/>
        </w:rPr>
        <w:footnoteReference w:id="270"/>
      </w:r>
      <w:r w:rsidRPr="008939F2">
        <w:t xml:space="preserve">. </w:t>
      </w:r>
      <w:r w:rsidR="00D609AB">
        <w:t xml:space="preserve">Agosto de 1862 </w:t>
      </w:r>
      <w:r w:rsidR="00A36936">
        <w:t>marcou</w:t>
      </w:r>
      <w:r w:rsidR="00D609AB" w:rsidRPr="008939F2">
        <w:t xml:space="preserve"> </w:t>
      </w:r>
      <w:r w:rsidRPr="008939F2">
        <w:t xml:space="preserve">sem dúvida uma data histórica, </w:t>
      </w:r>
      <w:r w:rsidR="00D609AB">
        <w:t xml:space="preserve">quando </w:t>
      </w:r>
      <w:r w:rsidRPr="008939F2">
        <w:t>pela primeira vez um presidente dos Estados Unidos recebeu uma delegação de negros, em pleno conflito armado entre os estados do norte e os do sul, e para lhe</w:t>
      </w:r>
      <w:r>
        <w:t>s</w:t>
      </w:r>
      <w:r w:rsidRPr="008939F2">
        <w:t xml:space="preserve"> dizer o quê? «Vós e eu pertencemos a raças diferentes. [...] Com frequência a vossa raça sofre intensamente por habitar entre nós, tal como nós sofremos com a vossa presença. [...] Se vós não estivésseis entre nós não haveria guerra, embora muitos dos que nela participam, de um e outro lado, não se preocupem grandemente convosco. [...] Portanto, é melhor que nos separemos. [...] O nosso povo </w:t>
      </w:r>
      <w:r w:rsidR="00A8392A">
        <w:t>—</w:t>
      </w:r>
      <w:r w:rsidRPr="008939F2">
        <w:t xml:space="preserve"> e devo dizê-lo, por duro que o seja </w:t>
      </w:r>
      <w:r w:rsidR="00A8392A">
        <w:t>—</w:t>
      </w:r>
      <w:r w:rsidRPr="008939F2">
        <w:t xml:space="preserve"> não aceita de bom grado que vós, homens livres de cor, permaneçais connosco»</w:t>
      </w:r>
      <w:r w:rsidRPr="008939F2">
        <w:rPr>
          <w:rStyle w:val="Refdenotaderodap"/>
        </w:rPr>
        <w:footnoteReference w:id="271"/>
      </w:r>
      <w:r w:rsidRPr="008939F2">
        <w:t xml:space="preserve">. Se eram estas as palavras de Lincoln, presidente e comandante-chefe dos estados não escravistas, podemos imaginar o que </w:t>
      </w:r>
      <w:r w:rsidRPr="008939F2">
        <w:lastRenderedPageBreak/>
        <w:t>pensavam os proprietários das grandes plantações do sul. Mas mesmo naquelas circunstâncias a população negra continuou a encarar com relutância a hipótese de embarcar para o estrangeiro, e aliás os outros países não se mostraram interessados em aceitar nas suas metrópoles ou nas suas colónias um tal afluxo de colonizadores</w:t>
      </w:r>
      <w:r w:rsidRPr="008939F2">
        <w:rPr>
          <w:rStyle w:val="Refdenotaderodap"/>
        </w:rPr>
        <w:footnoteReference w:id="272"/>
      </w:r>
      <w:r w:rsidRPr="008939F2">
        <w:t>. Mais tarde, alguns anos depois de terminada a guerra civil, o presidente Ulysses Grant congeminou o plano de anexar a ilha de São Domingos e povoá-la com os antigos escravos, igualmente sem êxito</w:t>
      </w:r>
      <w:r w:rsidRPr="008939F2">
        <w:rPr>
          <w:rStyle w:val="Refdenotaderodap"/>
        </w:rPr>
        <w:footnoteReference w:id="273"/>
      </w:r>
      <w:r w:rsidRPr="008939F2">
        <w:t>. Já nos finais do século XIX era Cuba que um senador sulista propunha conquistar para fixar aí a população etnicamente indesejável, enquanto outro dos seus colegas sugeria o estabelecimento de um protectorado sobre o Haiti e um terceiro recomendava a colonização das costas de África</w:t>
      </w:r>
      <w:r w:rsidRPr="008939F2">
        <w:rPr>
          <w:rStyle w:val="Refdenotaderodap"/>
        </w:rPr>
        <w:footnoteReference w:id="274"/>
      </w:r>
      <w:r w:rsidRPr="008939F2">
        <w:t>. E na passagem da primeira para a segunda década do século XX o presidente Taft declarou a uma delegação de estudantes negros que a emigração era a melhor solução para o problema racial</w:t>
      </w:r>
      <w:r w:rsidRPr="008939F2">
        <w:rPr>
          <w:rStyle w:val="Refdenotaderodap"/>
        </w:rPr>
        <w:footnoteReference w:id="275"/>
      </w:r>
      <w:r w:rsidRPr="008939F2">
        <w:t xml:space="preserve">. </w:t>
      </w:r>
    </w:p>
    <w:p w:rsidR="00A1546C" w:rsidRPr="008939F2" w:rsidRDefault="00A1546C" w:rsidP="00A1546C">
      <w:r w:rsidRPr="008939F2">
        <w:t xml:space="preserve">Ao pretender </w:t>
      </w:r>
      <w:r w:rsidR="002373BA">
        <w:t>realizar</w:t>
      </w:r>
      <w:r w:rsidRPr="008939F2">
        <w:t xml:space="preserve"> um projecto semelhante a UNIA inseri</w:t>
      </w:r>
      <w:r>
        <w:t>u</w:t>
      </w:r>
      <w:r w:rsidRPr="008939F2">
        <w:t>-se numa arraigada tradição de defesa da hegemonia branca nos Estados Unidos. Quando o presidente Harding, em Outubro de 1921, declarou no Alabama que era contrário à mestiçagem e favorável à segregação, Garvey enviou-lhe um telegrama de felicitações</w:t>
      </w:r>
      <w:r w:rsidRPr="008939F2">
        <w:rPr>
          <w:rStyle w:val="Refdenotaderodap"/>
        </w:rPr>
        <w:footnoteReference w:id="276"/>
      </w:r>
      <w:r w:rsidRPr="008939F2">
        <w:t>, e a UNIA não teve vergonha de apoiar uma proposta de lei apresentada por um senador da direita racista, que propunha o repatriamento para África de todos os negros norte-americanos. Embora por razões opostas, observ</w:t>
      </w:r>
      <w:r>
        <w:t>ou</w:t>
      </w:r>
      <w:r w:rsidRPr="008939F2">
        <w:t xml:space="preserve"> Garvey, os objectivos de ambos eram convergentes</w:t>
      </w:r>
      <w:r w:rsidRPr="008939F2">
        <w:rPr>
          <w:rStyle w:val="Refdenotaderodap"/>
        </w:rPr>
        <w:footnoteReference w:id="277"/>
      </w:r>
      <w:r w:rsidRPr="008939F2">
        <w:t xml:space="preserve">. O que para uns era uma deportação era para outros o caminho da salvação. E assim se explica que Garvey tivesse beneficiado da aprovação do Ku Klux Klan e de outras organizações racistas brancas, cujos representantes foram frequentemente convidados a discursar nos comícios da UNIA. «A Sociedade Americana Branca, os Clubes Anglo-Saxónicos e o Ku Klux Klan gozam de todo o meu apoio na sua luta por uma raça pura», afirmou Garvey sem </w:t>
      </w:r>
      <w:r w:rsidR="0075060D">
        <w:t>nenhuns</w:t>
      </w:r>
      <w:r w:rsidRPr="008939F2">
        <w:t xml:space="preserve"> rodeios, «no mesmo momento em que nós estamos a lutar por uma raça negra pura»</w:t>
      </w:r>
      <w:r w:rsidRPr="008939F2">
        <w:rPr>
          <w:rStyle w:val="Refdenotaderodap"/>
        </w:rPr>
        <w:footnoteReference w:id="278"/>
      </w:r>
      <w:r w:rsidRPr="008939F2">
        <w:t xml:space="preserve">. De certo modo, o Ku Klux Klan era praticamente contemporâneo da UNIA, pois renascera em 1915, e, como reivindicava o envio </w:t>
      </w:r>
      <w:r w:rsidR="00084BBA">
        <w:t>massiv</w:t>
      </w:r>
      <w:r w:rsidRPr="008939F2">
        <w:t>o dos negros para a África, patrocinava qualquer propaganda que pudesse mobilizá-los naquela direcção. Aliás, Garvey não só elogi</w:t>
      </w:r>
      <w:r>
        <w:t>ou</w:t>
      </w:r>
      <w:r w:rsidRPr="008939F2">
        <w:t xml:space="preserve"> publicamente o Ku Klux Klan pelo facto de pretender </w:t>
      </w:r>
      <w:r w:rsidRPr="008939F2">
        <w:lastRenderedPageBreak/>
        <w:t>transformar os Estados Unidos numa nação branca como iniciou conversações secretas com delegados do Klan, chegando a deslocar-se a Atlanta em 1922 para se encontrar com o seu chefe supremo</w:t>
      </w:r>
      <w:r w:rsidRPr="008939F2">
        <w:rPr>
          <w:rStyle w:val="Refdenotaderodap"/>
        </w:rPr>
        <w:footnoteReference w:id="279"/>
      </w:r>
      <w:r w:rsidRPr="008939F2">
        <w:t xml:space="preserve">. </w:t>
      </w:r>
    </w:p>
    <w:p w:rsidR="00A1546C" w:rsidRPr="008939F2" w:rsidRDefault="00A1546C" w:rsidP="00A1546C">
      <w:r w:rsidRPr="008939F2">
        <w:t xml:space="preserve">Os motivos que faziam Garvey procurar a aliança da extrema-direita branca levavam-no a hostilizar a esquerda e o movimento sindical, negro ou branco. Os comunistas que </w:t>
      </w:r>
      <w:r w:rsidR="00F81FCE">
        <w:t>tentavam</w:t>
      </w:r>
      <w:r w:rsidRPr="008939F2">
        <w:t xml:space="preserve"> introduzir-se na UNIA eram expulsos e Garvey incitava os seus adeptos a dispersarem pela força os comícios da esquerda. Como tantos outros operários que começaram a vida política como sindicalistas e sofreram a experiência frustrante de greves derrotadas, Garvey convertera-se num adversário do movimento sindical. Em Agosto de 1929, num debate público com um representante do sindicalismo negro, ele procedeu à apologia do sistema capitalista e declarou que os negros deviam acumular o seu próprio capital, para que os trabalhadores negros pudessem exercer a actividade em benefício de patrões da mesma cor</w:t>
      </w:r>
      <w:r w:rsidRPr="008939F2">
        <w:rPr>
          <w:rStyle w:val="Refdenotaderodap"/>
        </w:rPr>
        <w:footnoteReference w:id="280"/>
      </w:r>
      <w:r w:rsidRPr="008939F2">
        <w:t>. Desde há vários anos ele defendia que eram os operários brancos os verdadeiros rivais dos operários negros e que, enquanto a comunidade negra não tivesse conseguido desenvolver uma economia capitalista independente da sociedade branca, os operários negros tinham todo o interesse em manter os seus salários num nível inferior ao dos brancos, para serem competitivos no mercado de trabalho</w:t>
      </w:r>
      <w:r w:rsidRPr="008939F2">
        <w:rPr>
          <w:rStyle w:val="Refdenotaderodap"/>
        </w:rPr>
        <w:footnoteReference w:id="281"/>
      </w:r>
      <w:r w:rsidRPr="008939F2">
        <w:t xml:space="preserve">. Embora improcedentes sob o ponto de vista económico, atitudes deste tipo reflectem situações reais. Quando os operários brancos das cidades industriais assistiram ao afluxo inusitado de imigrantes negros e depararam com a concorrência dos recém-vindos nos empregos e nos espaços urbanos os conflitos étnicos multiplicaram-se, atingindo na segunda metade de 1919 um enorme grau de violência. Sem a existência de um racismo profundo na classe trabalhadora branca seria incompreensível o racismo e o anti-sindicalismo manifestado pela UNIA, e é este círculo vicioso que constitui o verdadeiro problema do racismo. </w:t>
      </w:r>
    </w:p>
    <w:p w:rsidR="00A1546C" w:rsidRPr="008939F2" w:rsidRDefault="00A1546C" w:rsidP="00A1546C">
      <w:r w:rsidRPr="008939F2">
        <w:t>Pelas mesmas razões que a levavam a não admitir a existência de uma clivagem de classes e a considerar apenas uma divisão de raças, a UNIA apresentava-se também como quadro de uma solidariedade étnica entre capitalistas negros e trabalhadores negros. A orientação seguida pela associação tinha duas faces inseparáveis, defendendo por um lado a segregação completa de negros e brancos no interior dos Estados Unidos, e por outro lado inserindo o movimento em moldes capitalistas, através da fundação de empresas e grupos empresariais. Aliás, como observ</w:t>
      </w:r>
      <w:r>
        <w:t>ou</w:t>
      </w:r>
      <w:r w:rsidRPr="008939F2">
        <w:t xml:space="preserve"> um historiador, «a própria organização da Universal Negro Improvement Association obedecia aos mesmos princípios de qualquer negócio»</w:t>
      </w:r>
      <w:r w:rsidRPr="008939F2">
        <w:rPr>
          <w:rStyle w:val="Refdenotaderodap"/>
        </w:rPr>
        <w:footnoteReference w:id="282"/>
      </w:r>
      <w:r w:rsidRPr="008939F2">
        <w:t xml:space="preserve">. A Negro </w:t>
      </w:r>
      <w:r w:rsidRPr="008939F2">
        <w:lastRenderedPageBreak/>
        <w:t xml:space="preserve">Factories Corporation, cujo capital era reservado à participação de negros, tinha por objectivo constituir e explorar empreendimentos nos grandes centros industriais dos Estados Unidos, da América Central e da África, e esta sociedade conseguiu implantar-se em certos ramos especialmente vocacionados para </w:t>
      </w:r>
      <w:r w:rsidR="00410976">
        <w:t xml:space="preserve">o </w:t>
      </w:r>
      <w:r w:rsidR="00410976" w:rsidRPr="008939F2">
        <w:t xml:space="preserve">consumo </w:t>
      </w:r>
      <w:r w:rsidR="00410976">
        <w:t>d</w:t>
      </w:r>
      <w:r w:rsidRPr="008939F2">
        <w:t>a clientela negra</w:t>
      </w:r>
      <w:r w:rsidRPr="008939F2">
        <w:rPr>
          <w:rStyle w:val="Refdenotaderodap"/>
        </w:rPr>
        <w:footnoteReference w:id="283"/>
      </w:r>
      <w:r w:rsidRPr="008939F2">
        <w:t>. Mas o negócio mais arriscado em que Garvey se lançou foi a constituição de uma companhia de transportes marítimos, também sustentada exclusivamente por capitais negros, sob a forma de uma sociedade por acções, a Black Star Steamship Line. Embora a criação desta empresa fosse anterior ao lançamento da campanha para o regresso a África e nos sonhos de Garvey ela devesse obedecer a princípios de rentabilidade capitalista, na propaganda política e na publicidade comercial ambas as iniciativas ficaram estreitamente ligadas. Garvey estipulou que ninguém podia adquirir mais de duzentas acções na Black Star Steamship Line, e em quatro anos uma quantidade superior a 155.000 acções foi vendida a cerca de 40.000 negros. A dispersão do capital evitava que Garvey se submetesse a um ou outro capitalista mais poderoso e assegurava-lhe a independência na gestão. Por seu lado, os homens de negócios negros desconfiaram da viabilidade económica do empreendimento, e com toda a razão, porque aquisições insensatas e uma administração caótica acabaram por levar Garvey aos tribunais e a empresa à falência</w:t>
      </w:r>
      <w:r w:rsidRPr="008939F2">
        <w:rPr>
          <w:rStyle w:val="Refdenotaderodap"/>
        </w:rPr>
        <w:footnoteReference w:id="284"/>
      </w:r>
      <w:r w:rsidRPr="008939F2">
        <w:t>. Na realidade, as concepções que presidiam aos negócios de Garvey estavam muito próximas da conhecida burla da pirâmide e a Black Star Line dependeu sempre da entrada permanente de novos capitais. Em 1924, enquanto aguardava a decisão do tribunal de recurso acerca da sua condenação pelas fraudes que haviam acarretado o encerramento dessa companhia, Garvey fundou outra similar, a Black Cross Navigation and Trading Company, que tal como a anterior devia servir tanto para promover o comércio entre populações negras estabelecidas em diferentes partes do mundo como para repatriar os negros para África</w:t>
      </w:r>
      <w:r w:rsidRPr="008939F2">
        <w:rPr>
          <w:rStyle w:val="Refdenotaderodap"/>
        </w:rPr>
        <w:footnoteReference w:id="285"/>
      </w:r>
      <w:r w:rsidRPr="008939F2">
        <w:t xml:space="preserve">. </w:t>
      </w:r>
    </w:p>
    <w:p w:rsidR="00A1546C" w:rsidRPr="008939F2" w:rsidRDefault="00A1546C" w:rsidP="00A1546C">
      <w:r>
        <w:t xml:space="preserve">Na </w:t>
      </w:r>
      <w:r w:rsidRPr="008939F2">
        <w:t xml:space="preserve">emigração para África </w:t>
      </w:r>
      <w:r>
        <w:t xml:space="preserve">a UNIA </w:t>
      </w:r>
      <w:r w:rsidRPr="008939F2">
        <w:t xml:space="preserve">levaria consigo não apenas </w:t>
      </w:r>
      <w:r>
        <w:t>um</w:t>
      </w:r>
      <w:r w:rsidRPr="008939F2">
        <w:t xml:space="preserve">a estrutura empresarial mas também um aparelho político completo. O congresso negro internacional reunido em Agosto de 1920 proclamou Garvey Presidente Provisório da República Africana e ele </w:t>
      </w:r>
      <w:r>
        <w:t>formou</w:t>
      </w:r>
      <w:r w:rsidRPr="008939F2">
        <w:t xml:space="preserve"> um governo cujos membros ostentavam designações curiosas, como Supremo Potentado ou Supremo Vice-Potentado, e deviam receber chorudas remunerações, que aliás parece não ter havido possibilidade de satisfazer. Para rematar, Garvey fundou uma Igreja Ortodoxa Africana, encabeçada por um patriarca consagrado expressamente, criou ordens de cavalaria e outras instituições honoríficas, inventou títulos disparatados, Príncipe de África, Duque do Nilo, Conde </w:t>
      </w:r>
      <w:r w:rsidRPr="008939F2">
        <w:lastRenderedPageBreak/>
        <w:t xml:space="preserve">do Congo e mais de igual inspiração, estipulou hierarquias, mandou desenhar, costurar e emplumar vistosíssimos uniformes, para uso seu e de mais gente, formou movimentos paramilitares masculinos, femininos e infantis, que se exibiam em paradas de dezenas de milhares de participantes e aos quais faltava tudo, armas ou competência técnica, mas que possuíam nomes sonantes e roupas aparatosas, a Legião Africana Universal, as Brigadas Voadoras da Águia Negra, as Enfermeiras da Cruz Negra Universal, a Brigada Motorizada Universal, os Cavaleiros da Sublime Ordem do Nilo. </w:t>
      </w:r>
      <w:r w:rsidRPr="005C68FF">
        <w:t>Era a condição de proletário, com o seu estigma e as suas lutas, que o Moisés Negro recusava, acenando aos seguidores com a miragem da transformação em nova elite.</w:t>
      </w:r>
      <w:r>
        <w:t xml:space="preserve"> </w:t>
      </w:r>
      <w:r w:rsidRPr="009F40EC">
        <w:t>Estava</w:t>
      </w:r>
      <w:r>
        <w:t>m</w:t>
      </w:r>
      <w:r w:rsidRPr="009F40EC">
        <w:t xml:space="preserve"> </w:t>
      </w:r>
      <w:r>
        <w:t xml:space="preserve">todos </w:t>
      </w:r>
      <w:r w:rsidRPr="009F40EC">
        <w:t>a postos para o regresso a África.</w:t>
      </w:r>
      <w:r>
        <w:t xml:space="preserve"> </w:t>
      </w:r>
    </w:p>
    <w:p w:rsidR="00A1546C" w:rsidRPr="008939F2" w:rsidRDefault="00A1546C" w:rsidP="00A1546C">
      <w:r w:rsidRPr="008939F2">
        <w:t xml:space="preserve">Mas </w:t>
      </w:r>
      <w:r w:rsidR="00D15C9F">
        <w:t>dos</w:t>
      </w:r>
      <w:r w:rsidRPr="008939F2">
        <w:t xml:space="preserve"> grandiosos projectos de fomento, tudo o que os liberianos viram foi uma serração mecânica. E a falta de fundos, somada ao agravamento das rivalidades internas, retirou qualquer eficácia à actuação dos delegados de Garvey em Monróvia. O governo da Libéria, que de início considerara a UNIA como uma oportunidade de reforçar o capitalismo local, passou a encará-la como uma perigosa concorrente e talvez certas pressões das metrópoles coloniais europeias tivessem contribuído para esta mudança de atitude. O certo é que em Junho de 1924 os governantes liberianos se opuseram terminantemente às actividades da UNIA no seu país, declarando que não autorizariam o estabelecimento de colonos enviados pela associação. Como observ</w:t>
      </w:r>
      <w:r>
        <w:t>ou</w:t>
      </w:r>
      <w:r w:rsidRPr="008939F2">
        <w:t xml:space="preserve"> um biógrafo de Garvey, «na prática o movimento do regresso a África ficou liquidado quando a República da Libéria se recusou a apoiar o programa de colonização»</w:t>
      </w:r>
      <w:r w:rsidRPr="008939F2">
        <w:rPr>
          <w:rStyle w:val="Refdenotaderodap"/>
        </w:rPr>
        <w:footnoteReference w:id="286"/>
      </w:r>
      <w:r w:rsidRPr="008939F2">
        <w:t>. Entretanto, outros africanos haviam denunciado a pretensão de Garvey a apresentar-se como presidente provisório da África e houve também nigerianos e senegaleses a pronunciar-se contra a colonização do seu continente pelos negros norte-americanos</w:t>
      </w:r>
      <w:r w:rsidRPr="008939F2">
        <w:rPr>
          <w:rStyle w:val="Refdenotaderodap"/>
        </w:rPr>
        <w:footnoteReference w:id="287"/>
      </w:r>
      <w:r w:rsidRPr="008939F2">
        <w:t xml:space="preserve">. Com igual insucesso deparou a delegação enviada pela UNIA à Abissínia no final da década de 1920, não se mostrando os governantes deste país interessados em </w:t>
      </w:r>
      <w:r w:rsidR="00D15C9F">
        <w:t>qualquer</w:t>
      </w:r>
      <w:r w:rsidRPr="008939F2">
        <w:t xml:space="preserve"> afluxo </w:t>
      </w:r>
      <w:r w:rsidR="00084BBA">
        <w:t>massiv</w:t>
      </w:r>
      <w:r w:rsidRPr="008939F2">
        <w:t>o de negros americanos</w:t>
      </w:r>
      <w:r w:rsidRPr="008939F2">
        <w:rPr>
          <w:rStyle w:val="Refdenotaderodap"/>
        </w:rPr>
        <w:footnoteReference w:id="288"/>
      </w:r>
      <w:r w:rsidRPr="008939F2">
        <w:t xml:space="preserve">. Perante tantos obstáculos, Garvey viu-se na necessidade de prestar atenção à política interna dos Estados Unidos e decidiu apresentar candidatos nas eleições, mas corria assim o risco de descaracterizar o seu movimento. Garvey nunca desistiu de encontrar uma base em terras africanas, e depois de romper com ele um dos dirigentes mais importantes da UNIA acusou-o de ter pretendido enviar uma delegação à Sociedade das Nações para requerer um mandato sobre certas regiões da África. Com efeito, em 1922 o representante da Pérsia na Sociedade das Nações aceitou apresentar uma petição da UNIA reclamando que fossem confiados a um </w:t>
      </w:r>
      <w:r w:rsidRPr="008939F2">
        <w:lastRenderedPageBreak/>
        <w:t xml:space="preserve">governo constituído por negros os mandatos das antigas colónias africanas da Alemanha ou certos territórios da África Ocidental. E em Setembro de 1928, numa época em que as multidões já não o escutavam e quando a UNIA estava à beira </w:t>
      </w:r>
      <w:r>
        <w:t xml:space="preserve">da </w:t>
      </w:r>
      <w:r w:rsidRPr="008939F2">
        <w:t>irrelevância, Garvey deslocou-se a Genebra para comunicar novamente aquela reivindicação à Sociedade das Nações. Aliás, num discurso pronunciado pouco antes em Londres ele pedira às potências coloniais a concessão de algumas regiões africanas, mesmo as mais inóspitas, para serem entregues ao controlo político e económico de negros</w:t>
      </w:r>
      <w:r w:rsidRPr="008939F2">
        <w:rPr>
          <w:rStyle w:val="Refdenotaderodap"/>
        </w:rPr>
        <w:footnoteReference w:id="289"/>
      </w:r>
      <w:r w:rsidRPr="008939F2">
        <w:t>. Garvey morreu em 1940 e um biógrafo resum</w:t>
      </w:r>
      <w:r>
        <w:t>iu</w:t>
      </w:r>
      <w:r w:rsidRPr="008939F2">
        <w:t>-lhe duas décadas de actividade ao afirmar que «a ideia de fundar um Estado africano independente nunca deixou de fazer parte do programa de Garvey até ao final da vida»</w:t>
      </w:r>
      <w:r w:rsidRPr="008939F2">
        <w:rPr>
          <w:rStyle w:val="Refdenotaderodap"/>
        </w:rPr>
        <w:footnoteReference w:id="290"/>
      </w:r>
      <w:r w:rsidRPr="008939F2">
        <w:t xml:space="preserve">. </w:t>
      </w:r>
    </w:p>
    <w:p w:rsidR="00A1546C" w:rsidRPr="008939F2" w:rsidRDefault="00A1546C" w:rsidP="00A1546C">
      <w:r w:rsidRPr="008939F2">
        <w:t>O Moisés Negro só aparecia como profeta enquanto pudesse acenar com o mito da colonização africana. Renegando a condição de proletários, Garvey e os seus seguidores propunham-se como «nação proletária» ou</w:t>
      </w:r>
      <w:r>
        <w:t>,</w:t>
      </w:r>
      <w:r w:rsidRPr="008939F2">
        <w:t xml:space="preserve"> mais exactamente, pois é sempre dis</w:t>
      </w:r>
      <w:r>
        <w:t>t</w:t>
      </w:r>
      <w:r w:rsidRPr="008939F2">
        <w:t xml:space="preserve">o que se trata, pretendiam-se classe dominante de uma «nação proletária», nação nova, para cuja criação faltava apenas reunir estes potenciais capitalistas aos explorados de sempre, que do lado de lá do mar não sabiam o que as marés lhes reservavam. Com o seu conservadorismo económico e o seu radicalismo político na mobilização das massas, a UNIA não se </w:t>
      </w:r>
      <w:r w:rsidR="00A75AB0">
        <w:t xml:space="preserve">distinguiu </w:t>
      </w:r>
      <w:r w:rsidRPr="008939F2">
        <w:t>de qualquer organização fascista. Um movimento obedecendo a critérios de recrutamento estritamente étnicos e que apresentava como única via de salvação uma expansão territorial conduzida em termos raciais deve ser considerado como uma primeira edição do partido de Hitler. Já em 1922, quando se acumulavam as dificuldades da Black Star Steamship Line e Garvey iniciava os confrontos com a justiça, ele atribuiu as suas dificuldades simultaneamente aos capitalistas brancos</w:t>
      </w:r>
      <w:r w:rsidR="0088672B" w:rsidRPr="0088672B">
        <w:t xml:space="preserve"> </w:t>
      </w:r>
      <w:r w:rsidR="0088672B" w:rsidRPr="008939F2">
        <w:t>e aos agentes do comunismo</w:t>
      </w:r>
      <w:r w:rsidRPr="008939F2">
        <w:rPr>
          <w:rStyle w:val="Refdenotaderodap"/>
        </w:rPr>
        <w:footnoteReference w:id="291"/>
      </w:r>
      <w:r w:rsidRPr="008939F2">
        <w:t xml:space="preserve">, antecipando um tipo de denúncias que seria depois a especialidade dos </w:t>
      </w:r>
      <w:r w:rsidR="006E37F1">
        <w:t>nacionais-socialistas</w:t>
      </w:r>
      <w:r w:rsidRPr="008939F2">
        <w:t>. Nem falt</w:t>
      </w:r>
      <w:r>
        <w:t>ou</w:t>
      </w:r>
      <w:r w:rsidRPr="008939F2">
        <w:t xml:space="preserve"> aos dirigentes da UNIA o anti-semitismo, elemento indispensável para introduzir certa coerência naquela dialéctica absurda</w:t>
      </w:r>
      <w:r w:rsidRPr="008939F2">
        <w:rPr>
          <w:rStyle w:val="Refdenotaderodap"/>
        </w:rPr>
        <w:footnoteReference w:id="292"/>
      </w:r>
      <w:r w:rsidRPr="008939F2">
        <w:t>. Ao lermos a descrição das cerimónias públicas em que o Moisés Negro recebia as homenagens de uma corte de dignitários da Legião Africana empunhando espadas e vestidos de uniformes de gala, acompanhados por esposas cobertas de jóias, compreendemos que ainda neste pendor para a política exercida como uma encenação Marcus Garvey se revelou fascista. Ele não fugi</w:t>
      </w:r>
      <w:r>
        <w:t>u</w:t>
      </w:r>
      <w:r w:rsidRPr="008939F2">
        <w:t xml:space="preserve"> à verdade quando, três anos antes de morrer, considerou Mussolini como seu discípulo</w:t>
      </w:r>
      <w:r w:rsidR="006E37F1">
        <w:t>:</w:t>
      </w:r>
      <w:r w:rsidRPr="008939F2">
        <w:t xml:space="preserve"> «Nós fomos os primeiros fascistas. Disciplinámos homens, mulheres e crianças e preparámo-los para a libertação da África. As massas negras viram que só neste nacionalismo extremo podiam </w:t>
      </w:r>
      <w:r w:rsidRPr="008939F2">
        <w:lastRenderedPageBreak/>
        <w:t>depositar as suas esperanças e apoiaram-no de imediato. Mussolini copiou de mim o fascismo, mas os reaccionários negros sabotaram-no»</w:t>
      </w:r>
      <w:r w:rsidRPr="008939F2">
        <w:rPr>
          <w:rStyle w:val="Refdenotaderodap"/>
        </w:rPr>
        <w:footnoteReference w:id="293"/>
      </w:r>
      <w:r w:rsidRPr="008939F2">
        <w:t xml:space="preserve">. </w:t>
      </w:r>
    </w:p>
    <w:p w:rsidR="00A1546C" w:rsidRPr="008939F2" w:rsidRDefault="00A1546C" w:rsidP="00A1546C">
      <w:r w:rsidRPr="008939F2">
        <w:t xml:space="preserve">Os «reaccionários negros» não haviam feito mais do que reconhecer que o capitalismo norte-americano estava já demasiadamente evoluído para abandonar os negros que integrara e inelutavelmente convertia em proletários assalariados, na maioria, em empresários, uns poucos. No seus termos estritos, o projecto de ida para África fora um sonho, que se desvaneceu em 1924 perante a relutância dos africanos e o descontentamento das metrópoles europeias. Não foram o Presidente Provisório, os seus ministros e o seu patriarca, as suas milícias carnavalescas quem sucedeu aos colonialistas europeus na exploração do proletariado </w:t>
      </w:r>
      <w:r w:rsidR="006E37F1">
        <w:t>africano</w:t>
      </w:r>
      <w:r w:rsidRPr="008939F2">
        <w:t>. As independências políticas não trouxeram classes dominantes de além-mar, promoveram-nas entre os autóctones, não menos cúpidas nem menos aparatosas do que quaisquer outras. Mas o fracasso prático de Garvey não representou um insucesso ideológico. Centenas de milhares de pessoas o haviam seguido, muitas mais o haviam escutado e a imprensa da UNIA atingiu durante anos uma tiragem considerável, sendo lida em diversos países e territórios coloniais, e proibida em alguns deles. Mesmo a condenação de Garvey, em Fevereiro de 1925, por fraude relacionada com a Black Star Line, a sua detenção durante quase três anos e a sua expulsão dos Estados Unidos em Dezembro de 1927 não liquidaram imediatamente o movimento, e até ao começo da década de 1930 a UNIA mobiliz</w:t>
      </w:r>
      <w:r>
        <w:t>ou</w:t>
      </w:r>
      <w:r w:rsidRPr="008939F2">
        <w:t xml:space="preserve"> ainda adeptos. Por isso a mensagem doutrinária de Marcus Garvey tem ocupado até aos dias de hoje um lugar significativo na ideologia de muitos políticos negros, tanto nos Estados Unidos como </w:t>
      </w:r>
      <w:r>
        <w:t>noutros lugares</w:t>
      </w:r>
      <w:r w:rsidRPr="008939F2">
        <w:t xml:space="preserve">, e não só na </w:t>
      </w:r>
      <w:r w:rsidR="00F704EA">
        <w:t xml:space="preserve">vertente fascista </w:t>
      </w:r>
      <w:r w:rsidRPr="008939F2">
        <w:t xml:space="preserve">do movimento negro, francamente anti-semita e partidária da livre empresa capitalista, mas igualmente na esquerda radical. </w:t>
      </w:r>
    </w:p>
    <w:p w:rsidR="00A1546C" w:rsidRDefault="00A1546C" w:rsidP="00A1546C">
      <w:r w:rsidRPr="008939F2">
        <w:t xml:space="preserve">Quando Stokely Carmichael, um dos mais notáveis expoentes do militantismo negro de esquerda dos Estados Unidos na segunda metade da década de 1960, partiu para a Guiné, também ele apelou para a emigração </w:t>
      </w:r>
      <w:r w:rsidR="00084BBA">
        <w:t>massiv</w:t>
      </w:r>
      <w:r w:rsidRPr="008939F2">
        <w:t>a dos negros norte-americanos com palavras que lembram as usadas por Garvey</w:t>
      </w:r>
      <w:r w:rsidR="006E37F1">
        <w:t>:</w:t>
      </w:r>
      <w:r w:rsidRPr="008939F2">
        <w:t xml:space="preserve"> «A África não precisaria de estar dependente de técnicos estrangeiros para a reparação e a manutenção do mais moderno equipamento importado. Os técnicos africanos existem, eles estão na América. [...] A nossa terra é em África, não na América. O nosso objectivo principal deve ser a África»</w:t>
      </w:r>
      <w:r w:rsidRPr="008939F2">
        <w:rPr>
          <w:rStyle w:val="Refdenotaderodap"/>
        </w:rPr>
        <w:footnoteReference w:id="294"/>
      </w:r>
      <w:r w:rsidRPr="008939F2">
        <w:t xml:space="preserve">. Em meio século o capitalismo evoluíra e não era já enquanto nova burguesia que Carmichael concitava os seus irmãos de cor a atravessarem o Atlântico, mas enquanto tecnocracia, que com as suas habilitações e a sua </w:t>
      </w:r>
      <w:r w:rsidRPr="008939F2">
        <w:lastRenderedPageBreak/>
        <w:t xml:space="preserve">experiência não deixaria de se impor aos autóctones. Os termos haviam-se actualizado, mas mantinham-se inalteradas as consequências desta dialéctica social. </w:t>
      </w:r>
    </w:p>
    <w:p w:rsidR="00A1546C" w:rsidRPr="008939F2" w:rsidRDefault="00A1546C" w:rsidP="00A1546C">
      <w:r w:rsidRPr="008939F2">
        <w:t>Durante a segunda guerra mundial as vitórias iniciais dos japoneses, consideradas como o triunfo de uma cultura não europeia sobre cultura</w:t>
      </w:r>
      <w:r w:rsidR="00BD2354">
        <w:t>s</w:t>
      </w:r>
      <w:r w:rsidRPr="008939F2">
        <w:t xml:space="preserve"> europeia</w:t>
      </w:r>
      <w:r w:rsidR="00BD2354">
        <w:t>s</w:t>
      </w:r>
      <w:r w:rsidRPr="008939F2">
        <w:t>, constituíram um reconhecido incentivo para os movimentos anticoloniais e não deve subestimar</w:t>
      </w:r>
      <w:r w:rsidR="00E95CFC">
        <w:t>-se</w:t>
      </w:r>
      <w:r w:rsidRPr="008939F2">
        <w:t xml:space="preserve"> o estímulo </w:t>
      </w:r>
      <w:r>
        <w:t>dado pelo</w:t>
      </w:r>
      <w:r w:rsidRPr="008939F2">
        <w:t xml:space="preserve"> nacional-socialismo alemão </w:t>
      </w:r>
      <w:r>
        <w:t>a</w:t>
      </w:r>
      <w:r w:rsidRPr="008939F2">
        <w:t>o</w:t>
      </w:r>
      <w:r>
        <w:t>s</w:t>
      </w:r>
      <w:r w:rsidRPr="008939F2">
        <w:t xml:space="preserve"> nacionalismo</w:t>
      </w:r>
      <w:r>
        <w:t>s</w:t>
      </w:r>
      <w:r w:rsidRPr="008939F2">
        <w:t xml:space="preserve"> árabe</w:t>
      </w:r>
      <w:r>
        <w:t>s</w:t>
      </w:r>
      <w:r w:rsidRPr="008939F2">
        <w:t xml:space="preserve">. Mas o facto de Berlim e Tóquio terem apoiado numerosos movimentos de independência não revelou apenas o carácter do </w:t>
      </w:r>
      <w:r w:rsidR="00E95CFC">
        <w:t>nacional-socialismo</w:t>
      </w:r>
      <w:r w:rsidRPr="008939F2">
        <w:t xml:space="preserve"> e do militarismo nipónico, pois contribuiu ao mesmo tempo para imprimir </w:t>
      </w:r>
      <w:r w:rsidR="00D45309">
        <w:t xml:space="preserve">certas </w:t>
      </w:r>
      <w:r w:rsidRPr="008939F2">
        <w:t xml:space="preserve">características fascistas àqueles movimentos de autodeterminação. Na África negra, todavia, a influência dos fascismos só penetrou de maneira indirecta, e é precisamente isto que confere um enorme valor ao projecto animado por Marcus Garvey. </w:t>
      </w:r>
      <w:r w:rsidR="00E95CFC">
        <w:t xml:space="preserve">Mesmo sem </w:t>
      </w:r>
      <w:r w:rsidRPr="008939F2">
        <w:t>benefici</w:t>
      </w:r>
      <w:r w:rsidR="00E95CFC">
        <w:t>ar</w:t>
      </w:r>
      <w:r w:rsidRPr="008939F2">
        <w:t xml:space="preserve"> da ajuda de um fascismo exterior, o anticolonialismo desenvolveu desde muito cedo uma corrente fascista original, mostrando que esta componente dos processos de autodeterminação não resultou de </w:t>
      </w:r>
      <w:r w:rsidR="00E95CFC">
        <w:t>nenhum</w:t>
      </w:r>
      <w:r w:rsidRPr="008939F2">
        <w:t xml:space="preserve"> expediente oportunista. É difícil ignorar que ao formarem governos sob a tutela </w:t>
      </w:r>
      <w:r>
        <w:t xml:space="preserve">nipónica </w:t>
      </w:r>
      <w:r w:rsidRPr="008939F2">
        <w:t xml:space="preserve">ou </w:t>
      </w:r>
      <w:r>
        <w:t xml:space="preserve">germânica </w:t>
      </w:r>
      <w:r w:rsidRPr="008939F2">
        <w:t xml:space="preserve">os dirigentes nacionalistas não estavam apenas a aproveitar-se das circunstâncias e também a ser aproveitados por elas. Mas, para aqueles que preferem esquecê-lo, o movimento fundado e conduzido por Garvey revela outra coisa ainda </w:t>
      </w:r>
      <w:r w:rsidR="00E95CFC">
        <w:t>—</w:t>
      </w:r>
      <w:r w:rsidRPr="008939F2">
        <w:t xml:space="preserve"> que o anti-imperialismo criou as próprias circunstâncias do fascismo onde elas não existiam. </w:t>
      </w:r>
    </w:p>
    <w:p w:rsidR="00BD2354" w:rsidRPr="008939F2" w:rsidRDefault="00BD2354" w:rsidP="00BD2354">
      <w:pPr>
        <w:keepNext/>
        <w:spacing w:before="720" w:after="360"/>
        <w:ind w:firstLine="0"/>
        <w:jc w:val="center"/>
        <w:rPr>
          <w:b/>
          <w:sz w:val="28"/>
        </w:rPr>
      </w:pPr>
      <w:r w:rsidRPr="008939F2">
        <w:rPr>
          <w:b/>
          <w:sz w:val="28"/>
        </w:rPr>
        <w:t>1</w:t>
      </w:r>
      <w:r>
        <w:rPr>
          <w:b/>
          <w:sz w:val="28"/>
        </w:rPr>
        <w:t>0</w:t>
      </w:r>
      <w:r w:rsidRPr="008939F2">
        <w:rPr>
          <w:b/>
          <w:sz w:val="28"/>
        </w:rPr>
        <w:t>. Da «nação proletária» ao «terceiro mundo»</w:t>
      </w:r>
    </w:p>
    <w:p w:rsidR="00A1546C" w:rsidRPr="008939F2" w:rsidRDefault="00F83427" w:rsidP="00A1546C">
      <w:r>
        <w:t>«Vastos sectores da população nos países coloniais e semicoloniais, mal informados dos acontecimentos na Europa, ainda são vítimas da propaganda que descreve Hitler como um libertador»</w:t>
      </w:r>
      <w:r>
        <w:rPr>
          <w:rStyle w:val="Refdenotaderodap"/>
        </w:rPr>
        <w:footnoteReference w:id="295"/>
      </w:r>
      <w:r>
        <w:t>, escreveu durante a guerra um comunista alemão que mais tarde ser</w:t>
      </w:r>
      <w:r w:rsidR="005A0D98">
        <w:t>ia</w:t>
      </w:r>
      <w:r>
        <w:t xml:space="preserve"> um dos dirigentes da República Democrática. Mas o diagnóstico poderia ser mais contundente. </w:t>
      </w:r>
      <w:r w:rsidR="000E2CFE">
        <w:t xml:space="preserve">Na década de 1960 o </w:t>
      </w:r>
      <w:r w:rsidR="00EC52ED">
        <w:t xml:space="preserve">fascista Maurice Bardèche foi censurado por </w:t>
      </w:r>
      <w:r w:rsidR="00D035C8">
        <w:t xml:space="preserve">alguns </w:t>
      </w:r>
      <w:r w:rsidR="00EC52ED">
        <w:t xml:space="preserve">correligionários seus por distribuir com profusão a classificação de fascista a regimes </w:t>
      </w:r>
      <w:r w:rsidR="009C587B">
        <w:t>gerados pela descolonização</w:t>
      </w:r>
      <w:r w:rsidR="00EC52ED">
        <w:t xml:space="preserve">, o que revela </w:t>
      </w:r>
      <w:r w:rsidR="00EC52ED" w:rsidRPr="008939F2">
        <w:t xml:space="preserve">num </w:t>
      </w:r>
      <w:r w:rsidR="00A1546C" w:rsidRPr="008939F2">
        <w:t>socialista de esquerda</w:t>
      </w:r>
      <w:r w:rsidR="00EC52ED">
        <w:t xml:space="preserve"> como Orwell </w:t>
      </w:r>
      <w:r w:rsidR="00A1546C" w:rsidRPr="008939F2">
        <w:t xml:space="preserve">uma boa dose de perspicácia e a coragem não só de levar os pensamentos até ao fim mas também de os tornar públicos </w:t>
      </w:r>
      <w:r w:rsidR="00583F71">
        <w:t>ao</w:t>
      </w:r>
      <w:r w:rsidR="00A1546C" w:rsidRPr="008939F2">
        <w:t xml:space="preserve"> escrever em 1947: «Os movimentos nacionalistas asiáticos ou têm um carácter fascista ou orientam-se para Moscovo ou conseguem combinar ambas as posições; e hoje todos os movimentos entre os povos de cor estão afectados por um misticismo rácico. Na maior parte da América do Sul a </w:t>
      </w:r>
      <w:r w:rsidR="00A1546C" w:rsidRPr="008939F2">
        <w:lastRenderedPageBreak/>
        <w:t>situação é fundamentalmente semelhante e o mesmo sucede na África e no Médio Oriente»</w:t>
      </w:r>
      <w:r w:rsidR="00A1546C" w:rsidRPr="008939F2">
        <w:rPr>
          <w:rStyle w:val="Refdenotaderodap"/>
        </w:rPr>
        <w:footnoteReference w:id="296"/>
      </w:r>
      <w:r w:rsidR="00A1546C" w:rsidRPr="008939F2">
        <w:t xml:space="preserve">. Tal como o comunismo e a democracia, o fascismo foi uma componente indispensável ao processo de descolonização. </w:t>
      </w:r>
      <w:r w:rsidR="00E95CFC" w:rsidRPr="008939F2">
        <w:t xml:space="preserve">Por </w:t>
      </w:r>
      <w:r w:rsidR="00A1546C" w:rsidRPr="008939F2">
        <w:t xml:space="preserve">isso os regimes dos novos países independentes, para além das grandes diferenças que existem entre eles, têm em comum a articulação daquelas três correntes políticas. Pode variar, consoante os casos, o peso específico de cada uma, mas em menor ou maior grau elas encontram-se sempre juntas. </w:t>
      </w:r>
    </w:p>
    <w:p w:rsidR="00A1546C" w:rsidRDefault="00A1546C" w:rsidP="00A1546C">
      <w:r w:rsidRPr="008939F2">
        <w:t xml:space="preserve">Num artigo publicado em 1952, Alfred Sauvy, um conhecido </w:t>
      </w:r>
      <w:r>
        <w:t xml:space="preserve">demógrafo e </w:t>
      </w:r>
      <w:r w:rsidRPr="008939F2">
        <w:t>economista francês, criou o termo «terceiro mundo»</w:t>
      </w:r>
      <w:r w:rsidRPr="008939F2">
        <w:rPr>
          <w:rStyle w:val="Refdenotaderodap"/>
        </w:rPr>
        <w:footnoteReference w:id="297"/>
      </w:r>
      <w:r>
        <w:t>.</w:t>
      </w:r>
      <w:r w:rsidRPr="008939F2">
        <w:t xml:space="preserve"> </w:t>
      </w:r>
      <w:r>
        <w:t xml:space="preserve">Na década de 1930, junto com outros antigos alunos da École Plotytechnique, </w:t>
      </w:r>
      <w:r w:rsidR="005A630B" w:rsidRPr="00016C07">
        <w:t xml:space="preserve">conhecida </w:t>
      </w:r>
      <w:r w:rsidR="005A630B">
        <w:t xml:space="preserve">vulgarmente </w:t>
      </w:r>
      <w:r w:rsidR="005A630B" w:rsidRPr="00016C07">
        <w:t xml:space="preserve">como </w:t>
      </w:r>
      <w:r w:rsidR="005A630B" w:rsidRPr="00387287">
        <w:t>X,</w:t>
      </w:r>
      <w:r w:rsidR="005A630B" w:rsidRPr="00764D50">
        <w:t xml:space="preserve"> </w:t>
      </w:r>
      <w:r w:rsidRPr="00764D50">
        <w:t xml:space="preserve">Sauvy </w:t>
      </w:r>
      <w:r>
        <w:t xml:space="preserve">havia pertencido ao grupo X-Crise, </w:t>
      </w:r>
      <w:r w:rsidR="00EC7F1C">
        <w:t xml:space="preserve">inserido no </w:t>
      </w:r>
      <w:r>
        <w:t xml:space="preserve">que então se denominava Economia </w:t>
      </w:r>
      <w:r w:rsidR="002618E2">
        <w:t>Dirigida</w:t>
      </w:r>
      <w:r w:rsidR="00183BA7">
        <w:t>, que teve em Henri de Man o teórico mais proeminente</w:t>
      </w:r>
      <w:r>
        <w:t xml:space="preserve"> </w:t>
      </w:r>
      <w:r w:rsidR="00183BA7">
        <w:t xml:space="preserve">e em França </w:t>
      </w:r>
      <w:r w:rsidR="0064029F">
        <w:t>foi</w:t>
      </w:r>
      <w:r w:rsidR="00183BA7">
        <w:t xml:space="preserve"> proposta por Marcel Déat e os seus </w:t>
      </w:r>
      <w:r w:rsidR="00183BA7" w:rsidRPr="007912B7">
        <w:t>neo-socialist</w:t>
      </w:r>
      <w:r w:rsidR="00183BA7">
        <w:t>a</w:t>
      </w:r>
      <w:r w:rsidR="00183BA7" w:rsidRPr="007912B7">
        <w:t>s</w:t>
      </w:r>
      <w:r w:rsidR="00AA67C3">
        <w:t xml:space="preserve"> (capítulo 3 da Parte 3)</w:t>
      </w:r>
      <w:r w:rsidR="00183BA7">
        <w:t xml:space="preserve">. </w:t>
      </w:r>
      <w:r w:rsidR="001F241C">
        <w:t xml:space="preserve">Situada por um lado </w:t>
      </w:r>
      <w:r w:rsidR="001F241C" w:rsidRPr="00EF13CC">
        <w:t xml:space="preserve">à esquerda, pela crítica à burguesia e pelo carácter planificatório, </w:t>
      </w:r>
      <w:r w:rsidR="001F241C">
        <w:t xml:space="preserve">e incorrendo </w:t>
      </w:r>
      <w:r w:rsidR="001F241C" w:rsidRPr="00EF13CC">
        <w:t>por isso na aversão dos consevadores</w:t>
      </w:r>
      <w:r w:rsidR="00183BA7">
        <w:t>,</w:t>
      </w:r>
      <w:r w:rsidR="001F241C" w:rsidRPr="00EF13CC">
        <w:t xml:space="preserve"> </w:t>
      </w:r>
      <w:r w:rsidR="001F241C">
        <w:t xml:space="preserve">mas por outro lado </w:t>
      </w:r>
      <w:r w:rsidR="00183BA7">
        <w:t xml:space="preserve">situada </w:t>
      </w:r>
      <w:r w:rsidR="001F241C" w:rsidRPr="00EF13CC">
        <w:t xml:space="preserve">à direita, já que se aliava às grandes empresas, que eram elas próprias instituições planificadoras, e por isso </w:t>
      </w:r>
      <w:r w:rsidR="001F241C">
        <w:t xml:space="preserve">sofrendo </w:t>
      </w:r>
      <w:r w:rsidR="001F241C" w:rsidRPr="00EF13CC">
        <w:t>os ataques dos liberais antimonopolistas</w:t>
      </w:r>
      <w:r w:rsidR="001F241C">
        <w:t xml:space="preserve">, a Economia Dirigida </w:t>
      </w:r>
      <w:r w:rsidR="005A630B">
        <w:t>estava</w:t>
      </w:r>
      <w:r w:rsidR="00056038">
        <w:t xml:space="preserve"> atravessada pela mesma ambiguidade política do fascismo. </w:t>
      </w:r>
      <w:r w:rsidR="005A630B">
        <w:t xml:space="preserve">Igual oscilação permeava o </w:t>
      </w:r>
      <w:r w:rsidR="005A630B" w:rsidRPr="00016C07">
        <w:t>X-Crise</w:t>
      </w:r>
      <w:r w:rsidR="005A630B">
        <w:t xml:space="preserve">, de seu nome completo </w:t>
      </w:r>
      <w:r w:rsidR="005A630B" w:rsidRPr="00016C07">
        <w:t>Centre de Renseignements et d’Informations Sociales et Économiques</w:t>
      </w:r>
      <w:r w:rsidR="005A630B">
        <w:t xml:space="preserve">, </w:t>
      </w:r>
      <w:r w:rsidR="005A630B" w:rsidRPr="00016C07">
        <w:t xml:space="preserve">um misto de </w:t>
      </w:r>
      <w:r w:rsidR="005A630B" w:rsidRPr="00016C07">
        <w:rPr>
          <w:i/>
        </w:rPr>
        <w:t>think</w:t>
      </w:r>
      <w:r w:rsidR="004939B3">
        <w:rPr>
          <w:i/>
        </w:rPr>
        <w:t xml:space="preserve"> </w:t>
      </w:r>
      <w:r w:rsidR="005A630B" w:rsidRPr="00016C07">
        <w:rPr>
          <w:i/>
        </w:rPr>
        <w:t>tank</w:t>
      </w:r>
      <w:r w:rsidR="005A630B" w:rsidRPr="00016C07">
        <w:t xml:space="preserve"> e grupo de pressão</w:t>
      </w:r>
      <w:r w:rsidR="005A630B">
        <w:t xml:space="preserve">, fundado </w:t>
      </w:r>
      <w:r w:rsidR="005A630B" w:rsidRPr="00016C07">
        <w:t>em 1931</w:t>
      </w:r>
      <w:r w:rsidR="007941A5" w:rsidRPr="00016C07">
        <w:t xml:space="preserve">. </w:t>
      </w:r>
      <w:r w:rsidR="003C26F1">
        <w:t>Sauvy pôde emparceirar ali com figuras como</w:t>
      </w:r>
      <w:r w:rsidR="002618E2">
        <w:t xml:space="preserve">, entre várias outras, </w:t>
      </w:r>
      <w:r w:rsidR="003C26F1" w:rsidRPr="00016C07">
        <w:t xml:space="preserve">Georges Soulès, </w:t>
      </w:r>
      <w:r w:rsidR="00DB37E9" w:rsidRPr="00016C07">
        <w:t xml:space="preserve">Jules Moch </w:t>
      </w:r>
      <w:r w:rsidR="00DB37E9">
        <w:t xml:space="preserve">e </w:t>
      </w:r>
      <w:r w:rsidR="00DB37E9" w:rsidRPr="00016C07">
        <w:t>Charles Spinasse</w:t>
      </w:r>
      <w:r w:rsidR="00103FD9">
        <w:t>,</w:t>
      </w:r>
      <w:r w:rsidR="00DB37E9" w:rsidRPr="00016C07">
        <w:t xml:space="preserve"> </w:t>
      </w:r>
      <w:r w:rsidR="002618E2">
        <w:t xml:space="preserve">até que </w:t>
      </w:r>
      <w:r w:rsidR="00103FD9">
        <w:t>em 1939, com a guerra</w:t>
      </w:r>
      <w:r w:rsidR="002618E2">
        <w:t>,</w:t>
      </w:r>
      <w:r w:rsidR="00103FD9">
        <w:t xml:space="preserve"> o grupo </w:t>
      </w:r>
      <w:r w:rsidR="00EC7F1C">
        <w:t>se</w:t>
      </w:r>
      <w:r w:rsidR="00103FD9">
        <w:t xml:space="preserve"> dissolv</w:t>
      </w:r>
      <w:r w:rsidR="00EC7F1C">
        <w:t>eu</w:t>
      </w:r>
      <w:r w:rsidR="00103FD9">
        <w:t xml:space="preserve">. </w:t>
      </w:r>
      <w:r w:rsidR="00A7525E">
        <w:t xml:space="preserve">O socialista </w:t>
      </w:r>
      <w:r w:rsidR="00F90EDB">
        <w:t>Spinasse fo</w:t>
      </w:r>
      <w:r w:rsidR="00EC7F1C">
        <w:t>i</w:t>
      </w:r>
      <w:r w:rsidR="00F90EDB">
        <w:t xml:space="preserve"> </w:t>
      </w:r>
      <w:r w:rsidR="00EC7F1C" w:rsidRPr="00016C07">
        <w:t xml:space="preserve">ministro </w:t>
      </w:r>
      <w:r w:rsidR="00F90EDB" w:rsidRPr="00016C07">
        <w:t xml:space="preserve">da Economia Nacional </w:t>
      </w:r>
      <w:r w:rsidR="00F90EDB">
        <w:t xml:space="preserve">no Front Populaire </w:t>
      </w:r>
      <w:r w:rsidR="00F90EDB" w:rsidRPr="00016C07">
        <w:t xml:space="preserve">de Junho de 1936 até Março de 1937 </w:t>
      </w:r>
      <w:r w:rsidR="00F90EDB">
        <w:t xml:space="preserve">e novamente </w:t>
      </w:r>
      <w:r w:rsidR="00F90EDB" w:rsidRPr="00016C07">
        <w:t>ministro do Orçamento de Março a Abril de 1938</w:t>
      </w:r>
      <w:r w:rsidR="00A7525E">
        <w:t>,</w:t>
      </w:r>
      <w:r w:rsidR="00F90EDB" w:rsidRPr="00016C07">
        <w:t xml:space="preserve"> </w:t>
      </w:r>
      <w:r w:rsidR="00A7525E">
        <w:t xml:space="preserve">mas depois do armistício </w:t>
      </w:r>
      <w:r w:rsidR="00C23AFF">
        <w:t xml:space="preserve">de Junho de 1940 </w:t>
      </w:r>
      <w:r w:rsidR="00A7525E">
        <w:t xml:space="preserve">dedicou-se, sob a égide do regime de Vichy, ao que poderia chamar-se </w:t>
      </w:r>
      <w:r w:rsidR="002618E2">
        <w:t xml:space="preserve">amavelmente </w:t>
      </w:r>
      <w:r w:rsidR="00A7525E">
        <w:t xml:space="preserve">uma colaboração moderada. </w:t>
      </w:r>
      <w:r w:rsidR="00FB7A75">
        <w:t xml:space="preserve">Pelo contrário, o </w:t>
      </w:r>
      <w:r w:rsidR="00A7525E">
        <w:t xml:space="preserve">socialista Georges Soulès, </w:t>
      </w:r>
      <w:r w:rsidR="00FB7A75">
        <w:t xml:space="preserve">que também ele </w:t>
      </w:r>
      <w:r w:rsidR="00FB7A75" w:rsidRPr="001F54CA">
        <w:t>integrara o aparelho governativo do Front Populaire</w:t>
      </w:r>
      <w:r w:rsidR="00FB7A75">
        <w:t>,</w:t>
      </w:r>
      <w:r w:rsidR="00FB7A75" w:rsidRPr="001F54CA">
        <w:t xml:space="preserve"> </w:t>
      </w:r>
      <w:r w:rsidR="00A7525E">
        <w:t xml:space="preserve">lançou-se em Paris na colaboração total e frenética e vimo-lo já </w:t>
      </w:r>
      <w:r w:rsidR="009975E7">
        <w:t>(</w:t>
      </w:r>
      <w:r w:rsidR="000E73BE">
        <w:t xml:space="preserve">no capítulo 3 </w:t>
      </w:r>
      <w:r w:rsidR="009975E7">
        <w:t>d</w:t>
      </w:r>
      <w:r w:rsidR="000E73BE">
        <w:t xml:space="preserve">a Parte 1) </w:t>
      </w:r>
      <w:r w:rsidR="00A7525E">
        <w:t xml:space="preserve">animar, juntamente com </w:t>
      </w:r>
      <w:r w:rsidR="00A7525E" w:rsidRPr="001F54CA">
        <w:t>Mahé</w:t>
      </w:r>
      <w:r w:rsidR="00A7525E">
        <w:t xml:space="preserve"> e </w:t>
      </w:r>
      <w:r w:rsidR="00A7525E" w:rsidRPr="001F54CA">
        <w:t>Filliol</w:t>
      </w:r>
      <w:r w:rsidR="00A7525E">
        <w:t xml:space="preserve">, o golpe interno que </w:t>
      </w:r>
      <w:r w:rsidR="00FB7A75">
        <w:t xml:space="preserve">em Maio de 1942 </w:t>
      </w:r>
      <w:r w:rsidR="003B2C8B">
        <w:t>expulsou</w:t>
      </w:r>
      <w:r w:rsidR="00A7525E">
        <w:t xml:space="preserve"> Deloncle do </w:t>
      </w:r>
      <w:r w:rsidR="003B2C8B" w:rsidRPr="001F54CA">
        <w:t>Mouvement Social Révolutionnaire</w:t>
      </w:r>
      <w:r w:rsidR="003B2C8B">
        <w:t>.</w:t>
      </w:r>
      <w:r w:rsidR="003B2C8B" w:rsidRPr="001F54CA">
        <w:t xml:space="preserve"> </w:t>
      </w:r>
      <w:r w:rsidR="002618E2">
        <w:t xml:space="preserve">O socialista </w:t>
      </w:r>
      <w:r w:rsidR="003B2C8B">
        <w:t xml:space="preserve">Jules Moch, </w:t>
      </w:r>
      <w:r w:rsidR="002618E2">
        <w:t xml:space="preserve">que também passara pelo aparelho governativo do Front Populaire, </w:t>
      </w:r>
      <w:r w:rsidR="00184003">
        <w:t>opôs-se ao m</w:t>
      </w:r>
      <w:r w:rsidR="00EC7F1C">
        <w:t>a</w:t>
      </w:r>
      <w:r w:rsidR="00184003">
        <w:t>rechal Pétain desde o primeiro dia, esteve preso, depois de libertado participou na resist</w:t>
      </w:r>
      <w:r w:rsidR="002618E2">
        <w:t>ê</w:t>
      </w:r>
      <w:r w:rsidR="00184003">
        <w:t>ncia e mais tarde alistou-se nas forças militares da France Libre, para ser depois da guerra um dos principais dirigentes socialistas</w:t>
      </w:r>
      <w:r w:rsidR="002618E2">
        <w:t xml:space="preserve"> e um </w:t>
      </w:r>
      <w:r w:rsidR="002618E2" w:rsidRPr="002618E2">
        <w:rPr>
          <w:i/>
        </w:rPr>
        <w:t>habitué</w:t>
      </w:r>
      <w:r w:rsidR="002618E2">
        <w:t xml:space="preserve"> dos ministérios</w:t>
      </w:r>
      <w:r w:rsidR="00184003">
        <w:t xml:space="preserve">, enquanto Spinasse vegetava no ostracismo e </w:t>
      </w:r>
      <w:r w:rsidR="00184003">
        <w:lastRenderedPageBreak/>
        <w:t xml:space="preserve">Soulès, condenado e amnistiado, </w:t>
      </w:r>
      <w:r w:rsidR="00597A1F">
        <w:t xml:space="preserve">iniciava </w:t>
      </w:r>
      <w:r w:rsidR="00184003">
        <w:t xml:space="preserve">uma carreira de escritor místico </w:t>
      </w:r>
      <w:r w:rsidR="002618E2">
        <w:t xml:space="preserve">e esotérico </w:t>
      </w:r>
      <w:r w:rsidR="00184003">
        <w:t xml:space="preserve">sob o nome de </w:t>
      </w:r>
      <w:r w:rsidR="00184003" w:rsidRPr="00016C07">
        <w:t>Raymond Abellio</w:t>
      </w:r>
      <w:r w:rsidR="00184003">
        <w:t xml:space="preserve">. </w:t>
      </w:r>
      <w:r w:rsidR="00EC7F1C">
        <w:t xml:space="preserve">Estas figuras estão aqui como emblema de muitas mais. </w:t>
      </w:r>
      <w:r w:rsidR="00C23AFF">
        <w:t>U</w:t>
      </w:r>
      <w:r w:rsidR="00387287">
        <w:t>n</w:t>
      </w:r>
      <w:r w:rsidR="00C23AFF">
        <w:t xml:space="preserve">s haviam visto na colaboração com o Terceiro Reich a oportunidade de pôr </w:t>
      </w:r>
      <w:r w:rsidR="00C23AFF" w:rsidRPr="00382BFE">
        <w:t xml:space="preserve">em prática </w:t>
      </w:r>
      <w:r w:rsidR="00C23AFF">
        <w:t>os seus objectivos, enquanto outr</w:t>
      </w:r>
      <w:r w:rsidR="00387287">
        <w:t>o</w:t>
      </w:r>
      <w:r w:rsidR="00C23AFF">
        <w:t xml:space="preserve">s, quando não </w:t>
      </w:r>
      <w:r w:rsidR="00387287">
        <w:t>o</w:t>
      </w:r>
      <w:r w:rsidR="00C23AFF">
        <w:t>s mesm</w:t>
      </w:r>
      <w:r w:rsidR="00387287">
        <w:t>o</w:t>
      </w:r>
      <w:r w:rsidR="00C23AFF">
        <w:t xml:space="preserve">s, </w:t>
      </w:r>
      <w:r w:rsidR="00387287">
        <w:t>apostaram n</w:t>
      </w:r>
      <w:r w:rsidR="00C23AFF">
        <w:t xml:space="preserve">a vitória dos Aliados e preferiram deixar a sua marca na reconstrução da Europa no pós-guerra. </w:t>
      </w:r>
      <w:r w:rsidR="006C2127">
        <w:t>Não há nada como a história para implodir as contradições ocultas</w:t>
      </w:r>
      <w:r w:rsidR="00C23AFF">
        <w:t xml:space="preserve">, </w:t>
      </w:r>
      <w:r w:rsidR="00EC7F1C">
        <w:t xml:space="preserve">mas </w:t>
      </w:r>
      <w:r w:rsidR="00E546C3">
        <w:t xml:space="preserve">depois </w:t>
      </w:r>
      <w:r w:rsidR="00EC7F1C">
        <w:t>junta-</w:t>
      </w:r>
      <w:r w:rsidR="00E546C3">
        <w:t xml:space="preserve">as </w:t>
      </w:r>
      <w:r w:rsidR="00C23AFF">
        <w:t>de novo</w:t>
      </w:r>
      <w:r w:rsidR="006C2127">
        <w:t xml:space="preserve">. </w:t>
      </w:r>
      <w:r w:rsidR="00C23AFF">
        <w:t xml:space="preserve">Durante aqueles anos difíceis </w:t>
      </w:r>
      <w:r w:rsidR="003576D1">
        <w:t>Sauvy naveg</w:t>
      </w:r>
      <w:r w:rsidR="00C23AFF">
        <w:t xml:space="preserve">ou </w:t>
      </w:r>
      <w:r w:rsidR="003576D1">
        <w:t xml:space="preserve">entre uma prudente associação a Vichy e uma não menos prudente aproximação à France Libre, </w:t>
      </w:r>
      <w:r w:rsidR="00C23AFF">
        <w:t xml:space="preserve">para </w:t>
      </w:r>
      <w:r w:rsidR="003576D1">
        <w:t>cont</w:t>
      </w:r>
      <w:r w:rsidR="00C23AFF">
        <w:t>ar</w:t>
      </w:r>
      <w:r w:rsidR="003576D1">
        <w:t xml:space="preserve">-se depois entre os nomes principais da tecnocracia francesa saída da Libertação. </w:t>
      </w:r>
    </w:p>
    <w:p w:rsidR="00A1546C" w:rsidRPr="008939F2" w:rsidRDefault="00A1546C" w:rsidP="00A1546C">
      <w:r w:rsidRPr="003728D7">
        <w:t>O termo «terceiro mundo»</w:t>
      </w:r>
      <w:r>
        <w:t>, que deve a paternidade</w:t>
      </w:r>
      <w:r w:rsidR="00EB111B">
        <w:t xml:space="preserve"> a Alfred Sauvy</w:t>
      </w:r>
      <w:r>
        <w:t xml:space="preserve">, depressa beneficiou de </w:t>
      </w:r>
      <w:r w:rsidRPr="008939F2">
        <w:t>uma extraordinária difusão, transformado num conceito por alguns, num clamor de propaganda pela esmagadora maioria</w:t>
      </w:r>
      <w:r w:rsidR="00EB111B">
        <w:t>,</w:t>
      </w:r>
      <w:r w:rsidRPr="008939F2">
        <w:t xml:space="preserve"> </w:t>
      </w:r>
      <w:r w:rsidR="00EB111B">
        <w:t xml:space="preserve">e é rasgado pela mesma ambiguidade que atravessou o seu </w:t>
      </w:r>
      <w:r w:rsidR="00047708">
        <w:t>criador</w:t>
      </w:r>
      <w:r w:rsidR="00EB111B">
        <w:t xml:space="preserve"> e o meio em que ele se inseriu. </w:t>
      </w:r>
      <w:r w:rsidRPr="008939F2">
        <w:t xml:space="preserve">Originariamente, </w:t>
      </w:r>
      <w:r w:rsidRPr="008939F2">
        <w:rPr>
          <w:i/>
        </w:rPr>
        <w:t>Tiers Monde</w:t>
      </w:r>
      <w:r w:rsidRPr="008939F2">
        <w:t xml:space="preserve"> implicara uma referência a </w:t>
      </w:r>
      <w:r w:rsidRPr="008939F2">
        <w:rPr>
          <w:i/>
        </w:rPr>
        <w:t>tiers état</w:t>
      </w:r>
      <w:r w:rsidRPr="00287515">
        <w:rPr>
          <w:i/>
        </w:rPr>
        <w:t>,</w:t>
      </w:r>
      <w:r w:rsidRPr="008939F2">
        <w:t xml:space="preserve"> aquela vasta categoria social ou, mais exactamente, jurídica que forneceu o título ao célebre panfleto de Sieyès</w:t>
      </w:r>
      <w:r w:rsidRPr="00287515">
        <w:rPr>
          <w:vertAlign w:val="superscript"/>
        </w:rPr>
        <w:footnoteReference w:id="298"/>
      </w:r>
      <w:r w:rsidRPr="008939F2">
        <w:t xml:space="preserve">. Mas as analogias ideológicas só de maneira superficial remetem para a revolução francesa, pois num nível mais profundo projectaram-se noutra direcção e com outras repercussões. Os </w:t>
      </w:r>
      <w:r w:rsidRPr="008939F2">
        <w:rPr>
          <w:i/>
        </w:rPr>
        <w:t>états,</w:t>
      </w:r>
      <w:r w:rsidRPr="008939F2">
        <w:t xml:space="preserve"> durante o </w:t>
      </w:r>
      <w:r w:rsidRPr="008939F2">
        <w:rPr>
          <w:i/>
        </w:rPr>
        <w:t>Ancien Régime,</w:t>
      </w:r>
      <w:r w:rsidRPr="008939F2">
        <w:t xml:space="preserve"> eram o clero, a nobreza e a plebe. Sendo </w:t>
      </w:r>
      <w:r w:rsidRPr="008939F2">
        <w:rPr>
          <w:i/>
        </w:rPr>
        <w:t>tiers,</w:t>
      </w:r>
      <w:r w:rsidRPr="008939F2">
        <w:t xml:space="preserve"> o terceiro, um </w:t>
      </w:r>
      <w:r w:rsidRPr="008939F2">
        <w:rPr>
          <w:i/>
        </w:rPr>
        <w:t>état</w:t>
      </w:r>
      <w:r w:rsidRPr="008939F2">
        <w:t xml:space="preserve"> ficava relegado para último lugar e, portanto, a expressão </w:t>
      </w:r>
      <w:r w:rsidRPr="008939F2">
        <w:rPr>
          <w:i/>
        </w:rPr>
        <w:t>tiers état</w:t>
      </w:r>
      <w:r w:rsidRPr="008939F2">
        <w:t xml:space="preserve"> implicava uma clara conotação de desapreço, de opressão ou mesmo de exploração. Sieyès converte</w:t>
      </w:r>
      <w:r>
        <w:t>ra</w:t>
      </w:r>
      <w:r w:rsidRPr="008939F2">
        <w:t xml:space="preserve"> uma expressão depreciativa num tema insurreccional, mostrando que se uma categoria social sustentava toda a economia e não detinha </w:t>
      </w:r>
      <w:r w:rsidR="00872427">
        <w:t>nenhum</w:t>
      </w:r>
      <w:r w:rsidRPr="008939F2">
        <w:t xml:space="preserve"> poder político ela devia, logicamente, reivindicar a participação na nova assembleia representativa. </w:t>
      </w:r>
    </w:p>
    <w:p w:rsidR="00A1546C" w:rsidRDefault="00A1546C" w:rsidP="00A1546C">
      <w:r w:rsidRPr="008939F2">
        <w:t xml:space="preserve">Assim, o vocábulo </w:t>
      </w:r>
      <w:r w:rsidRPr="008939F2">
        <w:rPr>
          <w:i/>
        </w:rPr>
        <w:t>état,</w:t>
      </w:r>
      <w:r w:rsidRPr="008939F2">
        <w:t xml:space="preserve"> que se havia referido a estratos sociais, ao inspirar o emprego do termo </w:t>
      </w:r>
      <w:r w:rsidRPr="008939F2">
        <w:rPr>
          <w:i/>
        </w:rPr>
        <w:t>monde,</w:t>
      </w:r>
      <w:r w:rsidRPr="008939F2">
        <w:t xml:space="preserve"> mundo, foi transportado por analogia para o âmbito das nações, e um dado conjunto de nações </w:t>
      </w:r>
      <w:r>
        <w:t>ficou</w:t>
      </w:r>
      <w:r w:rsidRPr="008939F2">
        <w:t xml:space="preserve"> assimilado a um estrato social oprimido. O mecanismo em nada difere do usado por Corradini com a sua «nação proletária». Só que o desenvolvimento da concentração do capital e a internacionalização permitida pela derrota militar dos regimes autárcicos haviam retirado às nações o carácter de unidades económicas. Entrara-se numa época em que a economia só podia ser abordada em termos mundiais. Por isso a «nação» do começo do século se converteu agora em «mundo». De resto, seja essa nação «proletária» ou seja «terceiro» esse mundo, o paradoxo terminológico é o mesmo. No primeiro caso juntara-se um adjectivo </w:t>
      </w:r>
      <w:r w:rsidR="00872427">
        <w:t>(</w:t>
      </w:r>
      <w:r w:rsidR="00872427" w:rsidRPr="00872427">
        <w:rPr>
          <w:i/>
        </w:rPr>
        <w:t>proletária</w:t>
      </w:r>
      <w:r w:rsidR="00872427">
        <w:t xml:space="preserve">) </w:t>
      </w:r>
      <w:r w:rsidRPr="008939F2">
        <w:t xml:space="preserve">que apenas adquire razão de ser numa estratificação horizontal da sociedade a um substantivo </w:t>
      </w:r>
      <w:r w:rsidR="00872427">
        <w:t>(</w:t>
      </w:r>
      <w:r w:rsidR="00872427" w:rsidRPr="00872427">
        <w:rPr>
          <w:i/>
        </w:rPr>
        <w:t>nação</w:t>
      </w:r>
      <w:r w:rsidR="00872427">
        <w:t xml:space="preserve">) </w:t>
      </w:r>
      <w:r w:rsidRPr="008939F2">
        <w:t xml:space="preserve">que pressupõe o seu contrário, já que se refere a uma </w:t>
      </w:r>
      <w:r w:rsidRPr="008939F2">
        <w:lastRenderedPageBreak/>
        <w:t>integração vertical e supraclassista. No segundo caso a contradição é ainda, se possível, mais flagrante, pois o próprio termo historicamente ligado a um contexto de estratificação</w:t>
      </w:r>
      <w:r w:rsidR="00872427">
        <w:t xml:space="preserve"> (</w:t>
      </w:r>
      <w:r w:rsidR="00872427" w:rsidRPr="00872427">
        <w:rPr>
          <w:i/>
        </w:rPr>
        <w:t>état</w:t>
      </w:r>
      <w:r w:rsidR="00872427">
        <w:t xml:space="preserve">) </w:t>
      </w:r>
      <w:r w:rsidRPr="008939F2">
        <w:t xml:space="preserve">inspirou um termo </w:t>
      </w:r>
      <w:r w:rsidR="00872427">
        <w:t>(</w:t>
      </w:r>
      <w:r w:rsidR="00872427" w:rsidRPr="00872427">
        <w:rPr>
          <w:i/>
        </w:rPr>
        <w:t>monde</w:t>
      </w:r>
      <w:r w:rsidR="00872427">
        <w:t xml:space="preserve">) </w:t>
      </w:r>
      <w:r w:rsidRPr="008939F2">
        <w:t xml:space="preserve">que implica, pelo contrário, a integração e que, além disso, se mantém agregado a um adjectivo </w:t>
      </w:r>
      <w:r w:rsidR="00872427">
        <w:t>(</w:t>
      </w:r>
      <w:r w:rsidR="00872427" w:rsidRPr="00872427">
        <w:rPr>
          <w:i/>
        </w:rPr>
        <w:t>tiers</w:t>
      </w:r>
      <w:r w:rsidR="00872427">
        <w:t xml:space="preserve">) </w:t>
      </w:r>
      <w:r w:rsidRPr="008939F2">
        <w:t xml:space="preserve">cujo sentido originário reforça o carácter horizontal daquela divisão social. Em suma, no novo contexto de internacionalismo económico o «terceiro mundo» dos anticolonialistas representa a actualização da «nação proletária» do fascismo. </w:t>
      </w:r>
    </w:p>
    <w:p w:rsidR="00A1546C" w:rsidRDefault="00A1546C" w:rsidP="00A1546C">
      <w:r w:rsidRPr="008939F2">
        <w:t>Nem teriam sido necessárias tantas argúcias semântica</w:t>
      </w:r>
      <w:r w:rsidR="00CB12F8">
        <w:t>s</w:t>
      </w:r>
      <w:r w:rsidRPr="008939F2">
        <w:t xml:space="preserve"> para demonstrar algo que foi afirmado explicitamente. Muito interessado pelos problemas do desenvolvimento, o conhecido economista socialista sueco Gunnar Myrdal não hesitou em lançar o apelo «Nações proletárias do mundo, uni-vos!»</w:t>
      </w:r>
      <w:r w:rsidRPr="008939F2">
        <w:rPr>
          <w:rStyle w:val="Refdenotaderodap"/>
        </w:rPr>
        <w:footnoteReference w:id="299"/>
      </w:r>
      <w:r w:rsidRPr="008939F2">
        <w:t xml:space="preserve">. </w:t>
      </w:r>
      <w:r>
        <w:t xml:space="preserve">E </w:t>
      </w:r>
      <w:r w:rsidRPr="008939F2">
        <w:t>n</w:t>
      </w:r>
      <w:r>
        <w:t xml:space="preserve">inguém se </w:t>
      </w:r>
      <w:r w:rsidRPr="008939F2">
        <w:t>espanto</w:t>
      </w:r>
      <w:r>
        <w:t>u</w:t>
      </w:r>
      <w:r w:rsidRPr="008939F2">
        <w:t xml:space="preserve"> </w:t>
      </w:r>
      <w:r>
        <w:t>pel</w:t>
      </w:r>
      <w:r w:rsidRPr="008939F2">
        <w:t xml:space="preserve">o facto de uma personalidade eminente, que fora ministro no governo socialista do seu país nos anos imediatamente seguintes à guerra e passara depois a desempenhar funções de responsabilidade na ONU, pedir emprestada ao </w:t>
      </w:r>
      <w:r w:rsidRPr="008939F2">
        <w:rPr>
          <w:i/>
        </w:rPr>
        <w:t>Manifesto</w:t>
      </w:r>
      <w:r w:rsidRPr="008939F2">
        <w:t xml:space="preserve"> de Marx e Engels a fórmula classista para preenchê-la com um conceito básico do fascismo. A tal ponto isto parecia natural que o marxista brasileiro Mário Pedrosa</w:t>
      </w:r>
      <w:r w:rsidR="00CB12F8">
        <w:t>, depois de ter citado Myrdal,</w:t>
      </w:r>
      <w:r>
        <w:t xml:space="preserve"> </w:t>
      </w:r>
      <w:r w:rsidR="00CB12F8">
        <w:t xml:space="preserve">explicitou </w:t>
      </w:r>
      <w:r>
        <w:t xml:space="preserve">a </w:t>
      </w:r>
      <w:r w:rsidRPr="008939F2">
        <w:t>analogia</w:t>
      </w:r>
      <w:r>
        <w:t>,</w:t>
      </w:r>
      <w:r w:rsidRPr="008939F2">
        <w:t xml:space="preserve"> escreve</w:t>
      </w:r>
      <w:r>
        <w:t>ndo</w:t>
      </w:r>
      <w:r w:rsidRPr="008939F2">
        <w:t xml:space="preserve"> «Países subdesenvolvidos do mundo, uni-vos! Não tendes a perder senão vossas cadeias!»</w:t>
      </w:r>
      <w:r w:rsidRPr="008939F2">
        <w:rPr>
          <w:rStyle w:val="Refdenotaderodap"/>
        </w:rPr>
        <w:footnoteReference w:id="300"/>
      </w:r>
      <w:r w:rsidRPr="008939F2">
        <w:t xml:space="preserve">. </w:t>
      </w:r>
      <w:r w:rsidR="00CB12F8">
        <w:t xml:space="preserve">A expressão «países subdesenvolvidos» </w:t>
      </w:r>
      <w:r w:rsidR="00481C68">
        <w:t>foi ali</w:t>
      </w:r>
      <w:r w:rsidR="00CB12F8">
        <w:t xml:space="preserve"> </w:t>
      </w:r>
      <w:r w:rsidR="00080107">
        <w:t>usada</w:t>
      </w:r>
      <w:r w:rsidR="00CB12F8">
        <w:t xml:space="preserve"> como sinónima de «nações proletárias». </w:t>
      </w:r>
      <w:r w:rsidRPr="008939F2">
        <w:t>Embora considera</w:t>
      </w:r>
      <w:r>
        <w:t>sse</w:t>
      </w:r>
      <w:r w:rsidRPr="008939F2">
        <w:t xml:space="preserve"> que o combate ao subdesenvolvimento exigia a luta das massas pauperizadas contra os ricos dos países pobres, o que implicava que as nações subdesenvolvidas fossem atravessadas por antagonismos sociais, Mário Pedrosa afirmou igualmente que «os povos subdesenvolvidos começam a dar mostras, por grande parte de seus governos, de quererem se apresentar “organizados” no terreno internacional como um proletariado total constituído da </w:t>
      </w:r>
      <w:r>
        <w:t>soma de nações pobres»</w:t>
      </w:r>
      <w:r w:rsidRPr="008939F2">
        <w:t xml:space="preserve"> e apelou para que «os proletariados específicos dos grandes países industrializados» se pusessem «à altura das tarefas históricas» e fizessem «aliança com as nações </w:t>
      </w:r>
      <w:r w:rsidRPr="008939F2">
        <w:rPr>
          <w:i/>
        </w:rPr>
        <w:t>proletárias</w:t>
      </w:r>
      <w:r w:rsidRPr="008939F2">
        <w:t>»</w:t>
      </w:r>
      <w:r w:rsidRPr="008939F2">
        <w:rPr>
          <w:rStyle w:val="Refdenotaderodap"/>
        </w:rPr>
        <w:footnoteReference w:id="301"/>
      </w:r>
      <w:r w:rsidRPr="008939F2">
        <w:t xml:space="preserve">. Em vez de ter liquidado o fascismo, a segunda guerra mundial </w:t>
      </w:r>
      <w:r w:rsidR="000D465B">
        <w:t xml:space="preserve">fê-lo sobreviver </w:t>
      </w:r>
      <w:r>
        <w:t xml:space="preserve">até onde menos podíamos esperar, </w:t>
      </w:r>
      <w:r w:rsidRPr="008939F2">
        <w:t xml:space="preserve">e se nestes exemplos </w:t>
      </w:r>
      <w:r w:rsidR="000D465B">
        <w:t>foi</w:t>
      </w:r>
      <w:r w:rsidRPr="008939F2">
        <w:t xml:space="preserve"> </w:t>
      </w:r>
      <w:r>
        <w:t>involuntário</w:t>
      </w:r>
      <w:r w:rsidRPr="008939F2">
        <w:t xml:space="preserve"> o ressurgimento da temática de Corradini e de Kita, noutros casos a conotação de não</w:t>
      </w:r>
      <w:r w:rsidR="0039754C">
        <w:t xml:space="preserve"> </w:t>
      </w:r>
      <w:r w:rsidRPr="008939F2">
        <w:t>alinhamento entre os dois grandes blocos daquela época, o norte-americano e o soviético, surgi</w:t>
      </w:r>
      <w:r w:rsidR="000D465B">
        <w:t>u</w:t>
      </w:r>
      <w:r w:rsidRPr="008939F2">
        <w:t xml:space="preserve"> conscientemente como um eco das pretensões do fascismo a situar-se acima do capitalismo e do comunismo. </w:t>
      </w:r>
    </w:p>
    <w:p w:rsidR="00A1546C" w:rsidRPr="008939F2" w:rsidRDefault="00A1546C" w:rsidP="00A1546C">
      <w:r w:rsidRPr="008939F2">
        <w:t xml:space="preserve">Não foi só historicamente, pela dialéctica rigorosa dos factos </w:t>
      </w:r>
      <w:r w:rsidR="00FE55C1">
        <w:t>—</w:t>
      </w:r>
      <w:r w:rsidRPr="008939F2">
        <w:t xml:space="preserve"> que tanta gente vulgar, ou mesmo erudita, insiste em considerar ocasional </w:t>
      </w:r>
      <w:r w:rsidR="00FE55C1">
        <w:t>—</w:t>
      </w:r>
      <w:r w:rsidRPr="008939F2">
        <w:t xml:space="preserve"> que o fascismo se revelou necessário à </w:t>
      </w:r>
      <w:r w:rsidRPr="008939F2">
        <w:lastRenderedPageBreak/>
        <w:t xml:space="preserve">autodeterminação </w:t>
      </w:r>
      <w:r>
        <w:t xml:space="preserve">dos </w:t>
      </w:r>
      <w:r w:rsidR="00604D7A" w:rsidRPr="008939F2">
        <w:t>povos colonizados</w:t>
      </w:r>
      <w:r w:rsidRPr="008939F2">
        <w:t>. Ele foi exigido também pela lógica interna do discurso da independência nacional</w:t>
      </w:r>
      <w:r w:rsidR="00604D7A">
        <w:t xml:space="preserve">, e </w:t>
      </w:r>
      <w:r w:rsidR="00604D7A" w:rsidRPr="008939F2">
        <w:t xml:space="preserve">o </w:t>
      </w:r>
      <w:r w:rsidRPr="008939F2">
        <w:t>mais poderoso contributo fornec</w:t>
      </w:r>
      <w:r w:rsidR="00604D7A">
        <w:t xml:space="preserve">ido a estas </w:t>
      </w:r>
      <w:r w:rsidRPr="008939F2">
        <w:t xml:space="preserve">lutas </w:t>
      </w:r>
      <w:r w:rsidR="00604D7A">
        <w:t>pel</w:t>
      </w:r>
      <w:r w:rsidR="00604D7A" w:rsidRPr="008939F2">
        <w:t xml:space="preserve">o fascismo italiano </w:t>
      </w:r>
      <w:r w:rsidRPr="008939F2">
        <w:t xml:space="preserve">situou-se no plano puramente ideológico. Corradini criara para a Itália o conceito de «nação proletária», que os sindicalistas revolucionários adoptaram e serviu para levar o país a intervir na Grande Guerra e para inspirar os Fasci di Combattimento. Mas se podia classificar-se a Itália como «proletária» por ter chegado atrasada ao bodo dos impérios coloniais e ter sido marginalizada na partilha dos despojos em Versailles, consoante um critério muito mais rigoroso deveria aplicar-se aos povos colonizados o termo de «nações proletárias». Alguns inseriam-se em Estados detentores de longas tradições, por vezes milenárias. E os outros, que de início se haviam caracterizado por possuírem formações políticas menos rígidas, foram transformados em Estados </w:t>
      </w:r>
      <w:r w:rsidR="00FE55C1">
        <w:t>—</w:t>
      </w:r>
      <w:r w:rsidRPr="008939F2">
        <w:t xml:space="preserve"> pelo menos em organismos políticos incipientes </w:t>
      </w:r>
      <w:r w:rsidR="00FE55C1">
        <w:t>—</w:t>
      </w:r>
      <w:r w:rsidRPr="008939F2">
        <w:t xml:space="preserve"> pelas administrações coloniais. Em qualquer caso as elites autóctones pretendiam antes de mais, e acima de tudo, converter-se plenamente em classes dominantes, e para isso nenhum outro conceito fornecia um quadro tão apropriado como a «nação proletária». Aqueles que falam em termos de nacionalismo é na realidade o poder do Estado que estão a invocar. Ao difundir a expressão </w:t>
      </w:r>
      <w:r>
        <w:t xml:space="preserve">«terceiro mundo», </w:t>
      </w:r>
      <w:r w:rsidR="00FE55C1">
        <w:t>est</w:t>
      </w:r>
      <w:r w:rsidRPr="008939F2">
        <w:t>a esfera terminológica revel</w:t>
      </w:r>
      <w:r>
        <w:t>ou</w:t>
      </w:r>
      <w:r w:rsidRPr="008939F2">
        <w:t xml:space="preserve"> uma teia política e social subjacente.</w:t>
      </w:r>
      <w:r>
        <w:t xml:space="preserve"> </w:t>
      </w:r>
    </w:p>
    <w:p w:rsidR="00A1546C" w:rsidRDefault="00A1546C" w:rsidP="00A1546C">
      <w:r>
        <w:t>As «nações proletárias» não estavam sozinhas e opunham-se-lhes as «</w:t>
      </w:r>
      <w:r w:rsidRPr="00B87AF2">
        <w:t>nações plutocráticas</w:t>
      </w:r>
      <w:r>
        <w:t xml:space="preserve">». Este par de conceitos foi actualizado no âmbito do terceiro-mundismo mediante o recurso a outro par de conceitos, </w:t>
      </w:r>
      <w:r w:rsidRPr="008F4156">
        <w:t>Centro</w:t>
      </w:r>
      <w:r>
        <w:t xml:space="preserve"> e </w:t>
      </w:r>
      <w:r w:rsidRPr="008F4156">
        <w:t xml:space="preserve">Periferia, </w:t>
      </w:r>
      <w:r>
        <w:t xml:space="preserve">e ainda aqui </w:t>
      </w:r>
      <w:r w:rsidR="003867DC">
        <w:t xml:space="preserve">o fascismo </w:t>
      </w:r>
      <w:r>
        <w:t xml:space="preserve">anterior à guerra deixou a sua herança, porque estas noções foram criadas pelo economista e historiador da economia Werner Sombart, que havia abandonado a sua simpatia inicial pelo marxismo e se converteria depois num apologista do regime </w:t>
      </w:r>
      <w:r w:rsidR="0092749F">
        <w:t>nacional-socialista</w:t>
      </w:r>
      <w:r>
        <w:rPr>
          <w:rStyle w:val="Refdenotaderodap"/>
        </w:rPr>
        <w:footnoteReference w:id="302"/>
      </w:r>
      <w:r>
        <w:t>. Mas Sombart usara aqueles termos num sentido apenas descritivo, e foi o economista argentino Raúl Prebisch, num curso ministrado em 1944 e num artigo publicado dois anos depois, quem pela primeira vez os empregou como elementos essenciais para a formulação de um modelo de desequilíbrio estrutural entre as nações</w:t>
      </w:r>
      <w:r>
        <w:rPr>
          <w:rStyle w:val="Refdenotaderodap"/>
        </w:rPr>
        <w:footnoteReference w:id="303"/>
      </w:r>
      <w:r>
        <w:t xml:space="preserve">. </w:t>
      </w:r>
      <w:r w:rsidRPr="007925FC">
        <w:t xml:space="preserve">Segundo Prebisch, o comércio internacional estava viciado pelas diferenças de produtividade e </w:t>
      </w:r>
      <w:r>
        <w:t>pel</w:t>
      </w:r>
      <w:r w:rsidRPr="007925FC">
        <w:t>os diferentes padrões de procura vigentes no centro industrial e na periferia agrícola</w:t>
      </w:r>
      <w:r>
        <w:t>,</w:t>
      </w:r>
      <w:r w:rsidRPr="007925FC">
        <w:t xml:space="preserve"> </w:t>
      </w:r>
      <w:r>
        <w:t xml:space="preserve">combinados com diferentes </w:t>
      </w:r>
      <w:r w:rsidRPr="00782B69">
        <w:t xml:space="preserve">sistemas </w:t>
      </w:r>
      <w:r>
        <w:t xml:space="preserve">de organização do mercado de capitais e do mercado de trabalho em ambas as regiões, e estes obstáculos estruturais só podiam ser remediados pela industrialização. Prebisch </w:t>
      </w:r>
      <w:r w:rsidR="0042450B">
        <w:t xml:space="preserve">inspirou e </w:t>
      </w:r>
      <w:r>
        <w:t xml:space="preserve">dirigiu a CEPAL, o organismo das Nações Unidas fundado em 1948 e que, apesar de consagrado à América Latina, constituiu o laboratório ideológico onde se formularam estratégias de industrialização para todo o «terceiro </w:t>
      </w:r>
      <w:r>
        <w:lastRenderedPageBreak/>
        <w:t xml:space="preserve">mundo». Ora, o </w:t>
      </w:r>
      <w:r w:rsidRPr="00782B69">
        <w:t xml:space="preserve">desequilíbrio </w:t>
      </w:r>
      <w:r>
        <w:t xml:space="preserve">estrutural entre as nações </w:t>
      </w:r>
      <w:r w:rsidRPr="00782B69">
        <w:t xml:space="preserve">era entendido </w:t>
      </w:r>
      <w:r>
        <w:t xml:space="preserve">pelos economistas da CEPAL </w:t>
      </w:r>
      <w:r w:rsidRPr="00782B69">
        <w:t>como uma troca desigual</w:t>
      </w:r>
      <w:r>
        <w:t>,</w:t>
      </w:r>
      <w:r w:rsidRPr="00782B69">
        <w:t xml:space="preserve"> </w:t>
      </w:r>
      <w:r>
        <w:t xml:space="preserve">e </w:t>
      </w:r>
      <w:r w:rsidRPr="00782B69">
        <w:t>ao conceber</w:t>
      </w:r>
      <w:r>
        <w:t>e</w:t>
      </w:r>
      <w:r w:rsidRPr="00782B69">
        <w:t xml:space="preserve">m </w:t>
      </w:r>
      <w:r>
        <w:t>a desigualdade entre o centro e a periferia como uma modalidade de exploração eles deram novo alento às teses defendidas na</w:t>
      </w:r>
      <w:r w:rsidR="007B6804">
        <w:t xml:space="preserve">s duas </w:t>
      </w:r>
      <w:r>
        <w:t>década</w:t>
      </w:r>
      <w:r w:rsidR="007B6804">
        <w:t>s</w:t>
      </w:r>
      <w:r>
        <w:t xml:space="preserve"> anterior</w:t>
      </w:r>
      <w:r w:rsidR="007B6804">
        <w:t>es</w:t>
      </w:r>
      <w:r>
        <w:t xml:space="preserve"> pelo economista e político fascista romeno Mihail Manoilescu. </w:t>
      </w:r>
    </w:p>
    <w:p w:rsidR="00A1546C" w:rsidRDefault="00A1546C" w:rsidP="00A1546C">
      <w:r w:rsidRPr="007465C9">
        <w:t xml:space="preserve">O comércio internacional </w:t>
      </w:r>
      <w:r>
        <w:t xml:space="preserve">é </w:t>
      </w:r>
      <w:r w:rsidRPr="007465C9">
        <w:t xml:space="preserve">uma verdadeira burla, </w:t>
      </w:r>
      <w:r>
        <w:t>denunciara</w:t>
      </w:r>
      <w:r w:rsidRPr="007465C9">
        <w:t xml:space="preserve"> </w:t>
      </w:r>
      <w:r>
        <w:t xml:space="preserve">Manoilescu no seu livro de 1929, </w:t>
      </w:r>
      <w:r w:rsidRPr="00F46BE0">
        <w:rPr>
          <w:i/>
        </w:rPr>
        <w:t>Teoria do Proteccionismo e Trocas Internacionais,</w:t>
      </w:r>
      <w:r>
        <w:t xml:space="preserve"> porque não é regido pela noção ricardiana de vantagem comparativa, adoptada pelos economistas neoclássicos</w:t>
      </w:r>
      <w:r>
        <w:rPr>
          <w:rStyle w:val="Refdenotaderodap"/>
        </w:rPr>
        <w:footnoteReference w:id="304"/>
      </w:r>
      <w:r>
        <w:t>. A tese da vantagem comparativa serve para justificar a manutenção dos países agrícolas numa situação de dependência e dos países industriais numa situação de supremacia. São as produtividades nos vários ramos de produção em cada um dos países que, segundo Manoilescu, devem ser comparadas, ou seja, o elemento fundamental é a relação entre, por um lado, uma unidade de trabalho gasta na produção de um bem destinado à exportação e, por outro lado, a produtividade do trabalho no país importador. Trata-se de avaliar o poder aquisitivo das unidades de trabalho</w:t>
      </w:r>
      <w:r>
        <w:rPr>
          <w:rStyle w:val="Refdenotaderodap"/>
        </w:rPr>
        <w:footnoteReference w:id="305"/>
      </w:r>
      <w:r>
        <w:t xml:space="preserve">. </w:t>
      </w:r>
      <w:r w:rsidRPr="00DE2089">
        <w:t xml:space="preserve">Cinco anos depois, em </w:t>
      </w:r>
      <w:r w:rsidRPr="00DE2089">
        <w:rPr>
          <w:i/>
        </w:rPr>
        <w:t>O Século do Corporativismo,</w:t>
      </w:r>
      <w:r w:rsidRPr="00DE2089">
        <w:t xml:space="preserve"> </w:t>
      </w:r>
      <w:r>
        <w:t xml:space="preserve">Manoilescu escreveu que «mediante o sistema industrial cada cidadão do Ocidente teve praticamente à sua disposição </w:t>
      </w:r>
      <w:r w:rsidRPr="00D400A2">
        <w:rPr>
          <w:i/>
        </w:rPr>
        <w:t>dez escravos</w:t>
      </w:r>
      <w:r>
        <w:t xml:space="preserve"> das outras regiões do mundo» </w:t>
      </w:r>
      <w:r w:rsidR="00A62D27">
        <w:t>—</w:t>
      </w:r>
      <w:r>
        <w:t xml:space="preserve"> </w:t>
      </w:r>
      <w:r w:rsidRPr="00DE2089">
        <w:t>os «dez» surg</w:t>
      </w:r>
      <w:r>
        <w:t>ira</w:t>
      </w:r>
      <w:r w:rsidRPr="00DE2089">
        <w:t xml:space="preserve">m aqui porque, </w:t>
      </w:r>
      <w:r>
        <w:t xml:space="preserve">para </w:t>
      </w:r>
      <w:r w:rsidRPr="00DE2089">
        <w:t>simpli</w:t>
      </w:r>
      <w:r>
        <w:t>ficar</w:t>
      </w:r>
      <w:r w:rsidRPr="00DE2089">
        <w:t xml:space="preserve">, o autor </w:t>
      </w:r>
      <w:r>
        <w:t xml:space="preserve">admitiu </w:t>
      </w:r>
      <w:r w:rsidRPr="00DE2089">
        <w:t>que o trabalho de um operário do Ocidente equival</w:t>
      </w:r>
      <w:r>
        <w:t>ia</w:t>
      </w:r>
      <w:r w:rsidRPr="00DE2089">
        <w:t xml:space="preserve"> ao de dez trabalhadores dos países não industrializados </w:t>
      </w:r>
      <w:r w:rsidR="00A62D27">
        <w:t>—</w:t>
      </w:r>
      <w:r>
        <w:t xml:space="preserve"> «que em troca do trabalho dele lhe ofereceram o produto do trabalho de todos eles»</w:t>
      </w:r>
      <w:r>
        <w:rPr>
          <w:rStyle w:val="Refdenotaderodap"/>
        </w:rPr>
        <w:footnoteReference w:id="306"/>
      </w:r>
      <w:r>
        <w:t xml:space="preserve">. Em suma, o objectivo é </w:t>
      </w:r>
      <w:r w:rsidRPr="005D4994">
        <w:rPr>
          <w:i/>
        </w:rPr>
        <w:t>«adquirir ao estrangeiro o máximo de trabalho possível, com o mínimo de trabalho possível da sua própria nação»</w:t>
      </w:r>
      <w:r>
        <w:rPr>
          <w:rStyle w:val="Refdenotaderodap"/>
        </w:rPr>
        <w:footnoteReference w:id="307"/>
      </w:r>
      <w:r>
        <w:t xml:space="preserve">. </w:t>
      </w:r>
    </w:p>
    <w:p w:rsidR="00A1546C" w:rsidRPr="00482392" w:rsidRDefault="00A62D27" w:rsidP="00A1546C">
      <w:r>
        <w:t xml:space="preserve">O </w:t>
      </w:r>
      <w:r w:rsidR="00A1546C">
        <w:t xml:space="preserve">lugar ocupado no quadro ideológico fascista por esta teoria do comércio internacional enquanto </w:t>
      </w:r>
      <w:r w:rsidR="00A1546C" w:rsidRPr="00310FD4">
        <w:t>troca desigual</w:t>
      </w:r>
      <w:r w:rsidR="00A1546C">
        <w:t xml:space="preserve"> é</w:t>
      </w:r>
      <w:r>
        <w:t>-lhe</w:t>
      </w:r>
      <w:r w:rsidR="00A1546C">
        <w:t xml:space="preserve"> </w:t>
      </w:r>
      <w:r w:rsidR="00990E7F">
        <w:t>marcado</w:t>
      </w:r>
      <w:r>
        <w:t xml:space="preserve"> pel</w:t>
      </w:r>
      <w:r w:rsidR="00A1546C">
        <w:t>a sua íntima afinidade com o conceito de «nação proletária». «</w:t>
      </w:r>
      <w:r w:rsidR="00A1546C" w:rsidRPr="003F3565">
        <w:rPr>
          <w:i/>
        </w:rPr>
        <w:t>As trocas internacionais, a um contra dez, fornecem hoje “a chave” da compreensão das relações económicas entre os povos</w:t>
      </w:r>
      <w:r w:rsidR="00A1546C">
        <w:t xml:space="preserve">», escreveu Manoilescu </w:t>
      </w:r>
      <w:r w:rsidR="00A1546C" w:rsidRPr="00310FD4">
        <w:t xml:space="preserve">depois de </w:t>
      </w:r>
      <w:r w:rsidR="00A1546C">
        <w:t xml:space="preserve">ter </w:t>
      </w:r>
      <w:r w:rsidR="00A1546C" w:rsidRPr="00310FD4">
        <w:t>referi</w:t>
      </w:r>
      <w:r w:rsidR="00A1546C">
        <w:t>do</w:t>
      </w:r>
      <w:r w:rsidR="00A1546C" w:rsidRPr="00310FD4">
        <w:t xml:space="preserve"> a desigualdade estrutural entre os países exportadores de produtos industriais e os países exportadores de produtos agrícolas e matérias-primas</w:t>
      </w:r>
      <w:r w:rsidR="00A1546C">
        <w:t xml:space="preserve">. «Tal como Marx, com a sua teoria, nos fez compreender os fenómenos sociais do mundo capitalista e sobretudo a exploração </w:t>
      </w:r>
      <w:r w:rsidR="00A1546C" w:rsidRPr="00365C40">
        <w:rPr>
          <w:i/>
        </w:rPr>
        <w:t>de classe,</w:t>
      </w:r>
      <w:r w:rsidR="00A1546C">
        <w:t xml:space="preserve"> também esta teoria das trocas internacionais nos faz compreender a desigualdade </w:t>
      </w:r>
      <w:r w:rsidR="00A1546C" w:rsidRPr="00365C40">
        <w:rPr>
          <w:i/>
        </w:rPr>
        <w:t>dos povos</w:t>
      </w:r>
      <w:r w:rsidR="00A1546C">
        <w:t xml:space="preserve"> e as relações de explorador e explorado que os unem»</w:t>
      </w:r>
      <w:r w:rsidR="00A1546C">
        <w:rPr>
          <w:rStyle w:val="Refdenotaderodap"/>
        </w:rPr>
        <w:footnoteReference w:id="308"/>
      </w:r>
      <w:r w:rsidR="00A1546C">
        <w:t xml:space="preserve">. A disparidade de fortunas entre os países, explicada por Manoilescu, de forma pioneira, como um resultado das diferenças de </w:t>
      </w:r>
      <w:r w:rsidR="00A1546C">
        <w:lastRenderedPageBreak/>
        <w:t xml:space="preserve">produtividade, foi entendida não como uma desigualdade mas como uma exploração, ficando a relação entre nações assimilada ao modelo da relação entre classes. Por isso, num artigo publicado em 1940, </w:t>
      </w:r>
      <w:r w:rsidR="00A1546C" w:rsidRPr="007E7E5B">
        <w:rPr>
          <w:i/>
        </w:rPr>
        <w:t xml:space="preserve">O Triângulo </w:t>
      </w:r>
      <w:r w:rsidR="0014776F" w:rsidRPr="007E7E5B">
        <w:rPr>
          <w:i/>
        </w:rPr>
        <w:t xml:space="preserve">Económico </w:t>
      </w:r>
      <w:r w:rsidR="00A1546C" w:rsidRPr="007E7E5B">
        <w:rPr>
          <w:i/>
        </w:rPr>
        <w:t xml:space="preserve">e </w:t>
      </w:r>
      <w:r w:rsidR="0014776F" w:rsidRPr="007E7E5B">
        <w:rPr>
          <w:i/>
        </w:rPr>
        <w:t xml:space="preserve">Social </w:t>
      </w:r>
      <w:r w:rsidR="00A1546C" w:rsidRPr="007E7E5B">
        <w:rPr>
          <w:i/>
        </w:rPr>
        <w:t xml:space="preserve">dos </w:t>
      </w:r>
      <w:r w:rsidR="0014776F" w:rsidRPr="007E7E5B">
        <w:rPr>
          <w:i/>
        </w:rPr>
        <w:t>Países Agrícolas: a Cidade</w:t>
      </w:r>
      <w:r w:rsidR="00A1546C" w:rsidRPr="007E7E5B">
        <w:rPr>
          <w:i/>
        </w:rPr>
        <w:t xml:space="preserve">, a </w:t>
      </w:r>
      <w:r w:rsidR="0014776F" w:rsidRPr="007E7E5B">
        <w:rPr>
          <w:i/>
        </w:rPr>
        <w:t>Aldeia</w:t>
      </w:r>
      <w:r w:rsidR="00A1546C" w:rsidRPr="007E7E5B">
        <w:rPr>
          <w:i/>
        </w:rPr>
        <w:t xml:space="preserve">, o </w:t>
      </w:r>
      <w:r w:rsidR="0014776F" w:rsidRPr="007E7E5B">
        <w:rPr>
          <w:i/>
        </w:rPr>
        <w:t>Estrangeiro</w:t>
      </w:r>
      <w:r w:rsidR="00A1546C" w:rsidRPr="007E7E5B">
        <w:rPr>
          <w:i/>
        </w:rPr>
        <w:t>,</w:t>
      </w:r>
      <w:r w:rsidR="00A1546C" w:rsidRPr="005E43F3">
        <w:t xml:space="preserve"> </w:t>
      </w:r>
      <w:r w:rsidR="00A1546C">
        <w:t>Manoilescu afirmou que o «socialismo das classes» estava ultrapassado e exigiu a sua substituição pelo «socialismo das nações»</w:t>
      </w:r>
      <w:r w:rsidR="00A1546C">
        <w:rPr>
          <w:rStyle w:val="Refdenotaderodap"/>
        </w:rPr>
        <w:footnoteReference w:id="309"/>
      </w:r>
      <w:r w:rsidR="00A1546C">
        <w:t>. Como Manoilescu</w:t>
      </w:r>
      <w:r w:rsidR="00521856">
        <w:t xml:space="preserve"> era</w:t>
      </w:r>
      <w:r w:rsidR="00A1546C">
        <w:t xml:space="preserve"> </w:t>
      </w:r>
      <w:r w:rsidR="00521856">
        <w:t xml:space="preserve">em 1940 ministro dos Negócios Estrangeiros da Roménia e, naquele contexto, </w:t>
      </w:r>
      <w:r w:rsidR="00A1546C">
        <w:t xml:space="preserve">um apoiante do </w:t>
      </w:r>
      <w:r w:rsidR="00A1546C" w:rsidRPr="00482392">
        <w:t>Terceiro Reich</w:t>
      </w:r>
      <w:r w:rsidR="00A1546C">
        <w:rPr>
          <w:rStyle w:val="Refdenotaderodap"/>
        </w:rPr>
        <w:footnoteReference w:id="310"/>
      </w:r>
      <w:r w:rsidR="00A1546C" w:rsidRPr="00482392">
        <w:t>, isto significa que passara do tema da «naç</w:t>
      </w:r>
      <w:r w:rsidR="00A1546C">
        <w:t xml:space="preserve">ão proletária» para o de um socialismo nacional que não podia, evidentemente, deixar de ser um nacional-socialismo. </w:t>
      </w:r>
    </w:p>
    <w:p w:rsidR="00A1546C" w:rsidRPr="00756F8C" w:rsidRDefault="00A1546C" w:rsidP="00A1546C">
      <w:r>
        <w:t xml:space="preserve">A análise do sistema de dependência entendido como um sistema de exploração foi levada mais longe </w:t>
      </w:r>
      <w:r w:rsidR="00990E7F">
        <w:t>naquele</w:t>
      </w:r>
      <w:r>
        <w:t xml:space="preserve"> artigo de 1940, onde Manoilescu concebeu a relação de dependência não apenas no comércio internacional mas igualmente nas trocas no interior de um país subdesenvolvido. Na sua opinião as áreas urbanas industriais exploravam as áreas agrícolas, antes de mais porque o comércio externo lhes era favorável, já que a maior parte das exportações provinha das regiões rurais, enquanto a maior parte das importações se dirigia para as cidades. </w:t>
      </w:r>
      <w:r w:rsidRPr="00811992">
        <w:t xml:space="preserve">«O triângulo económico constituído pela aldeia, pela cidade e pelo mercado de exportação», escreveu Manoilescu neste artigo, «desempenha o papel especial </w:t>
      </w:r>
      <w:r>
        <w:t xml:space="preserve">de transformar </w:t>
      </w:r>
      <w:r w:rsidRPr="00811992">
        <w:t xml:space="preserve">o excedente de </w:t>
      </w:r>
      <w:r>
        <w:t xml:space="preserve">artigos </w:t>
      </w:r>
      <w:r w:rsidRPr="00811992">
        <w:t xml:space="preserve">produzido pela aldeia </w:t>
      </w:r>
      <w:r>
        <w:t xml:space="preserve">em bens de consumo, para benefício da cidade». Em segundo lugar, a situação económica difícil em que </w:t>
      </w:r>
      <w:r w:rsidRPr="009F5D53">
        <w:t xml:space="preserve">se encontrava </w:t>
      </w:r>
      <w:r>
        <w:t xml:space="preserve">a economia rural conduzia-a ao </w:t>
      </w:r>
      <w:r w:rsidR="00CE0D06">
        <w:t>e</w:t>
      </w:r>
      <w:r>
        <w:t>ndividamento, e como as fontes de crédito eram urbanas, ocorria um fluxo permanente de pagamentos do campo em direcção à cidade superior ao fluxo em sentido inverso. Uma terceira modalidade, específica da Roménia, consistia no facto de a relação entre os impostos pagos e os benefícios recebidos do Estado ser para os habitantes das cidades inferior ao que era para os habitantes do campo</w:t>
      </w:r>
      <w:r>
        <w:rPr>
          <w:rStyle w:val="Refdenotaderodap"/>
        </w:rPr>
        <w:footnoteReference w:id="311"/>
      </w:r>
      <w:r>
        <w:t xml:space="preserve">. </w:t>
      </w:r>
    </w:p>
    <w:p w:rsidR="00A1546C" w:rsidRDefault="00A1546C" w:rsidP="00A1546C">
      <w:r>
        <w:t xml:space="preserve">Tanto a situação de dependência em que os países de economia predominantemente agrícola se encontravam relativamente aos países industrializados como a situação de dependência em que, no interior do países subdesenvolvidos, os campos se encontravam perante as cidades indicavam uma única solução </w:t>
      </w:r>
      <w:r w:rsidR="00071711">
        <w:t>—</w:t>
      </w:r>
      <w:r>
        <w:t xml:space="preserve"> a promoção das indústrias</w:t>
      </w:r>
      <w:r>
        <w:rPr>
          <w:rStyle w:val="Refdenotaderodap"/>
        </w:rPr>
        <w:footnoteReference w:id="312"/>
      </w:r>
      <w:r>
        <w:t xml:space="preserve">. </w:t>
      </w:r>
      <w:r w:rsidRPr="008E7EBA">
        <w:t xml:space="preserve">Nesta perspectiva, sendo a produtividade do trabalho muito maior na indústria do que na agricultura, a passagem da actividade rural para a fabril nas nações subdesenvolvidas trazia-lhes muito mais </w:t>
      </w:r>
      <w:r>
        <w:t xml:space="preserve">benefícios </w:t>
      </w:r>
      <w:r w:rsidRPr="008E7EBA">
        <w:t>do que nas nações industrializadas, onde o diferencial era menor</w:t>
      </w:r>
      <w:r>
        <w:rPr>
          <w:rStyle w:val="Refdenotaderodap"/>
        </w:rPr>
        <w:footnoteReference w:id="313"/>
      </w:r>
      <w:r w:rsidRPr="008E7EBA">
        <w:t xml:space="preserve">. Por isso as </w:t>
      </w:r>
      <w:r w:rsidRPr="008E7EBA">
        <w:lastRenderedPageBreak/>
        <w:t>vantagens do proteccionismo, para Manoilescu, eram superiores às indicadas por Friedrich List, para quem se trata</w:t>
      </w:r>
      <w:r>
        <w:t>r</w:t>
      </w:r>
      <w:r w:rsidRPr="008E7EBA">
        <w:t>a apenas de criar condições favoráveis às indústrias incipientes até que estas estivessem capazes de sustentar a concorrência no mercado mundial e começassem</w:t>
      </w:r>
      <w:r>
        <w:t xml:space="preserve"> </w:t>
      </w:r>
      <w:r w:rsidRPr="008E7EBA">
        <w:t xml:space="preserve">a ser economicamente </w:t>
      </w:r>
      <w:r>
        <w:t>úteis</w:t>
      </w:r>
      <w:r w:rsidRPr="008E7EBA">
        <w:t xml:space="preserve">. </w:t>
      </w:r>
      <w:r>
        <w:t>Segundo</w:t>
      </w:r>
      <w:r w:rsidRPr="00510694">
        <w:t xml:space="preserve"> Manoilescu, bastava que a produtividade </w:t>
      </w:r>
      <w:r>
        <w:t>d</w:t>
      </w:r>
      <w:r w:rsidRPr="00510694">
        <w:t xml:space="preserve">o trabalho num estabelecimento industrial, mesmo durante a sua fase incipiente, fosse superior à produtividade média no país, para que esse estabelecimento fosse desde logo benéfico. </w:t>
      </w:r>
      <w:r w:rsidRPr="006461B9">
        <w:t xml:space="preserve">O critério dos diferenciais de produtividade, que servira a Manoilescu para explicar a desigualdade do sistema mundial de trocas, serviu-lhe </w:t>
      </w:r>
      <w:r w:rsidR="00071711">
        <w:t xml:space="preserve">ainda </w:t>
      </w:r>
      <w:r w:rsidRPr="006461B9">
        <w:t>para justificar o proteccionismo, e enquanto o diferencial persistisse, o proteccionismo mantinha a razão de ser</w:t>
      </w:r>
      <w:r w:rsidRPr="008E7EBA">
        <w:rPr>
          <w:vertAlign w:val="superscript"/>
          <w:lang w:val="en-GB"/>
        </w:rPr>
        <w:footnoteReference w:id="314"/>
      </w:r>
      <w:r w:rsidRPr="006461B9">
        <w:t xml:space="preserve">. </w:t>
      </w:r>
      <w:r w:rsidRPr="006C6550">
        <w:t>Mas como podia gerar</w:t>
      </w:r>
      <w:r w:rsidR="00071711">
        <w:t>-se</w:t>
      </w:r>
      <w:r w:rsidRPr="006C6550">
        <w:t xml:space="preserve"> o processo de industrialização dos países subdesenvolvidos? </w:t>
      </w:r>
    </w:p>
    <w:p w:rsidR="00A1546C" w:rsidRDefault="00A1546C" w:rsidP="00A1546C">
      <w:r>
        <w:t xml:space="preserve">Na reedição de 1940 de </w:t>
      </w:r>
      <w:r w:rsidRPr="00DE3C0D">
        <w:rPr>
          <w:i/>
        </w:rPr>
        <w:t>Teoria do Proteccionismo e Trocas Internacionais</w:t>
      </w:r>
      <w:r>
        <w:rPr>
          <w:i/>
        </w:rPr>
        <w:t>,</w:t>
      </w:r>
      <w:r w:rsidRPr="00DE3C0D">
        <w:t xml:space="preserve"> </w:t>
      </w:r>
      <w:r w:rsidRPr="00D35024">
        <w:t xml:space="preserve">Manoilescu calculou que na Roménia os salários médios eram 4,6 vezes maiores na indústria do que na agricultura, o capital por trabalhador era 4,1 vez maior, a produtividade do trabalho era 4,6 vezes maior, mas a taxa média de lucro era só 1,8 vezes maior na indústria do que na agricultura. </w:t>
      </w:r>
      <w:r w:rsidRPr="009E6C61">
        <w:t>Daqui concluiu que não existia uma correlação entre lucro e produtividade e que o interesse particular determinado pel</w:t>
      </w:r>
      <w:r>
        <w:t>o</w:t>
      </w:r>
      <w:r w:rsidRPr="009E6C61">
        <w:t xml:space="preserve"> lucro não coincidia com o interesse nacional definido pel</w:t>
      </w:r>
      <w:r>
        <w:t>a produtividade</w:t>
      </w:r>
      <w:r>
        <w:rPr>
          <w:rStyle w:val="Refdenotaderodap"/>
        </w:rPr>
        <w:footnoteReference w:id="315"/>
      </w:r>
      <w:r>
        <w:t xml:space="preserve">. </w:t>
      </w:r>
      <w:r w:rsidRPr="0053768F">
        <w:t xml:space="preserve">Manoilescu </w:t>
      </w:r>
      <w:r>
        <w:t>pôs</w:t>
      </w:r>
      <w:r w:rsidRPr="0053768F">
        <w:t xml:space="preserve"> em causa a tese dos economistas liberais, que </w:t>
      </w:r>
      <w:r>
        <w:t>admitiam que a rentabilidade</w:t>
      </w:r>
      <w:r w:rsidRPr="0053768F">
        <w:t xml:space="preserve"> de u</w:t>
      </w:r>
      <w:r>
        <w:t>m</w:t>
      </w:r>
      <w:r w:rsidRPr="0053768F">
        <w:t xml:space="preserve"> empreendimento </w:t>
      </w:r>
      <w:r>
        <w:t xml:space="preserve">coincidia com </w:t>
      </w:r>
      <w:r w:rsidRPr="0053768F">
        <w:t>a sua produtividade</w:t>
      </w:r>
      <w:r w:rsidR="00EB52B8">
        <w:t>,</w:t>
      </w:r>
      <w:r w:rsidRPr="0053768F">
        <w:t xml:space="preserve"> </w:t>
      </w:r>
      <w:r>
        <w:t>e portanto considerou necessário que a economia fosse regida por uma instância superior aos empresários individuais</w:t>
      </w:r>
      <w:r>
        <w:rPr>
          <w:rStyle w:val="Refdenotaderodap"/>
        </w:rPr>
        <w:footnoteReference w:id="316"/>
      </w:r>
      <w:r>
        <w:t xml:space="preserve">. </w:t>
      </w:r>
      <w:r w:rsidRPr="00836CD3">
        <w:rPr>
          <w:i/>
        </w:rPr>
        <w:t>O Século do Corporativismo</w:t>
      </w:r>
      <w:r w:rsidRPr="00836CD3">
        <w:t xml:space="preserve"> </w:t>
      </w:r>
      <w:r>
        <w:t xml:space="preserve">foi dedicado à exposição de um sistema político de organização económica que, embora mantendo o lucro e a iniciativa particular, os superava mediante a ordenação corporativa do Estado. «O espaço corporativo é um espaço onde os impulsos egoístas dos indivíduos não deixam de existir e continuam a representar forças actuantes, </w:t>
      </w:r>
      <w:r w:rsidRPr="00A26A9E">
        <w:rPr>
          <w:i/>
        </w:rPr>
        <w:t>mas onde, além desses impulsos, existe um sistema de forças que dirige as acções individuais para um objectivo comum constituído pelos fins do Estado</w:t>
      </w:r>
      <w:r>
        <w:t>»</w:t>
      </w:r>
      <w:r>
        <w:rPr>
          <w:rStyle w:val="Refdenotaderodap"/>
        </w:rPr>
        <w:footnoteReference w:id="317"/>
      </w:r>
      <w:r>
        <w:t>. Esta necessidade tornara-se especialmente urgente com a crise económica, que reduzira as trocas internacionais e as pressionara a assumir a forma de compensação bilateral. «</w:t>
      </w:r>
      <w:r w:rsidRPr="003046E7">
        <w:rPr>
          <w:i/>
        </w:rPr>
        <w:t>A exportação</w:t>
      </w:r>
      <w:r>
        <w:t xml:space="preserve"> [...] tornou-se cada vez mais difícil. [...] O princípio </w:t>
      </w:r>
      <w:r w:rsidRPr="003046E7">
        <w:rPr>
          <w:i/>
        </w:rPr>
        <w:t>compra para que eu compre outro tanto</w:t>
      </w:r>
      <w:r>
        <w:t xml:space="preserve"> tornou-se regra no comércio externo [...] </w:t>
      </w:r>
      <w:r w:rsidRPr="003046E7">
        <w:rPr>
          <w:i/>
        </w:rPr>
        <w:t>Os exportadores e os importadores estão obrigados a sindicar-se para prosseguir uma actividade comum com um objectivo comum</w:t>
      </w:r>
      <w:r>
        <w:t xml:space="preserve">. E esta organização é-lhes imposta </w:t>
      </w:r>
      <w:r>
        <w:lastRenderedPageBreak/>
        <w:t>de fora»</w:t>
      </w:r>
      <w:r>
        <w:rPr>
          <w:rStyle w:val="Refdenotaderodap"/>
        </w:rPr>
        <w:footnoteReference w:id="318"/>
      </w:r>
      <w:r>
        <w:t>. Com efeito, explicou Manoilescu, o sistema de compensação bilateral exige que o Estado intervenha para fornecer créditos, exige a padronização da produção para aumentar a produtividade e a capacidade concorrencial, exige acordos entre exportadores para que os preços não baixem bruscamente no mercado mundial, exige a adaptação da capacidade de produção à capacidade de compra, exige a especialização das instituições de crédito, e tudo isto implica a existência de uma economia organizada</w:t>
      </w:r>
      <w:r>
        <w:rPr>
          <w:rStyle w:val="Refdenotaderodap"/>
        </w:rPr>
        <w:footnoteReference w:id="319"/>
      </w:r>
      <w:r>
        <w:t>. Em suma, «</w:t>
      </w:r>
      <w:r w:rsidRPr="0034430A">
        <w:rPr>
          <w:i/>
        </w:rPr>
        <w:t>querer organizar a ordem social é querer o Estado corporativo</w:t>
      </w:r>
      <w:r>
        <w:t>»</w:t>
      </w:r>
      <w:r>
        <w:rPr>
          <w:rStyle w:val="Refdenotaderodap"/>
        </w:rPr>
        <w:footnoteReference w:id="320"/>
      </w:r>
      <w:r>
        <w:t xml:space="preserve">. </w:t>
      </w:r>
    </w:p>
    <w:p w:rsidR="00A1546C" w:rsidRDefault="00A1546C" w:rsidP="00A1546C">
      <w:r>
        <w:t xml:space="preserve">Tanto no diagnóstico da dependência externa como no da dualidade interna dos países subdesenvolvidos </w:t>
      </w:r>
      <w:r w:rsidRPr="001C0294">
        <w:t xml:space="preserve">soa </w:t>
      </w:r>
      <w:r>
        <w:t xml:space="preserve">nas teses de Manoilescu uma grande modernidade, e até a estratégia industrializadora proposta pelos economistas da CEPAL para corrigir essa situação constituiu uma reelaboração das soluções que </w:t>
      </w:r>
      <w:r w:rsidR="00BA0E6A">
        <w:t xml:space="preserve">ele </w:t>
      </w:r>
      <w:r>
        <w:t>havia</w:t>
      </w:r>
      <w:r w:rsidR="00BA0E6A">
        <w:t xml:space="preserve"> </w:t>
      </w:r>
      <w:r>
        <w:t>adiantad</w:t>
      </w:r>
      <w:r w:rsidR="00BA0E6A">
        <w:t>o</w:t>
      </w:r>
      <w:r>
        <w:t>. Com efeito</w:t>
      </w:r>
      <w:r w:rsidR="00747194">
        <w:t>,</w:t>
      </w:r>
      <w:r>
        <w:t xml:space="preserve"> desde cedo que a influência de Manoilescu se fez sentir nos países de línguas ibéricas. Em Portugal ele foi recebido em 1936 por Salazar e por Marce</w:t>
      </w:r>
      <w:r w:rsidR="00200187">
        <w:t>l</w:t>
      </w:r>
      <w:r>
        <w:t xml:space="preserve">o Caetano, que expressaram o seu apreço sobretudo pela doutrina corporativa. Aliás, o autor de </w:t>
      </w:r>
      <w:r w:rsidRPr="00DE2089">
        <w:rPr>
          <w:i/>
        </w:rPr>
        <w:t>O Século do Corporativismo</w:t>
      </w:r>
      <w:r>
        <w:t xml:space="preserve"> considerara Portugal como um dos três países onde o corporativismo era aplicado</w:t>
      </w:r>
      <w:r>
        <w:rPr>
          <w:rStyle w:val="Refdenotaderodap"/>
        </w:rPr>
        <w:footnoteReference w:id="321"/>
      </w:r>
      <w:r>
        <w:t xml:space="preserve">. Em Espanha, </w:t>
      </w:r>
      <w:r w:rsidR="009C022B">
        <w:t>por outro lado</w:t>
      </w:r>
      <w:r>
        <w:t>, foram antes de mais as teses de Manoilescu sobre a desigualdade no comércio externo e a necessidade de promover a industrialização que beneficiaram de um bom acolhimento</w:t>
      </w:r>
      <w:r>
        <w:rPr>
          <w:rStyle w:val="Refdenotaderodap"/>
        </w:rPr>
        <w:footnoteReference w:id="322"/>
      </w:r>
      <w:r>
        <w:t>. Para além da influência exercida pelos dois países ibéricos sobre a América Latina, as ideias de Manoilescu tiveram aí também uma repercussão directa. No Brasil sucedeu o mesmo que em Espanha</w:t>
      </w:r>
      <w:r w:rsidR="009C022B">
        <w:t xml:space="preserve"> e</w:t>
      </w:r>
      <w:r>
        <w:t xml:space="preserve"> as obras especificamente económicas de Manoilescu foram discutidas antes do livro sobre o corporativismo, influenciando o principal porta-voz dos meios empresariais, Roberto Simonsen, e parece que o próprio Getúlio Vargas as leu. O certo é que o prestígio de Manoilescu na extrema-direita </w:t>
      </w:r>
      <w:r w:rsidR="00664D1E">
        <w:t xml:space="preserve">e no fascismo </w:t>
      </w:r>
      <w:r>
        <w:t>brasileir</w:t>
      </w:r>
      <w:r w:rsidR="00664D1E">
        <w:t>os</w:t>
      </w:r>
      <w:r>
        <w:t xml:space="preserve"> atingiu um escopo muito vasto, desde os integralistas que na </w:t>
      </w:r>
      <w:r w:rsidR="009C022B">
        <w:t>ala</w:t>
      </w:r>
      <w:r>
        <w:t xml:space="preserve"> radical se opunham ao Estado Novo até aos tecnocratas e políticos que formulavam os objectivos modernizadores e davam um eixo ao </w:t>
      </w:r>
      <w:r w:rsidR="009C022B">
        <w:t>getulismo</w:t>
      </w:r>
      <w:r>
        <w:rPr>
          <w:rStyle w:val="Refdenotaderodap"/>
        </w:rPr>
        <w:footnoteReference w:id="323"/>
      </w:r>
      <w:r>
        <w:t xml:space="preserve">. </w:t>
      </w:r>
      <w:r w:rsidRPr="00C15172">
        <w:t xml:space="preserve">Na Argentina as ideias de Manoilescu parece não terem </w:t>
      </w:r>
      <w:r>
        <w:t xml:space="preserve">interessado os </w:t>
      </w:r>
      <w:r w:rsidRPr="00C15172">
        <w:t>empresários industriais nas décadas de 1930 e 1940, mas eram conhecidas entre os economistas</w:t>
      </w:r>
      <w:r>
        <w:rPr>
          <w:rStyle w:val="Refdenotaderodap"/>
        </w:rPr>
        <w:footnoteReference w:id="324"/>
      </w:r>
      <w:r>
        <w:t>,</w:t>
      </w:r>
      <w:r w:rsidRPr="00C15172">
        <w:t xml:space="preserve"> </w:t>
      </w:r>
      <w:r>
        <w:t>e também no Chile receberam um acolhimento favorável</w:t>
      </w:r>
      <w:r>
        <w:rPr>
          <w:rStyle w:val="Refdenotaderodap"/>
        </w:rPr>
        <w:footnoteReference w:id="325"/>
      </w:r>
      <w:r>
        <w:t xml:space="preserve">. </w:t>
      </w:r>
    </w:p>
    <w:p w:rsidR="00A1546C" w:rsidRDefault="00A1546C" w:rsidP="00A1546C">
      <w:r>
        <w:lastRenderedPageBreak/>
        <w:t xml:space="preserve">Além da </w:t>
      </w:r>
      <w:r w:rsidR="004B3AE6">
        <w:t>influência</w:t>
      </w:r>
      <w:r>
        <w:t xml:space="preserve"> exercida pela teses de Manoilescu sobre a estratégia de desenvolvimento industrial da América Latina, deve considerar-se </w:t>
      </w:r>
      <w:r w:rsidR="004B3AE6">
        <w:t xml:space="preserve">uma acção indirecta, graças ao </w:t>
      </w:r>
      <w:r>
        <w:t xml:space="preserve">economista francês </w:t>
      </w:r>
      <w:r w:rsidRPr="00172925">
        <w:t>François Perroux</w:t>
      </w:r>
      <w:r w:rsidR="00D3677D">
        <w:t>,</w:t>
      </w:r>
      <w:r>
        <w:t xml:space="preserve"> </w:t>
      </w:r>
      <w:r w:rsidR="00D3677D">
        <w:t xml:space="preserve">que </w:t>
      </w:r>
      <w:r w:rsidR="004B3AE6" w:rsidRPr="00172925">
        <w:t>em 1937</w:t>
      </w:r>
      <w:r w:rsidR="004939B3">
        <w:t xml:space="preserve"> </w:t>
      </w:r>
      <w:r w:rsidR="00D3677D" w:rsidRPr="00172925">
        <w:t xml:space="preserve">ensinou no Brasil, </w:t>
      </w:r>
      <w:r w:rsidR="004B3AE6">
        <w:t xml:space="preserve">onde </w:t>
      </w:r>
      <w:r w:rsidR="00D3677D">
        <w:t>exp</w:t>
      </w:r>
      <w:r w:rsidR="004B3AE6">
        <w:t>ôs</w:t>
      </w:r>
      <w:r w:rsidR="00D3677D">
        <w:t xml:space="preserve"> as su</w:t>
      </w:r>
      <w:r w:rsidR="00D3677D" w:rsidRPr="00172925">
        <w:t>as teses sobre o corporativismo</w:t>
      </w:r>
      <w:r w:rsidR="004B3AE6">
        <w:t>,</w:t>
      </w:r>
      <w:r w:rsidR="00D3677D">
        <w:t xml:space="preserve"> </w:t>
      </w:r>
      <w:r w:rsidR="00D3677D" w:rsidRPr="00172925">
        <w:t>citando nomeadamente Manoilescu</w:t>
      </w:r>
      <w:r w:rsidR="00D3677D">
        <w:rPr>
          <w:rStyle w:val="Refdenotaderodap"/>
        </w:rPr>
        <w:footnoteReference w:id="326"/>
      </w:r>
      <w:r w:rsidR="00D3677D">
        <w:t>.</w:t>
      </w:r>
      <w:r w:rsidR="00D3677D" w:rsidRPr="00172925">
        <w:t xml:space="preserve"> </w:t>
      </w:r>
      <w:r>
        <w:t>Se o comprometimento político de Manoilescu o levou à morte na prisão quando os comunistas tomaram conta da Roménia, Perroux singrou entre duas águas, tal como outros compatriotas seus mais ou menos eminentes</w:t>
      </w:r>
      <w:r w:rsidR="00172359">
        <w:t>.</w:t>
      </w:r>
      <w:r>
        <w:t xml:space="preserve"> </w:t>
      </w:r>
      <w:r w:rsidR="00172359" w:rsidRPr="001253EA">
        <w:t>Antes da segunda guerra mundial</w:t>
      </w:r>
      <w:r w:rsidR="00172359">
        <w:t xml:space="preserve"> </w:t>
      </w:r>
      <w:r w:rsidR="00807490">
        <w:t xml:space="preserve">ele </w:t>
      </w:r>
      <w:r w:rsidR="00172359">
        <w:t>defendera</w:t>
      </w:r>
      <w:r w:rsidR="00172359" w:rsidRPr="001253EA">
        <w:t xml:space="preserve"> um corporativismo independente do Estado, </w:t>
      </w:r>
      <w:r w:rsidR="00172359">
        <w:t xml:space="preserve">numa perspectiva convergente com a de </w:t>
      </w:r>
      <w:r w:rsidR="00172359" w:rsidRPr="001253EA">
        <w:t xml:space="preserve">Manoilescu. </w:t>
      </w:r>
      <w:r w:rsidR="00CB0EFE">
        <w:t xml:space="preserve">Tratava-se de </w:t>
      </w:r>
      <w:r w:rsidR="00172359" w:rsidRPr="001253EA">
        <w:t>um sistema em que</w:t>
      </w:r>
      <w:r w:rsidR="008A2EF4">
        <w:t>,</w:t>
      </w:r>
      <w:r w:rsidR="00172359" w:rsidRPr="001253EA">
        <w:t xml:space="preserve"> </w:t>
      </w:r>
      <w:r w:rsidR="008A2EF4">
        <w:t xml:space="preserve">embora </w:t>
      </w:r>
      <w:r w:rsidR="008A2EF4" w:rsidRPr="001253EA">
        <w:t xml:space="preserve">as greves e </w:t>
      </w:r>
      <w:r w:rsidR="008A2EF4">
        <w:t xml:space="preserve">os </w:t>
      </w:r>
      <w:r w:rsidR="008A2EF4" w:rsidRPr="001253EA">
        <w:rPr>
          <w:i/>
        </w:rPr>
        <w:t>lock-outs</w:t>
      </w:r>
      <w:r w:rsidR="008A2EF4" w:rsidRPr="001253EA">
        <w:t xml:space="preserve"> </w:t>
      </w:r>
      <w:r w:rsidR="008A2EF4">
        <w:t xml:space="preserve">fossem </w:t>
      </w:r>
      <w:r w:rsidR="008A2EF4" w:rsidRPr="001253EA">
        <w:t>proibidos</w:t>
      </w:r>
      <w:r w:rsidR="008A2EF4">
        <w:t xml:space="preserve">, </w:t>
      </w:r>
      <w:r w:rsidR="00172359" w:rsidRPr="001253EA">
        <w:t xml:space="preserve">a organização do trabalho teria tanto poder </w:t>
      </w:r>
      <w:r w:rsidR="008A2EF4">
        <w:t xml:space="preserve">negocial </w:t>
      </w:r>
      <w:r w:rsidR="00172359" w:rsidRPr="001253EA">
        <w:t xml:space="preserve">como a organização do patronato, </w:t>
      </w:r>
      <w:r w:rsidR="008A2EF4">
        <w:t xml:space="preserve">entendendo-se </w:t>
      </w:r>
      <w:r w:rsidR="00172359" w:rsidRPr="001253EA">
        <w:t xml:space="preserve">uma com a outra no quadro </w:t>
      </w:r>
      <w:r w:rsidR="00CB0EFE">
        <w:t>de cada</w:t>
      </w:r>
      <w:r w:rsidR="00172359" w:rsidRPr="001253EA">
        <w:t xml:space="preserve"> ramo de actividade</w:t>
      </w:r>
      <w:r w:rsidR="00CB0EFE">
        <w:t xml:space="preserve"> e </w:t>
      </w:r>
      <w:r w:rsidR="008A2EF4">
        <w:t xml:space="preserve">garantindo </w:t>
      </w:r>
      <w:r w:rsidR="00CB0EFE" w:rsidRPr="001253EA">
        <w:t xml:space="preserve">a </w:t>
      </w:r>
      <w:r w:rsidR="00172359" w:rsidRPr="001253EA">
        <w:t xml:space="preserve">arbitragem do Estado um bem-estar máximo para a sociedade. </w:t>
      </w:r>
      <w:r w:rsidR="00CB0EFE">
        <w:t xml:space="preserve">Com o armistício e a instauração do État Français, </w:t>
      </w:r>
      <w:r w:rsidR="00172359" w:rsidRPr="001253EA">
        <w:t xml:space="preserve">Perroux </w:t>
      </w:r>
      <w:r w:rsidR="008A2EF4" w:rsidRPr="001253EA">
        <w:t>colabor</w:t>
      </w:r>
      <w:r w:rsidR="008A2EF4">
        <w:t>ou</w:t>
      </w:r>
      <w:r w:rsidR="008A2EF4" w:rsidRPr="001253EA">
        <w:t xml:space="preserve"> </w:t>
      </w:r>
      <w:r w:rsidR="008A2EF4">
        <w:t xml:space="preserve">no plano </w:t>
      </w:r>
      <w:r w:rsidR="008A2EF4" w:rsidRPr="001253EA">
        <w:t xml:space="preserve">da reflexão intelectual </w:t>
      </w:r>
      <w:r w:rsidR="008A2EF4">
        <w:t>e</w:t>
      </w:r>
      <w:r w:rsidR="008A2EF4" w:rsidRPr="001253EA">
        <w:t xml:space="preserve"> tecnocrática</w:t>
      </w:r>
      <w:r w:rsidR="00807490">
        <w:t xml:space="preserve"> e</w:t>
      </w:r>
      <w:r w:rsidR="008A2EF4" w:rsidRPr="001253EA">
        <w:t xml:space="preserve"> </w:t>
      </w:r>
      <w:r w:rsidR="00172359" w:rsidRPr="001253EA">
        <w:t>integr</w:t>
      </w:r>
      <w:r w:rsidR="00807490">
        <w:t>ou</w:t>
      </w:r>
      <w:r w:rsidR="00172359" w:rsidRPr="001253EA">
        <w:t xml:space="preserve"> vários </w:t>
      </w:r>
      <w:r w:rsidR="00172359" w:rsidRPr="001253EA">
        <w:rPr>
          <w:i/>
        </w:rPr>
        <w:t>think tanks</w:t>
      </w:r>
      <w:r w:rsidR="00172359" w:rsidRPr="001253EA">
        <w:t xml:space="preserve">, </w:t>
      </w:r>
      <w:r w:rsidR="00114BF6">
        <w:t xml:space="preserve">o que </w:t>
      </w:r>
      <w:r w:rsidR="00CB0EFE" w:rsidRPr="001253EA">
        <w:t xml:space="preserve">não </w:t>
      </w:r>
      <w:r w:rsidR="00114BF6">
        <w:t xml:space="preserve">lhe causou </w:t>
      </w:r>
      <w:r w:rsidR="00CB0EFE" w:rsidRPr="001253EA">
        <w:t xml:space="preserve">problemas na </w:t>
      </w:r>
      <w:r w:rsidR="00D3677D" w:rsidRPr="001253EA">
        <w:t xml:space="preserve">libertação </w:t>
      </w:r>
      <w:r w:rsidR="00CB0EFE" w:rsidRPr="001253EA">
        <w:t xml:space="preserve">e </w:t>
      </w:r>
      <w:r w:rsidR="00114BF6">
        <w:t xml:space="preserve">lhe permitiu </w:t>
      </w:r>
      <w:r w:rsidR="00CB0EFE" w:rsidRPr="001253EA">
        <w:t>continu</w:t>
      </w:r>
      <w:r w:rsidR="00114BF6">
        <w:t>ar</w:t>
      </w:r>
      <w:r w:rsidR="00CB0EFE" w:rsidRPr="001253EA">
        <w:t xml:space="preserve"> a pontificar nos meios económicos</w:t>
      </w:r>
      <w:r w:rsidR="00114BF6">
        <w:t xml:space="preserve"> e</w:t>
      </w:r>
      <w:r w:rsidR="00CB0EFE" w:rsidRPr="001253EA">
        <w:t xml:space="preserve"> </w:t>
      </w:r>
      <w:r w:rsidR="00D3677D">
        <w:t>cri</w:t>
      </w:r>
      <w:r w:rsidR="00114BF6">
        <w:t>ar</w:t>
      </w:r>
      <w:r w:rsidR="00D3677D">
        <w:t xml:space="preserve"> renome como terceiro-mundista. E assim </w:t>
      </w:r>
      <w:r w:rsidR="008A2EF4">
        <w:t>ele</w:t>
      </w:r>
      <w:r w:rsidR="00D3677D">
        <w:t xml:space="preserve"> constituiu </w:t>
      </w:r>
      <w:r>
        <w:t>por si só um traço de união entre ambas as épocas</w:t>
      </w:r>
      <w:r w:rsidR="00D3677D">
        <w:t>,</w:t>
      </w:r>
      <w:r>
        <w:t xml:space="preserve"> prolongando as </w:t>
      </w:r>
      <w:r w:rsidRPr="00172925">
        <w:t xml:space="preserve">suas teorias do corporativismo, anteriores à guerra, </w:t>
      </w:r>
      <w:r>
        <w:t xml:space="preserve">através dos </w:t>
      </w:r>
      <w:r w:rsidRPr="00172925">
        <w:t>seus trabalhos posteriores sobre a desigualdade estrutural na economia</w:t>
      </w:r>
      <w:r>
        <w:t>.</w:t>
      </w:r>
      <w:r w:rsidRPr="00172925">
        <w:t xml:space="preserve"> </w:t>
      </w:r>
    </w:p>
    <w:p w:rsidR="00A1546C" w:rsidRPr="00BC4036" w:rsidRDefault="007D6A03" w:rsidP="00A1546C">
      <w:r>
        <w:t>O mais</w:t>
      </w:r>
      <w:r w:rsidR="00A1546C">
        <w:t xml:space="preserve"> curioso nesta teia ideológica é o facto de Raúl Prebisch nunca se ter posicionado no âmbito do fascismo. A sua ligação, inclusivamente familiar, à elite económica tradicional </w:t>
      </w:r>
      <w:r w:rsidR="0031698D">
        <w:t xml:space="preserve">argentina </w:t>
      </w:r>
      <w:r w:rsidR="00A1546C">
        <w:t xml:space="preserve">levou-o a iniciar a carreira na sociedade </w:t>
      </w:r>
      <w:r w:rsidR="00A1546C" w:rsidRPr="00862F64">
        <w:t>conservador</w:t>
      </w:r>
      <w:r w:rsidR="00A1546C">
        <w:t>a</w:t>
      </w:r>
      <w:r w:rsidR="00A1546C" w:rsidRPr="00862F64">
        <w:t xml:space="preserve"> </w:t>
      </w:r>
      <w:r w:rsidR="00A1546C">
        <w:t xml:space="preserve">formada pelos </w:t>
      </w:r>
      <w:r w:rsidR="00A1546C" w:rsidRPr="00862F64">
        <w:t>grandes criadores de gado</w:t>
      </w:r>
      <w:r w:rsidR="00A1546C">
        <w:t xml:space="preserve">. Precisamente por isso os promotores do golpe militar de 1943 demitiram-no do Banco Central, </w:t>
      </w:r>
      <w:r w:rsidR="00A1546C" w:rsidRPr="007E5E28">
        <w:t>d</w:t>
      </w:r>
      <w:r w:rsidR="00A1546C">
        <w:t xml:space="preserve">e que </w:t>
      </w:r>
      <w:r w:rsidR="00A1546C" w:rsidRPr="007E5E28">
        <w:t>fora o inspirador e onde ocupava as funções de director-geral</w:t>
      </w:r>
      <w:r w:rsidR="00A1546C">
        <w:t>, e o regime peronista manteve-o afastado dos cargos públicos</w:t>
      </w:r>
      <w:r w:rsidR="00A1546C">
        <w:rPr>
          <w:rStyle w:val="Refdenotaderodap"/>
        </w:rPr>
        <w:footnoteReference w:id="327"/>
      </w:r>
      <w:r w:rsidR="00A1546C">
        <w:t xml:space="preserve">. No entanto, foi graças a Prebisch que ressurgiu após a guerra </w:t>
      </w:r>
      <w:r w:rsidR="00333B1F">
        <w:t xml:space="preserve">o modelo </w:t>
      </w:r>
      <w:r w:rsidR="00A1546C">
        <w:t>doutrin</w:t>
      </w:r>
      <w:r w:rsidR="00333B1F">
        <w:t>ário</w:t>
      </w:r>
      <w:r w:rsidR="00A1546C">
        <w:t xml:space="preserve"> da desigualdade nas trocas internacionais e do desenvolvimento industrial</w:t>
      </w:r>
      <w:r w:rsidR="00333B1F">
        <w:t xml:space="preserve"> criado </w:t>
      </w:r>
      <w:r w:rsidR="00FE7F4C">
        <w:t xml:space="preserve">por Manoilescu </w:t>
      </w:r>
      <w:r w:rsidR="00333B1F">
        <w:t>no âmbito do fascismo</w:t>
      </w:r>
      <w:r w:rsidR="00A1546C">
        <w:t xml:space="preserve">. Embora </w:t>
      </w:r>
      <w:r w:rsidR="00A1546C" w:rsidRPr="00785AAC">
        <w:t>no final da década de 1930</w:t>
      </w:r>
      <w:r w:rsidR="00A1546C">
        <w:t xml:space="preserve"> </w:t>
      </w:r>
      <w:r w:rsidR="00FE7F4C">
        <w:t>ess</w:t>
      </w:r>
      <w:r w:rsidR="00A1546C">
        <w:t xml:space="preserve">as ideias tivessem sido discutidas nos círculos de economistas argentinos que Prebisch frequentava, elas </w:t>
      </w:r>
      <w:r w:rsidR="00A1546C" w:rsidRPr="00812C31">
        <w:t xml:space="preserve">não se encontram </w:t>
      </w:r>
      <w:r w:rsidR="00A1546C">
        <w:t xml:space="preserve">referidas nos seus escritos, mesmo nos mais antigos, e </w:t>
      </w:r>
      <w:r w:rsidR="00A1546C" w:rsidRPr="00812C31">
        <w:t xml:space="preserve">Prebisch </w:t>
      </w:r>
      <w:r w:rsidR="00A1546C">
        <w:t>declarou em 1977 que não sofrera a influência de Manoilescu</w:t>
      </w:r>
      <w:r w:rsidR="00A1546C">
        <w:rPr>
          <w:rStyle w:val="Refdenotaderodap"/>
        </w:rPr>
        <w:footnoteReference w:id="328"/>
      </w:r>
      <w:r w:rsidR="00A1546C">
        <w:t xml:space="preserve">. </w:t>
      </w:r>
      <w:r w:rsidR="00A1546C" w:rsidRPr="00EE4577">
        <w:t xml:space="preserve">Do mesmo modo </w:t>
      </w:r>
      <w:r w:rsidR="00A1546C">
        <w:t>afirmou que não for</w:t>
      </w:r>
      <w:r w:rsidR="00A1546C" w:rsidRPr="00EE4577">
        <w:t xml:space="preserve">a influenciado por Sombart </w:t>
      </w:r>
      <w:r w:rsidR="00A1546C">
        <w:t xml:space="preserve">ao </w:t>
      </w:r>
      <w:r w:rsidR="00A1546C" w:rsidRPr="00EE4577">
        <w:t>usar os conceitos de centro e periferia</w:t>
      </w:r>
      <w:r w:rsidR="00A1546C">
        <w:rPr>
          <w:rStyle w:val="Refdenotaderodap"/>
          <w:lang w:val="en-GB"/>
        </w:rPr>
        <w:footnoteReference w:id="329"/>
      </w:r>
      <w:r w:rsidR="00A1546C" w:rsidRPr="00EE4577">
        <w:t xml:space="preserve">. </w:t>
      </w:r>
      <w:r w:rsidR="00082827">
        <w:t xml:space="preserve">Mas </w:t>
      </w:r>
      <w:r w:rsidR="00082827" w:rsidRPr="00BC4036">
        <w:t xml:space="preserve">talvez </w:t>
      </w:r>
      <w:r w:rsidR="00A1546C" w:rsidRPr="00BC4036">
        <w:t xml:space="preserve">estas negativas não fossem inteiramente cândidas e podemos admitir </w:t>
      </w:r>
      <w:r w:rsidR="00A1546C" w:rsidRPr="00BC4036">
        <w:lastRenderedPageBreak/>
        <w:t xml:space="preserve">que </w:t>
      </w:r>
      <w:r w:rsidR="00A1546C">
        <w:t xml:space="preserve">não conviesse a </w:t>
      </w:r>
      <w:r w:rsidR="00A1546C" w:rsidRPr="00BC4036">
        <w:t xml:space="preserve">Prebisch </w:t>
      </w:r>
      <w:r w:rsidR="00A1546C">
        <w:t xml:space="preserve">reivindicar para si e para a CEPAL a herança de personalidades cuja reputação intelectual ficara prejudicada pela adesão ao </w:t>
      </w:r>
      <w:r w:rsidR="00082827">
        <w:t>nacional-socialismo</w:t>
      </w:r>
      <w:r w:rsidR="00A1546C">
        <w:t xml:space="preserve">. Manoilescu não fora um mero </w:t>
      </w:r>
      <w:r w:rsidR="00082827">
        <w:t xml:space="preserve">economista e teórico do corporativismo </w:t>
      </w:r>
      <w:r w:rsidR="00A1546C">
        <w:t>e</w:t>
      </w:r>
      <w:r w:rsidR="00EE200C">
        <w:t>,</w:t>
      </w:r>
      <w:r w:rsidR="00A1546C">
        <w:t xml:space="preserve"> além de ter estado associado ao rei Carol II e a Ion Antonescu, ocupando diversas vezes postos ministeriais e outros cargos importantes na versão conservadora do fascismo romeno, estivera durante algum tempo próximo do fascismo radical e fora eleito para o Senado em 1937 na lista do partido de Codreanu</w:t>
      </w:r>
      <w:r w:rsidR="00A1546C">
        <w:rPr>
          <w:rStyle w:val="Refdenotaderodap"/>
        </w:rPr>
        <w:footnoteReference w:id="330"/>
      </w:r>
      <w:r w:rsidR="00A1546C">
        <w:t xml:space="preserve">. Depois da derrota do Eixo era mais prudente esquecê-lo. </w:t>
      </w:r>
      <w:r w:rsidR="00A82087">
        <w:t xml:space="preserve">Por outro lado, </w:t>
      </w:r>
      <w:r w:rsidR="00A1546C">
        <w:t xml:space="preserve">um historiador considerou que </w:t>
      </w:r>
      <w:r w:rsidR="00A1546C" w:rsidRPr="00020E01">
        <w:t xml:space="preserve">apesar </w:t>
      </w:r>
      <w:r w:rsidR="00EE200C">
        <w:t xml:space="preserve">de </w:t>
      </w:r>
      <w:r w:rsidR="00EE200C" w:rsidRPr="00020E01">
        <w:t xml:space="preserve">Prebisch </w:t>
      </w:r>
      <w:r w:rsidR="00EE200C">
        <w:t>estar próximo d</w:t>
      </w:r>
      <w:r w:rsidR="00A1546C" w:rsidRPr="00020E01">
        <w:t xml:space="preserve">as teses de Perroux </w:t>
      </w:r>
      <w:r w:rsidR="00A1546C">
        <w:t xml:space="preserve">também </w:t>
      </w:r>
      <w:r w:rsidR="00EE200C">
        <w:t xml:space="preserve">aqui </w:t>
      </w:r>
      <w:r w:rsidR="00A1546C" w:rsidRPr="00020E01">
        <w:t xml:space="preserve">não </w:t>
      </w:r>
      <w:r w:rsidR="00A1546C">
        <w:t xml:space="preserve">teria </w:t>
      </w:r>
      <w:r w:rsidR="00A1546C" w:rsidRPr="00020E01">
        <w:t>havido uma influência directa</w:t>
      </w:r>
      <w:r w:rsidR="00A1546C">
        <w:rPr>
          <w:rStyle w:val="Refdenotaderodap"/>
        </w:rPr>
        <w:footnoteReference w:id="331"/>
      </w:r>
      <w:r w:rsidR="00A1546C">
        <w:t>,</w:t>
      </w:r>
      <w:r w:rsidR="00A1546C" w:rsidRPr="00020E01">
        <w:t xml:space="preserve"> </w:t>
      </w:r>
      <w:r w:rsidR="00A1546C">
        <w:t xml:space="preserve">e neste caso o passado de Perroux não lhe prejudicou o prestígio nem a aceitação das suas doutrinas no pós-guerra. </w:t>
      </w:r>
    </w:p>
    <w:p w:rsidR="00A1546C" w:rsidRDefault="00FE7F4C" w:rsidP="00A1546C">
      <w:r>
        <w:t xml:space="preserve">É certo que além </w:t>
      </w:r>
      <w:r w:rsidR="006076A3">
        <w:t xml:space="preserve">da veiculação directa das ideias existe uma difusão capilar, </w:t>
      </w:r>
      <w:r w:rsidR="00A1546C" w:rsidRPr="00F4238F">
        <w:t>através de intermedi</w:t>
      </w:r>
      <w:r w:rsidR="00A1546C">
        <w:t xml:space="preserve">ários e mediante a </w:t>
      </w:r>
      <w:r w:rsidR="006076A3">
        <w:t xml:space="preserve">formação </w:t>
      </w:r>
      <w:r w:rsidR="00A1546C">
        <w:t xml:space="preserve">de ambientes de opinião. Não é por ser inconsciente que </w:t>
      </w:r>
      <w:r w:rsidR="00A1546C" w:rsidRPr="00765A31">
        <w:t xml:space="preserve">a reprodução de </w:t>
      </w:r>
      <w:r w:rsidR="00A1546C">
        <w:t>um tema</w:t>
      </w:r>
      <w:r w:rsidR="00A1546C" w:rsidRPr="00765A31">
        <w:t xml:space="preserve"> </w:t>
      </w:r>
      <w:r w:rsidR="00A1546C">
        <w:t>deixa de ser significativa</w:t>
      </w:r>
      <w:r w:rsidR="00A1546C" w:rsidRPr="00765A31">
        <w:t xml:space="preserve">. Bem pelo contrário, essa reprodução mostra </w:t>
      </w:r>
      <w:r w:rsidR="00AC25BF">
        <w:t>o</w:t>
      </w:r>
      <w:r w:rsidR="00A1546C" w:rsidRPr="00765A31">
        <w:t xml:space="preserve"> renascimento </w:t>
      </w:r>
      <w:r w:rsidR="006076A3">
        <w:t>—</w:t>
      </w:r>
      <w:r w:rsidR="00A1546C" w:rsidRPr="00765A31">
        <w:t xml:space="preserve"> no sentido </w:t>
      </w:r>
      <w:r w:rsidR="00AC25BF">
        <w:t xml:space="preserve">literal </w:t>
      </w:r>
      <w:r w:rsidR="00A1546C" w:rsidRPr="00765A31">
        <w:t xml:space="preserve">da palavra </w:t>
      </w:r>
      <w:r w:rsidR="006076A3">
        <w:t>—</w:t>
      </w:r>
      <w:r w:rsidR="00A1546C" w:rsidRPr="00765A31">
        <w:t xml:space="preserve"> de uma das componentes da ideologia fascista. </w:t>
      </w:r>
      <w:r>
        <w:t>N</w:t>
      </w:r>
      <w:r w:rsidRPr="00F4238F">
        <w:t xml:space="preserve">o estudo das </w:t>
      </w:r>
      <w:r>
        <w:t>teias</w:t>
      </w:r>
      <w:r w:rsidRPr="00F4238F">
        <w:t xml:space="preserve"> ideológicas a </w:t>
      </w:r>
      <w:r>
        <w:t>semelhança</w:t>
      </w:r>
      <w:r w:rsidRPr="00F4238F">
        <w:t xml:space="preserve"> não é menos </w:t>
      </w:r>
      <w:r>
        <w:t>importante</w:t>
      </w:r>
      <w:r w:rsidRPr="00F4238F">
        <w:t xml:space="preserve"> do que a influência directa</w:t>
      </w:r>
      <w:r>
        <w:t>,</w:t>
      </w:r>
      <w:r w:rsidRPr="00F4238F">
        <w:t xml:space="preserve"> </w:t>
      </w:r>
      <w:r>
        <w:t xml:space="preserve">e </w:t>
      </w:r>
      <w:r w:rsidRPr="00765A31">
        <w:t xml:space="preserve">o fundamental </w:t>
      </w:r>
      <w:r>
        <w:t xml:space="preserve">aqui </w:t>
      </w:r>
      <w:r w:rsidRPr="00765A31">
        <w:t xml:space="preserve">é a correspondência entre as teses de Manoilescu e as defendidas pelos economistas da CEPAL. </w:t>
      </w:r>
      <w:r w:rsidR="00A1546C">
        <w:t>E como, a partir da CEPAL, estas teses se divulgaram entre a esquerda e a extrema-esquerda</w:t>
      </w:r>
      <w:r w:rsidR="00A1546C" w:rsidRPr="00A85F6C">
        <w:t xml:space="preserve"> marxista</w:t>
      </w:r>
      <w:r w:rsidR="00A1546C">
        <w:t xml:space="preserve">, não só na América-Latina mas no resto do mundo, </w:t>
      </w:r>
      <w:r w:rsidR="00A1546C" w:rsidRPr="00C418D5">
        <w:t xml:space="preserve">voltamos à situação em que os ecos do fascismo e </w:t>
      </w:r>
      <w:r w:rsidR="00495A05">
        <w:t xml:space="preserve">os </w:t>
      </w:r>
      <w:r w:rsidR="00A1546C" w:rsidRPr="00C418D5">
        <w:t xml:space="preserve">do comunismo </w:t>
      </w:r>
      <w:r w:rsidR="00495A05">
        <w:t xml:space="preserve">soviético </w:t>
      </w:r>
      <w:r w:rsidR="00A1546C" w:rsidRPr="00C418D5">
        <w:t xml:space="preserve">se fundiram. </w:t>
      </w:r>
    </w:p>
    <w:p w:rsidR="00F21840" w:rsidRPr="00A1546C" w:rsidRDefault="00A1546C" w:rsidP="00A1546C">
      <w:r w:rsidRPr="00B00E9D">
        <w:t>A questão central na ideologia terceiro-mundista e na</w:t>
      </w:r>
      <w:r>
        <w:t xml:space="preserve"> </w:t>
      </w:r>
      <w:r w:rsidRPr="00B00E9D">
        <w:t xml:space="preserve">dos seus predecessores fascistas é a confusão entre as noções de </w:t>
      </w:r>
      <w:r w:rsidRPr="00B00E9D">
        <w:rPr>
          <w:i/>
        </w:rPr>
        <w:t>exploração</w:t>
      </w:r>
      <w:r w:rsidRPr="00B00E9D">
        <w:t xml:space="preserve"> e de </w:t>
      </w:r>
      <w:r w:rsidRPr="00B00E9D">
        <w:rPr>
          <w:i/>
        </w:rPr>
        <w:t>distribuição desigual dos lucros</w:t>
      </w:r>
      <w:r w:rsidRPr="00B00E9D">
        <w:t xml:space="preserve">. </w:t>
      </w:r>
      <w:r w:rsidRPr="00D84FA0">
        <w:t xml:space="preserve">Em termos marxistas uma economia </w:t>
      </w:r>
      <w:r>
        <w:t>progride</w:t>
      </w:r>
      <w:r w:rsidRPr="00D84FA0">
        <w:t xml:space="preserve"> devido à capacidade de acumulação interna, ocasionada pelos mecanismos da mais-valia relativa</w:t>
      </w:r>
      <w:r>
        <w:t>, ligados ao crescimento da produtividade</w:t>
      </w:r>
      <w:r w:rsidRPr="00D84FA0">
        <w:t xml:space="preserve">. </w:t>
      </w:r>
      <w:r>
        <w:t xml:space="preserve">A expansão </w:t>
      </w:r>
      <w:r w:rsidRPr="00D84FA0">
        <w:t>imperialis</w:t>
      </w:r>
      <w:r>
        <w:t>ta</w:t>
      </w:r>
      <w:r w:rsidRPr="00D84FA0">
        <w:t xml:space="preserve"> é uma consequência des</w:t>
      </w:r>
      <w:r>
        <w:t>t</w:t>
      </w:r>
      <w:r w:rsidRPr="00D84FA0">
        <w:t xml:space="preserve">a acumulação interna e não a sua causa. </w:t>
      </w:r>
      <w:r>
        <w:t xml:space="preserve">O acréscimo da produtividade permite aos capitalistas dos países desenvolvidos explorar cada vez mais a força de trabalho desses países, e a acumulação de capital daí resultante permite-lhes converterem-se em imperialistas e apoderarem-se também de uma parte substancial da mais-valia produzida nos países menos desenvolvidos. Este processo de repartição desigual dos lucros decorrentes da exploração dos trabalhadores, definido originariamente pelo marxismo, é o oposto das interpretações geradas em torno dos conceitos de </w:t>
      </w:r>
      <w:r w:rsidR="00F543BE">
        <w:t>«nação proletária»</w:t>
      </w:r>
      <w:r w:rsidR="00F543BE" w:rsidRPr="00F543BE">
        <w:t xml:space="preserve"> </w:t>
      </w:r>
      <w:r w:rsidR="00F543BE">
        <w:t xml:space="preserve">e </w:t>
      </w:r>
      <w:r>
        <w:t>«nação plutocrática»</w:t>
      </w:r>
      <w:r w:rsidR="00F543BE">
        <w:t>, ou de «terceiro mundo» e «primeiro mundo»</w:t>
      </w:r>
      <w:r>
        <w:t xml:space="preserve">. </w:t>
      </w:r>
      <w:r w:rsidRPr="00D84FA0">
        <w:t xml:space="preserve">O modelo das relações de dependência </w:t>
      </w:r>
      <w:r>
        <w:t xml:space="preserve">formulado por Manoilescu, reelaborado pelos economistas da CEPAL e finalmente assimilado pela esquerda </w:t>
      </w:r>
      <w:r>
        <w:lastRenderedPageBreak/>
        <w:t xml:space="preserve">terceiro-mundista </w:t>
      </w:r>
      <w:r w:rsidR="003A3168">
        <w:t xml:space="preserve">é </w:t>
      </w:r>
      <w:r w:rsidRPr="00D84FA0">
        <w:t xml:space="preserve">um substituto do modelo das relações de exploração entre classes. </w:t>
      </w:r>
      <w:r>
        <w:t>Nas palavras de um historiador, as teses de Mainolescu e de Prebisch «partilharam a mesma perspectiva teórica, separando a crítica ao imperialismo da crítica ao capitalismo»</w:t>
      </w:r>
      <w:r>
        <w:rPr>
          <w:rStyle w:val="Refdenotaderodap"/>
        </w:rPr>
        <w:footnoteReference w:id="332"/>
      </w:r>
      <w:r>
        <w:t xml:space="preserve">. Esta transformação da luta entre classes numa geopolítica de sabor corradiniano fez com que </w:t>
      </w:r>
      <w:r w:rsidRPr="008939F2">
        <w:t xml:space="preserve">o terceiro-mundismo </w:t>
      </w:r>
      <w:r w:rsidR="00F543BE">
        <w:t xml:space="preserve">se </w:t>
      </w:r>
      <w:r w:rsidRPr="008939F2">
        <w:t>revel</w:t>
      </w:r>
      <w:r w:rsidR="00F543BE">
        <w:t>as</w:t>
      </w:r>
      <w:r w:rsidRPr="008939F2">
        <w:t xml:space="preserve">se como um dos </w:t>
      </w:r>
      <w:r w:rsidR="000D51AE" w:rsidRPr="008939F2">
        <w:t xml:space="preserve">mais duradouros </w:t>
      </w:r>
      <w:r w:rsidRPr="008939F2">
        <w:t>resultados do fascismo.</w:t>
      </w:r>
      <w:r>
        <w:t xml:space="preserve"> </w:t>
      </w:r>
    </w:p>
    <w:sectPr w:rsidR="00F21840" w:rsidRPr="00A1546C" w:rsidSect="00EB1C32">
      <w:footerReference w:type="even" r:id="rId7"/>
      <w:footerReference w:type="default" r:id="rId8"/>
      <w:pgSz w:w="11907" w:h="16840" w:code="9"/>
      <w:pgMar w:top="1417" w:right="1701" w:bottom="1417" w:left="1701" w:header="720" w:footer="720" w:gutter="0"/>
      <w:pgNumType w:start="1259"/>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1EC" w:rsidRDefault="00EA41EC" w:rsidP="00A1546C">
      <w:pPr>
        <w:spacing w:line="240" w:lineRule="auto"/>
      </w:pPr>
      <w:r>
        <w:separator/>
      </w:r>
    </w:p>
  </w:endnote>
  <w:endnote w:type="continuationSeparator" w:id="0">
    <w:p w:rsidR="00EA41EC" w:rsidRDefault="00EA41EC" w:rsidP="00A1546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7E6" w:rsidRDefault="006947E6">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6947E6" w:rsidRDefault="006947E6">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7E6" w:rsidRPr="00625674" w:rsidRDefault="006947E6">
    <w:pPr>
      <w:pStyle w:val="Rodap"/>
      <w:framePr w:wrap="around" w:vAnchor="text" w:hAnchor="margin" w:xAlign="center" w:y="1"/>
      <w:ind w:firstLine="0"/>
      <w:rPr>
        <w:rStyle w:val="Nmerodepgina"/>
        <w:rFonts w:ascii="Arial Narrow" w:hAnsi="Arial Narrow"/>
        <w:i/>
      </w:rPr>
    </w:pPr>
    <w:r w:rsidRPr="00625674">
      <w:rPr>
        <w:rStyle w:val="Nmerodepgina"/>
        <w:rFonts w:ascii="Arial Narrow" w:hAnsi="Arial Narrow"/>
        <w:i/>
      </w:rPr>
      <w:fldChar w:fldCharType="begin"/>
    </w:r>
    <w:r w:rsidRPr="00625674">
      <w:rPr>
        <w:rStyle w:val="Nmerodepgina"/>
        <w:rFonts w:ascii="Arial Narrow" w:hAnsi="Arial Narrow"/>
        <w:i/>
      </w:rPr>
      <w:instrText xml:space="preserve">PAGE  </w:instrText>
    </w:r>
    <w:r w:rsidRPr="00625674">
      <w:rPr>
        <w:rStyle w:val="Nmerodepgina"/>
        <w:rFonts w:ascii="Arial Narrow" w:hAnsi="Arial Narrow"/>
        <w:i/>
      </w:rPr>
      <w:fldChar w:fldCharType="separate"/>
    </w:r>
    <w:r w:rsidR="00A967FD">
      <w:rPr>
        <w:rStyle w:val="Nmerodepgina"/>
        <w:rFonts w:ascii="Arial Narrow" w:hAnsi="Arial Narrow"/>
        <w:i/>
        <w:noProof/>
      </w:rPr>
      <w:t>1333</w:t>
    </w:r>
    <w:r w:rsidRPr="00625674">
      <w:rPr>
        <w:rStyle w:val="Nmerodepgina"/>
        <w:rFonts w:ascii="Arial Narrow" w:hAnsi="Arial Narrow"/>
        <w:i/>
      </w:rPr>
      <w:fldChar w:fldCharType="end"/>
    </w:r>
  </w:p>
  <w:p w:rsidR="006947E6" w:rsidRDefault="006947E6">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1EC" w:rsidRDefault="00EA41EC" w:rsidP="00A1546C">
      <w:pPr>
        <w:spacing w:line="240" w:lineRule="auto"/>
        <w:ind w:firstLine="0"/>
      </w:pPr>
      <w:r>
        <w:separator/>
      </w:r>
    </w:p>
  </w:footnote>
  <w:footnote w:type="continuationSeparator" w:id="0">
    <w:p w:rsidR="00EA41EC" w:rsidRDefault="00EA41EC" w:rsidP="00A1546C">
      <w:pPr>
        <w:spacing w:line="240" w:lineRule="auto"/>
        <w:ind w:firstLine="0"/>
      </w:pPr>
      <w:r>
        <w:continuationSeparator/>
      </w:r>
    </w:p>
  </w:footnote>
  <w:footnote w:id="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M. Maruyama (1963) 51.</w:t>
      </w:r>
    </w:p>
  </w:footnote>
  <w:footnote w:id="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M. Baumont (1951) 245; W. G. Beasley (1981) 207-208; N. Chomsky (1969) 215 n. 56; A. Pichot (2000) 387; </w:t>
      </w:r>
      <w:r w:rsidRPr="00842DC4">
        <w:rPr>
          <w:rFonts w:ascii="Arial Narrow" w:hAnsi="Arial Narrow"/>
          <w:lang w:val="en-US"/>
        </w:rPr>
        <w:t xml:space="preserve">L. Stoddard (1921) </w:t>
      </w:r>
      <w:r>
        <w:rPr>
          <w:rFonts w:ascii="Arial Narrow" w:hAnsi="Arial Narrow"/>
          <w:lang w:val="en-US"/>
        </w:rPr>
        <w:t xml:space="preserve">42-43; </w:t>
      </w:r>
      <w:r w:rsidRPr="00416CAF">
        <w:rPr>
          <w:rFonts w:ascii="Arial Narrow" w:hAnsi="Arial Narrow"/>
          <w:lang w:val="en-GB"/>
        </w:rPr>
        <w:t>R. Storry (1957) 21; id. (1990) 162.</w:t>
      </w:r>
    </w:p>
  </w:footnote>
  <w:footnote w:id="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N. Chomsky (1969) 187.</w:t>
      </w:r>
    </w:p>
  </w:footnote>
  <w:footnote w:id="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C. Lebra (org. 1975) xi-xii; R. Storry (1990) 145-147.</w:t>
      </w:r>
    </w:p>
  </w:footnote>
  <w:footnote w:id="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R. Storry (1990) 147.</w:t>
      </w:r>
    </w:p>
  </w:footnote>
  <w:footnote w:id="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xml:space="preserve"> (1957) 37; G. M. Wilson (1969) 53-56.</w:t>
      </w:r>
    </w:p>
  </w:footnote>
  <w:footnote w:id="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R. Storry (1990) 147.</w:t>
      </w:r>
    </w:p>
  </w:footnote>
  <w:footnote w:id="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 G. Beasley (1981) 190.</w:t>
      </w:r>
    </w:p>
  </w:footnote>
  <w:footnote w:id="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R. Storry (1957) 37-38.</w:t>
      </w:r>
    </w:p>
  </w:footnote>
  <w:footnote w:id="1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 G. Beasley (1981) 239-240; G. M. Wilson (1969) 85-86.</w:t>
      </w:r>
    </w:p>
  </w:footnote>
  <w:footnote w:id="11">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R. Storry (1957) 38.</w:t>
      </w:r>
    </w:p>
  </w:footnote>
  <w:footnote w:id="1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G. M. Wilson (1969) 34.</w:t>
      </w:r>
    </w:p>
  </w:footnote>
  <w:footnote w:id="1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C. Lebra (org. 1975) 3-8.</w:t>
      </w:r>
    </w:p>
  </w:footnote>
  <w:footnote w:id="1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Benoist-Méchin (1964-1966) IV 60, 66 n. 1, 71; M. Maruyama (1963) 70 n.; R. Storry (1957) 141.</w:t>
      </w:r>
    </w:p>
  </w:footnote>
  <w:footnote w:id="1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R. Storry (1957) 193-194.</w:t>
      </w:r>
    </w:p>
  </w:footnote>
  <w:footnote w:id="16">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J. C. Lebra (org. 1975) xii.</w:t>
      </w:r>
    </w:p>
  </w:footnote>
  <w:footnote w:id="1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xiii, 57.</w:t>
      </w:r>
    </w:p>
  </w:footnote>
  <w:footnote w:id="1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xii, 69; R. Storry (1957) 239.</w:t>
      </w:r>
    </w:p>
  </w:footnote>
  <w:footnote w:id="19">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J. C. Lebra (org. 1975) xiii-xiv, 71-72; R. Storry (1957) 298.</w:t>
      </w:r>
      <w:r>
        <w:rPr>
          <w:rFonts w:ascii="Arial Narrow" w:hAnsi="Arial Narrow"/>
        </w:rPr>
        <w:t xml:space="preserve"> </w:t>
      </w:r>
      <w:r w:rsidRPr="008939F2">
        <w:rPr>
          <w:rFonts w:ascii="Arial Narrow" w:hAnsi="Arial Narrow"/>
        </w:rPr>
        <w:t xml:space="preserve">Na propaganda de guerra em língua inglesa as autoridades nipónicas referiam a </w:t>
      </w:r>
      <w:r w:rsidRPr="008939F2">
        <w:rPr>
          <w:rFonts w:ascii="Arial Narrow" w:hAnsi="Arial Narrow"/>
          <w:i/>
        </w:rPr>
        <w:t>«Greater East Asia»</w:t>
      </w:r>
      <w:r w:rsidRPr="008939F2">
        <w:rPr>
          <w:rFonts w:ascii="Arial Narrow" w:hAnsi="Arial Narrow"/>
        </w:rPr>
        <w:t xml:space="preserve"> e estes têm sido os termos usados depois pelos historiadores. Mas I. Nish em I. C. B. Dear et al. (orgs. 1995) 500-501 explic</w:t>
      </w:r>
      <w:r>
        <w:rPr>
          <w:rFonts w:ascii="Arial Narrow" w:hAnsi="Arial Narrow"/>
        </w:rPr>
        <w:t>ou</w:t>
      </w:r>
      <w:r w:rsidRPr="008939F2">
        <w:rPr>
          <w:rFonts w:ascii="Arial Narrow" w:hAnsi="Arial Narrow"/>
        </w:rPr>
        <w:t xml:space="preserve"> que a língua japonesa não estabelece uma distinção clara entre </w:t>
      </w:r>
      <w:r w:rsidRPr="008939F2">
        <w:rPr>
          <w:rFonts w:ascii="Arial Narrow" w:hAnsi="Arial Narrow"/>
          <w:i/>
        </w:rPr>
        <w:t>grande</w:t>
      </w:r>
      <w:r w:rsidRPr="008939F2">
        <w:rPr>
          <w:rFonts w:ascii="Arial Narrow" w:hAnsi="Arial Narrow"/>
        </w:rPr>
        <w:t xml:space="preserve"> e </w:t>
      </w:r>
      <w:r w:rsidRPr="008939F2">
        <w:rPr>
          <w:rFonts w:ascii="Arial Narrow" w:hAnsi="Arial Narrow"/>
          <w:i/>
        </w:rPr>
        <w:t>maior,</w:t>
      </w:r>
      <w:r w:rsidRPr="008939F2">
        <w:rPr>
          <w:rFonts w:ascii="Arial Narrow" w:hAnsi="Arial Narrow"/>
        </w:rPr>
        <w:t xml:space="preserve"> e acrescent</w:t>
      </w:r>
      <w:r>
        <w:rPr>
          <w:rFonts w:ascii="Arial Narrow" w:hAnsi="Arial Narrow"/>
        </w:rPr>
        <w:t>ou</w:t>
      </w:r>
      <w:r w:rsidRPr="008939F2">
        <w:rPr>
          <w:rFonts w:ascii="Arial Narrow" w:hAnsi="Arial Narrow"/>
        </w:rPr>
        <w:t xml:space="preserve"> que o termo sugeria uma ideia de expansão.</w:t>
      </w:r>
    </w:p>
  </w:footnote>
  <w:footnote w:id="2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F. C. Jones (1954) 195.</w:t>
      </w:r>
    </w:p>
  </w:footnote>
  <w:footnote w:id="2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R. Storry (1990) 208-209.</w:t>
      </w:r>
    </w:p>
  </w:footnote>
  <w:footnote w:id="2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J. C. Lebra (org. 1975) x.</w:t>
      </w:r>
    </w:p>
  </w:footnote>
  <w:footnote w:id="23">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R. Storry (1957) 276, 317-319.</w:t>
      </w:r>
    </w:p>
  </w:footnote>
  <w:footnote w:id="24">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Maruyama (1963) 84 e segs. cham</w:t>
      </w:r>
      <w:r>
        <w:rPr>
          <w:rFonts w:ascii="Arial Narrow" w:hAnsi="Arial Narrow"/>
        </w:rPr>
        <w:t>ou</w:t>
      </w:r>
      <w:r w:rsidRPr="008939F2">
        <w:rPr>
          <w:rFonts w:ascii="Arial Narrow" w:hAnsi="Arial Narrow"/>
        </w:rPr>
        <w:t xml:space="preserve"> a atenção para a completa irracionalidade dos objectivos de guerra japoneses relativamente aos meios militares disponíveis e à planificação das operações.</w:t>
      </w:r>
    </w:p>
  </w:footnote>
  <w:footnote w:id="25">
    <w:p w:rsidR="006947E6" w:rsidRPr="00416CAF" w:rsidRDefault="006947E6" w:rsidP="009A0FA1">
      <w:pPr>
        <w:pStyle w:val="Textodenotaderodap"/>
        <w:ind w:firstLine="708"/>
        <w:rPr>
          <w:rFonts w:ascii="Arial Narrow" w:hAnsi="Arial Narrow"/>
          <w:lang w:val="en-GB"/>
        </w:rPr>
      </w:pPr>
      <w:r w:rsidRPr="008939F2">
        <w:rPr>
          <w:rStyle w:val="Refdenotaderodap"/>
          <w:rFonts w:ascii="Arial Narrow" w:hAnsi="Arial Narrow"/>
        </w:rPr>
        <w:footnoteRef/>
      </w:r>
      <w:r w:rsidRPr="00B91D27">
        <w:rPr>
          <w:rFonts w:ascii="Arial Narrow" w:hAnsi="Arial Narrow"/>
        </w:rPr>
        <w:t xml:space="preserve"> J. C. Lebra (org. 1975) 80. Um mês antes, em 7 de Dezembro de 1941, Ezra Pound dissera aos microfones da Rádio Roma: «E quanto aos australianos, merecem uma invasão nipo-chinesa. Criminosos eram os avôzinhos deles e a sua contribuição para a civilização nem sequer vale uma medalha judaica. Por que raio os chineses e os japoneses não se juntam e limpam esse lixo da Austrália, e implantam um pouco de civilização naquele lugar, isso para mim faz parte do mistério do Oriente». </w:t>
      </w:r>
      <w:r>
        <w:rPr>
          <w:rFonts w:ascii="Arial Narrow" w:hAnsi="Arial Narrow"/>
          <w:lang w:val="en-GB"/>
        </w:rPr>
        <w:t xml:space="preserve">Ver </w:t>
      </w:r>
      <w:r w:rsidRPr="00CB742E">
        <w:rPr>
          <w:rFonts w:ascii="Arial Narrow" w:hAnsi="Arial Narrow"/>
          <w:lang w:val="en-US"/>
        </w:rPr>
        <w:t>L</w:t>
      </w:r>
      <w:r>
        <w:rPr>
          <w:rFonts w:ascii="Arial Narrow" w:hAnsi="Arial Narrow"/>
          <w:lang w:val="en-US"/>
        </w:rPr>
        <w:t xml:space="preserve">. </w:t>
      </w:r>
      <w:r w:rsidRPr="00CB742E">
        <w:rPr>
          <w:rFonts w:ascii="Arial Narrow" w:hAnsi="Arial Narrow"/>
          <w:lang w:val="en-US"/>
        </w:rPr>
        <w:t>W. Doob (org. 1978)</w:t>
      </w:r>
      <w:r>
        <w:rPr>
          <w:rFonts w:ascii="Arial Narrow" w:hAnsi="Arial Narrow"/>
          <w:lang w:val="en-US"/>
        </w:rPr>
        <w:t xml:space="preserve"> 18.</w:t>
      </w:r>
    </w:p>
  </w:footnote>
  <w:footnote w:id="2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G. M. Wilson (1969) 34-35.</w:t>
      </w:r>
    </w:p>
  </w:footnote>
  <w:footnote w:id="2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67.</w:t>
      </w:r>
    </w:p>
  </w:footnote>
  <w:footnote w:id="28">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F. C. Jones (1954) 334, 336; D. J. Steinberg (1967) 47.</w:t>
      </w:r>
    </w:p>
  </w:footnote>
  <w:footnote w:id="29">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J. C. Lebra (org. 1975) 22.</w:t>
      </w:r>
    </w:p>
  </w:footnote>
  <w:footnote w:id="30">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G. M. Wilson (1969) 23, 34.</w:t>
      </w:r>
    </w:p>
  </w:footnote>
  <w:footnote w:id="31">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id., ibid., 35.</w:t>
      </w:r>
    </w:p>
  </w:footnote>
  <w:footnote w:id="32">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8939F2">
        <w:rPr>
          <w:rFonts w:ascii="Arial Narrow" w:hAnsi="Arial Narrow"/>
        </w:rPr>
        <w:t xml:space="preserve"> Para a comparação do expansionismo nipónico com a doutrina Monroe e o </w:t>
      </w:r>
      <w:r w:rsidRPr="008939F2">
        <w:rPr>
          <w:rFonts w:ascii="Arial Narrow" w:hAnsi="Arial Narrow"/>
          <w:i/>
        </w:rPr>
        <w:t>manifest destiny</w:t>
      </w:r>
      <w:r w:rsidRPr="008939F2">
        <w:rPr>
          <w:rFonts w:ascii="Arial Narrow" w:hAnsi="Arial Narrow"/>
        </w:rPr>
        <w:t xml:space="preserve"> consultar Benoist-Méchin (1964-1966) IV 31 n. 1, 44 e N. Chomsky (1969) 183, 204-207. Aliás, o editorial do </w:t>
      </w:r>
      <w:r w:rsidRPr="008939F2">
        <w:rPr>
          <w:rFonts w:ascii="Arial Narrow" w:hAnsi="Arial Narrow"/>
          <w:i/>
        </w:rPr>
        <w:t>San Francisco Examiner</w:t>
      </w:r>
      <w:r>
        <w:rPr>
          <w:rFonts w:ascii="Arial Narrow" w:hAnsi="Arial Narrow"/>
          <w:i/>
        </w:rPr>
        <w:t>,</w:t>
      </w:r>
      <w:r w:rsidRPr="008939F2">
        <w:rPr>
          <w:rFonts w:ascii="Arial Narrow" w:hAnsi="Arial Narrow"/>
        </w:rPr>
        <w:t xml:space="preserve"> 10 de Janeiro de 1932</w:t>
      </w:r>
      <w:r>
        <w:rPr>
          <w:rFonts w:ascii="Arial Narrow" w:hAnsi="Arial Narrow"/>
        </w:rPr>
        <w:t>,</w:t>
      </w:r>
      <w:r w:rsidRPr="008939F2">
        <w:rPr>
          <w:rFonts w:ascii="Arial Narrow" w:hAnsi="Arial Narrow"/>
        </w:rPr>
        <w:t xml:space="preserve"> observ</w:t>
      </w:r>
      <w:r>
        <w:rPr>
          <w:rFonts w:ascii="Arial Narrow" w:hAnsi="Arial Narrow"/>
        </w:rPr>
        <w:t>ou</w:t>
      </w:r>
      <w:r w:rsidRPr="008939F2">
        <w:rPr>
          <w:rFonts w:ascii="Arial Narrow" w:hAnsi="Arial Narrow"/>
        </w:rPr>
        <w:t xml:space="preserve"> aos governantes norte-americanos que «são injustificadas as suas censuras à actuação do Japão na Manchúria, porque os Estados Unidos agiram de modo semelhante relativamente ao México aquando da anexação do Texas». </w:t>
      </w:r>
      <w:r w:rsidRPr="00416CAF">
        <w:rPr>
          <w:rFonts w:ascii="Arial Narrow" w:hAnsi="Arial Narrow"/>
          <w:lang w:val="de-DE"/>
        </w:rPr>
        <w:t>Ver Benoist-Méchin,</w:t>
      </w:r>
      <w:r w:rsidRPr="00526260">
        <w:rPr>
          <w:rFonts w:ascii="Arial Narrow" w:hAnsi="Arial Narrow"/>
          <w:lang w:val="de-DE"/>
        </w:rPr>
        <w:t xml:space="preserve"> op. cit.,</w:t>
      </w:r>
      <w:r w:rsidRPr="00416CAF">
        <w:rPr>
          <w:rFonts w:ascii="Arial Narrow" w:hAnsi="Arial Narrow"/>
          <w:lang w:val="de-DE"/>
        </w:rPr>
        <w:t xml:space="preserve"> IV 29 n. 2.</w:t>
      </w:r>
      <w:r>
        <w:rPr>
          <w:rFonts w:ascii="Arial Narrow" w:hAnsi="Arial Narrow"/>
          <w:lang w:val="de-DE"/>
        </w:rPr>
        <w:t xml:space="preserve"> Como escreveu G. Seldes (1943) 51, a «Ásia para os asiáticos» «é uma Doutrina Monroe».</w:t>
      </w:r>
    </w:p>
  </w:footnote>
  <w:footnote w:id="33">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F. Merk (1963) 116 e segs.</w:t>
      </w:r>
    </w:p>
  </w:footnote>
  <w:footnote w:id="34">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«Nem todos tiveram consciência da ironia que tantas vezes implicava </w:t>
      </w:r>
      <w:r>
        <w:rPr>
          <w:rFonts w:ascii="Arial Narrow" w:hAnsi="Arial Narrow"/>
        </w:rPr>
        <w:t>—</w:t>
      </w:r>
      <w:r w:rsidRPr="008939F2">
        <w:rPr>
          <w:rFonts w:ascii="Arial Narrow" w:hAnsi="Arial Narrow"/>
        </w:rPr>
        <w:t xml:space="preserve"> como no caso do Texas </w:t>
      </w:r>
      <w:r>
        <w:rPr>
          <w:rFonts w:ascii="Arial Narrow" w:hAnsi="Arial Narrow"/>
        </w:rPr>
        <w:t>—</w:t>
      </w:r>
      <w:r w:rsidRPr="008939F2">
        <w:rPr>
          <w:rFonts w:ascii="Arial Narrow" w:hAnsi="Arial Narrow"/>
        </w:rPr>
        <w:t xml:space="preserve"> que ao estender a área da liberdade se ampliasse a do escravismo», observ</w:t>
      </w:r>
      <w:r>
        <w:rPr>
          <w:rFonts w:ascii="Arial Narrow" w:hAnsi="Arial Narrow"/>
        </w:rPr>
        <w:t>ou</w:t>
      </w:r>
      <w:r w:rsidRPr="008939F2">
        <w:rPr>
          <w:rFonts w:ascii="Arial Narrow" w:hAnsi="Arial Narrow"/>
        </w:rPr>
        <w:t xml:space="preserve"> J. Zoraida Vázquez (1981) 810.</w:t>
      </w:r>
    </w:p>
  </w:footnote>
  <w:footnote w:id="3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664D1E">
        <w:rPr>
          <w:rFonts w:ascii="Arial Narrow" w:hAnsi="Arial Narrow"/>
        </w:rPr>
        <w:t xml:space="preserve"> G. M. Wilson (1969) 83. Num livro publicado dois anos antes o eugenista e racista norte-americano Lothrop Stoddard escrevera que o Japão pretendia numa primeira fase «evitar quaisquer novas ingerências brancas no Extremo Oriente graças ao estabelecimento de uma Doutrina Monroe no Extremo Oriente baseada no predomínio japonês e contando, se possível, com o apoio moral dos outros povos do Extremo Oriente». </w:t>
      </w:r>
      <w:r>
        <w:rPr>
          <w:rFonts w:ascii="Arial Narrow" w:hAnsi="Arial Narrow"/>
          <w:lang w:val="en-GB"/>
        </w:rPr>
        <w:t xml:space="preserve">Ver </w:t>
      </w:r>
      <w:r w:rsidRPr="001943DB">
        <w:rPr>
          <w:rFonts w:ascii="Arial Narrow" w:hAnsi="Arial Narrow"/>
          <w:lang w:val="en-US"/>
        </w:rPr>
        <w:t>L. Stoddard (1921)</w:t>
      </w:r>
      <w:r>
        <w:rPr>
          <w:rFonts w:ascii="Arial Narrow" w:hAnsi="Arial Narrow"/>
          <w:lang w:val="en-US"/>
        </w:rPr>
        <w:t xml:space="preserve"> 30-31.</w:t>
      </w:r>
    </w:p>
  </w:footnote>
  <w:footnote w:id="3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C. Lebra (org. 1975) 26-30.</w:t>
      </w:r>
    </w:p>
  </w:footnote>
  <w:footnote w:id="3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119.</w:t>
      </w:r>
    </w:p>
  </w:footnote>
  <w:footnote w:id="38">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Id., ibid., xi, 71-72, 119.</w:t>
      </w:r>
    </w:p>
  </w:footnote>
  <w:footnote w:id="39">
    <w:p w:rsidR="006947E6" w:rsidRPr="007E1999"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7E1999">
        <w:rPr>
          <w:rFonts w:ascii="Arial Narrow" w:hAnsi="Arial Narrow"/>
          <w:lang w:val="en-GB"/>
        </w:rPr>
        <w:t xml:space="preserve"> R. Storry (1990) 194 n.</w:t>
      </w:r>
      <w:r>
        <w:rPr>
          <w:rFonts w:ascii="Arial Narrow" w:hAnsi="Arial Narrow"/>
          <w:lang w:val="en-GB"/>
        </w:rPr>
        <w:t>;</w:t>
      </w:r>
      <w:r w:rsidRPr="007E1999">
        <w:rPr>
          <w:rFonts w:ascii="Arial Narrow" w:hAnsi="Arial Narrow"/>
          <w:lang w:val="en-GB"/>
        </w:rPr>
        <w:t xml:space="preserve"> S. J. Woolf (1968) 136.</w:t>
      </w:r>
    </w:p>
  </w:footnote>
  <w:footnote w:id="40">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F. C. Jones (1954) 331-332.</w:t>
      </w:r>
    </w:p>
  </w:footnote>
  <w:footnote w:id="41">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J. C. Lebra (org. 1975) xi-xii, 29, 32, 34.</w:t>
      </w:r>
    </w:p>
  </w:footnote>
  <w:footnote w:id="4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F. C. Jones (1954) 344.</w:t>
      </w:r>
    </w:p>
  </w:footnote>
  <w:footnote w:id="43">
    <w:p w:rsidR="006947E6" w:rsidRPr="00B16CA0" w:rsidRDefault="006947E6">
      <w:pPr>
        <w:pStyle w:val="Textodenotaderodap"/>
        <w:rPr>
          <w:rFonts w:ascii="Arial Narrow" w:hAnsi="Arial Narrow"/>
          <w:lang w:val="en-US"/>
        </w:rPr>
      </w:pPr>
      <w:r w:rsidRPr="00B26CC8">
        <w:rPr>
          <w:rStyle w:val="Refdenotaderodap"/>
          <w:rFonts w:ascii="Arial Narrow" w:hAnsi="Arial Narrow"/>
        </w:rPr>
        <w:footnoteRef/>
      </w:r>
      <w:r w:rsidRPr="00B16CA0">
        <w:rPr>
          <w:rFonts w:ascii="Arial Narrow" w:hAnsi="Arial Narrow"/>
          <w:lang w:val="en-US"/>
        </w:rPr>
        <w:t xml:space="preserve"> J. Simpson (2011) 372.</w:t>
      </w:r>
    </w:p>
  </w:footnote>
  <w:footnote w:id="4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178.</w:t>
      </w:r>
    </w:p>
  </w:footnote>
  <w:footnote w:id="4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F. C. Jones (1954) 399.</w:t>
      </w:r>
    </w:p>
  </w:footnote>
  <w:footnote w:id="46">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Robert S. Ward transcrito em J. C. Lebra (org. 1975) 154.</w:t>
      </w:r>
    </w:p>
  </w:footnote>
  <w:footnote w:id="47">
    <w:p w:rsidR="006947E6" w:rsidRPr="00CC6156"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8939F2">
        <w:rPr>
          <w:rFonts w:ascii="Arial Narrow" w:hAnsi="Arial Narrow"/>
        </w:rPr>
        <w:t xml:space="preserve"> Citado por R. Holland, «Anti-Imperialism», em I. C. B. Dear et al. </w:t>
      </w:r>
      <w:r w:rsidRPr="00CC6156">
        <w:rPr>
          <w:rFonts w:ascii="Arial Narrow" w:hAnsi="Arial Narrow"/>
          <w:lang w:val="en-GB"/>
        </w:rPr>
        <w:t>(orgs. 1995) 39.</w:t>
      </w:r>
    </w:p>
  </w:footnote>
  <w:footnote w:id="48">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r w:rsidRPr="008F10B6">
        <w:rPr>
          <w:rFonts w:ascii="Arial Narrow" w:hAnsi="Arial Narrow"/>
          <w:lang w:val="en-GB"/>
        </w:rPr>
        <w:t>W. M</w:t>
      </w:r>
      <w:r>
        <w:rPr>
          <w:rFonts w:ascii="Arial Narrow" w:hAnsi="Arial Narrow"/>
          <w:lang w:val="en-GB"/>
        </w:rPr>
        <w:t xml:space="preserve">. </w:t>
      </w:r>
      <w:r w:rsidRPr="008F10B6">
        <w:rPr>
          <w:rFonts w:ascii="Arial Narrow" w:hAnsi="Arial Narrow"/>
          <w:lang w:val="en-GB"/>
        </w:rPr>
        <w:t xml:space="preserve">Ball (1956) </w:t>
      </w:r>
      <w:r w:rsidRPr="00895E13">
        <w:rPr>
          <w:rFonts w:ascii="Arial Narrow" w:hAnsi="Arial Narrow"/>
          <w:lang w:val="en-GB"/>
        </w:rPr>
        <w:t>149</w:t>
      </w:r>
      <w:r>
        <w:rPr>
          <w:rFonts w:ascii="Arial Narrow" w:hAnsi="Arial Narrow"/>
          <w:lang w:val="en-GB"/>
        </w:rPr>
        <w:t xml:space="preserve">; </w:t>
      </w:r>
      <w:r w:rsidRPr="00416CAF">
        <w:rPr>
          <w:rFonts w:ascii="Arial Narrow" w:hAnsi="Arial Narrow"/>
          <w:lang w:val="en-GB"/>
        </w:rPr>
        <w:t>S. L. Mayer (1974) 1096.</w:t>
      </w:r>
    </w:p>
  </w:footnote>
  <w:footnote w:id="49">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F. C. Jones (1954) 375; S. L. Mayer (1974) 1096.</w:t>
      </w:r>
    </w:p>
  </w:footnote>
  <w:footnote w:id="5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C. Lebra (org. 1975) 137; S. Rose (1974) 2263.</w:t>
      </w:r>
    </w:p>
  </w:footnote>
  <w:footnote w:id="5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92.</w:t>
      </w:r>
    </w:p>
  </w:footnote>
  <w:footnote w:id="5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416CAF">
        <w:rPr>
          <w:rFonts w:ascii="Arial Narrow" w:hAnsi="Arial Narrow"/>
          <w:lang w:val="en-GB"/>
        </w:rPr>
        <w:t xml:space="preserve"> B. R. O’G. </w:t>
      </w:r>
      <w:smartTag w:uri="urn:schemas-microsoft-com:office:smarttags" w:element="City">
        <w:smartTag w:uri="urn:schemas-microsoft-com:office:smarttags" w:element="place">
          <w:r w:rsidRPr="00416CAF">
            <w:rPr>
              <w:rFonts w:ascii="Arial Narrow" w:hAnsi="Arial Narrow"/>
              <w:lang w:val="en-GB"/>
            </w:rPr>
            <w:t>Anderson</w:t>
          </w:r>
        </w:smartTag>
      </w:smartTag>
      <w:r w:rsidRPr="00416CAF">
        <w:rPr>
          <w:rFonts w:ascii="Arial Narrow" w:hAnsi="Arial Narrow"/>
          <w:lang w:val="en-GB"/>
        </w:rPr>
        <w:t xml:space="preserve"> (1966) 37 n. 28; Th. </w:t>
      </w:r>
      <w:r w:rsidRPr="008939F2">
        <w:rPr>
          <w:rFonts w:ascii="Arial Narrow" w:hAnsi="Arial Narrow"/>
        </w:rPr>
        <w:t>Friend (1988) 92.</w:t>
      </w:r>
    </w:p>
  </w:footnote>
  <w:footnote w:id="53">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Th. Friend (1988) 92-93.</w:t>
      </w:r>
    </w:p>
  </w:footnote>
  <w:footnote w:id="54">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94; Kishi Koichi e Nishijima Shigetada em J. C. Lebra (org. 1975) 136-138. Todavia, Maruyama Shizuo em id., ibid., 173 consider</w:t>
      </w:r>
      <w:r>
        <w:rPr>
          <w:rFonts w:ascii="Arial Narrow" w:hAnsi="Arial Narrow"/>
        </w:rPr>
        <w:t>ou</w:t>
      </w:r>
      <w:r w:rsidRPr="008939F2">
        <w:rPr>
          <w:rFonts w:ascii="Arial Narrow" w:hAnsi="Arial Narrow"/>
        </w:rPr>
        <w:t xml:space="preserve"> que aquela mobilização de massas caracteriz</w:t>
      </w:r>
      <w:r>
        <w:rPr>
          <w:rFonts w:ascii="Arial Narrow" w:hAnsi="Arial Narrow"/>
        </w:rPr>
        <w:t>ara</w:t>
      </w:r>
      <w:r w:rsidRPr="008939F2">
        <w:rPr>
          <w:rFonts w:ascii="Arial Narrow" w:hAnsi="Arial Narrow"/>
        </w:rPr>
        <w:t xml:space="preserve"> a actuação das autoridades nipónicas em todos os antigos territórios colonizados.</w:t>
      </w:r>
    </w:p>
  </w:footnote>
  <w:footnote w:id="5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Th. Friend (1988) 91; Kishi Koichi e Nishijima Shigetada em J. C. Lebra (org. 1975) 138. Em sentido oposto, B. R. O’G. Anderson (1966) </w:t>
      </w:r>
      <w:r w:rsidRPr="008939F2">
        <w:rPr>
          <w:rFonts w:ascii="Arial Narrow" w:hAnsi="Arial Narrow"/>
          <w:i/>
        </w:rPr>
        <w:t>passim</w:t>
      </w:r>
      <w:r w:rsidRPr="008939F2">
        <w:rPr>
          <w:rFonts w:ascii="Arial Narrow" w:hAnsi="Arial Narrow"/>
        </w:rPr>
        <w:t xml:space="preserve"> sustent</w:t>
      </w:r>
      <w:r>
        <w:rPr>
          <w:rFonts w:ascii="Arial Narrow" w:hAnsi="Arial Narrow"/>
        </w:rPr>
        <w:t>ou</w:t>
      </w:r>
      <w:r w:rsidRPr="008939F2">
        <w:rPr>
          <w:rFonts w:ascii="Arial Narrow" w:hAnsi="Arial Narrow"/>
        </w:rPr>
        <w:t xml:space="preserve"> que a elite burocrática nativa usada pelos colonialistas holandeses revel</w:t>
      </w:r>
      <w:r>
        <w:rPr>
          <w:rFonts w:ascii="Arial Narrow" w:hAnsi="Arial Narrow"/>
        </w:rPr>
        <w:t>ara</w:t>
      </w:r>
      <w:r w:rsidRPr="008939F2">
        <w:rPr>
          <w:rFonts w:ascii="Arial Narrow" w:hAnsi="Arial Narrow"/>
        </w:rPr>
        <w:t xml:space="preserve"> um enorme poder de adaptação, continuando a constituir a camada dominante durante a ocupação nipónica e conseguindo manter ou mesmo reforçar os seus privilégios depois da independência. Segundo este autor, os problemas decorrentes da necessidade de governar as Índias Orientais teriam levado à existência de um elevado grau de continuidade entre a colonização holandesa e a ocupação japonesa.</w:t>
      </w:r>
    </w:p>
  </w:footnote>
  <w:footnote w:id="56">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95; «Java», em I. C. B. Dear et al. (orgs. 1995) 637; J. C. Lebra (org. 1975) 137; S. Rose (1974) 2263.</w:t>
      </w:r>
    </w:p>
  </w:footnote>
  <w:footnote w:id="5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 R. O’G. </w:t>
      </w:r>
      <w:smartTag w:uri="urn:schemas-microsoft-com:office:smarttags" w:element="City">
        <w:smartTag w:uri="urn:schemas-microsoft-com:office:smarttags" w:element="place">
          <w:r w:rsidRPr="00416CAF">
            <w:rPr>
              <w:rFonts w:ascii="Arial Narrow" w:hAnsi="Arial Narrow"/>
              <w:lang w:val="en-GB"/>
            </w:rPr>
            <w:t>Anderson</w:t>
          </w:r>
        </w:smartTag>
      </w:smartTag>
      <w:r w:rsidRPr="00416CAF">
        <w:rPr>
          <w:rFonts w:ascii="Arial Narrow" w:hAnsi="Arial Narrow"/>
          <w:lang w:val="en-GB"/>
        </w:rPr>
        <w:t xml:space="preserve"> (1966) 28-29; Th. Friend (1988) 162 e segs.</w:t>
      </w:r>
    </w:p>
  </w:footnote>
  <w:footnote w:id="5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 R. O’G. </w:t>
      </w:r>
      <w:smartTag w:uri="urn:schemas-microsoft-com:office:smarttags" w:element="City">
        <w:smartTag w:uri="urn:schemas-microsoft-com:office:smarttags" w:element="place">
          <w:r w:rsidRPr="00416CAF">
            <w:rPr>
              <w:rFonts w:ascii="Arial Narrow" w:hAnsi="Arial Narrow"/>
              <w:lang w:val="en-GB"/>
            </w:rPr>
            <w:t>Anderson</w:t>
          </w:r>
        </w:smartTag>
      </w:smartTag>
      <w:r w:rsidRPr="00416CAF">
        <w:rPr>
          <w:rFonts w:ascii="Arial Narrow" w:hAnsi="Arial Narrow"/>
          <w:lang w:val="en-GB"/>
        </w:rPr>
        <w:t xml:space="preserve"> (1966) 36 n. 20; Th. </w:t>
      </w:r>
      <w:r w:rsidRPr="00A1546C">
        <w:rPr>
          <w:rFonts w:ascii="Arial Narrow" w:hAnsi="Arial Narrow"/>
          <w:lang w:val="en-US"/>
        </w:rPr>
        <w:t xml:space="preserve">Friend (1988) 97-98, 170-171; «Java», em I. C. B. Dear et al. </w:t>
      </w:r>
      <w:r w:rsidRPr="00416CAF">
        <w:rPr>
          <w:rFonts w:ascii="Arial Narrow" w:hAnsi="Arial Narrow"/>
          <w:lang w:val="en-GB"/>
        </w:rPr>
        <w:t>(orgs. 1995) 637; F. C. Jones (1954) 378.</w:t>
      </w:r>
    </w:p>
  </w:footnote>
  <w:footnote w:id="5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 R. O’G. </w:t>
      </w:r>
      <w:smartTag w:uri="urn:schemas-microsoft-com:office:smarttags" w:element="City">
        <w:smartTag w:uri="urn:schemas-microsoft-com:office:smarttags" w:element="place">
          <w:r w:rsidRPr="00416CAF">
            <w:rPr>
              <w:rFonts w:ascii="Arial Narrow" w:hAnsi="Arial Narrow"/>
              <w:lang w:val="en-GB"/>
            </w:rPr>
            <w:t>Anderson</w:t>
          </w:r>
        </w:smartTag>
      </w:smartTag>
      <w:r w:rsidRPr="00416CAF">
        <w:rPr>
          <w:rFonts w:ascii="Arial Narrow" w:hAnsi="Arial Narrow"/>
          <w:lang w:val="en-GB"/>
        </w:rPr>
        <w:t xml:space="preserve"> (1966) 36 n. 20; Th. Friend (1988) 97.</w:t>
      </w:r>
    </w:p>
  </w:footnote>
  <w:footnote w:id="6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94.</w:t>
      </w:r>
    </w:p>
  </w:footnote>
  <w:footnote w:id="6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 R. O’G. </w:t>
      </w:r>
      <w:smartTag w:uri="urn:schemas-microsoft-com:office:smarttags" w:element="City">
        <w:smartTag w:uri="urn:schemas-microsoft-com:office:smarttags" w:element="place">
          <w:r w:rsidRPr="00416CAF">
            <w:rPr>
              <w:rFonts w:ascii="Arial Narrow" w:hAnsi="Arial Narrow"/>
              <w:lang w:val="en-GB"/>
            </w:rPr>
            <w:t>Anderson</w:t>
          </w:r>
        </w:smartTag>
      </w:smartTag>
      <w:r w:rsidRPr="00416CAF">
        <w:rPr>
          <w:rFonts w:ascii="Arial Narrow" w:hAnsi="Arial Narrow"/>
          <w:lang w:val="en-GB"/>
        </w:rPr>
        <w:t xml:space="preserve"> (1966) 26; Th. Friend (1988) 169.</w:t>
      </w:r>
    </w:p>
  </w:footnote>
  <w:footnote w:id="6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175 e segs.; F. C. Jones (1954) 375.</w:t>
      </w:r>
    </w:p>
  </w:footnote>
  <w:footnote w:id="63">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416CAF">
        <w:rPr>
          <w:rFonts w:ascii="Arial Narrow" w:hAnsi="Arial Narrow"/>
          <w:lang w:val="en-GB"/>
        </w:rPr>
        <w:t xml:space="preserve"> Th. Friend (1988) 83; F. C. Jones (1954) 375; J. C. Lebra (org. 1975) 139; S. Rose (1974) 2263. </w:t>
      </w:r>
      <w:r w:rsidRPr="008939F2">
        <w:rPr>
          <w:rFonts w:ascii="Arial Narrow" w:hAnsi="Arial Narrow"/>
        </w:rPr>
        <w:t xml:space="preserve">Todavia, </w:t>
      </w:r>
      <w:r>
        <w:rPr>
          <w:rFonts w:ascii="Arial Narrow" w:hAnsi="Arial Narrow"/>
        </w:rPr>
        <w:t xml:space="preserve">segundo </w:t>
      </w:r>
      <w:r w:rsidRPr="008939F2">
        <w:rPr>
          <w:rFonts w:ascii="Arial Narrow" w:hAnsi="Arial Narrow"/>
        </w:rPr>
        <w:t>Theodore Friend</w:t>
      </w:r>
      <w:r>
        <w:rPr>
          <w:rFonts w:ascii="Arial Narrow" w:hAnsi="Arial Narrow"/>
        </w:rPr>
        <w:t>,</w:t>
      </w:r>
      <w:r w:rsidRPr="008939F2">
        <w:rPr>
          <w:rFonts w:ascii="Arial Narrow" w:hAnsi="Arial Narrow"/>
        </w:rPr>
        <w:t xml:space="preserve"> </w:t>
      </w:r>
      <w:r w:rsidRPr="00B034F6">
        <w:rPr>
          <w:rFonts w:ascii="Arial Narrow" w:hAnsi="Arial Narrow"/>
        </w:rPr>
        <w:t>op. cit.,</w:t>
      </w:r>
      <w:r w:rsidRPr="008939F2">
        <w:rPr>
          <w:rFonts w:ascii="Arial Narrow" w:hAnsi="Arial Narrow"/>
        </w:rPr>
        <w:t xml:space="preserve"> 82-83 n. 21</w:t>
      </w:r>
      <w:r>
        <w:rPr>
          <w:rFonts w:ascii="Arial Narrow" w:hAnsi="Arial Narrow"/>
        </w:rPr>
        <w:t>,</w:t>
      </w:r>
      <w:r w:rsidRPr="008939F2">
        <w:rPr>
          <w:rFonts w:ascii="Arial Narrow" w:hAnsi="Arial Narrow"/>
        </w:rPr>
        <w:t xml:space="preserve"> a versão </w:t>
      </w:r>
      <w:r>
        <w:rPr>
          <w:rFonts w:ascii="Arial Narrow" w:hAnsi="Arial Narrow"/>
        </w:rPr>
        <w:t xml:space="preserve">que pretende </w:t>
      </w:r>
      <w:r w:rsidRPr="008939F2">
        <w:rPr>
          <w:rFonts w:ascii="Arial Narrow" w:hAnsi="Arial Narrow"/>
        </w:rPr>
        <w:t>que Sukarno e Hatta, enquanto colaboravam com os japoneses, se mantinham em contacto com Sjahrir, o qual organizaria a resistência clandestina, consoante uma divisão de tarefas combinada entre eles, destina</w:t>
      </w:r>
      <w:r>
        <w:rPr>
          <w:rFonts w:ascii="Arial Narrow" w:hAnsi="Arial Narrow"/>
        </w:rPr>
        <w:t>r</w:t>
      </w:r>
      <w:r w:rsidRPr="008939F2">
        <w:rPr>
          <w:rFonts w:ascii="Arial Narrow" w:hAnsi="Arial Narrow"/>
        </w:rPr>
        <w:t>a</w:t>
      </w:r>
      <w:r>
        <w:rPr>
          <w:rFonts w:ascii="Arial Narrow" w:hAnsi="Arial Narrow"/>
        </w:rPr>
        <w:t>-se</w:t>
      </w:r>
      <w:r w:rsidRPr="008939F2">
        <w:rPr>
          <w:rFonts w:ascii="Arial Narrow" w:hAnsi="Arial Narrow"/>
        </w:rPr>
        <w:t xml:space="preserve"> a atenuar as responsabilidades da facção colaboracionista e a fazer crer que todos os nacionalistas haviam estado unidos. Trat</w:t>
      </w:r>
      <w:r>
        <w:rPr>
          <w:rFonts w:ascii="Arial Narrow" w:hAnsi="Arial Narrow"/>
        </w:rPr>
        <w:t>ou</w:t>
      </w:r>
      <w:r w:rsidRPr="008939F2">
        <w:rPr>
          <w:rFonts w:ascii="Arial Narrow" w:hAnsi="Arial Narrow"/>
        </w:rPr>
        <w:t>-se de uma versão típica do pós-guerra, conclui</w:t>
      </w:r>
      <w:r>
        <w:rPr>
          <w:rFonts w:ascii="Arial Narrow" w:hAnsi="Arial Narrow"/>
        </w:rPr>
        <w:t>u</w:t>
      </w:r>
      <w:r w:rsidRPr="008939F2">
        <w:rPr>
          <w:rFonts w:ascii="Arial Narrow" w:hAnsi="Arial Narrow"/>
        </w:rPr>
        <w:t xml:space="preserve"> Friend.</w:t>
      </w:r>
    </w:p>
  </w:footnote>
  <w:footnote w:id="6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105-106; F. C. Jones (1954) 376.</w:t>
      </w:r>
    </w:p>
  </w:footnote>
  <w:footnote w:id="6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 R. O’G. </w:t>
      </w:r>
      <w:smartTag w:uri="urn:schemas-microsoft-com:office:smarttags" w:element="City">
        <w:smartTag w:uri="urn:schemas-microsoft-com:office:smarttags" w:element="place">
          <w:r w:rsidRPr="00416CAF">
            <w:rPr>
              <w:rFonts w:ascii="Arial Narrow" w:hAnsi="Arial Narrow"/>
              <w:lang w:val="en-GB"/>
            </w:rPr>
            <w:t>Anderson</w:t>
          </w:r>
        </w:smartTag>
      </w:smartTag>
      <w:r w:rsidRPr="00416CAF">
        <w:rPr>
          <w:rFonts w:ascii="Arial Narrow" w:hAnsi="Arial Narrow"/>
          <w:lang w:val="en-GB"/>
        </w:rPr>
        <w:t xml:space="preserve"> (1966) 18, 33 n. 13; Th. </w:t>
      </w:r>
      <w:r w:rsidRPr="00A1546C">
        <w:rPr>
          <w:rFonts w:ascii="Arial Narrow" w:hAnsi="Arial Narrow"/>
          <w:lang w:val="en-US"/>
        </w:rPr>
        <w:t xml:space="preserve">Friend (1988) 97; «Java», em I. C. B. Dear et al. </w:t>
      </w:r>
      <w:r w:rsidRPr="00416CAF">
        <w:rPr>
          <w:rFonts w:ascii="Arial Narrow" w:hAnsi="Arial Narrow"/>
          <w:lang w:val="en-GB"/>
        </w:rPr>
        <w:t>(orgs. 1995) 637; F. C. Jones (1954) 378.</w:t>
      </w:r>
    </w:p>
  </w:footnote>
  <w:footnote w:id="6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107; F. C. Jones (1954) 379.</w:t>
      </w:r>
    </w:p>
  </w:footnote>
  <w:footnote w:id="6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 R. O’G. </w:t>
      </w:r>
      <w:smartTag w:uri="urn:schemas-microsoft-com:office:smarttags" w:element="City">
        <w:smartTag w:uri="urn:schemas-microsoft-com:office:smarttags" w:element="place">
          <w:r w:rsidRPr="00416CAF">
            <w:rPr>
              <w:rFonts w:ascii="Arial Narrow" w:hAnsi="Arial Narrow"/>
              <w:lang w:val="en-GB"/>
            </w:rPr>
            <w:t>Anderson</w:t>
          </w:r>
        </w:smartTag>
      </w:smartTag>
      <w:r w:rsidRPr="00416CAF">
        <w:rPr>
          <w:rFonts w:ascii="Arial Narrow" w:hAnsi="Arial Narrow"/>
          <w:lang w:val="en-GB"/>
        </w:rPr>
        <w:t xml:space="preserve"> (1966) 37-38 n. 28; Th. Friend (1988) 109, 114.</w:t>
      </w:r>
    </w:p>
  </w:footnote>
  <w:footnote w:id="6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65, 114-115; F. C. Jones (1954) 380-381. </w:t>
      </w:r>
      <w:r w:rsidRPr="008939F2">
        <w:rPr>
          <w:rFonts w:ascii="Arial Narrow" w:hAnsi="Arial Narrow"/>
        </w:rPr>
        <w:t>Ainda com a patente de general, Terauchi Hisaichi fora nomeado ministro da Guerra a seguir à supressão da revolta de Fevereiro de 1936, o que o situa entre as figuras eminentes da facção Controlo. Ver a este respeito R. Storry (1957) 192. No entanto, id. (1990) 219 pretende</w:t>
      </w:r>
      <w:r>
        <w:rPr>
          <w:rFonts w:ascii="Arial Narrow" w:hAnsi="Arial Narrow"/>
        </w:rPr>
        <w:t>u</w:t>
      </w:r>
      <w:r w:rsidRPr="008939F2">
        <w:rPr>
          <w:rFonts w:ascii="Arial Narrow" w:hAnsi="Arial Narrow"/>
        </w:rPr>
        <w:t xml:space="preserve"> que o marechal Terauchi era indiferente ao movimento de emancipação colonial e deduz</w:t>
      </w:r>
      <w:r>
        <w:rPr>
          <w:rFonts w:ascii="Arial Narrow" w:hAnsi="Arial Narrow"/>
        </w:rPr>
        <w:t>iu</w:t>
      </w:r>
      <w:r w:rsidRPr="008939F2">
        <w:rPr>
          <w:rFonts w:ascii="Arial Narrow" w:hAnsi="Arial Narrow"/>
        </w:rPr>
        <w:t>, a partir daí, que a estratégia de concessão de independências prosseguida pelo Japão na Esfera da Co-Prosperidade teria sido uma mera demagogia. Os factos provam abundantemente o contrário e este episódio revela que Terauchi participou nessa política. Aliás, nas suas Memórias Ba Maw record</w:t>
      </w:r>
      <w:r>
        <w:rPr>
          <w:rFonts w:ascii="Arial Narrow" w:hAnsi="Arial Narrow"/>
        </w:rPr>
        <w:t>ou</w:t>
      </w:r>
      <w:r w:rsidRPr="008939F2">
        <w:rPr>
          <w:rFonts w:ascii="Arial Narrow" w:hAnsi="Arial Narrow"/>
        </w:rPr>
        <w:t xml:space="preserve"> que Terauchi era sensível ao ponto de vista dos demais povos asiáticos e se interessava pelo seu destino. </w:t>
      </w:r>
      <w:r w:rsidRPr="00416CAF">
        <w:rPr>
          <w:rFonts w:ascii="Arial Narrow" w:hAnsi="Arial Narrow"/>
          <w:lang w:val="en-GB"/>
        </w:rPr>
        <w:t>Ver Ba (1968) 308-309.</w:t>
      </w:r>
    </w:p>
  </w:footnote>
  <w:footnote w:id="69">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416CAF">
        <w:rPr>
          <w:rFonts w:ascii="Arial Narrow" w:hAnsi="Arial Narrow"/>
          <w:lang w:val="en-GB"/>
        </w:rPr>
        <w:t xml:space="preserve"> B. R. O’G. Anderson (1966) 38 n. 28 cont.; Th. Friend (1988) 118-120; «Java» e «Sukarno, Achmad», em I. C. B. Dear et al. </w:t>
      </w:r>
      <w:r w:rsidRPr="008939F2">
        <w:rPr>
          <w:rFonts w:ascii="Arial Narrow" w:hAnsi="Arial Narrow"/>
        </w:rPr>
        <w:t>(orgs. 1995) 637, 1091; F. C. Jones (1954) 381-382.</w:t>
      </w:r>
    </w:p>
  </w:footnote>
  <w:footnote w:id="70">
    <w:p w:rsidR="006947E6" w:rsidRPr="009F4F6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9F4F62">
        <w:rPr>
          <w:rFonts w:ascii="Arial Narrow" w:hAnsi="Arial Narrow"/>
        </w:rPr>
        <w:t xml:space="preserve"> Ba (1968) 339.</w:t>
      </w:r>
    </w:p>
  </w:footnote>
  <w:footnote w:id="71">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A. O. Liberato [s. d.] 34 e segs., 51 e segs.; F. Nogueira [1977-1985] III 364, 375.</w:t>
      </w:r>
    </w:p>
  </w:footnote>
  <w:footnote w:id="72">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A. O. Liberato [s. d.] 30, 61, 66-68.</w:t>
      </w:r>
    </w:p>
  </w:footnote>
  <w:footnote w:id="73">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17; F. Nogueira [1977-1985] III 242-243, 245, 253.</w:t>
      </w:r>
    </w:p>
  </w:footnote>
  <w:footnote w:id="74">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A. O. Liberato [s. d.] 58.</w:t>
      </w:r>
    </w:p>
  </w:footnote>
  <w:footnote w:id="7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P. Braga [s. d.] 20-21.</w:t>
      </w:r>
    </w:p>
  </w:footnote>
  <w:footnote w:id="76">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A. O. Liberato [s. d.] 58-59, 78-81, 86 e segs., 209 e segs.</w:t>
      </w:r>
    </w:p>
  </w:footnote>
  <w:footnote w:id="77">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86 e segs., 109 e segs.</w:t>
      </w:r>
    </w:p>
  </w:footnote>
  <w:footnote w:id="78">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116.</w:t>
      </w:r>
    </w:p>
  </w:footnote>
  <w:footnote w:id="79">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222.</w:t>
      </w:r>
    </w:p>
  </w:footnote>
  <w:footnote w:id="80">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74-75, 184-185, 188.</w:t>
      </w:r>
    </w:p>
  </w:footnote>
  <w:footnote w:id="81">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69-70.</w:t>
      </w:r>
    </w:p>
  </w:footnote>
  <w:footnote w:id="82">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187, 200-204.</w:t>
      </w:r>
    </w:p>
  </w:footnote>
  <w:footnote w:id="83">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188-189, 204-205, 238-240.</w:t>
      </w:r>
    </w:p>
  </w:footnote>
  <w:footnote w:id="84">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189 e segs., 231 e segs.</w:t>
      </w:r>
    </w:p>
  </w:footnote>
  <w:footnote w:id="85">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D. J. Steinberg (1967) 23-24.</w:t>
      </w:r>
    </w:p>
  </w:footnote>
  <w:footnote w:id="86">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Id., ibid., 24.</w:t>
      </w:r>
    </w:p>
  </w:footnote>
  <w:footnote w:id="87">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Th. Friend (1988) 99-100. Todavia, D. J. Steinberg (1967) 23 identific</w:t>
      </w:r>
      <w:r>
        <w:rPr>
          <w:rFonts w:ascii="Arial Narrow" w:hAnsi="Arial Narrow"/>
        </w:rPr>
        <w:t>ou</w:t>
      </w:r>
      <w:r w:rsidRPr="008939F2">
        <w:rPr>
          <w:rFonts w:ascii="Arial Narrow" w:hAnsi="Arial Narrow"/>
        </w:rPr>
        <w:t xml:space="preserve"> a oligarquia favorável a Franco com aquela que apoiava o militarismo nipónico.</w:t>
      </w:r>
    </w:p>
  </w:footnote>
  <w:footnote w:id="88">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en-GB"/>
        </w:rPr>
        <w:t xml:space="preserve"> H. W. Brands, «</w:t>
      </w:r>
      <w:smartTag w:uri="urn:schemas-microsoft-com:office:smarttags" w:element="country-region">
        <w:smartTag w:uri="urn:schemas-microsoft-com:office:smarttags" w:element="place">
          <w:r w:rsidRPr="00416CAF">
            <w:rPr>
              <w:rFonts w:ascii="Arial Narrow" w:hAnsi="Arial Narrow"/>
              <w:lang w:val="en-GB"/>
            </w:rPr>
            <w:t>Philippines</w:t>
          </w:r>
        </w:smartTag>
      </w:smartTag>
      <w:r w:rsidRPr="00416CAF">
        <w:rPr>
          <w:rFonts w:ascii="Arial Narrow" w:hAnsi="Arial Narrow"/>
          <w:lang w:val="en-GB"/>
        </w:rPr>
        <w:t xml:space="preserve">», em I. C. B. Dear et al. (orgs. </w:t>
      </w:r>
      <w:r w:rsidRPr="00416CAF">
        <w:rPr>
          <w:rFonts w:ascii="Arial Narrow" w:hAnsi="Arial Narrow"/>
          <w:lang w:val="de-DE"/>
        </w:rPr>
        <w:t>1995) 878; M. E. Buenafe (1950) 69, 74, 136; Th. Friend (1988) 86; D. J. Steinberg (1967) 27, 35, 37.</w:t>
      </w:r>
    </w:p>
  </w:footnote>
  <w:footnote w:id="89">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D. J. Steinberg (1967) 35, 50-51, 60.</w:t>
      </w:r>
    </w:p>
  </w:footnote>
  <w:footnote w:id="90">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w:t>
      </w:r>
      <w:r w:rsidRPr="00610A88">
        <w:rPr>
          <w:rFonts w:ascii="Arial Narrow" w:hAnsi="Arial Narrow"/>
          <w:lang w:val="de-DE"/>
        </w:rPr>
        <w:t xml:space="preserve">W. M. Ball (1956) </w:t>
      </w:r>
      <w:r w:rsidRPr="00610A88">
        <w:rPr>
          <w:rFonts w:ascii="Arial Narrow" w:hAnsi="Arial Narrow"/>
          <w:lang w:val="en-GB"/>
        </w:rPr>
        <w:t>106</w:t>
      </w:r>
      <w:r>
        <w:rPr>
          <w:rFonts w:ascii="Arial Narrow" w:hAnsi="Arial Narrow"/>
          <w:lang w:val="de-DE"/>
        </w:rPr>
        <w:t xml:space="preserve">; </w:t>
      </w:r>
      <w:r w:rsidRPr="00416CAF">
        <w:rPr>
          <w:rFonts w:ascii="Arial Narrow" w:hAnsi="Arial Narrow"/>
          <w:lang w:val="de-DE"/>
        </w:rPr>
        <w:t>Th. Friend (1988) 179-180; D. Steinberg (1966) 68; id. (1967) 36-37.</w:t>
      </w:r>
    </w:p>
  </w:footnote>
  <w:footnote w:id="91">
    <w:p w:rsidR="006947E6" w:rsidRPr="00016FD9" w:rsidRDefault="006947E6" w:rsidP="00A1546C">
      <w:pPr>
        <w:pStyle w:val="Textodenotaderodap"/>
        <w:rPr>
          <w:rFonts w:ascii="Arial Narrow" w:hAnsi="Arial Narrow"/>
          <w:lang w:val="de-DE"/>
        </w:rPr>
      </w:pPr>
      <w:r w:rsidRPr="00016FD9">
        <w:rPr>
          <w:rStyle w:val="Refdenotaderodap"/>
          <w:rFonts w:ascii="Arial Narrow" w:hAnsi="Arial Narrow"/>
        </w:rPr>
        <w:footnoteRef/>
      </w:r>
      <w:r w:rsidRPr="00016FD9">
        <w:rPr>
          <w:rFonts w:ascii="Arial Narrow" w:hAnsi="Arial Narrow"/>
          <w:lang w:val="de-DE"/>
        </w:rPr>
        <w:t xml:space="preserve"> W. M. Ball (1956)</w:t>
      </w:r>
      <w:r>
        <w:rPr>
          <w:rFonts w:ascii="Arial Narrow" w:hAnsi="Arial Narrow"/>
          <w:lang w:val="de-DE"/>
        </w:rPr>
        <w:t xml:space="preserve"> 107.</w:t>
      </w:r>
    </w:p>
  </w:footnote>
  <w:footnote w:id="92">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M. E. Buenafe (1950) 134-135; D. J. Steinberg (1967) 60.</w:t>
      </w:r>
    </w:p>
  </w:footnote>
  <w:footnote w:id="93">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D. J. Steinberg (1967) 83.</w:t>
      </w:r>
    </w:p>
  </w:footnote>
  <w:footnote w:id="94">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M. E. Buenafe (1950) 139; Th. Friend (1988) 88; D. J. Steinberg (1967) 62.</w:t>
      </w:r>
    </w:p>
  </w:footnote>
  <w:footnote w:id="95">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F. C. Jones (1954) 361; D. J. Steinberg (1967) 62.</w:t>
      </w:r>
    </w:p>
  </w:footnote>
  <w:footnote w:id="96">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D. J. Steinberg (1967) 52-53.</w:t>
      </w:r>
    </w:p>
  </w:footnote>
  <w:footnote w:id="97">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H. W. Brands, «Philippines», em I. C. B. Dear et al. (orgs. 1995) 878.</w:t>
      </w:r>
    </w:p>
  </w:footnote>
  <w:footnote w:id="98">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D. J. Steinberg (1967) 83.</w:t>
      </w:r>
    </w:p>
  </w:footnote>
  <w:footnote w:id="9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de-DE"/>
        </w:rPr>
        <w:t xml:space="preserve"> M. E. Buenafe (1950) 209-210, 213-214; Th. </w:t>
      </w:r>
      <w:r w:rsidRPr="00416CAF">
        <w:rPr>
          <w:rFonts w:ascii="Arial Narrow" w:hAnsi="Arial Narrow"/>
          <w:lang w:val="en-GB"/>
        </w:rPr>
        <w:t>Friend (1988) 86-87, 89; D. J. Steinberg (1967) 23, 64-65, 74, 76-80.</w:t>
      </w:r>
    </w:p>
  </w:footnote>
  <w:footnote w:id="10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167-168.</w:t>
      </w:r>
    </w:p>
  </w:footnote>
  <w:footnote w:id="10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123-125, 128-130, 171.</w:t>
      </w:r>
    </w:p>
  </w:footnote>
  <w:footnote w:id="102">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Id., ibid., 173, 209; D. J. Steinberg (1967) 60.</w:t>
      </w:r>
    </w:p>
  </w:footnote>
  <w:footnote w:id="103">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Th. Friend (1988) 127; F. C. Jones (1954) 359; D. J. Steinberg (1967) 40, 50, 60.</w:t>
      </w:r>
    </w:p>
  </w:footnote>
  <w:footnote w:id="104">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D. J. Steinberg (1967) 23, 50, 60, 63-64.</w:t>
      </w:r>
    </w:p>
  </w:footnote>
  <w:footnote w:id="10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Th. Friend (1988) 88.</w:t>
      </w:r>
    </w:p>
  </w:footnote>
  <w:footnote w:id="10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130, 173.</w:t>
      </w:r>
    </w:p>
  </w:footnote>
  <w:footnote w:id="10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130, 171-174.</w:t>
      </w:r>
    </w:p>
  </w:footnote>
  <w:footnote w:id="108">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M. E. Buenafe (1950) 181-182; Th. Friend (1988) 101; D. J. Steinberg (1967) 61.</w:t>
      </w:r>
    </w:p>
  </w:footnote>
  <w:footnote w:id="109">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D. J. Steinberg (1967) 25.</w:t>
      </w:r>
    </w:p>
  </w:footnote>
  <w:footnote w:id="110">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F. C. Jones (1954) 359.</w:t>
      </w:r>
    </w:p>
  </w:footnote>
  <w:footnote w:id="11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de-DE"/>
        </w:rPr>
        <w:t xml:space="preserve"> </w:t>
      </w:r>
      <w:r w:rsidRPr="00645AD2">
        <w:rPr>
          <w:rFonts w:ascii="Arial Narrow" w:hAnsi="Arial Narrow"/>
          <w:lang w:val="de-DE"/>
        </w:rPr>
        <w:t>W. M</w:t>
      </w:r>
      <w:r>
        <w:rPr>
          <w:rFonts w:ascii="Arial Narrow" w:hAnsi="Arial Narrow"/>
          <w:lang w:val="de-DE"/>
        </w:rPr>
        <w:t xml:space="preserve">. </w:t>
      </w:r>
      <w:r w:rsidRPr="00645AD2">
        <w:rPr>
          <w:rFonts w:ascii="Arial Narrow" w:hAnsi="Arial Narrow"/>
          <w:lang w:val="de-DE"/>
        </w:rPr>
        <w:t xml:space="preserve">Ball (1956) 102-103; </w:t>
      </w:r>
      <w:r w:rsidRPr="00416CAF">
        <w:rPr>
          <w:rFonts w:ascii="Arial Narrow" w:hAnsi="Arial Narrow"/>
          <w:lang w:val="de-DE"/>
        </w:rPr>
        <w:t xml:space="preserve">D. Steinberg (1966) 75; id. </w:t>
      </w:r>
      <w:r w:rsidRPr="00416CAF">
        <w:rPr>
          <w:rFonts w:ascii="Arial Narrow" w:hAnsi="Arial Narrow"/>
          <w:lang w:val="en-GB"/>
        </w:rPr>
        <w:t>(1967) 93.</w:t>
      </w:r>
    </w:p>
  </w:footnote>
  <w:footnote w:id="112">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en-GB"/>
        </w:rPr>
        <w:t xml:space="preserve"> </w:t>
      </w:r>
      <w:r w:rsidRPr="00AE4231">
        <w:rPr>
          <w:rFonts w:ascii="Arial Narrow" w:hAnsi="Arial Narrow"/>
          <w:lang w:val="en-GB"/>
        </w:rPr>
        <w:t xml:space="preserve">W. M. Ball (1956) </w:t>
      </w:r>
      <w:r>
        <w:rPr>
          <w:rFonts w:ascii="Arial Narrow" w:hAnsi="Arial Narrow"/>
          <w:lang w:val="en-GB"/>
        </w:rPr>
        <w:t xml:space="preserve">107; </w:t>
      </w:r>
      <w:r w:rsidRPr="00416CAF">
        <w:rPr>
          <w:rFonts w:ascii="Arial Narrow" w:hAnsi="Arial Narrow"/>
          <w:lang w:val="en-GB"/>
        </w:rPr>
        <w:t>H. W. Brands, «</w:t>
      </w:r>
      <w:smartTag w:uri="urn:schemas-microsoft-com:office:smarttags" w:element="country-region">
        <w:smartTag w:uri="urn:schemas-microsoft-com:office:smarttags" w:element="place">
          <w:r w:rsidRPr="00416CAF">
            <w:rPr>
              <w:rFonts w:ascii="Arial Narrow" w:hAnsi="Arial Narrow"/>
              <w:lang w:val="en-GB"/>
            </w:rPr>
            <w:t>Philippines</w:t>
          </w:r>
        </w:smartTag>
      </w:smartTag>
      <w:r w:rsidRPr="00416CAF">
        <w:rPr>
          <w:rFonts w:ascii="Arial Narrow" w:hAnsi="Arial Narrow"/>
          <w:lang w:val="en-GB"/>
        </w:rPr>
        <w:t xml:space="preserve">», em I. C. B. Dear et al. (orgs. </w:t>
      </w:r>
      <w:r w:rsidRPr="00CC6156">
        <w:rPr>
          <w:rFonts w:ascii="Arial Narrow" w:hAnsi="Arial Narrow"/>
          <w:lang w:val="de-DE"/>
        </w:rPr>
        <w:t xml:space="preserve">1995) 879; Th. </w:t>
      </w:r>
      <w:r w:rsidRPr="00416CAF">
        <w:rPr>
          <w:rFonts w:ascii="Arial Narrow" w:hAnsi="Arial Narrow"/>
          <w:lang w:val="de-DE"/>
        </w:rPr>
        <w:t>Friend (1988) 243-244; D. Steinberg (1966) 72; id. (1967) 115.</w:t>
      </w:r>
    </w:p>
  </w:footnote>
  <w:footnote w:id="113">
    <w:p w:rsidR="006947E6" w:rsidRPr="008D4DD7"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416CAF">
        <w:rPr>
          <w:rFonts w:ascii="Arial Narrow" w:hAnsi="Arial Narrow"/>
          <w:lang w:val="de-DE"/>
        </w:rPr>
        <w:t xml:space="preserve"> M. E. Buenafe (1950) 238, 274, 277, 283-284; D. Steinberg (1966) 75; id. </w:t>
      </w:r>
      <w:r w:rsidRPr="00A1546C">
        <w:rPr>
          <w:rFonts w:ascii="Arial Narrow" w:hAnsi="Arial Narrow"/>
        </w:rPr>
        <w:t xml:space="preserve">(1967) 130-131. </w:t>
      </w:r>
      <w:r w:rsidRPr="008D4DD7">
        <w:rPr>
          <w:rFonts w:ascii="Arial Narrow" w:hAnsi="Arial Narrow"/>
        </w:rPr>
        <w:t>Observou W. M. Ball (1956) 108 que «a verdadeira razão que levou a esquerda a atacar os colaboracionistas não foi a de terem agido contra os interesses americanos durante a guerra mas a de terem agido contra os interesses das massas filipinas durante toda a vida».</w:t>
      </w:r>
    </w:p>
  </w:footnote>
  <w:footnote w:id="114">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416CAF">
        <w:rPr>
          <w:rFonts w:ascii="Arial Narrow" w:hAnsi="Arial Narrow"/>
          <w:lang w:val="en-GB"/>
        </w:rPr>
        <w:t xml:space="preserve"> H. W. Brands, «</w:t>
      </w:r>
      <w:smartTag w:uri="urn:schemas-microsoft-com:office:smarttags" w:element="country-region">
        <w:smartTag w:uri="urn:schemas-microsoft-com:office:smarttags" w:element="place">
          <w:r w:rsidRPr="00416CAF">
            <w:rPr>
              <w:rFonts w:ascii="Arial Narrow" w:hAnsi="Arial Narrow"/>
              <w:lang w:val="en-GB"/>
            </w:rPr>
            <w:t>Philippines</w:t>
          </w:r>
        </w:smartTag>
      </w:smartTag>
      <w:r w:rsidRPr="00416CAF">
        <w:rPr>
          <w:rFonts w:ascii="Arial Narrow" w:hAnsi="Arial Narrow"/>
          <w:lang w:val="en-GB"/>
        </w:rPr>
        <w:t xml:space="preserve">», em I. C. B. Dear et al. (orgs. </w:t>
      </w:r>
      <w:r w:rsidRPr="00A1546C">
        <w:rPr>
          <w:rFonts w:ascii="Arial Narrow" w:hAnsi="Arial Narrow"/>
          <w:lang w:val="en-US"/>
        </w:rPr>
        <w:t xml:space="preserve">1995) 879; M. E. Buenafe (1950) 179, 229; Th. </w:t>
      </w:r>
      <w:r w:rsidRPr="008939F2">
        <w:rPr>
          <w:rFonts w:ascii="Arial Narrow" w:hAnsi="Arial Narrow"/>
        </w:rPr>
        <w:t>Friend (1988) 88, 244; D. Steinberg (1966) 72, 76, 77, 83 n. 38; id. (1967) 73-74, 143, 161, 164. Theodore Friend</w:t>
      </w:r>
      <w:r>
        <w:rPr>
          <w:rFonts w:ascii="Arial Narrow" w:hAnsi="Arial Narrow"/>
        </w:rPr>
        <w:t>,</w:t>
      </w:r>
      <w:r w:rsidRPr="008939F2">
        <w:rPr>
          <w:rFonts w:ascii="Arial Narrow" w:hAnsi="Arial Narrow"/>
        </w:rPr>
        <w:t xml:space="preserve"> </w:t>
      </w:r>
      <w:r w:rsidRPr="00C373D4">
        <w:rPr>
          <w:rFonts w:ascii="Arial Narrow" w:hAnsi="Arial Narrow"/>
        </w:rPr>
        <w:t>op. cit.,</w:t>
      </w:r>
      <w:r w:rsidRPr="008939F2">
        <w:rPr>
          <w:rFonts w:ascii="Arial Narrow" w:hAnsi="Arial Narrow"/>
        </w:rPr>
        <w:t xml:space="preserve"> 199 escreve</w:t>
      </w:r>
      <w:r>
        <w:rPr>
          <w:rFonts w:ascii="Arial Narrow" w:hAnsi="Arial Narrow"/>
        </w:rPr>
        <w:t>u</w:t>
      </w:r>
      <w:r w:rsidRPr="008939F2">
        <w:rPr>
          <w:rFonts w:ascii="Arial Narrow" w:hAnsi="Arial Narrow"/>
        </w:rPr>
        <w:t xml:space="preserve"> que Manuel Roxas «entrou em contacto com um grupo de espionagem de Manila, que enviava para o quartel-general de MacArthur informações sobre os movimentos do exército japonês, da marinha e da aviação», mas Manuel Buenafe, </w:t>
      </w:r>
      <w:r w:rsidRPr="00C373D4">
        <w:rPr>
          <w:rFonts w:ascii="Arial Narrow" w:hAnsi="Arial Narrow"/>
        </w:rPr>
        <w:t>op. cit.,</w:t>
      </w:r>
      <w:r w:rsidRPr="008939F2">
        <w:rPr>
          <w:rFonts w:ascii="Arial Narrow" w:hAnsi="Arial Narrow"/>
        </w:rPr>
        <w:t xml:space="preserve"> 179, um apologista de Roxas, promove</w:t>
      </w:r>
      <w:r>
        <w:rPr>
          <w:rFonts w:ascii="Arial Narrow" w:hAnsi="Arial Narrow"/>
        </w:rPr>
        <w:t>u</w:t>
      </w:r>
      <w:r w:rsidRPr="008939F2">
        <w:rPr>
          <w:rFonts w:ascii="Arial Narrow" w:hAnsi="Arial Narrow"/>
        </w:rPr>
        <w:t>-o a «“chefe espiritual” das guerrilhas».</w:t>
      </w:r>
    </w:p>
  </w:footnote>
  <w:footnote w:id="115">
    <w:p w:rsidR="006947E6" w:rsidRPr="00BA13AF" w:rsidRDefault="006947E6" w:rsidP="00A1546C">
      <w:pPr>
        <w:pStyle w:val="Textodenotaderodap"/>
        <w:rPr>
          <w:rFonts w:ascii="Arial Narrow" w:hAnsi="Arial Narrow"/>
        </w:rPr>
      </w:pPr>
      <w:r w:rsidRPr="00BA13AF">
        <w:rPr>
          <w:rStyle w:val="Refdenotaderodap"/>
          <w:rFonts w:ascii="Arial Narrow" w:hAnsi="Arial Narrow"/>
        </w:rPr>
        <w:footnoteRef/>
      </w:r>
      <w:r w:rsidRPr="00BA13AF">
        <w:rPr>
          <w:rFonts w:ascii="Arial Narrow" w:hAnsi="Arial Narrow"/>
        </w:rPr>
        <w:t xml:space="preserve"> </w:t>
      </w:r>
      <w:r w:rsidRPr="00BA13AF">
        <w:rPr>
          <w:rFonts w:ascii="Arial Narrow" w:hAnsi="Arial Narrow"/>
          <w:lang w:val="de-DE"/>
        </w:rPr>
        <w:t>W. M. Ball (1956)</w:t>
      </w:r>
      <w:r>
        <w:rPr>
          <w:rFonts w:ascii="Arial Narrow" w:hAnsi="Arial Narrow"/>
          <w:lang w:val="de-DE"/>
        </w:rPr>
        <w:t xml:space="preserve"> </w:t>
      </w:r>
      <w:r w:rsidRPr="00A1546C">
        <w:rPr>
          <w:rFonts w:ascii="Arial Narrow" w:hAnsi="Arial Narrow"/>
        </w:rPr>
        <w:t>106.</w:t>
      </w:r>
    </w:p>
  </w:footnote>
  <w:footnote w:id="116">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w:t>
      </w:r>
      <w:r w:rsidRPr="008939F2">
        <w:rPr>
          <w:rFonts w:ascii="Arial Narrow" w:hAnsi="Arial Narrow"/>
          <w:i/>
        </w:rPr>
        <w:t>The Economist,</w:t>
      </w:r>
      <w:r w:rsidRPr="008939F2">
        <w:rPr>
          <w:rFonts w:ascii="Arial Narrow" w:hAnsi="Arial Narrow"/>
        </w:rPr>
        <w:t xml:space="preserve"> 19 de Setembro de 1987, pág. 54. Ver ainda F. C. Jones (1954) 361.</w:t>
      </w:r>
    </w:p>
  </w:footnote>
  <w:footnote w:id="117">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J. T. McAlister Jr. (1969) 118; Truong (1973) 241.</w:t>
      </w:r>
    </w:p>
  </w:footnote>
  <w:footnote w:id="118">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«French Indo-China», em I. C. B. Dear et al. (orgs. 1995) 417-418; J. T. McAlister Jr. (1969) 110, 118.</w:t>
      </w:r>
    </w:p>
  </w:footnote>
  <w:footnote w:id="119">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J. T. McAlister Jr. (1969) 110; Truong (1973) 238-239, 249-250.</w:t>
      </w:r>
    </w:p>
  </w:footnote>
  <w:footnote w:id="120">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J. T. McAlister Jr. (1969) 119 e segs.; Truong (1973) 243-245, 264-265.</w:t>
      </w:r>
    </w:p>
  </w:footnote>
  <w:footnote w:id="121">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Truong (1973) 252-254.</w:t>
      </w:r>
    </w:p>
  </w:footnote>
  <w:footnote w:id="12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A1546C">
        <w:rPr>
          <w:rFonts w:ascii="Arial Narrow" w:hAnsi="Arial Narrow"/>
          <w:lang w:val="en-US"/>
        </w:rPr>
        <w:t xml:space="preserve"> «French Indo-China», em I. C. B. Dear et al. </w:t>
      </w:r>
      <w:r w:rsidRPr="00416CAF">
        <w:rPr>
          <w:rFonts w:ascii="Arial Narrow" w:hAnsi="Arial Narrow"/>
          <w:lang w:val="en-GB"/>
        </w:rPr>
        <w:t>(orgs. 1995) 418; F. C. Jones (1954) 393, 398; J. T. McAlister Jr. (1969) 136-137; Truong (1973) 261.</w:t>
      </w:r>
    </w:p>
  </w:footnote>
  <w:footnote w:id="12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T. McAlister Jr. (1969) 138; Truong (1973) 260.</w:t>
      </w:r>
    </w:p>
  </w:footnote>
  <w:footnote w:id="12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«French Indo-China», em I. C. B. Dear et al. (orgs. 1995) 418; J. T. McAlister Jr. (1969) 160-162; Truong (1973) 260-261.</w:t>
      </w:r>
    </w:p>
  </w:footnote>
  <w:footnote w:id="12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T. McAlister Jr. (1969) 170-172; Truong (1973) 248-249, 263.</w:t>
      </w:r>
    </w:p>
  </w:footnote>
  <w:footnote w:id="12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«French Indo-China», em I. C. B. Dear et al. (orgs. 1995) 418; F. C. Jones (1954) 396-397; Truong (1973) 256-257.</w:t>
      </w:r>
    </w:p>
  </w:footnote>
  <w:footnote w:id="12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T. McAlister Jr. (1969) 113-114.</w:t>
      </w:r>
    </w:p>
  </w:footnote>
  <w:footnote w:id="12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F. C. Jones (1954) 397; J. T. McAlister Jr. (1969) 166; Truong (1973) 257.</w:t>
      </w:r>
    </w:p>
  </w:footnote>
  <w:footnote w:id="12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T. McAlister Jr. (1969) 116, 166-167; Truong (1973) 257, 260.</w:t>
      </w:r>
    </w:p>
  </w:footnote>
  <w:footnote w:id="13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T. McAlister Jr. (1969) 116, 168-169; Truong (1973) 252, 254-255.</w:t>
      </w:r>
    </w:p>
  </w:footnote>
  <w:footnote w:id="13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Truong (1973) 257.</w:t>
      </w:r>
    </w:p>
  </w:footnote>
  <w:footnote w:id="13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T. McAlister Jr. (1969) 172, 178.</w:t>
      </w:r>
    </w:p>
  </w:footnote>
  <w:footnote w:id="13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170.</w:t>
      </w:r>
    </w:p>
  </w:footnote>
  <w:footnote w:id="13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178; Truong (1973) 257.</w:t>
      </w:r>
    </w:p>
  </w:footnote>
  <w:footnote w:id="13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J. T. McAlister Jr. (1969) 154-155, 166, 178, 186, 190. Consultar igualmente R. Holland, «Anti-Imperialism», em I. C. B. Dear et al. (orgs. 1995) 39 e F. C. Jones (1954) 398.</w:t>
      </w:r>
    </w:p>
  </w:footnote>
  <w:footnote w:id="136">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Citação em J. T. McAlister Jr. (1969) 190.</w:t>
      </w:r>
    </w:p>
  </w:footnote>
  <w:footnote w:id="137">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192-193; Truong (1973) 261-262. Note-se que, enquanto John McAlister Jr. situ</w:t>
      </w:r>
      <w:r>
        <w:rPr>
          <w:rFonts w:ascii="Arial Narrow" w:hAnsi="Arial Narrow"/>
        </w:rPr>
        <w:t>ou</w:t>
      </w:r>
      <w:r w:rsidRPr="008939F2">
        <w:rPr>
          <w:rFonts w:ascii="Arial Narrow" w:hAnsi="Arial Narrow"/>
        </w:rPr>
        <w:t xml:space="preserve"> a abdicação a 25 de Agosto de 1945, Truong Buu Lam pretende</w:t>
      </w:r>
      <w:r>
        <w:rPr>
          <w:rFonts w:ascii="Arial Narrow" w:hAnsi="Arial Narrow"/>
        </w:rPr>
        <w:t>u</w:t>
      </w:r>
      <w:r w:rsidRPr="008939F2">
        <w:rPr>
          <w:rFonts w:ascii="Arial Narrow" w:hAnsi="Arial Narrow"/>
        </w:rPr>
        <w:t xml:space="preserve"> que o acto ocorreu no dia 23</w:t>
      </w:r>
      <w:r>
        <w:rPr>
          <w:rFonts w:ascii="Arial Narrow" w:hAnsi="Arial Narrow"/>
        </w:rPr>
        <w:t xml:space="preserve">; por seu lado, </w:t>
      </w:r>
      <w:r w:rsidRPr="005B2E9C">
        <w:rPr>
          <w:rFonts w:ascii="Arial Narrow" w:hAnsi="Arial Narrow"/>
        </w:rPr>
        <w:t>W. M</w:t>
      </w:r>
      <w:r>
        <w:rPr>
          <w:rFonts w:ascii="Arial Narrow" w:hAnsi="Arial Narrow"/>
        </w:rPr>
        <w:t xml:space="preserve">. </w:t>
      </w:r>
      <w:r w:rsidRPr="005B2E9C">
        <w:rPr>
          <w:rFonts w:ascii="Arial Narrow" w:hAnsi="Arial Narrow"/>
        </w:rPr>
        <w:t>Ball (1956) 83 indicou a data de 26 de Agosto.</w:t>
      </w:r>
    </w:p>
  </w:footnote>
  <w:footnote w:id="138">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Truong (1973) 262.</w:t>
      </w:r>
    </w:p>
  </w:footnote>
  <w:footnote w:id="139">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«French Indo-China», em I. C. B. Dear et al. (orgs. 1995) 418; J. T. McAlister Jr. (1969) 193.</w:t>
      </w:r>
    </w:p>
  </w:footnote>
  <w:footnote w:id="140">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Ba (1968) 12.</w:t>
      </w:r>
    </w:p>
  </w:footnote>
  <w:footnote w:id="141">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Id., ibid., 11, 53, 68, 92.</w:t>
      </w:r>
    </w:p>
  </w:footnote>
  <w:footnote w:id="142">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Id., ibid., 298.</w:t>
      </w:r>
    </w:p>
  </w:footnote>
  <w:footnote w:id="143">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15.</w:t>
      </w:r>
    </w:p>
  </w:footnote>
  <w:footnote w:id="144">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w:t>
      </w:r>
      <w:r w:rsidRPr="008939F2">
        <w:rPr>
          <w:rFonts w:ascii="Arial Narrow" w:hAnsi="Arial Narrow"/>
          <w:i/>
        </w:rPr>
        <w:t>Thakin</w:t>
      </w:r>
      <w:r w:rsidRPr="008939F2">
        <w:rPr>
          <w:rFonts w:ascii="Arial Narrow" w:hAnsi="Arial Narrow"/>
        </w:rPr>
        <w:t xml:space="preserve"> era um título respeitoso, exigido pelos europeus, e ao adoptar esta designação o partido estava a proclamar a igualdade dos nativos com os britânicos. </w:t>
      </w:r>
      <w:r w:rsidRPr="00416CAF">
        <w:rPr>
          <w:rFonts w:ascii="Arial Narrow" w:hAnsi="Arial Narrow"/>
          <w:lang w:val="en-GB"/>
        </w:rPr>
        <w:t xml:space="preserve">Ver: id., ibid., 54; F. C. Jones (1954) 351 n. 2; «Thakin», em I. C. B. Dear et al. </w:t>
      </w:r>
      <w:r w:rsidRPr="008939F2">
        <w:rPr>
          <w:rFonts w:ascii="Arial Narrow" w:hAnsi="Arial Narrow"/>
        </w:rPr>
        <w:t>(orgs. 1995) 1107.</w:t>
      </w:r>
    </w:p>
  </w:footnote>
  <w:footnote w:id="14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Ba (1968) 54-55, 319.</w:t>
      </w:r>
    </w:p>
  </w:footnote>
  <w:footnote w:id="146">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«U» não faz parte do nome, indicando um tratamento respeitoso.</w:t>
      </w:r>
    </w:p>
  </w:footnote>
  <w:footnote w:id="14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Ba (1968) 13, 53.</w:t>
      </w:r>
    </w:p>
  </w:footnote>
  <w:footnote w:id="14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95.</w:t>
      </w:r>
    </w:p>
  </w:footnote>
  <w:footnote w:id="14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6, 54-56.</w:t>
      </w:r>
    </w:p>
  </w:footnote>
  <w:footnote w:id="15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6.</w:t>
      </w:r>
    </w:p>
  </w:footnote>
  <w:footnote w:id="15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49.</w:t>
      </w:r>
    </w:p>
  </w:footnote>
  <w:footnote w:id="15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49, 62-63, 90, 106 e segs., 114.</w:t>
      </w:r>
    </w:p>
  </w:footnote>
  <w:footnote w:id="153">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90, 98, 110, 116-117.</w:t>
      </w:r>
    </w:p>
  </w:footnote>
  <w:footnote w:id="154">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103, 117 e segs., 128-130.</w:t>
      </w:r>
    </w:p>
  </w:footnote>
  <w:footnote w:id="15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id., ibid., 127.</w:t>
      </w:r>
    </w:p>
  </w:footnote>
  <w:footnote w:id="156">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135, 138; «Burma Independence Army», em I. C. B. Dear et al. (orgs. 1995) 178.</w:t>
      </w:r>
    </w:p>
  </w:footnote>
  <w:footnote w:id="157">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8939F2">
        <w:rPr>
          <w:rFonts w:ascii="Arial Narrow" w:hAnsi="Arial Narrow"/>
        </w:rPr>
        <w:t xml:space="preserve"> Ba (1968) 52; «Saw, U», em I. C. B. Dear et al. </w:t>
      </w:r>
      <w:r w:rsidRPr="00A1546C">
        <w:rPr>
          <w:rFonts w:ascii="Arial Narrow" w:hAnsi="Arial Narrow"/>
          <w:lang w:val="en-US"/>
        </w:rPr>
        <w:t>(orgs. 1995) 977.</w:t>
      </w:r>
    </w:p>
  </w:footnote>
  <w:footnote w:id="158">
    <w:p w:rsidR="006947E6" w:rsidRPr="00923561" w:rsidRDefault="006947E6" w:rsidP="00A1546C">
      <w:pPr>
        <w:pStyle w:val="Textodenotaderodap"/>
        <w:rPr>
          <w:rFonts w:ascii="Arial Narrow" w:hAnsi="Arial Narrow"/>
          <w:lang w:val="en-GB"/>
        </w:rPr>
      </w:pPr>
      <w:r w:rsidRPr="00923561">
        <w:rPr>
          <w:rStyle w:val="Refdenotaderodap"/>
          <w:rFonts w:ascii="Arial Narrow" w:hAnsi="Arial Narrow"/>
        </w:rPr>
        <w:footnoteRef/>
      </w:r>
      <w:r w:rsidRPr="00923561">
        <w:rPr>
          <w:rFonts w:ascii="Arial Narrow" w:hAnsi="Arial Narrow"/>
          <w:lang w:val="en-GB"/>
        </w:rPr>
        <w:t xml:space="preserve"> W. M</w:t>
      </w:r>
      <w:r>
        <w:rPr>
          <w:rFonts w:ascii="Arial Narrow" w:hAnsi="Arial Narrow"/>
          <w:lang w:val="en-GB"/>
        </w:rPr>
        <w:t xml:space="preserve">. </w:t>
      </w:r>
      <w:r w:rsidRPr="00923561">
        <w:rPr>
          <w:rFonts w:ascii="Arial Narrow" w:hAnsi="Arial Narrow"/>
          <w:lang w:val="en-GB"/>
        </w:rPr>
        <w:t>Ball (1956)</w:t>
      </w:r>
      <w:r>
        <w:rPr>
          <w:rFonts w:ascii="Arial Narrow" w:hAnsi="Arial Narrow"/>
          <w:lang w:val="en-GB"/>
        </w:rPr>
        <w:t xml:space="preserve"> </w:t>
      </w:r>
      <w:r w:rsidRPr="00923561">
        <w:rPr>
          <w:rFonts w:ascii="Arial Narrow" w:hAnsi="Arial Narrow"/>
          <w:lang w:val="en-GB"/>
        </w:rPr>
        <w:t>123</w:t>
      </w:r>
      <w:r>
        <w:rPr>
          <w:rFonts w:ascii="Arial Narrow" w:hAnsi="Arial Narrow"/>
          <w:lang w:val="en-GB"/>
        </w:rPr>
        <w:t>.</w:t>
      </w:r>
    </w:p>
  </w:footnote>
  <w:footnote w:id="159">
    <w:p w:rsidR="006947E6" w:rsidRPr="00923561"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923561">
        <w:rPr>
          <w:rFonts w:ascii="Arial Narrow" w:hAnsi="Arial Narrow"/>
          <w:lang w:val="en-GB"/>
        </w:rPr>
        <w:t xml:space="preserve"> Ba (1968) 135, 155, 181-182.</w:t>
      </w:r>
    </w:p>
  </w:footnote>
  <w:footnote w:id="160">
    <w:p w:rsidR="006947E6" w:rsidRPr="00A1546C"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A1546C">
        <w:rPr>
          <w:rFonts w:ascii="Arial Narrow" w:hAnsi="Arial Narrow"/>
        </w:rPr>
        <w:t xml:space="preserve"> D. Guyot (1966) 51-52, 54 e segs.</w:t>
      </w:r>
    </w:p>
  </w:footnote>
  <w:footnote w:id="161">
    <w:p w:rsidR="006947E6" w:rsidRPr="00A1546C"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A1546C">
        <w:rPr>
          <w:rFonts w:ascii="Arial Narrow" w:hAnsi="Arial Narrow"/>
        </w:rPr>
        <w:t xml:space="preserve"> Ba (1968) 173.</w:t>
      </w:r>
    </w:p>
  </w:footnote>
  <w:footnote w:id="16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175-176, 182, 192.</w:t>
      </w:r>
    </w:p>
  </w:footnote>
  <w:footnote w:id="16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D. Guyot (1966) 58-59.</w:t>
      </w:r>
    </w:p>
  </w:footnote>
  <w:footnote w:id="164">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923561">
        <w:rPr>
          <w:rFonts w:ascii="Arial Narrow" w:hAnsi="Arial Narrow"/>
          <w:lang w:val="en-GB"/>
        </w:rPr>
        <w:t xml:space="preserve"> F. C. Jones (</w:t>
      </w:r>
      <w:r w:rsidRPr="00A1546C">
        <w:rPr>
          <w:rFonts w:ascii="Arial Narrow" w:hAnsi="Arial Narrow"/>
          <w:lang w:val="en-US"/>
        </w:rPr>
        <w:t>1954) 352.</w:t>
      </w:r>
    </w:p>
  </w:footnote>
  <w:footnote w:id="16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Ba (1968) 150, 192; D. Guyot (1966) 60.</w:t>
      </w:r>
    </w:p>
  </w:footnote>
  <w:footnote w:id="166">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Ba (1968) 217; «Burma Independence Army», em I. C. B. Dear et al. (orgs. 1995) 178. D. Guyot (1966) 52 atribui</w:t>
      </w:r>
      <w:r>
        <w:rPr>
          <w:rFonts w:ascii="Arial Narrow" w:hAnsi="Arial Narrow"/>
        </w:rPr>
        <w:t>u</w:t>
      </w:r>
      <w:r w:rsidRPr="008939F2">
        <w:rPr>
          <w:rFonts w:ascii="Arial Narrow" w:hAnsi="Arial Narrow"/>
        </w:rPr>
        <w:t xml:space="preserve"> 23.000 homens ao Exército de Independência, embora </w:t>
      </w:r>
      <w:r>
        <w:rPr>
          <w:rFonts w:ascii="Arial Narrow" w:hAnsi="Arial Narrow"/>
        </w:rPr>
        <w:t>prevenisse</w:t>
      </w:r>
      <w:r w:rsidRPr="008939F2">
        <w:rPr>
          <w:rFonts w:ascii="Arial Narrow" w:hAnsi="Arial Narrow"/>
        </w:rPr>
        <w:t xml:space="preserve"> (pág. 62 n. 4) que as estimativas dos historiadores variam muito, entre um mínimo de 15.000 e um máximo de 150.000. Por seu lado, «Burma Independence Army»</w:t>
      </w:r>
      <w:r>
        <w:rPr>
          <w:rFonts w:ascii="Arial Narrow" w:hAnsi="Arial Narrow"/>
        </w:rPr>
        <w:t>,</w:t>
      </w:r>
      <w:r w:rsidRPr="008939F2">
        <w:rPr>
          <w:rFonts w:ascii="Arial Narrow" w:hAnsi="Arial Narrow"/>
        </w:rPr>
        <w:t xml:space="preserve"> </w:t>
      </w:r>
      <w:r w:rsidRPr="00156AA5">
        <w:rPr>
          <w:rFonts w:ascii="Arial Narrow" w:hAnsi="Arial Narrow"/>
        </w:rPr>
        <w:t>op. cit.,</w:t>
      </w:r>
      <w:r w:rsidRPr="008939F2">
        <w:rPr>
          <w:rFonts w:ascii="Arial Narrow" w:hAnsi="Arial Narrow"/>
        </w:rPr>
        <w:t xml:space="preserve"> 178 consider</w:t>
      </w:r>
      <w:r>
        <w:rPr>
          <w:rFonts w:ascii="Arial Narrow" w:hAnsi="Arial Narrow"/>
        </w:rPr>
        <w:t>ou</w:t>
      </w:r>
      <w:r w:rsidRPr="008939F2">
        <w:rPr>
          <w:rFonts w:ascii="Arial Narrow" w:hAnsi="Arial Narrow"/>
        </w:rPr>
        <w:t xml:space="preserve"> que os efectivos deste exército montavam a cerca de 30.000 homens. Quanto ao Exército de Defesa, os números que apresento </w:t>
      </w:r>
      <w:r>
        <w:rPr>
          <w:rFonts w:ascii="Arial Narrow" w:hAnsi="Arial Narrow"/>
        </w:rPr>
        <w:t>foram</w:t>
      </w:r>
      <w:r w:rsidRPr="008939F2">
        <w:rPr>
          <w:rFonts w:ascii="Arial Narrow" w:hAnsi="Arial Narrow"/>
        </w:rPr>
        <w:t xml:space="preserve"> fornecidos por Ba Maw</w:t>
      </w:r>
      <w:r>
        <w:rPr>
          <w:rFonts w:ascii="Arial Narrow" w:hAnsi="Arial Narrow"/>
        </w:rPr>
        <w:t>,</w:t>
      </w:r>
      <w:r w:rsidRPr="008939F2">
        <w:rPr>
          <w:rFonts w:ascii="Arial Narrow" w:hAnsi="Arial Narrow"/>
        </w:rPr>
        <w:t xml:space="preserve"> </w:t>
      </w:r>
      <w:r w:rsidRPr="00156AA5">
        <w:rPr>
          <w:rFonts w:ascii="Arial Narrow" w:hAnsi="Arial Narrow"/>
        </w:rPr>
        <w:t>op. cit.,</w:t>
      </w:r>
      <w:r w:rsidRPr="008939F2">
        <w:rPr>
          <w:rFonts w:ascii="Arial Narrow" w:hAnsi="Arial Narrow"/>
        </w:rPr>
        <w:t xml:space="preserve"> 217, enquanto Dorothy Guyot</w:t>
      </w:r>
      <w:r>
        <w:rPr>
          <w:rFonts w:ascii="Arial Narrow" w:hAnsi="Arial Narrow"/>
        </w:rPr>
        <w:t>,</w:t>
      </w:r>
      <w:r w:rsidRPr="008939F2">
        <w:rPr>
          <w:rFonts w:ascii="Arial Narrow" w:hAnsi="Arial Narrow"/>
        </w:rPr>
        <w:t xml:space="preserve"> </w:t>
      </w:r>
      <w:r w:rsidRPr="00156AA5">
        <w:rPr>
          <w:rFonts w:ascii="Arial Narrow" w:hAnsi="Arial Narrow"/>
        </w:rPr>
        <w:t>op. cit.,</w:t>
      </w:r>
      <w:r w:rsidRPr="008939F2">
        <w:rPr>
          <w:rFonts w:ascii="Arial Narrow" w:hAnsi="Arial Narrow"/>
        </w:rPr>
        <w:t xml:space="preserve"> 60 mencion</w:t>
      </w:r>
      <w:r>
        <w:rPr>
          <w:rFonts w:ascii="Arial Narrow" w:hAnsi="Arial Narrow"/>
        </w:rPr>
        <w:t>ou</w:t>
      </w:r>
      <w:r w:rsidRPr="008939F2">
        <w:rPr>
          <w:rFonts w:ascii="Arial Narrow" w:hAnsi="Arial Narrow"/>
        </w:rPr>
        <w:t xml:space="preserve"> apenas 2.700 homens.</w:t>
      </w:r>
    </w:p>
  </w:footnote>
  <w:footnote w:id="167">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Ba (1968) 299.</w:t>
      </w:r>
    </w:p>
  </w:footnote>
  <w:footnote w:id="168">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181.</w:t>
      </w:r>
    </w:p>
  </w:footnote>
  <w:footnote w:id="169">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id., ibid., 280 e 320-321. Traduzo </w:t>
      </w:r>
      <w:r w:rsidRPr="008939F2">
        <w:rPr>
          <w:rFonts w:ascii="Arial Narrow" w:hAnsi="Arial Narrow"/>
          <w:i/>
        </w:rPr>
        <w:t>«blood»</w:t>
      </w:r>
      <w:r w:rsidRPr="008939F2">
        <w:rPr>
          <w:rFonts w:ascii="Arial Narrow" w:hAnsi="Arial Narrow"/>
        </w:rPr>
        <w:t xml:space="preserve"> por </w:t>
      </w:r>
      <w:r w:rsidRPr="008939F2">
        <w:rPr>
          <w:rFonts w:ascii="Arial Narrow" w:hAnsi="Arial Narrow"/>
          <w:i/>
        </w:rPr>
        <w:t>raça</w:t>
      </w:r>
      <w:r w:rsidRPr="008939F2">
        <w:rPr>
          <w:rFonts w:ascii="Arial Narrow" w:hAnsi="Arial Narrow"/>
        </w:rPr>
        <w:t>.</w:t>
      </w:r>
    </w:p>
  </w:footnote>
  <w:footnote w:id="170">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280, 320-321.</w:t>
      </w:r>
    </w:p>
  </w:footnote>
  <w:footnote w:id="17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280.</w:t>
      </w:r>
    </w:p>
  </w:footnote>
  <w:footnote w:id="17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55; D. Guyot (1966) 53-54.</w:t>
      </w:r>
    </w:p>
  </w:footnote>
  <w:footnote w:id="17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Ba (1968) 285.</w:t>
      </w:r>
    </w:p>
  </w:footnote>
  <w:footnote w:id="17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303-304, 366.</w:t>
      </w:r>
    </w:p>
  </w:footnote>
  <w:footnote w:id="17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F. C. Jones (1954) 357.</w:t>
      </w:r>
    </w:p>
  </w:footnote>
  <w:footnote w:id="17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de-DE"/>
        </w:rPr>
        <w:t xml:space="preserve"> L. Allen, «Burma», em I. C. B. Dear et al. </w:t>
      </w:r>
      <w:r w:rsidRPr="00416CAF">
        <w:rPr>
          <w:rFonts w:ascii="Arial Narrow" w:hAnsi="Arial Narrow"/>
          <w:lang w:val="en-GB"/>
        </w:rPr>
        <w:t>(orgs. 1995) 173; «Aung San», em id., ibid., 77.</w:t>
      </w:r>
    </w:p>
  </w:footnote>
  <w:footnote w:id="17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Ba (1968) 213-214, 286, 317, 333-335, 366-367, 383, 386-391.</w:t>
      </w:r>
    </w:p>
  </w:footnote>
  <w:footnote w:id="178">
    <w:p w:rsidR="006947E6" w:rsidRPr="003D02D3" w:rsidRDefault="006947E6" w:rsidP="00A1546C">
      <w:pPr>
        <w:pStyle w:val="Textodenotaderodap"/>
        <w:rPr>
          <w:rFonts w:ascii="Arial Narrow" w:hAnsi="Arial Narrow"/>
          <w:lang w:val="en-GB"/>
        </w:rPr>
      </w:pPr>
      <w:r w:rsidRPr="003D02D3">
        <w:rPr>
          <w:rStyle w:val="Refdenotaderodap"/>
          <w:rFonts w:ascii="Arial Narrow" w:hAnsi="Arial Narrow"/>
        </w:rPr>
        <w:footnoteRef/>
      </w:r>
      <w:r w:rsidRPr="003D02D3">
        <w:rPr>
          <w:rFonts w:ascii="Arial Narrow" w:hAnsi="Arial Narrow"/>
          <w:lang w:val="en-GB"/>
        </w:rPr>
        <w:t xml:space="preserve"> </w:t>
      </w:r>
      <w:r w:rsidRPr="00A1546C">
        <w:rPr>
          <w:rFonts w:ascii="Arial Narrow" w:hAnsi="Arial Narrow"/>
          <w:lang w:val="en-US"/>
        </w:rPr>
        <w:t>S. Littman (2003) 112 n. 22.</w:t>
      </w:r>
    </w:p>
  </w:footnote>
  <w:footnote w:id="179">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É esta a tese central de </w:t>
      </w:r>
      <w:r w:rsidRPr="00416CAF">
        <w:rPr>
          <w:rFonts w:ascii="Arial Narrow" w:hAnsi="Arial Narrow"/>
          <w:i/>
          <w:lang w:val="en-GB"/>
        </w:rPr>
        <w:t>The Lion and the Unicorn: Socialism and the English Genius,</w:t>
      </w:r>
      <w:r w:rsidRPr="00416CAF">
        <w:rPr>
          <w:rFonts w:ascii="Arial Narrow" w:hAnsi="Arial Narrow"/>
          <w:lang w:val="en-GB"/>
        </w:rPr>
        <w:t xml:space="preserve"> em G. Orwell (1998 c) 206-267.</w:t>
      </w:r>
    </w:p>
  </w:footnote>
  <w:footnote w:id="180">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251. Orwell não considerava então que a Índia fosse capaz, política e economicamente, de se manter independente. Ver id., ibid., 246 e 255-257. Compreende-se, assim, que na sua opinião uma Índia antibritânica tivesse obrigatoriamente de ser pró-japonesa.</w:t>
      </w:r>
    </w:p>
  </w:footnote>
  <w:footnote w:id="181">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J. C. Lebra (1971) 63-65.</w:t>
      </w:r>
    </w:p>
  </w:footnote>
  <w:footnote w:id="18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Bose (1982) 65-66.</w:t>
      </w:r>
    </w:p>
  </w:footnote>
  <w:footnote w:id="183">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J. Keay (2003) II 564-565. Quanto à posição adoptada por Gandhi relativamente às greves ver B. Moore Jr. (1974) 377.</w:t>
      </w:r>
    </w:p>
  </w:footnote>
  <w:footnote w:id="184">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Bose (1982) 97-98.</w:t>
      </w:r>
    </w:p>
  </w:footnote>
  <w:footnote w:id="18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P. Milza (1999) 622.</w:t>
      </w:r>
    </w:p>
  </w:footnote>
  <w:footnote w:id="186">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Bose (1982) 67.</w:t>
      </w:r>
    </w:p>
  </w:footnote>
  <w:footnote w:id="187">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78.</w:t>
      </w:r>
    </w:p>
  </w:footnote>
  <w:footnote w:id="188">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id., ibid., 103.</w:t>
      </w:r>
    </w:p>
  </w:footnote>
  <w:footnote w:id="189">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96.</w:t>
      </w:r>
    </w:p>
  </w:footnote>
  <w:footnote w:id="190">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139, 155.</w:t>
      </w:r>
    </w:p>
  </w:footnote>
  <w:footnote w:id="191">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id., ibid., 76.</w:t>
      </w:r>
    </w:p>
  </w:footnote>
  <w:footnote w:id="19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id., ibid., 102-103.</w:t>
      </w:r>
    </w:p>
  </w:footnote>
  <w:footnote w:id="193">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103-104.</w:t>
      </w:r>
    </w:p>
  </w:footnote>
  <w:footnote w:id="194">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id., ibid., 104.</w:t>
      </w:r>
    </w:p>
  </w:footnote>
  <w:footnote w:id="19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137, 142-144.</w:t>
      </w:r>
    </w:p>
  </w:footnote>
  <w:footnote w:id="19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151-152, 160.</w:t>
      </w:r>
    </w:p>
  </w:footnote>
  <w:footnote w:id="19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168.</w:t>
      </w:r>
    </w:p>
  </w:footnote>
  <w:footnote w:id="198">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xml:space="preserve">, ibid., 186-187; «Indian Legion», em I. C. B. Dear et al. </w:t>
      </w:r>
      <w:r w:rsidRPr="008939F2">
        <w:rPr>
          <w:rFonts w:ascii="Arial Narrow" w:hAnsi="Arial Narrow"/>
        </w:rPr>
        <w:t>(orgs. 1995) 565; J. C. Lebra (1971) 109.</w:t>
      </w:r>
      <w:r>
        <w:rPr>
          <w:rFonts w:ascii="Arial Narrow" w:hAnsi="Arial Narrow"/>
        </w:rPr>
        <w:t xml:space="preserve"> Note-se que em 1930 Rosenberg havia escrito, em </w:t>
      </w:r>
      <w:r w:rsidRPr="00F75FA4">
        <w:rPr>
          <w:rFonts w:ascii="Arial Narrow" w:hAnsi="Arial Narrow"/>
          <w:i/>
        </w:rPr>
        <w:t>O Mito do Século XX,</w:t>
      </w:r>
      <w:r>
        <w:rPr>
          <w:rFonts w:ascii="Arial Narrow" w:hAnsi="Arial Narrow"/>
        </w:rPr>
        <w:t xml:space="preserve"> que «não há dúvida de que a Índia precisa de uma mão de ferro» e que «tanto do ponto de vista nórdico como do germânico deve ser apoiada a dominação exercida pelos britânicos sobre a Índia». </w:t>
      </w:r>
      <w:r w:rsidRPr="00B91D27">
        <w:rPr>
          <w:rFonts w:ascii="Arial Narrow" w:hAnsi="Arial Narrow"/>
        </w:rPr>
        <w:t xml:space="preserve">Ver A. Rosenberg (1986) 617 ou id. [s. d. 2] 446. Todavia, em 27 de Março de 1942 Hitler considerava que Nehru havia sido eclipsado por Bose. Ver </w:t>
      </w:r>
      <w:r w:rsidRPr="007D550D">
        <w:rPr>
          <w:rFonts w:ascii="Arial Narrow" w:hAnsi="Arial Narrow"/>
          <w:bCs/>
          <w:i/>
          <w:iCs/>
        </w:rPr>
        <w:t>Hitler’s Table Talk</w:t>
      </w:r>
      <w:r w:rsidRPr="007D550D">
        <w:rPr>
          <w:rFonts w:ascii="Arial Narrow" w:hAnsi="Arial Narrow"/>
          <w:iCs/>
        </w:rPr>
        <w:t>...,</w:t>
      </w:r>
      <w:r>
        <w:rPr>
          <w:rFonts w:ascii="Arial Narrow" w:hAnsi="Arial Narrow"/>
          <w:iCs/>
        </w:rPr>
        <w:t xml:space="preserve"> 369.</w:t>
      </w:r>
    </w:p>
  </w:footnote>
  <w:footnote w:id="199">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Bose (1982) 107, 146, 189. Nas suas Memórias Ba Maw crê recordar-se </w:t>
      </w:r>
      <w:r>
        <w:rPr>
          <w:rFonts w:ascii="Arial Narrow" w:hAnsi="Arial Narrow"/>
        </w:rPr>
        <w:t xml:space="preserve">de </w:t>
      </w:r>
      <w:r w:rsidRPr="008939F2">
        <w:rPr>
          <w:rFonts w:ascii="Arial Narrow" w:hAnsi="Arial Narrow"/>
        </w:rPr>
        <w:t>que nos contactos mantidos em Abril de 1940 com os representantes diplomáticos japoneses na Birmânia, para lhes solicitar um apoio activo na preparação da luta pela independência, o cônsul-geral lhe contou que Bose havia feito um pedido idêntico, prevenindo que se não obtivesse auxílio do governo nipónico buscá-lo-ia junto aos soviéticos. Ver Ba (1968) 114.</w:t>
      </w:r>
    </w:p>
  </w:footnote>
  <w:footnote w:id="200">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Bose (1982) 205, 209, 212-213, 221, 259, 267; «Bose, Subhas Chandra», em I. C. B. Dear et al. (orgs. 1995) 153; </w:t>
      </w:r>
      <w:r>
        <w:rPr>
          <w:rFonts w:ascii="Arial Narrow" w:hAnsi="Arial Narrow"/>
        </w:rPr>
        <w:t xml:space="preserve">M. Gilbert (2011 b) II 493; </w:t>
      </w:r>
      <w:r w:rsidRPr="008939F2">
        <w:rPr>
          <w:rFonts w:ascii="Arial Narrow" w:hAnsi="Arial Narrow"/>
        </w:rPr>
        <w:t>«Indian National Army (INA)», em I. C. B. Dear et al.</w:t>
      </w:r>
      <w:r>
        <w:rPr>
          <w:rFonts w:ascii="Arial Narrow" w:hAnsi="Arial Narrow"/>
        </w:rPr>
        <w:t xml:space="preserve">, </w:t>
      </w:r>
      <w:r w:rsidRPr="00473120">
        <w:rPr>
          <w:rFonts w:ascii="Arial Narrow" w:hAnsi="Arial Narrow"/>
        </w:rPr>
        <w:t>op. cit.,</w:t>
      </w:r>
      <w:r w:rsidRPr="008939F2">
        <w:rPr>
          <w:rFonts w:ascii="Arial Narrow" w:hAnsi="Arial Narrow"/>
        </w:rPr>
        <w:t xml:space="preserve"> 565-566; F. C. Jones (1954) 369; J. C. Lebra (1971) 24-25, 84 e segs.; id. (org. 1975) 122. </w:t>
      </w:r>
      <w:r>
        <w:rPr>
          <w:rFonts w:ascii="Arial Narrow" w:hAnsi="Arial Narrow"/>
        </w:rPr>
        <w:t xml:space="preserve">Por seu lado, </w:t>
      </w:r>
      <w:r w:rsidRPr="008939F2">
        <w:rPr>
          <w:rFonts w:ascii="Arial Narrow" w:hAnsi="Arial Narrow"/>
        </w:rPr>
        <w:t>J. Keay (2003) II 565 afirm</w:t>
      </w:r>
      <w:r>
        <w:rPr>
          <w:rFonts w:ascii="Arial Narrow" w:hAnsi="Arial Narrow"/>
        </w:rPr>
        <w:t>ou</w:t>
      </w:r>
      <w:r w:rsidRPr="008939F2">
        <w:rPr>
          <w:rFonts w:ascii="Arial Narrow" w:hAnsi="Arial Narrow"/>
        </w:rPr>
        <w:t xml:space="preserve"> que o Exército Nacional Indiano mobilizava vinte mil pessoas.</w:t>
      </w:r>
    </w:p>
  </w:footnote>
  <w:footnote w:id="20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M. Bose (1982) 176.</w:t>
      </w:r>
    </w:p>
  </w:footnote>
  <w:footnote w:id="20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xml:space="preserve">, ibid., 202; «Indian Legion», em I. C. B. Dear et al. </w:t>
      </w:r>
      <w:r w:rsidRPr="00416CAF">
        <w:rPr>
          <w:rFonts w:ascii="Arial Narrow" w:hAnsi="Arial Narrow"/>
          <w:lang w:val="de-DE"/>
        </w:rPr>
        <w:t xml:space="preserve">(orgs. 1995) 565. M. Bardèche et al. </w:t>
      </w:r>
      <w:r w:rsidRPr="008939F2">
        <w:rPr>
          <w:rFonts w:ascii="Arial Narrow" w:hAnsi="Arial Narrow"/>
        </w:rPr>
        <w:t>(1969) 99 pretende</w:t>
      </w:r>
      <w:r>
        <w:rPr>
          <w:rFonts w:ascii="Arial Narrow" w:hAnsi="Arial Narrow"/>
        </w:rPr>
        <w:t>ra</w:t>
      </w:r>
      <w:r w:rsidRPr="008939F2">
        <w:rPr>
          <w:rFonts w:ascii="Arial Narrow" w:hAnsi="Arial Narrow"/>
        </w:rPr>
        <w:t>m que em Março de 1945 Hitler de</w:t>
      </w:r>
      <w:r>
        <w:rPr>
          <w:rFonts w:ascii="Arial Narrow" w:hAnsi="Arial Narrow"/>
        </w:rPr>
        <w:t>ra</w:t>
      </w:r>
      <w:r w:rsidRPr="008939F2">
        <w:rPr>
          <w:rFonts w:ascii="Arial Narrow" w:hAnsi="Arial Narrow"/>
        </w:rPr>
        <w:t xml:space="preserve"> ordem para dissolver a Legião Indiana.</w:t>
      </w:r>
    </w:p>
  </w:footnote>
  <w:footnote w:id="20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Ba (1968) 95.</w:t>
      </w:r>
    </w:p>
  </w:footnote>
  <w:footnote w:id="20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M. Bose (1982) 236, 241-242.</w:t>
      </w:r>
    </w:p>
  </w:footnote>
  <w:footnote w:id="20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177-180, 237.</w:t>
      </w:r>
    </w:p>
  </w:footnote>
  <w:footnote w:id="20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218, 237.</w:t>
      </w:r>
    </w:p>
  </w:footnote>
  <w:footnote w:id="20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J. C. Lebra (1971) 141, 144.</w:t>
      </w:r>
    </w:p>
  </w:footnote>
  <w:footnote w:id="208">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Bose (1982) 247; J. C. Lebra (1971) 194.</w:t>
      </w:r>
    </w:p>
  </w:footnote>
  <w:footnote w:id="209">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Bose (1982) xvi-xvii, 47, 269; «Bose, Subhas Chandra», em I. C. B. Dear et al. (orgs. 1995) 153; J. C. Lebra (1971) 197-199.</w:t>
      </w:r>
    </w:p>
  </w:footnote>
  <w:footnote w:id="210">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F. M. Bailey (1999) 113, 179-180; J. C. Lebra (1971) 47-48.</w:t>
      </w:r>
    </w:p>
  </w:footnote>
  <w:footnote w:id="211">
    <w:p w:rsidR="006947E6" w:rsidRPr="00664CEF"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664CEF">
        <w:rPr>
          <w:rFonts w:ascii="Arial Narrow" w:hAnsi="Arial Narrow"/>
        </w:rPr>
        <w:t xml:space="preserve"> M. Bose (1982) 259-264; M. Gilbert (2011 b) II 838-839; J. Keay (2003) II 576-577; J. C. Lebra (1971) 202-209.</w:t>
      </w:r>
    </w:p>
  </w:footnote>
  <w:footnote w:id="21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Michael Wharton antologiado em R. Hudson (org. 1999) 616.</w:t>
      </w:r>
    </w:p>
  </w:footnote>
  <w:footnote w:id="213">
    <w:p w:rsidR="006947E6" w:rsidRPr="00B91D27"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B91D27">
        <w:rPr>
          <w:rFonts w:ascii="Arial Narrow" w:hAnsi="Arial Narrow"/>
        </w:rPr>
        <w:t xml:space="preserve"> J. Keay (2003) II 577.</w:t>
      </w:r>
    </w:p>
  </w:footnote>
  <w:footnote w:id="214">
    <w:p w:rsidR="006947E6" w:rsidRPr="004112E2" w:rsidRDefault="006947E6">
      <w:pPr>
        <w:pStyle w:val="Textodenotaderodap"/>
        <w:rPr>
          <w:rFonts w:ascii="Arial Narrow" w:hAnsi="Arial Narrow"/>
        </w:rPr>
      </w:pPr>
      <w:r w:rsidRPr="004112E2">
        <w:rPr>
          <w:rStyle w:val="Refdenotaderodap"/>
          <w:rFonts w:ascii="Arial Narrow" w:hAnsi="Arial Narrow"/>
        </w:rPr>
        <w:footnoteRef/>
      </w:r>
      <w:r w:rsidRPr="004112E2">
        <w:rPr>
          <w:rFonts w:ascii="Arial Narrow" w:hAnsi="Arial Narrow"/>
        </w:rPr>
        <w:t xml:space="preserve"> </w:t>
      </w:r>
      <w:r>
        <w:rPr>
          <w:rFonts w:ascii="Arial Narrow" w:hAnsi="Arial Narrow"/>
        </w:rPr>
        <w:t xml:space="preserve">Este editorial do </w:t>
      </w:r>
      <w:r w:rsidRPr="004112E2">
        <w:rPr>
          <w:rFonts w:ascii="Arial Narrow" w:hAnsi="Arial Narrow"/>
          <w:i/>
        </w:rPr>
        <w:t>Völkischer Beobachter</w:t>
      </w:r>
      <w:r>
        <w:rPr>
          <w:rFonts w:ascii="Arial Narrow" w:hAnsi="Arial Narrow"/>
        </w:rPr>
        <w:t xml:space="preserve"> encontra-se em J. Noakes et al. (orgs. 2008-2010) IV 194-195. A passagem citada vem na pág. 195 (sub. orig.).</w:t>
      </w:r>
    </w:p>
  </w:footnote>
  <w:footnote w:id="215">
    <w:p w:rsidR="006947E6" w:rsidRPr="004112E2" w:rsidRDefault="006947E6" w:rsidP="00A1546C">
      <w:pPr>
        <w:pStyle w:val="Textodenotaderodap"/>
        <w:rPr>
          <w:rFonts w:ascii="Arial Narrow" w:hAnsi="Arial Narrow"/>
        </w:rPr>
      </w:pPr>
      <w:r w:rsidRPr="00ED610E">
        <w:rPr>
          <w:rStyle w:val="Refdenotaderodap"/>
          <w:rFonts w:ascii="Arial Narrow" w:hAnsi="Arial Narrow"/>
        </w:rPr>
        <w:footnoteRef/>
      </w:r>
      <w:r w:rsidRPr="004112E2">
        <w:rPr>
          <w:rFonts w:ascii="Arial Narrow" w:hAnsi="Arial Narrow"/>
        </w:rPr>
        <w:t xml:space="preserve"> E. Moravec (1941) 15, 38.</w:t>
      </w:r>
    </w:p>
  </w:footnote>
  <w:footnote w:id="216">
    <w:p w:rsidR="006947E6" w:rsidRPr="00ED610E"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ED610E">
        <w:rPr>
          <w:rFonts w:ascii="Arial Narrow" w:hAnsi="Arial Narrow"/>
        </w:rPr>
        <w:t xml:space="preserve"> H. M. Sachar (1976) 195-196.</w:t>
      </w:r>
      <w:r>
        <w:rPr>
          <w:rFonts w:ascii="Arial Narrow" w:hAnsi="Arial Narrow"/>
        </w:rPr>
        <w:t xml:space="preserve"> Note-se, todavia, que em </w:t>
      </w:r>
      <w:r w:rsidRPr="00DD0384">
        <w:rPr>
          <w:rFonts w:ascii="Arial Narrow" w:hAnsi="Arial Narrow"/>
          <w:i/>
        </w:rPr>
        <w:t>O Mito do Século XX</w:t>
      </w:r>
      <w:r>
        <w:rPr>
          <w:rFonts w:ascii="Arial Narrow" w:hAnsi="Arial Narrow"/>
        </w:rPr>
        <w:t xml:space="preserve"> Rosenberg não expressara simpatia pela civilização islâmica e considerara como «uma acção notável de autopreservação europeia» o facto de os britânicos impedirem a expansão islâmica. Ver A. Rosenberg (1986) 620 ou id. [s. d. 2] 448.</w:t>
      </w:r>
    </w:p>
  </w:footnote>
  <w:footnote w:id="217">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w:t>
      </w:r>
      <w:r w:rsidRPr="008939F2">
        <w:rPr>
          <w:rFonts w:ascii="Arial Narrow" w:hAnsi="Arial Narrow"/>
          <w:i/>
        </w:rPr>
        <w:t>The Economist,</w:t>
      </w:r>
      <w:r w:rsidRPr="008939F2">
        <w:rPr>
          <w:rFonts w:ascii="Arial Narrow" w:hAnsi="Arial Narrow"/>
        </w:rPr>
        <w:t xml:space="preserve"> 24 de Agosto de 2002, pág. 32.</w:t>
      </w:r>
    </w:p>
  </w:footnote>
  <w:footnote w:id="218">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H. M. Sachar (1976) 195, 210.</w:t>
      </w:r>
    </w:p>
  </w:footnote>
  <w:footnote w:id="21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A1546C">
        <w:rPr>
          <w:rFonts w:ascii="Arial Narrow" w:hAnsi="Arial Narrow"/>
          <w:lang w:val="en-US"/>
        </w:rPr>
        <w:t xml:space="preserve"> Ł. Hirszowicz </w:t>
      </w:r>
      <w:r w:rsidRPr="00416CAF">
        <w:rPr>
          <w:rFonts w:ascii="Arial Narrow" w:hAnsi="Arial Narrow"/>
          <w:lang w:val="en-GB"/>
        </w:rPr>
        <w:t xml:space="preserve">(1966) </w:t>
      </w:r>
      <w:r w:rsidRPr="00416CAF">
        <w:rPr>
          <w:rFonts w:ascii="Arial Narrow" w:hAnsi="Arial Narrow"/>
          <w:i/>
          <w:lang w:val="en-GB"/>
        </w:rPr>
        <w:t>passim;</w:t>
      </w:r>
      <w:r w:rsidRPr="00416CAF">
        <w:rPr>
          <w:rFonts w:ascii="Arial Narrow" w:hAnsi="Arial Narrow"/>
          <w:lang w:val="en-GB"/>
        </w:rPr>
        <w:t xml:space="preserve"> «Husseini, Hadj Amin el-», em I. C. B. Dear et al. (orgs. 1995) 553.</w:t>
      </w:r>
    </w:p>
  </w:footnote>
  <w:footnote w:id="22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r w:rsidRPr="00416CAF">
        <w:rPr>
          <w:rFonts w:ascii="Arial Narrow" w:hAnsi="Arial Narrow"/>
          <w:i/>
          <w:lang w:val="en-GB"/>
        </w:rPr>
        <w:t>The Record...,</w:t>
      </w:r>
      <w:r w:rsidRPr="00416CAF">
        <w:rPr>
          <w:rFonts w:ascii="Arial Narrow" w:hAnsi="Arial Narrow"/>
          <w:lang w:val="en-GB"/>
        </w:rPr>
        <w:t xml:space="preserve"> 2.</w:t>
      </w:r>
    </w:p>
  </w:footnote>
  <w:footnote w:id="221">
    <w:p w:rsidR="006947E6" w:rsidRPr="009F11E1"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9F11E1">
        <w:rPr>
          <w:rFonts w:ascii="Arial Narrow" w:hAnsi="Arial Narrow"/>
        </w:rPr>
        <w:t xml:space="preserve"> Ł. Hirszowicz (1966) 67-68, 77 e segs.</w:t>
      </w:r>
    </w:p>
  </w:footnote>
  <w:footnote w:id="222">
    <w:p w:rsidR="006947E6" w:rsidRPr="009F11E1"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9F11E1">
        <w:rPr>
          <w:rFonts w:ascii="Arial Narrow" w:hAnsi="Arial Narrow"/>
        </w:rPr>
        <w:t xml:space="preserve"> Id., ibid., 262-263, 267, 312-313.</w:t>
      </w:r>
    </w:p>
  </w:footnote>
  <w:footnote w:id="223">
    <w:p w:rsidR="006947E6" w:rsidRPr="003A33F2" w:rsidRDefault="006947E6">
      <w:pPr>
        <w:pStyle w:val="Textodenotaderodap"/>
        <w:rPr>
          <w:rFonts w:ascii="Arial Narrow" w:hAnsi="Arial Narrow"/>
        </w:rPr>
      </w:pPr>
      <w:r w:rsidRPr="003A33F2">
        <w:rPr>
          <w:rStyle w:val="Refdenotaderodap"/>
          <w:rFonts w:ascii="Arial Narrow" w:hAnsi="Arial Narrow"/>
        </w:rPr>
        <w:footnoteRef/>
      </w:r>
      <w:r w:rsidRPr="003A33F2">
        <w:rPr>
          <w:rFonts w:ascii="Arial Narrow" w:hAnsi="Arial Narrow"/>
        </w:rPr>
        <w:t xml:space="preserve"> </w:t>
      </w:r>
      <w:r>
        <w:rPr>
          <w:rFonts w:ascii="Arial Narrow" w:hAnsi="Arial Narrow"/>
        </w:rPr>
        <w:t xml:space="preserve">Em </w:t>
      </w:r>
      <w:r w:rsidRPr="003A33F2">
        <w:rPr>
          <w:rFonts w:ascii="Arial Narrow" w:hAnsi="Arial Narrow"/>
          <w:iCs/>
        </w:rPr>
        <w:t>1 de Julho de 1942</w:t>
      </w:r>
      <w:r>
        <w:rPr>
          <w:rFonts w:ascii="Arial Narrow" w:hAnsi="Arial Narrow"/>
          <w:iCs/>
        </w:rPr>
        <w:t xml:space="preserve">, em </w:t>
      </w:r>
      <w:r w:rsidRPr="003A33F2">
        <w:rPr>
          <w:rFonts w:ascii="Arial Narrow" w:hAnsi="Arial Narrow"/>
          <w:bCs/>
          <w:i/>
          <w:iCs/>
        </w:rPr>
        <w:t>Hitler’s Table Talk</w:t>
      </w:r>
      <w:r w:rsidRPr="003A33F2">
        <w:rPr>
          <w:rFonts w:ascii="Arial Narrow" w:hAnsi="Arial Narrow"/>
          <w:iCs/>
        </w:rPr>
        <w:t>...,</w:t>
      </w:r>
      <w:r>
        <w:rPr>
          <w:rFonts w:ascii="Arial Narrow" w:hAnsi="Arial Narrow"/>
          <w:iCs/>
        </w:rPr>
        <w:t xml:space="preserve"> 547.</w:t>
      </w:r>
    </w:p>
  </w:footnote>
  <w:footnote w:id="224">
    <w:p w:rsidR="006947E6" w:rsidRPr="009F11E1"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9F11E1">
        <w:rPr>
          <w:rFonts w:ascii="Arial Narrow" w:hAnsi="Arial Narrow"/>
          <w:lang w:val="en-US"/>
        </w:rPr>
        <w:t xml:space="preserve"> </w:t>
      </w:r>
      <w:r w:rsidRPr="00A1546C">
        <w:rPr>
          <w:rFonts w:ascii="Arial Narrow" w:hAnsi="Arial Narrow"/>
          <w:lang w:val="en-US"/>
        </w:rPr>
        <w:t xml:space="preserve">Ł. Hirszowicz (1966) </w:t>
      </w:r>
      <w:r w:rsidRPr="009F11E1">
        <w:rPr>
          <w:rFonts w:ascii="Arial Narrow" w:hAnsi="Arial Narrow"/>
          <w:lang w:val="en-US"/>
        </w:rPr>
        <w:t>66.</w:t>
      </w:r>
    </w:p>
  </w:footnote>
  <w:footnote w:id="22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65-66, 232 e segs.</w:t>
      </w:r>
    </w:p>
  </w:footnote>
  <w:footnote w:id="22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75-76.</w:t>
      </w:r>
    </w:p>
  </w:footnote>
  <w:footnote w:id="227">
    <w:p w:rsidR="006947E6" w:rsidRPr="00416CAF" w:rsidRDefault="006947E6" w:rsidP="00745E51">
      <w:pPr>
        <w:pStyle w:val="Textodenotaderodap"/>
        <w:tabs>
          <w:tab w:val="left" w:pos="7663"/>
        </w:tabs>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xml:space="preserve">, ibid., 152, 232-233, 241-242; </w:t>
      </w:r>
      <w:r w:rsidRPr="00416CAF">
        <w:rPr>
          <w:rFonts w:ascii="Arial Narrow" w:hAnsi="Arial Narrow"/>
          <w:i/>
          <w:lang w:val="en-GB"/>
        </w:rPr>
        <w:t>The Record...,</w:t>
      </w:r>
      <w:r w:rsidRPr="00416CAF">
        <w:rPr>
          <w:rFonts w:ascii="Arial Narrow" w:hAnsi="Arial Narrow"/>
          <w:lang w:val="en-GB"/>
        </w:rPr>
        <w:t xml:space="preserve"> 1-5;</w:t>
      </w:r>
      <w:r w:rsidRPr="00416CAF">
        <w:rPr>
          <w:rFonts w:ascii="Arial Narrow" w:hAnsi="Arial Narrow"/>
          <w:i/>
          <w:lang w:val="en-GB"/>
        </w:rPr>
        <w:t xml:space="preserve"> </w:t>
      </w:r>
      <w:r w:rsidRPr="00416CAF">
        <w:rPr>
          <w:rFonts w:ascii="Arial Narrow" w:hAnsi="Arial Narrow"/>
          <w:lang w:val="en-GB"/>
        </w:rPr>
        <w:t>H. M. Sachar (1976) 228.</w:t>
      </w:r>
      <w:r>
        <w:rPr>
          <w:rFonts w:ascii="Arial Narrow" w:hAnsi="Arial Narrow"/>
          <w:lang w:val="en-GB"/>
        </w:rPr>
        <w:t xml:space="preserve"> </w:t>
      </w:r>
      <w:r w:rsidRPr="009F11E1">
        <w:rPr>
          <w:rFonts w:ascii="Arial Narrow" w:hAnsi="Arial Narrow"/>
        </w:rPr>
        <w:t xml:space="preserve">Hitler declarou numa roda de íntimos em </w:t>
      </w:r>
      <w:r w:rsidRPr="009F11E1">
        <w:rPr>
          <w:rFonts w:ascii="Arial Narrow" w:hAnsi="Arial Narrow"/>
          <w:iCs/>
        </w:rPr>
        <w:t xml:space="preserve">Julho de 1942: «É também muito importante que o rei do Egipto seja instado a abandonar o mais rapidamente possível a “protecção” britânica, se retire para qualquer lugar e espere que nós o convidemos solenemente a regressar e o restabeleçamos formalmente no trono. Cabe ao Ministério dos Negócios Estrangeiros dar discretamente ao rei uma sugestão neste sentido». </w:t>
      </w:r>
      <w:r>
        <w:rPr>
          <w:rFonts w:ascii="Arial Narrow" w:hAnsi="Arial Narrow"/>
          <w:iCs/>
          <w:lang w:val="en-US"/>
        </w:rPr>
        <w:t xml:space="preserve">Ver </w:t>
      </w:r>
      <w:r w:rsidRPr="009F11E1">
        <w:rPr>
          <w:rFonts w:ascii="Arial Narrow" w:hAnsi="Arial Narrow"/>
          <w:bCs/>
          <w:i/>
          <w:iCs/>
          <w:lang w:val="en-US"/>
        </w:rPr>
        <w:t>Hitler’s Table Talk</w:t>
      </w:r>
      <w:r w:rsidRPr="009F11E1">
        <w:rPr>
          <w:rFonts w:ascii="Arial Narrow" w:hAnsi="Arial Narrow"/>
          <w:iCs/>
          <w:lang w:val="en-US"/>
        </w:rPr>
        <w:t>..., 550.</w:t>
      </w:r>
    </w:p>
  </w:footnote>
  <w:footnote w:id="22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country-region">
        <w:smartTag w:uri="urn:schemas-microsoft-com:office:smarttags" w:element="place">
          <w:r w:rsidRPr="00416CAF">
            <w:rPr>
              <w:rFonts w:ascii="Arial Narrow" w:hAnsi="Arial Narrow"/>
              <w:lang w:val="en-GB"/>
            </w:rPr>
            <w:t>Egypt</w:t>
          </w:r>
        </w:smartTag>
      </w:smartTag>
      <w:r w:rsidRPr="00416CAF">
        <w:rPr>
          <w:rFonts w:ascii="Arial Narrow" w:hAnsi="Arial Narrow"/>
          <w:lang w:val="en-GB"/>
        </w:rPr>
        <w:t>», em I. C. B. Dear et al. (orgs. 1995) 323; Ł. Hirszowicz (1966) 236, 248-249.</w:t>
      </w:r>
    </w:p>
  </w:footnote>
  <w:footnote w:id="229">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A1546C">
        <w:rPr>
          <w:rFonts w:ascii="Arial Narrow" w:hAnsi="Arial Narrow"/>
          <w:lang w:val="en-US"/>
        </w:rPr>
        <w:t xml:space="preserve"> M. Bardèche et al. </w:t>
      </w:r>
      <w:r w:rsidRPr="008939F2">
        <w:rPr>
          <w:rFonts w:ascii="Arial Narrow" w:hAnsi="Arial Narrow"/>
        </w:rPr>
        <w:t>(1969) 92-93. Estes autores observa</w:t>
      </w:r>
      <w:r>
        <w:rPr>
          <w:rFonts w:ascii="Arial Narrow" w:hAnsi="Arial Narrow"/>
        </w:rPr>
        <w:t>ra</w:t>
      </w:r>
      <w:r w:rsidRPr="008939F2">
        <w:rPr>
          <w:rFonts w:ascii="Arial Narrow" w:hAnsi="Arial Narrow"/>
        </w:rPr>
        <w:t>m (pág. 96) que, se Nasser sofre</w:t>
      </w:r>
      <w:r>
        <w:rPr>
          <w:rFonts w:ascii="Arial Narrow" w:hAnsi="Arial Narrow"/>
        </w:rPr>
        <w:t>ra</w:t>
      </w:r>
      <w:r w:rsidRPr="008939F2">
        <w:rPr>
          <w:rFonts w:ascii="Arial Narrow" w:hAnsi="Arial Narrow"/>
        </w:rPr>
        <w:t xml:space="preserve"> a influência do nacional-socialismo egípcio, ele </w:t>
      </w:r>
      <w:r>
        <w:rPr>
          <w:rFonts w:ascii="Arial Narrow" w:hAnsi="Arial Narrow"/>
        </w:rPr>
        <w:t>estivera</w:t>
      </w:r>
      <w:r w:rsidRPr="008939F2">
        <w:rPr>
          <w:rFonts w:ascii="Arial Narrow" w:hAnsi="Arial Narrow"/>
        </w:rPr>
        <w:t xml:space="preserve"> próximo também de outros movimentos políticos e que nesta matéria fo</w:t>
      </w:r>
      <w:r>
        <w:rPr>
          <w:rFonts w:ascii="Arial Narrow" w:hAnsi="Arial Narrow"/>
        </w:rPr>
        <w:t>ra</w:t>
      </w:r>
      <w:r w:rsidRPr="008939F2">
        <w:rPr>
          <w:rFonts w:ascii="Arial Narrow" w:hAnsi="Arial Narrow"/>
        </w:rPr>
        <w:t xml:space="preserve"> o eclectismo que o caracteriz</w:t>
      </w:r>
      <w:r>
        <w:rPr>
          <w:rFonts w:ascii="Arial Narrow" w:hAnsi="Arial Narrow"/>
        </w:rPr>
        <w:t>ara</w:t>
      </w:r>
      <w:r w:rsidRPr="008939F2">
        <w:rPr>
          <w:rFonts w:ascii="Arial Narrow" w:hAnsi="Arial Narrow"/>
        </w:rPr>
        <w:t>.</w:t>
      </w:r>
      <w:r>
        <w:rPr>
          <w:rFonts w:ascii="Arial Narrow" w:hAnsi="Arial Narrow"/>
        </w:rPr>
        <w:t xml:space="preserve"> «Duas gerações de militares árabes, incluindo Nasser e Sadat, tal como mais tarde Saddam e Assad, foram, quando jovens, influenciados pelo fascismo europeu ou pelos seus derivados», afirmou </w:t>
      </w:r>
      <w:r w:rsidRPr="009F11E1">
        <w:rPr>
          <w:rFonts w:ascii="Arial Narrow" w:hAnsi="Arial Narrow"/>
          <w:bCs/>
        </w:rPr>
        <w:t xml:space="preserve">W. Laqueur </w:t>
      </w:r>
      <w:r w:rsidRPr="009F11E1">
        <w:rPr>
          <w:rFonts w:ascii="Arial Narrow" w:hAnsi="Arial Narrow"/>
        </w:rPr>
        <w:t>(1996) 156.</w:t>
      </w:r>
    </w:p>
  </w:footnote>
  <w:footnote w:id="23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r>
        <w:rPr>
          <w:rFonts w:ascii="Arial Narrow" w:hAnsi="Arial Narrow"/>
          <w:lang w:val="en-GB"/>
        </w:rPr>
        <w:t xml:space="preserve">H. G. Dahms (1968) II 14-15; </w:t>
      </w:r>
      <w:r w:rsidRPr="00416CAF">
        <w:rPr>
          <w:rFonts w:ascii="Arial Narrow" w:hAnsi="Arial Narrow"/>
          <w:lang w:val="en-GB"/>
        </w:rPr>
        <w:t>«Kondor Mission», em I. C. B. Dear et al. (orgs. 1995) 656.</w:t>
      </w:r>
    </w:p>
  </w:footnote>
  <w:footnote w:id="23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Ł. Hirszowicz (1966) 242-243.</w:t>
      </w:r>
    </w:p>
  </w:footnote>
  <w:footnote w:id="23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r w:rsidRPr="00526238">
        <w:rPr>
          <w:rFonts w:ascii="Arial Narrow" w:hAnsi="Arial Narrow"/>
          <w:lang w:val="en-US"/>
        </w:rPr>
        <w:t xml:space="preserve">H. J. Burgwyn (2012) </w:t>
      </w:r>
      <w:r>
        <w:rPr>
          <w:rFonts w:ascii="Arial Narrow" w:hAnsi="Arial Narrow"/>
          <w:lang w:val="en-US"/>
        </w:rPr>
        <w:t xml:space="preserve">181-185; </w:t>
      </w:r>
      <w:r>
        <w:rPr>
          <w:rFonts w:ascii="Arial Narrow" w:hAnsi="Arial Narrow"/>
          <w:lang w:val="en-GB"/>
        </w:rPr>
        <w:t xml:space="preserve">M. Gilbert (2011 b) I 215, 221; </w:t>
      </w:r>
      <w:r w:rsidRPr="00416CAF">
        <w:rPr>
          <w:rFonts w:ascii="Arial Narrow" w:hAnsi="Arial Narrow"/>
          <w:lang w:val="en-GB"/>
        </w:rPr>
        <w:t>Ł. Hirszowicz (1966) 77-79, 103-107, 116 e segs., 133-155, 163-168;</w:t>
      </w:r>
      <w:r w:rsidRPr="00416CAF">
        <w:rPr>
          <w:rFonts w:ascii="Arial Narrow" w:hAnsi="Arial Narrow"/>
          <w:i/>
          <w:lang w:val="en-GB"/>
        </w:rPr>
        <w:t xml:space="preserve"> The Record...,</w:t>
      </w:r>
      <w:r w:rsidRPr="00416CAF">
        <w:rPr>
          <w:rFonts w:ascii="Arial Narrow" w:hAnsi="Arial Narrow"/>
          <w:lang w:val="en-GB"/>
        </w:rPr>
        <w:t xml:space="preserve"> 6.</w:t>
      </w:r>
    </w:p>
  </w:footnote>
  <w:footnote w:id="233">
    <w:p w:rsidR="006947E6" w:rsidRPr="00DD2818" w:rsidRDefault="006947E6">
      <w:pPr>
        <w:pStyle w:val="Textodenotaderodap"/>
        <w:rPr>
          <w:rFonts w:ascii="Arial Narrow" w:hAnsi="Arial Narrow"/>
          <w:lang w:val="en-US"/>
        </w:rPr>
      </w:pPr>
      <w:r w:rsidRPr="00DD2818">
        <w:rPr>
          <w:rStyle w:val="Refdenotaderodap"/>
          <w:rFonts w:ascii="Arial Narrow" w:hAnsi="Arial Narrow"/>
        </w:rPr>
        <w:footnoteRef/>
      </w:r>
      <w:r w:rsidRPr="00DD2818">
        <w:rPr>
          <w:rFonts w:ascii="Arial Narrow" w:hAnsi="Arial Narrow"/>
          <w:lang w:val="en-US"/>
        </w:rPr>
        <w:t xml:space="preserve"> J. Noakes et al. (orgs. </w:t>
      </w:r>
      <w:r>
        <w:rPr>
          <w:rFonts w:ascii="Arial Narrow" w:hAnsi="Arial Narrow"/>
          <w:lang w:val="en-US"/>
        </w:rPr>
        <w:t>2008-2010) III 207, 211, 228.</w:t>
      </w:r>
    </w:p>
  </w:footnote>
  <w:footnote w:id="23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Ł. Hirszowicz (1966) 282.</w:t>
      </w:r>
    </w:p>
  </w:footnote>
  <w:footnote w:id="23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275, 292.</w:t>
      </w:r>
    </w:p>
  </w:footnote>
  <w:footnote w:id="23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S. Bessis et al. (1988) 93.</w:t>
      </w:r>
    </w:p>
  </w:footnote>
  <w:footnote w:id="23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94-96; Ł. Hirszowicz (1966) 291.</w:t>
      </w:r>
    </w:p>
  </w:footnote>
  <w:footnote w:id="23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S. Bessis et al. (1988) 96.</w:t>
      </w:r>
    </w:p>
  </w:footnote>
  <w:footnote w:id="23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94; Ł. Hirszowicz (1966) 291-292.</w:t>
      </w:r>
    </w:p>
  </w:footnote>
  <w:footnote w:id="240">
    <w:p w:rsidR="006947E6" w:rsidRPr="00CC6156"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CC6156">
        <w:rPr>
          <w:rFonts w:ascii="Arial Narrow" w:hAnsi="Arial Narrow"/>
          <w:lang w:val="de-DE"/>
        </w:rPr>
        <w:t xml:space="preserve"> M. Bardèche et al. (1969) 95.</w:t>
      </w:r>
    </w:p>
  </w:footnote>
  <w:footnote w:id="241">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S. Bessis et al. (1988) 96-98; Ł. Hirszowicz (1966) 290-291.</w:t>
      </w:r>
    </w:p>
  </w:footnote>
  <w:footnote w:id="242">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S. Bessis et al. (1988) 94.</w:t>
      </w:r>
    </w:p>
  </w:footnote>
  <w:footnote w:id="243">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Id., ibid., 98-99; Ł. Hirszowicz (1966) 291-292, 298.</w:t>
      </w:r>
    </w:p>
  </w:footnote>
  <w:footnote w:id="244">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S. Bessis et al. (1988) 99.</w:t>
      </w:r>
    </w:p>
  </w:footnote>
  <w:footnote w:id="245">
    <w:p w:rsidR="006947E6" w:rsidRPr="00416CAF"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416CAF">
        <w:rPr>
          <w:rFonts w:ascii="Arial Narrow" w:hAnsi="Arial Narrow"/>
          <w:lang w:val="de-DE"/>
        </w:rPr>
        <w:t xml:space="preserve"> Ł. Hirszowicz (1966) 292 e segs.</w:t>
      </w:r>
    </w:p>
  </w:footnote>
  <w:footnote w:id="246">
    <w:p w:rsidR="006947E6" w:rsidRPr="00ED3130" w:rsidRDefault="006947E6">
      <w:pPr>
        <w:pStyle w:val="Textodenotaderodap"/>
        <w:rPr>
          <w:rFonts w:ascii="Arial Narrow" w:hAnsi="Arial Narrow"/>
        </w:rPr>
      </w:pPr>
      <w:r w:rsidRPr="00ED3130">
        <w:rPr>
          <w:rStyle w:val="Refdenotaderodap"/>
          <w:rFonts w:ascii="Arial Narrow" w:hAnsi="Arial Narrow"/>
        </w:rPr>
        <w:footnoteRef/>
      </w:r>
      <w:r w:rsidRPr="00ED3130">
        <w:rPr>
          <w:rFonts w:ascii="Arial Narrow" w:hAnsi="Arial Narrow"/>
        </w:rPr>
        <w:t xml:space="preserve"> </w:t>
      </w:r>
      <w:r>
        <w:rPr>
          <w:rFonts w:ascii="Arial Narrow" w:hAnsi="Arial Narrow"/>
        </w:rPr>
        <w:t xml:space="preserve">Segundo </w:t>
      </w:r>
      <w:r w:rsidRPr="00ED3130">
        <w:rPr>
          <w:rFonts w:ascii="Arial Narrow" w:hAnsi="Arial Narrow"/>
        </w:rPr>
        <w:t>D. Orlow (2009) 28</w:t>
      </w:r>
      <w:r>
        <w:rPr>
          <w:rFonts w:ascii="Arial Narrow" w:hAnsi="Arial Narrow"/>
        </w:rPr>
        <w:t>,</w:t>
      </w:r>
      <w:r w:rsidRPr="00ED3130">
        <w:rPr>
          <w:rFonts w:ascii="Arial Narrow" w:hAnsi="Arial Narrow"/>
        </w:rPr>
        <w:t xml:space="preserve"> os trabalh</w:t>
      </w:r>
      <w:r>
        <w:rPr>
          <w:rFonts w:ascii="Arial Narrow" w:hAnsi="Arial Narrow"/>
        </w:rPr>
        <w:t>a</w:t>
      </w:r>
      <w:r w:rsidRPr="00ED3130">
        <w:rPr>
          <w:rFonts w:ascii="Arial Narrow" w:hAnsi="Arial Narrow"/>
        </w:rPr>
        <w:t xml:space="preserve">dores </w:t>
      </w:r>
      <w:r>
        <w:rPr>
          <w:rFonts w:ascii="Arial Narrow" w:hAnsi="Arial Narrow"/>
        </w:rPr>
        <w:t xml:space="preserve">argelinos </w:t>
      </w:r>
      <w:r w:rsidRPr="00ED3130">
        <w:rPr>
          <w:rFonts w:ascii="Arial Narrow" w:hAnsi="Arial Narrow"/>
        </w:rPr>
        <w:t xml:space="preserve">imigrados </w:t>
      </w:r>
      <w:r>
        <w:rPr>
          <w:rFonts w:ascii="Arial Narrow" w:hAnsi="Arial Narrow"/>
        </w:rPr>
        <w:t>em França haviam sido numerosos na Solidarité Française, a liga fundada por René Coty.</w:t>
      </w:r>
    </w:p>
  </w:footnote>
  <w:footnote w:id="247">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416CAF">
        <w:rPr>
          <w:rFonts w:ascii="Arial Narrow" w:hAnsi="Arial Narrow"/>
          <w:lang w:val="de-DE"/>
        </w:rPr>
        <w:t xml:space="preserve"> M. Bardèche et al. </w:t>
      </w:r>
      <w:r w:rsidRPr="00416CAF">
        <w:rPr>
          <w:rFonts w:ascii="Arial Narrow" w:hAnsi="Arial Narrow"/>
          <w:lang w:val="en-GB"/>
        </w:rPr>
        <w:t xml:space="preserve">(1969) 95; Ph. Bourdrel (1992) 298 n.; Ph. </w:t>
      </w:r>
      <w:r w:rsidRPr="00F83427">
        <w:rPr>
          <w:rFonts w:ascii="Arial Narrow" w:hAnsi="Arial Narrow"/>
          <w:lang w:val="en-US"/>
        </w:rPr>
        <w:t xml:space="preserve">Randa (1997) 649; J.-C. Valla (2000) 54 n. 6, 130 n. 20. </w:t>
      </w:r>
      <w:r w:rsidRPr="008939F2">
        <w:rPr>
          <w:rFonts w:ascii="Arial Narrow" w:hAnsi="Arial Narrow"/>
        </w:rPr>
        <w:t>A citação encontra-se em Jean-Claude Valla,</w:t>
      </w:r>
      <w:r w:rsidRPr="00C15E91">
        <w:rPr>
          <w:rFonts w:ascii="Arial Narrow" w:hAnsi="Arial Narrow"/>
        </w:rPr>
        <w:t xml:space="preserve"> op. cit.,</w:t>
      </w:r>
      <w:r w:rsidRPr="008939F2">
        <w:rPr>
          <w:rFonts w:ascii="Arial Narrow" w:hAnsi="Arial Narrow"/>
        </w:rPr>
        <w:t xml:space="preserve"> 130 n. 20.</w:t>
      </w:r>
    </w:p>
  </w:footnote>
  <w:footnote w:id="248">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8939F2">
        <w:rPr>
          <w:rFonts w:ascii="Arial Narrow" w:hAnsi="Arial Narrow"/>
        </w:rPr>
        <w:t xml:space="preserve"> Acerca do estímulo dado pelos nacionais-socialistas ao movimento autonomista argelino ver P. Ory (1976) 174-177. Quanto às relações entre o PPF e alguns autonomistas muçulmanos consultar igualmente M. Bardèche et al. </w:t>
      </w:r>
      <w:r w:rsidRPr="00416CAF">
        <w:rPr>
          <w:rFonts w:ascii="Arial Narrow" w:hAnsi="Arial Narrow"/>
          <w:lang w:val="en-GB"/>
        </w:rPr>
        <w:t>(1969) 95 e D. Wolf (1969) 345-346.</w:t>
      </w:r>
    </w:p>
  </w:footnote>
  <w:footnote w:id="24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M. Bardèche et al. (1969) 95; </w:t>
      </w:r>
      <w:r w:rsidRPr="00416CAF">
        <w:rPr>
          <w:rFonts w:ascii="Arial Narrow" w:hAnsi="Arial Narrow"/>
          <w:i/>
          <w:lang w:val="en-GB"/>
        </w:rPr>
        <w:t>Who’s Who in the Arab World,</w:t>
      </w:r>
      <w:r w:rsidRPr="00416CAF">
        <w:rPr>
          <w:rFonts w:ascii="Arial Narrow" w:hAnsi="Arial Narrow"/>
          <w:lang w:val="en-GB"/>
        </w:rPr>
        <w:t xml:space="preserve"> 250.</w:t>
      </w:r>
    </w:p>
  </w:footnote>
  <w:footnote w:id="250">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M. Bardèche (1961) 116-121. As passagens e expressões citadas encontram-se nas págs. 116 e 119.</w:t>
      </w:r>
    </w:p>
  </w:footnote>
  <w:footnote w:id="251">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123-130, 149-150. O carácter fascista do regime de Nasser foi reconhecido até pelo teórico neofascista italiano Adriano Romualdi, apesar de ele circunscrever o fascismo à Europa e criticar Bardèche por ter classificado como fascismos vários terceiro-mundismos. «O único fenómeno extra-europeu que, com um pouco de boa vontade, se poderia definir como “fascista” é o Egipto de Nasser, onde efectivamente se procurou enxertar uma mística da antiga cultura árabe sobre uma disciplina política revolucionária», escreveu Romualdi, citado em F. Germinario (2001) 45.</w:t>
      </w:r>
    </w:p>
  </w:footnote>
  <w:footnote w:id="252">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924C56">
        <w:rPr>
          <w:rFonts w:ascii="Arial Narrow" w:hAnsi="Arial Narrow"/>
          <w:lang w:val="en-GB"/>
        </w:rPr>
        <w:t xml:space="preserve"> V. Alba (2000) 247 n. 44; P. Broué et al. </w:t>
      </w:r>
      <w:r w:rsidRPr="008939F2">
        <w:rPr>
          <w:rFonts w:ascii="Arial Narrow" w:hAnsi="Arial Narrow"/>
        </w:rPr>
        <w:t xml:space="preserve">(1961) 240-241, 426. </w:t>
      </w:r>
      <w:r>
        <w:rPr>
          <w:rFonts w:ascii="Arial Narrow" w:hAnsi="Arial Narrow"/>
        </w:rPr>
        <w:t xml:space="preserve">Escreveu </w:t>
      </w:r>
      <w:r w:rsidRPr="00BD23E6">
        <w:rPr>
          <w:rFonts w:ascii="Arial Narrow" w:hAnsi="Arial Narrow"/>
        </w:rPr>
        <w:t xml:space="preserve">G. Jackson (1967) </w:t>
      </w:r>
      <w:r>
        <w:rPr>
          <w:rFonts w:ascii="Arial Narrow" w:hAnsi="Arial Narrow"/>
        </w:rPr>
        <w:t xml:space="preserve">232 que «os socialistas de esquerda tinham, de maneira intermitente, instado para que se pusesse fim ao regime colonial» em Marrocos e acrescentou (pág. 368) que o POUM e os jornais anarquistas reivindicavam que o governo de Largo Caballero desse a independência a Marrocos, o que minaria o moral das tropas mouras ao serviço de Franco. Porém, segundo </w:t>
      </w:r>
      <w:r w:rsidRPr="00924C56">
        <w:rPr>
          <w:rFonts w:ascii="Arial Narrow" w:hAnsi="Arial Narrow"/>
        </w:rPr>
        <w:t>Víctor Alba</w:t>
      </w:r>
      <w:r>
        <w:rPr>
          <w:rFonts w:ascii="Arial Narrow" w:hAnsi="Arial Narrow"/>
        </w:rPr>
        <w:t>,</w:t>
      </w:r>
      <w:r w:rsidRPr="00924C56">
        <w:rPr>
          <w:rFonts w:ascii="Arial Narrow" w:hAnsi="Arial Narrow"/>
        </w:rPr>
        <w:t xml:space="preserve"> </w:t>
      </w:r>
      <w:r>
        <w:rPr>
          <w:rFonts w:ascii="Arial Narrow" w:hAnsi="Arial Narrow"/>
        </w:rPr>
        <w:t xml:space="preserve">op. cit., «o POUM foi a única organização a pedir a independência de Marrocos». </w:t>
      </w:r>
      <w:r w:rsidRPr="008939F2">
        <w:rPr>
          <w:rFonts w:ascii="Arial Narrow" w:hAnsi="Arial Narrow"/>
        </w:rPr>
        <w:t>Escreve</w:t>
      </w:r>
      <w:r>
        <w:rPr>
          <w:rFonts w:ascii="Arial Narrow" w:hAnsi="Arial Narrow"/>
        </w:rPr>
        <w:t>u</w:t>
      </w:r>
      <w:r w:rsidRPr="008939F2">
        <w:rPr>
          <w:rFonts w:ascii="Arial Narrow" w:hAnsi="Arial Narrow"/>
        </w:rPr>
        <w:t xml:space="preserve"> Victor Serge nas suas Memórias: «Nos dias seguintes ao levantamento militar, cuja base estava ainda estabelecida em Marrocos, os autonomistas marroquinos tinham-se oferecido para combater Franco se a república lhes concedesse um estatuto generoso. A negociação, conduzida por vários amigos meus, fracassou, provavelmente porque as chancelarias europeias se mostraram hostis a uma reforma tão audaciosa...». Ver </w:t>
      </w:r>
      <w:r w:rsidRPr="008939F2">
        <w:rPr>
          <w:rFonts w:ascii="Arial Narrow" w:hAnsi="Arial Narrow"/>
          <w:i/>
        </w:rPr>
        <w:t>Mémoires d’un Révolutionnaire, 1905-1941,</w:t>
      </w:r>
      <w:r w:rsidRPr="008939F2">
        <w:rPr>
          <w:rFonts w:ascii="Arial Narrow" w:hAnsi="Arial Narrow"/>
        </w:rPr>
        <w:t xml:space="preserve"> em J. Rière et al. (orgs. 2001) 795.</w:t>
      </w:r>
      <w:r>
        <w:rPr>
          <w:rFonts w:ascii="Arial Narrow" w:hAnsi="Arial Narrow"/>
        </w:rPr>
        <w:t xml:space="preserve"> Alguns meses depois do começo da guerra civil, Camillo Berneri, que se havia estabelecido em Espanha como delegado do movimento anarco-sindicalista italiano, continuava a defender a necessidade de uma aliança com os anticolonialistas marroquinos, mas Largo Caballero nem queria ouvir falar no assunto. Ver Les Giménologues (2006) 311.</w:t>
      </w:r>
    </w:p>
  </w:footnote>
  <w:footnote w:id="253">
    <w:p w:rsidR="006947E6" w:rsidRPr="00CC6156" w:rsidRDefault="006947E6" w:rsidP="00A1546C">
      <w:pPr>
        <w:pStyle w:val="Textodenotaderodap"/>
        <w:rPr>
          <w:rFonts w:ascii="Arial Narrow" w:hAnsi="Arial Narrow"/>
        </w:rPr>
      </w:pPr>
      <w:r w:rsidRPr="008939F2">
        <w:rPr>
          <w:rStyle w:val="Refdenotaderodap"/>
          <w:rFonts w:ascii="Arial Narrow" w:hAnsi="Arial Narrow"/>
        </w:rPr>
        <w:footnoteRef/>
      </w:r>
      <w:r w:rsidRPr="00CC6156">
        <w:rPr>
          <w:rFonts w:ascii="Arial Narrow" w:hAnsi="Arial Narrow"/>
        </w:rPr>
        <w:t xml:space="preserve"> E. D. Cronon (1968) 3; G. Padmore (1960) 97-98.</w:t>
      </w:r>
    </w:p>
  </w:footnote>
  <w:footnote w:id="254">
    <w:p w:rsidR="006947E6" w:rsidRPr="00CC6156"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CC6156">
        <w:rPr>
          <w:rFonts w:ascii="Arial Narrow" w:hAnsi="Arial Narrow"/>
        </w:rPr>
        <w:t xml:space="preserve"> E. D. Cronon (1968) 171; A. Herman (1997) 211.</w:t>
      </w:r>
    </w:p>
  </w:footnote>
  <w:footnote w:id="255">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E. D. Cronon (1968) 52, 73-74.</w:t>
      </w:r>
    </w:p>
  </w:footnote>
  <w:footnote w:id="256">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Para a análise da base social do movimento de Garvey ver id., ibid., 22-27 e 40 e segs.</w:t>
      </w:r>
    </w:p>
  </w:footnote>
  <w:footnote w:id="257">
    <w:p w:rsidR="006947E6" w:rsidRPr="008939F2"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Id., ibid., 65.</w:t>
      </w:r>
    </w:p>
  </w:footnote>
  <w:footnote w:id="258">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A. Herman (1997) 211.</w:t>
      </w:r>
    </w:p>
  </w:footnote>
  <w:footnote w:id="25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E. D. Cronon (1968) 124.</w:t>
      </w:r>
    </w:p>
  </w:footnote>
  <w:footnote w:id="260">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191; G. Padmore (1960) 99, 100.</w:t>
      </w:r>
    </w:p>
  </w:footnote>
  <w:footnote w:id="261">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E. D. Cronon (1968) 193, A. Herman (1997) 212 e G. Padmore (1960) 99. Segundo Edmund David Cronon</w:t>
      </w:r>
      <w:r>
        <w:rPr>
          <w:rFonts w:ascii="Arial Narrow" w:hAnsi="Arial Narrow"/>
        </w:rPr>
        <w:t>,</w:t>
      </w:r>
      <w:r w:rsidRPr="008939F2">
        <w:rPr>
          <w:rFonts w:ascii="Arial Narrow" w:hAnsi="Arial Narrow"/>
        </w:rPr>
        <w:t xml:space="preserve"> </w:t>
      </w:r>
      <w:r w:rsidRPr="00E73EA1">
        <w:rPr>
          <w:rFonts w:ascii="Arial Narrow" w:hAnsi="Arial Narrow"/>
        </w:rPr>
        <w:t>op. cit.,</w:t>
      </w:r>
      <w:r w:rsidRPr="008939F2">
        <w:rPr>
          <w:rFonts w:ascii="Arial Narrow" w:hAnsi="Arial Narrow"/>
        </w:rPr>
        <w:t xml:space="preserve"> 191, Garvey declarou em 1923: «Eu acredito na pureza racial e na conservação dos padrões de pureza racial». E continuaria a proclamar os mesmos princípios em Agosto de 1929, no exílio jamaicano, a crer em id., ibid., 152.</w:t>
      </w:r>
    </w:p>
  </w:footnote>
  <w:footnote w:id="262">
    <w:p w:rsidR="006947E6" w:rsidRPr="001501B5" w:rsidRDefault="006947E6" w:rsidP="00A1546C">
      <w:pPr>
        <w:pStyle w:val="Textodenotaderodap"/>
        <w:ind w:firstLine="708"/>
        <w:rPr>
          <w:rFonts w:ascii="Arial Narrow" w:hAnsi="Arial Narrow"/>
          <w:lang w:val="fr-FR"/>
        </w:rPr>
      </w:pPr>
      <w:r w:rsidRPr="008939F2">
        <w:rPr>
          <w:rStyle w:val="Refdenotaderodap"/>
          <w:rFonts w:ascii="Arial Narrow" w:hAnsi="Arial Narrow"/>
        </w:rPr>
        <w:footnoteRef/>
      </w:r>
      <w:r w:rsidRPr="00416CAF">
        <w:rPr>
          <w:rFonts w:ascii="Arial Narrow" w:hAnsi="Arial Narrow"/>
          <w:lang w:val="en-GB"/>
        </w:rPr>
        <w:t xml:space="preserve"> E. Ginzberg et al. </w:t>
      </w:r>
      <w:r w:rsidRPr="001501B5">
        <w:rPr>
          <w:rFonts w:ascii="Arial Narrow" w:hAnsi="Arial Narrow"/>
          <w:lang w:val="fr-FR"/>
        </w:rPr>
        <w:t>(1968) 2, 51; F. W. Knight et al. (1989) 771.</w:t>
      </w:r>
    </w:p>
  </w:footnote>
  <w:footnote w:id="263">
    <w:p w:rsidR="006947E6" w:rsidRPr="001501B5" w:rsidRDefault="006947E6" w:rsidP="00A1546C">
      <w:pPr>
        <w:pStyle w:val="Textodenotaderodap"/>
        <w:ind w:firstLine="708"/>
        <w:rPr>
          <w:rFonts w:ascii="Arial Narrow" w:hAnsi="Arial Narrow"/>
          <w:lang w:val="de-DE"/>
        </w:rPr>
      </w:pPr>
      <w:r w:rsidRPr="008939F2">
        <w:rPr>
          <w:rStyle w:val="Refdenotaderodap"/>
          <w:rFonts w:ascii="Arial Narrow" w:hAnsi="Arial Narrow"/>
        </w:rPr>
        <w:footnoteRef/>
      </w:r>
      <w:r w:rsidRPr="001501B5">
        <w:rPr>
          <w:rFonts w:ascii="Arial Narrow" w:hAnsi="Arial Narrow"/>
          <w:lang w:val="de-DE"/>
        </w:rPr>
        <w:t xml:space="preserve"> E. Ginzberg et al. (1968) 68-70; A. Herman (1997) 198-199.</w:t>
      </w:r>
    </w:p>
  </w:footnote>
  <w:footnote w:id="264">
    <w:p w:rsidR="006947E6" w:rsidRPr="00A1546C" w:rsidRDefault="006947E6" w:rsidP="00A1546C">
      <w:pPr>
        <w:pStyle w:val="Textodenotaderodap"/>
        <w:rPr>
          <w:rFonts w:ascii="Arial Narrow" w:hAnsi="Arial Narrow"/>
          <w:lang w:val="en-US"/>
        </w:rPr>
      </w:pPr>
      <w:r w:rsidRPr="00415B37">
        <w:rPr>
          <w:rStyle w:val="Refdenotaderodap"/>
          <w:rFonts w:ascii="Arial Narrow" w:hAnsi="Arial Narrow"/>
        </w:rPr>
        <w:footnoteRef/>
      </w:r>
      <w:r w:rsidRPr="00A1546C">
        <w:rPr>
          <w:rFonts w:ascii="Arial Narrow" w:hAnsi="Arial Narrow"/>
          <w:lang w:val="en-US"/>
        </w:rPr>
        <w:t xml:space="preserve"> A. Tocqueville (1968) 203.</w:t>
      </w:r>
    </w:p>
  </w:footnote>
  <w:footnote w:id="265">
    <w:p w:rsidR="006947E6" w:rsidRPr="00A1546C" w:rsidRDefault="006947E6" w:rsidP="00A1546C">
      <w:pPr>
        <w:pStyle w:val="Textodenotaderodap"/>
        <w:rPr>
          <w:rFonts w:ascii="Arial Narrow" w:hAnsi="Arial Narrow"/>
          <w:lang w:val="en-US"/>
        </w:rPr>
      </w:pPr>
      <w:r w:rsidRPr="00415B37">
        <w:rPr>
          <w:rStyle w:val="Refdenotaderodap"/>
          <w:rFonts w:ascii="Arial Narrow" w:hAnsi="Arial Narrow"/>
        </w:rPr>
        <w:footnoteRef/>
      </w:r>
      <w:r w:rsidRPr="00A1546C">
        <w:rPr>
          <w:rFonts w:ascii="Arial Narrow" w:hAnsi="Arial Narrow"/>
          <w:lang w:val="en-US"/>
        </w:rPr>
        <w:t xml:space="preserve"> Id., ibid., 203-204.</w:t>
      </w:r>
    </w:p>
  </w:footnote>
  <w:footnote w:id="266">
    <w:p w:rsidR="006947E6" w:rsidRPr="00A1546C" w:rsidRDefault="006947E6" w:rsidP="00A1546C">
      <w:pPr>
        <w:pStyle w:val="Textodenotaderodap"/>
        <w:rPr>
          <w:rFonts w:ascii="Arial Narrow" w:hAnsi="Arial Narrow"/>
          <w:lang w:val="en-US"/>
        </w:rPr>
      </w:pPr>
      <w:r w:rsidRPr="00415B37">
        <w:rPr>
          <w:rStyle w:val="Refdenotaderodap"/>
          <w:rFonts w:ascii="Arial Narrow" w:hAnsi="Arial Narrow"/>
        </w:rPr>
        <w:footnoteRef/>
      </w:r>
      <w:r w:rsidRPr="00A1546C">
        <w:rPr>
          <w:rFonts w:ascii="Arial Narrow" w:hAnsi="Arial Narrow"/>
          <w:lang w:val="en-US"/>
        </w:rPr>
        <w:t xml:space="preserve"> Id., ibid., 197 e segs.</w:t>
      </w:r>
    </w:p>
  </w:footnote>
  <w:footnote w:id="267">
    <w:p w:rsidR="006947E6" w:rsidRPr="00415B37" w:rsidRDefault="006947E6" w:rsidP="00A1546C">
      <w:pPr>
        <w:pStyle w:val="Textodenotaderodap"/>
        <w:rPr>
          <w:rFonts w:ascii="Arial Narrow" w:hAnsi="Arial Narrow"/>
        </w:rPr>
      </w:pPr>
      <w:r w:rsidRPr="00415B37">
        <w:rPr>
          <w:rStyle w:val="Refdenotaderodap"/>
          <w:rFonts w:ascii="Arial Narrow" w:hAnsi="Arial Narrow"/>
        </w:rPr>
        <w:footnoteRef/>
      </w:r>
      <w:r w:rsidRPr="00415B37">
        <w:rPr>
          <w:rFonts w:ascii="Arial Narrow" w:hAnsi="Arial Narrow"/>
        </w:rPr>
        <w:t xml:space="preserve"> </w:t>
      </w:r>
      <w:r>
        <w:rPr>
          <w:rFonts w:ascii="Arial Narrow" w:hAnsi="Arial Narrow"/>
        </w:rPr>
        <w:t xml:space="preserve">Id., ibid., </w:t>
      </w:r>
      <w:r w:rsidRPr="00415B37">
        <w:rPr>
          <w:rFonts w:ascii="Arial Narrow" w:hAnsi="Arial Narrow"/>
        </w:rPr>
        <w:t>200-201.</w:t>
      </w:r>
    </w:p>
  </w:footnote>
  <w:footnote w:id="268">
    <w:p w:rsidR="006947E6" w:rsidRPr="00415B37" w:rsidRDefault="006947E6" w:rsidP="00A1546C">
      <w:pPr>
        <w:pStyle w:val="Textodenotaderodap"/>
        <w:rPr>
          <w:rFonts w:ascii="Arial Narrow" w:hAnsi="Arial Narrow"/>
        </w:rPr>
      </w:pPr>
      <w:r w:rsidRPr="00415B37">
        <w:rPr>
          <w:rStyle w:val="Refdenotaderodap"/>
          <w:rFonts w:ascii="Arial Narrow" w:hAnsi="Arial Narrow"/>
        </w:rPr>
        <w:footnoteRef/>
      </w:r>
      <w:r w:rsidRPr="00415B37">
        <w:rPr>
          <w:rFonts w:ascii="Arial Narrow" w:hAnsi="Arial Narrow"/>
        </w:rPr>
        <w:t xml:space="preserve"> </w:t>
      </w:r>
      <w:r>
        <w:rPr>
          <w:rFonts w:ascii="Arial Narrow" w:hAnsi="Arial Narrow"/>
        </w:rPr>
        <w:t xml:space="preserve">Id., ibid., </w:t>
      </w:r>
      <w:r w:rsidRPr="00415B37">
        <w:rPr>
          <w:rFonts w:ascii="Arial Narrow" w:hAnsi="Arial Narrow"/>
        </w:rPr>
        <w:t xml:space="preserve">202. Ver ainda a pág. 201. </w:t>
      </w:r>
      <w:r w:rsidRPr="00A1546C">
        <w:rPr>
          <w:rFonts w:ascii="Arial Narrow" w:hAnsi="Arial Narrow"/>
          <w:lang w:val="en-US"/>
        </w:rPr>
        <w:t xml:space="preserve">Segundo F. W. Knight et al. </w:t>
      </w:r>
      <w:r w:rsidRPr="00415B37">
        <w:rPr>
          <w:rFonts w:ascii="Arial Narrow" w:hAnsi="Arial Narrow"/>
        </w:rPr>
        <w:t>(1989) 771, em 1860 só cerca de quinze mil negros havia</w:t>
      </w:r>
      <w:r>
        <w:rPr>
          <w:rFonts w:ascii="Arial Narrow" w:hAnsi="Arial Narrow"/>
        </w:rPr>
        <w:t>m</w:t>
      </w:r>
      <w:r w:rsidRPr="00415B37">
        <w:rPr>
          <w:rFonts w:ascii="Arial Narrow" w:hAnsi="Arial Narrow"/>
        </w:rPr>
        <w:t xml:space="preserve"> abandonado os Estados Unidos para se fixar</w:t>
      </w:r>
      <w:r>
        <w:rPr>
          <w:rFonts w:ascii="Arial Narrow" w:hAnsi="Arial Narrow"/>
        </w:rPr>
        <w:t>em</w:t>
      </w:r>
      <w:r w:rsidRPr="00415B37">
        <w:rPr>
          <w:rFonts w:ascii="Arial Narrow" w:hAnsi="Arial Narrow"/>
        </w:rPr>
        <w:t xml:space="preserve"> n</w:t>
      </w:r>
      <w:r>
        <w:rPr>
          <w:rFonts w:ascii="Arial Narrow" w:hAnsi="Arial Narrow"/>
        </w:rPr>
        <w:t>a Libéria.</w:t>
      </w:r>
    </w:p>
  </w:footnote>
  <w:footnote w:id="269">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E. Ginzberg et al. (1968) 70-72.</w:t>
      </w:r>
    </w:p>
  </w:footnote>
  <w:footnote w:id="270">
    <w:p w:rsidR="006947E6" w:rsidRPr="00D609AB"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A1546C">
        <w:rPr>
          <w:rFonts w:ascii="Arial Narrow" w:hAnsi="Arial Narrow"/>
          <w:lang w:val="en-US"/>
        </w:rPr>
        <w:t xml:space="preserve"> </w:t>
      </w:r>
      <w:r>
        <w:rPr>
          <w:rFonts w:ascii="Arial Narrow" w:hAnsi="Arial Narrow"/>
          <w:lang w:val="en-US"/>
        </w:rPr>
        <w:t xml:space="preserve">D. Donald (1956) 69; </w:t>
      </w:r>
      <w:r w:rsidRPr="00A1546C">
        <w:rPr>
          <w:rFonts w:ascii="Arial Narrow" w:hAnsi="Arial Narrow"/>
          <w:lang w:val="en-US"/>
        </w:rPr>
        <w:t xml:space="preserve">E. Ginzberg et al. </w:t>
      </w:r>
      <w:r w:rsidRPr="00D609AB">
        <w:rPr>
          <w:rFonts w:ascii="Arial Narrow" w:hAnsi="Arial Narrow"/>
        </w:rPr>
        <w:t>(1968) 2-3, 93, 107, 109, 121.</w:t>
      </w:r>
    </w:p>
  </w:footnote>
  <w:footnote w:id="271">
    <w:p w:rsidR="006947E6" w:rsidRPr="002402F7" w:rsidRDefault="006947E6" w:rsidP="00A1546C">
      <w:pPr>
        <w:pStyle w:val="Textodenotaderodap"/>
        <w:ind w:firstLine="708"/>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w:t>
      </w:r>
      <w:r w:rsidRPr="00D609AB">
        <w:rPr>
          <w:rFonts w:ascii="Arial Narrow" w:hAnsi="Arial Narrow"/>
        </w:rPr>
        <w:t xml:space="preserve">E. Ginzberg et al. </w:t>
      </w:r>
      <w:r w:rsidRPr="002402F7">
        <w:rPr>
          <w:rFonts w:ascii="Arial Narrow" w:hAnsi="Arial Narrow"/>
        </w:rPr>
        <w:t>(1968) 109-110. Ver também D. Donald (1956) 135-136.</w:t>
      </w:r>
    </w:p>
  </w:footnote>
  <w:footnote w:id="272">
    <w:p w:rsidR="006947E6" w:rsidRPr="00D609AB"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2402F7">
        <w:rPr>
          <w:rFonts w:ascii="Arial Narrow" w:hAnsi="Arial Narrow"/>
        </w:rPr>
        <w:t xml:space="preserve"> </w:t>
      </w:r>
      <w:r w:rsidRPr="00D609AB">
        <w:rPr>
          <w:rFonts w:ascii="Arial Narrow" w:hAnsi="Arial Narrow"/>
        </w:rPr>
        <w:t xml:space="preserve">E. Ginzberg et al. </w:t>
      </w:r>
      <w:r w:rsidRPr="00A1546C">
        <w:rPr>
          <w:rFonts w:ascii="Arial Narrow" w:hAnsi="Arial Narrow"/>
          <w:lang w:val="en-US"/>
        </w:rPr>
        <w:t xml:space="preserve">(1968) </w:t>
      </w:r>
      <w:r w:rsidRPr="00D609AB">
        <w:rPr>
          <w:rFonts w:ascii="Arial Narrow" w:hAnsi="Arial Narrow"/>
          <w:lang w:val="en-US"/>
        </w:rPr>
        <w:t>110.</w:t>
      </w:r>
    </w:p>
  </w:footnote>
  <w:footnote w:id="273">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2-3.</w:t>
      </w:r>
    </w:p>
  </w:footnote>
  <w:footnote w:id="274">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219.</w:t>
      </w:r>
    </w:p>
  </w:footnote>
  <w:footnote w:id="27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245.</w:t>
      </w:r>
    </w:p>
  </w:footnote>
  <w:footnote w:id="27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E. D. Cronon (1968) 194-195.</w:t>
      </w:r>
    </w:p>
  </w:footnote>
  <w:footnote w:id="277">
    <w:p w:rsidR="006947E6" w:rsidRPr="00BD35DF"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BD35DF">
        <w:rPr>
          <w:rFonts w:ascii="Arial Narrow" w:hAnsi="Arial Narrow"/>
          <w:lang w:val="en-US"/>
        </w:rPr>
        <w:t xml:space="preserve"> Id., ibid., 186-187.</w:t>
      </w:r>
    </w:p>
  </w:footnote>
  <w:footnote w:id="278">
    <w:p w:rsidR="006947E6" w:rsidRPr="00BD35DF" w:rsidRDefault="006947E6" w:rsidP="00A1546C">
      <w:pPr>
        <w:pStyle w:val="Textodenotaderodap"/>
        <w:rPr>
          <w:rFonts w:ascii="Arial Narrow" w:hAnsi="Arial Narrow"/>
          <w:lang w:val="en-US"/>
        </w:rPr>
      </w:pPr>
      <w:r w:rsidRPr="008939F2">
        <w:rPr>
          <w:rStyle w:val="Refdenotaderodap"/>
          <w:rFonts w:ascii="Arial Narrow" w:hAnsi="Arial Narrow"/>
        </w:rPr>
        <w:footnoteRef/>
      </w:r>
      <w:r w:rsidRPr="00B91D27">
        <w:rPr>
          <w:rFonts w:ascii="Arial Narrow" w:hAnsi="Arial Narrow"/>
        </w:rPr>
        <w:t xml:space="preserve"> Citado em A. Herman (1997) 214. No seu mais importante livro, publicado em 1930, o doutrinador oficial do nacional-socialismo, Alfred Rosenberg, apoiou o envio dos negros norte-americanos para colonizarem a África. </w:t>
      </w:r>
      <w:r>
        <w:rPr>
          <w:rFonts w:ascii="Arial Narrow" w:hAnsi="Arial Narrow"/>
          <w:lang w:val="en-US"/>
        </w:rPr>
        <w:t>Ver A. Rosenberg (1986) 622-623, 626 ou id. [s. d. 2] 450, 452-453.</w:t>
      </w:r>
    </w:p>
  </w:footnote>
  <w:footnote w:id="279">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E. D. Cronon (1968) 103, 188-191; A. Herman (1997) 213; G. Padmore (1960) 99-100, 106-107.</w:t>
      </w:r>
    </w:p>
  </w:footnote>
  <w:footnote w:id="28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E. D. Cronon (1968) 152.</w:t>
      </w:r>
    </w:p>
  </w:footnote>
  <w:footnote w:id="28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195-196.</w:t>
      </w:r>
    </w:p>
  </w:footnote>
  <w:footnote w:id="282">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Id., ibid., 61.</w:t>
      </w:r>
    </w:p>
  </w:footnote>
  <w:footnote w:id="283">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Id., ibid., 60.</w:t>
      </w:r>
    </w:p>
  </w:footnote>
  <w:footnote w:id="284">
    <w:p w:rsidR="006947E6" w:rsidRPr="00A1546C" w:rsidRDefault="006947E6" w:rsidP="00A1546C">
      <w:pPr>
        <w:pStyle w:val="Textodenotaderodap"/>
        <w:ind w:firstLine="708"/>
        <w:rPr>
          <w:rFonts w:ascii="Arial Narrow" w:hAnsi="Arial Narrow"/>
          <w:lang w:val="en-US"/>
        </w:rPr>
      </w:pPr>
      <w:r w:rsidRPr="008939F2">
        <w:rPr>
          <w:rStyle w:val="Refdenotaderodap"/>
          <w:rFonts w:ascii="Arial Narrow" w:hAnsi="Arial Narrow"/>
        </w:rPr>
        <w:footnoteRef/>
      </w:r>
      <w:r w:rsidRPr="00A1546C">
        <w:rPr>
          <w:rFonts w:ascii="Arial Narrow" w:hAnsi="Arial Narrow"/>
          <w:lang w:val="en-US"/>
        </w:rPr>
        <w:t xml:space="preserve"> Id., ibid., 50-59, 78 e segs., 101, 112 e segs.</w:t>
      </w:r>
    </w:p>
  </w:footnote>
  <w:footnote w:id="285">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121-122.</w:t>
      </w:r>
    </w:p>
  </w:footnote>
  <w:footnote w:id="286">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130.</w:t>
      </w:r>
    </w:p>
  </w:footnote>
  <w:footnote w:id="287">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106-107, 127-128.</w:t>
      </w:r>
    </w:p>
  </w:footnote>
  <w:footnote w:id="288">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R. D. Ralston et al. (1985) 749-751.</w:t>
      </w:r>
    </w:p>
  </w:footnote>
  <w:footnote w:id="289">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E. D. Cronon (1968) 109, 147-148.</w:t>
      </w:r>
    </w:p>
  </w:footnote>
  <w:footnote w:id="290">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186.</w:t>
      </w:r>
    </w:p>
  </w:footnote>
  <w:footnote w:id="291">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101.</w:t>
      </w:r>
    </w:p>
  </w:footnote>
  <w:footnote w:id="292">
    <w:p w:rsidR="006947E6" w:rsidRPr="00416CAF" w:rsidRDefault="006947E6" w:rsidP="00A1546C">
      <w:pPr>
        <w:pStyle w:val="Textodenotaderodap"/>
        <w:ind w:firstLine="708"/>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163, 200; A. Herman (1997) 213, 214.</w:t>
      </w:r>
    </w:p>
  </w:footnote>
  <w:footnote w:id="293">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E. D. Cronon (1968) 199 e G. Padmore (1960) 106. Ver ainda A. Herman (1997) 213.</w:t>
      </w:r>
    </w:p>
  </w:footnote>
  <w:footnote w:id="294">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w:t>
      </w:r>
      <w:r w:rsidRPr="008939F2">
        <w:rPr>
          <w:rFonts w:ascii="Arial Narrow" w:hAnsi="Arial Narrow"/>
          <w:i/>
        </w:rPr>
        <w:t>The Economist,</w:t>
      </w:r>
      <w:r w:rsidRPr="008939F2">
        <w:rPr>
          <w:rFonts w:ascii="Arial Narrow" w:hAnsi="Arial Narrow"/>
        </w:rPr>
        <w:t xml:space="preserve"> 21 de Novembro de 1998, pag. 98.</w:t>
      </w:r>
    </w:p>
  </w:footnote>
  <w:footnote w:id="295">
    <w:p w:rsidR="006947E6" w:rsidRPr="00F83427" w:rsidRDefault="006947E6">
      <w:pPr>
        <w:pStyle w:val="Textodenotaderodap"/>
        <w:rPr>
          <w:rFonts w:ascii="Arial Narrow" w:hAnsi="Arial Narrow"/>
          <w:lang w:val="en-US"/>
        </w:rPr>
      </w:pPr>
      <w:r w:rsidRPr="00F83427">
        <w:rPr>
          <w:rStyle w:val="Refdenotaderodap"/>
          <w:rFonts w:ascii="Arial Narrow" w:hAnsi="Arial Narrow"/>
        </w:rPr>
        <w:footnoteRef/>
      </w:r>
      <w:r w:rsidRPr="00F83427">
        <w:rPr>
          <w:rFonts w:ascii="Arial Narrow" w:hAnsi="Arial Narrow"/>
          <w:lang w:val="en-US"/>
        </w:rPr>
        <w:t xml:space="preserve"> A. Norden (1943)</w:t>
      </w:r>
      <w:r>
        <w:rPr>
          <w:rFonts w:ascii="Arial Narrow" w:hAnsi="Arial Narrow"/>
          <w:lang w:val="en-US"/>
        </w:rPr>
        <w:t xml:space="preserve"> 9.</w:t>
      </w:r>
    </w:p>
  </w:footnote>
  <w:footnote w:id="296">
    <w:p w:rsidR="006947E6" w:rsidRPr="000E2CFE" w:rsidRDefault="006947E6" w:rsidP="00A1546C">
      <w:pPr>
        <w:pStyle w:val="Textodenotaderodap"/>
        <w:rPr>
          <w:rFonts w:ascii="Arial Narrow" w:hAnsi="Arial Narrow"/>
        </w:rPr>
      </w:pPr>
      <w:r w:rsidRPr="008939F2">
        <w:rPr>
          <w:rStyle w:val="Refdenotaderodap"/>
          <w:rFonts w:ascii="Arial Narrow" w:hAnsi="Arial Narrow"/>
        </w:rPr>
        <w:footnoteRef/>
      </w:r>
      <w:r w:rsidRPr="00F83427">
        <w:rPr>
          <w:rFonts w:ascii="Arial Narrow" w:hAnsi="Arial Narrow"/>
          <w:lang w:val="en-US"/>
        </w:rPr>
        <w:t xml:space="preserve"> G. Orwell (1998 a) 271. </w:t>
      </w:r>
      <w:r w:rsidRPr="000E2CFE">
        <w:rPr>
          <w:rFonts w:ascii="Arial Narrow" w:hAnsi="Arial Narrow"/>
        </w:rPr>
        <w:t>Recentemente M. Mann (2004) 6 encontrou no «socialismo terceiro-mundista» uma semelhança com o fascismo.</w:t>
      </w:r>
      <w:r>
        <w:rPr>
          <w:rFonts w:ascii="Arial Narrow" w:hAnsi="Arial Narrow"/>
        </w:rPr>
        <w:t xml:space="preserve"> Ver no mesmo sentido </w:t>
      </w:r>
      <w:r w:rsidRPr="001F5F32">
        <w:rPr>
          <w:rFonts w:ascii="Arial Narrow" w:hAnsi="Arial Narrow"/>
        </w:rPr>
        <w:t>A. J. Gregor (2000)</w:t>
      </w:r>
      <w:r>
        <w:rPr>
          <w:rFonts w:ascii="Arial Narrow" w:hAnsi="Arial Narrow"/>
        </w:rPr>
        <w:t xml:space="preserve"> 18, 73 e 175.</w:t>
      </w:r>
    </w:p>
  </w:footnote>
  <w:footnote w:id="297">
    <w:p w:rsidR="006947E6" w:rsidRPr="00664D1E" w:rsidRDefault="006947E6" w:rsidP="00A1546C">
      <w:pPr>
        <w:pStyle w:val="Textodenotaderodap"/>
        <w:rPr>
          <w:rFonts w:ascii="Arial Narrow" w:hAnsi="Arial Narrow"/>
        </w:rPr>
      </w:pPr>
      <w:r w:rsidRPr="008939F2">
        <w:rPr>
          <w:rStyle w:val="Refdenotaderodap"/>
          <w:rFonts w:ascii="Arial Narrow" w:hAnsi="Arial Narrow"/>
        </w:rPr>
        <w:footnoteRef/>
      </w:r>
      <w:r w:rsidRPr="00664D1E">
        <w:rPr>
          <w:rFonts w:ascii="Arial Narrow" w:hAnsi="Arial Narrow"/>
        </w:rPr>
        <w:t xml:space="preserve"> L. Wolf-Phillips (1987) 1311-1312.</w:t>
      </w:r>
    </w:p>
  </w:footnote>
  <w:footnote w:id="298">
    <w:p w:rsidR="006947E6" w:rsidRPr="00664D1E" w:rsidRDefault="006947E6" w:rsidP="00A1546C">
      <w:pPr>
        <w:pStyle w:val="Textodenotaderodap"/>
        <w:rPr>
          <w:rFonts w:ascii="Arial Narrow" w:hAnsi="Arial Narrow"/>
        </w:rPr>
      </w:pPr>
      <w:r w:rsidRPr="008939F2">
        <w:rPr>
          <w:rStyle w:val="Refdenotaderodap"/>
          <w:rFonts w:ascii="Arial Narrow" w:hAnsi="Arial Narrow"/>
        </w:rPr>
        <w:footnoteRef/>
      </w:r>
      <w:r w:rsidRPr="00664D1E">
        <w:rPr>
          <w:rFonts w:ascii="Arial Narrow" w:hAnsi="Arial Narrow"/>
        </w:rPr>
        <w:t xml:space="preserve"> Id., ibid., 1312.</w:t>
      </w:r>
    </w:p>
  </w:footnote>
  <w:footnote w:id="299">
    <w:p w:rsidR="006947E6" w:rsidRPr="008939F2" w:rsidRDefault="006947E6" w:rsidP="00A1546C">
      <w:pPr>
        <w:pStyle w:val="Textodenotaderodap"/>
        <w:rPr>
          <w:rFonts w:ascii="Arial Narrow" w:hAnsi="Arial Narrow"/>
        </w:rPr>
      </w:pPr>
      <w:r w:rsidRPr="008939F2">
        <w:rPr>
          <w:rStyle w:val="Refdenotaderodap"/>
          <w:rFonts w:ascii="Arial Narrow" w:hAnsi="Arial Narrow"/>
        </w:rPr>
        <w:footnoteRef/>
      </w:r>
      <w:r w:rsidRPr="008939F2">
        <w:rPr>
          <w:rFonts w:ascii="Arial Narrow" w:hAnsi="Arial Narrow"/>
        </w:rPr>
        <w:t xml:space="preserve"> Citado em M. Pedrosa (1966) 308.</w:t>
      </w:r>
    </w:p>
  </w:footnote>
  <w:footnote w:id="300">
    <w:p w:rsidR="006947E6" w:rsidRPr="00664D1E" w:rsidRDefault="006947E6" w:rsidP="00A1546C">
      <w:pPr>
        <w:pStyle w:val="Textodenotaderodap"/>
        <w:rPr>
          <w:rFonts w:ascii="Arial Narrow" w:hAnsi="Arial Narrow"/>
          <w:lang w:val="en-US"/>
        </w:rPr>
      </w:pPr>
      <w:r w:rsidRPr="008939F2">
        <w:rPr>
          <w:rStyle w:val="Refdenotaderodap"/>
          <w:rFonts w:ascii="Arial Narrow" w:hAnsi="Arial Narrow"/>
        </w:rPr>
        <w:footnoteRef/>
      </w:r>
      <w:r w:rsidRPr="00664D1E">
        <w:rPr>
          <w:rFonts w:ascii="Arial Narrow" w:hAnsi="Arial Narrow"/>
          <w:lang w:val="en-US"/>
        </w:rPr>
        <w:t xml:space="preserve"> Id., ibid., 309.</w:t>
      </w:r>
    </w:p>
  </w:footnote>
  <w:footnote w:id="301">
    <w:p w:rsidR="006947E6" w:rsidRPr="00416CAF" w:rsidRDefault="006947E6" w:rsidP="00A1546C">
      <w:pPr>
        <w:pStyle w:val="Textodenotaderodap"/>
        <w:rPr>
          <w:rFonts w:ascii="Arial Narrow" w:hAnsi="Arial Narrow"/>
          <w:lang w:val="en-GB"/>
        </w:rPr>
      </w:pPr>
      <w:r w:rsidRPr="008939F2">
        <w:rPr>
          <w:rStyle w:val="Refdenotaderodap"/>
          <w:rFonts w:ascii="Arial Narrow" w:hAnsi="Arial Narrow"/>
        </w:rPr>
        <w:footnoteRef/>
      </w:r>
      <w:r w:rsidRPr="00416CAF">
        <w:rPr>
          <w:rFonts w:ascii="Arial Narrow" w:hAnsi="Arial Narrow"/>
          <w:lang w:val="en-GB"/>
        </w:rPr>
        <w:t xml:space="preserve"> </w:t>
      </w:r>
      <w:smartTag w:uri="urn:schemas-microsoft-com:office:smarttags" w:element="State">
        <w:smartTag w:uri="urn:schemas-microsoft-com:office:smarttags" w:element="place">
          <w:r w:rsidRPr="00416CAF">
            <w:rPr>
              <w:rFonts w:ascii="Arial Narrow" w:hAnsi="Arial Narrow"/>
              <w:lang w:val="en-GB"/>
            </w:rPr>
            <w:t>Id.</w:t>
          </w:r>
        </w:smartTag>
      </w:smartTag>
      <w:r w:rsidRPr="00416CAF">
        <w:rPr>
          <w:rFonts w:ascii="Arial Narrow" w:hAnsi="Arial Narrow"/>
          <w:lang w:val="en-GB"/>
        </w:rPr>
        <w:t>, ibid., 528-529 n. 1 (sub. orig.).</w:t>
      </w:r>
    </w:p>
  </w:footnote>
  <w:footnote w:id="302">
    <w:p w:rsidR="006947E6" w:rsidRPr="00455654" w:rsidRDefault="006947E6" w:rsidP="00A1546C">
      <w:pPr>
        <w:pStyle w:val="Textodenotaderodap"/>
        <w:rPr>
          <w:rFonts w:ascii="Arial Narrow" w:hAnsi="Arial Narrow"/>
          <w:lang w:val="en-GB"/>
        </w:rPr>
      </w:pPr>
      <w:r w:rsidRPr="00935774">
        <w:rPr>
          <w:rStyle w:val="Refdenotaderodap"/>
          <w:rFonts w:ascii="Arial Narrow" w:hAnsi="Arial Narrow"/>
        </w:rPr>
        <w:footnoteRef/>
      </w:r>
      <w:r w:rsidRPr="00455654">
        <w:rPr>
          <w:rFonts w:ascii="Arial Narrow" w:hAnsi="Arial Narrow"/>
          <w:lang w:val="en-GB"/>
        </w:rPr>
        <w:t xml:space="preserve"> J. L. Love (1996) 80, 108.</w:t>
      </w:r>
    </w:p>
  </w:footnote>
  <w:footnote w:id="303">
    <w:p w:rsidR="006947E6" w:rsidRPr="00455654" w:rsidRDefault="006947E6" w:rsidP="00A1546C">
      <w:pPr>
        <w:pStyle w:val="Textodenotaderodap"/>
        <w:rPr>
          <w:rFonts w:ascii="Arial Narrow" w:hAnsi="Arial Narrow"/>
          <w:lang w:val="en-GB"/>
        </w:rPr>
      </w:pPr>
      <w:r w:rsidRPr="00716DD2">
        <w:rPr>
          <w:rStyle w:val="Refdenotaderodap"/>
          <w:rFonts w:ascii="Arial Narrow" w:hAnsi="Arial Narrow"/>
        </w:rPr>
        <w:footnoteRef/>
      </w:r>
      <w:r w:rsidRPr="00455654">
        <w:rPr>
          <w:rFonts w:ascii="Arial Narrow" w:hAnsi="Arial Narrow"/>
          <w:lang w:val="en-GB"/>
        </w:rPr>
        <w:t xml:space="preserve"> Id., ibid., 126, 128.</w:t>
      </w:r>
    </w:p>
  </w:footnote>
  <w:footnote w:id="304">
    <w:p w:rsidR="006947E6" w:rsidRPr="00455654" w:rsidRDefault="006947E6" w:rsidP="00A1546C">
      <w:pPr>
        <w:pStyle w:val="Textodenotaderodap"/>
        <w:rPr>
          <w:rFonts w:ascii="Arial Narrow" w:hAnsi="Arial Narrow"/>
          <w:lang w:val="en-GB"/>
        </w:rPr>
      </w:pPr>
      <w:r w:rsidRPr="00807756">
        <w:rPr>
          <w:rStyle w:val="Refdenotaderodap"/>
          <w:rFonts w:ascii="Arial Narrow" w:hAnsi="Arial Narrow"/>
        </w:rPr>
        <w:footnoteRef/>
      </w:r>
      <w:r w:rsidRPr="00455654">
        <w:rPr>
          <w:rFonts w:ascii="Arial Narrow" w:hAnsi="Arial Narrow"/>
          <w:lang w:val="en-GB"/>
        </w:rPr>
        <w:t xml:space="preserve"> Id., ibid., 83.</w:t>
      </w:r>
    </w:p>
  </w:footnote>
  <w:footnote w:id="305">
    <w:p w:rsidR="006947E6" w:rsidRPr="00455654" w:rsidRDefault="006947E6" w:rsidP="00A1546C">
      <w:pPr>
        <w:pStyle w:val="Textodenotaderodap"/>
        <w:rPr>
          <w:rFonts w:ascii="Arial Narrow" w:hAnsi="Arial Narrow"/>
          <w:lang w:val="en-GB"/>
        </w:rPr>
      </w:pPr>
      <w:r w:rsidRPr="00587EA1">
        <w:rPr>
          <w:rStyle w:val="Refdenotaderodap"/>
          <w:rFonts w:ascii="Arial Narrow" w:hAnsi="Arial Narrow"/>
        </w:rPr>
        <w:footnoteRef/>
      </w:r>
      <w:r w:rsidRPr="00455654">
        <w:rPr>
          <w:rFonts w:ascii="Arial Narrow" w:hAnsi="Arial Narrow"/>
          <w:lang w:val="en-GB"/>
        </w:rPr>
        <w:t xml:space="preserve"> Id., ibid., 81.</w:t>
      </w:r>
    </w:p>
  </w:footnote>
  <w:footnote w:id="306">
    <w:p w:rsidR="006947E6" w:rsidRPr="00455654" w:rsidRDefault="006947E6" w:rsidP="00A1546C">
      <w:pPr>
        <w:pStyle w:val="Textodenotaderodap"/>
        <w:rPr>
          <w:rFonts w:ascii="Arial Narrow" w:hAnsi="Arial Narrow"/>
          <w:lang w:val="en-GB"/>
        </w:rPr>
      </w:pPr>
      <w:r w:rsidRPr="00D400A2">
        <w:rPr>
          <w:rStyle w:val="Refdenotaderodap"/>
          <w:rFonts w:ascii="Arial Narrow" w:hAnsi="Arial Narrow"/>
        </w:rPr>
        <w:footnoteRef/>
      </w:r>
      <w:r w:rsidRPr="00455654">
        <w:rPr>
          <w:rFonts w:ascii="Arial Narrow" w:hAnsi="Arial Narrow"/>
          <w:lang w:val="en-GB"/>
        </w:rPr>
        <w:t xml:space="preserve"> M. Manoïlesco (1936) 66 (sub. orig.).</w:t>
      </w:r>
    </w:p>
  </w:footnote>
  <w:footnote w:id="307">
    <w:p w:rsidR="006947E6" w:rsidRPr="005D4994" w:rsidRDefault="006947E6" w:rsidP="00A1546C">
      <w:pPr>
        <w:pStyle w:val="Textodenotaderodap"/>
        <w:rPr>
          <w:rFonts w:ascii="Arial Narrow" w:hAnsi="Arial Narrow"/>
          <w:lang w:val="en-GB"/>
        </w:rPr>
      </w:pPr>
      <w:r w:rsidRPr="005D4994">
        <w:rPr>
          <w:rStyle w:val="Refdenotaderodap"/>
          <w:rFonts w:ascii="Arial Narrow" w:hAnsi="Arial Narrow"/>
        </w:rPr>
        <w:footnoteRef/>
      </w:r>
      <w:r w:rsidRPr="005D4994">
        <w:rPr>
          <w:rFonts w:ascii="Arial Narrow" w:hAnsi="Arial Narrow"/>
          <w:lang w:val="en-GB"/>
        </w:rPr>
        <w:t xml:space="preserve"> Id., ibid., </w:t>
      </w:r>
      <w:r w:rsidRPr="00455654">
        <w:rPr>
          <w:rFonts w:ascii="Arial Narrow" w:hAnsi="Arial Narrow"/>
          <w:lang w:val="en-GB"/>
        </w:rPr>
        <w:t>368 (sub. orig.).</w:t>
      </w:r>
    </w:p>
  </w:footnote>
  <w:footnote w:id="308">
    <w:p w:rsidR="006947E6" w:rsidRPr="00455654" w:rsidRDefault="006947E6" w:rsidP="00A1546C">
      <w:pPr>
        <w:pStyle w:val="Textodenotaderodap"/>
        <w:rPr>
          <w:rFonts w:ascii="Arial Narrow" w:hAnsi="Arial Narrow"/>
        </w:rPr>
      </w:pPr>
      <w:r w:rsidRPr="00D16F5D">
        <w:rPr>
          <w:rStyle w:val="Refdenotaderodap"/>
          <w:rFonts w:ascii="Arial Narrow" w:hAnsi="Arial Narrow"/>
        </w:rPr>
        <w:footnoteRef/>
      </w:r>
      <w:r w:rsidRPr="00455654">
        <w:rPr>
          <w:rFonts w:ascii="Arial Narrow" w:hAnsi="Arial Narrow"/>
        </w:rPr>
        <w:t xml:space="preserve"> Id., ibid., 29-30 (subs. orig.).</w:t>
      </w:r>
    </w:p>
  </w:footnote>
  <w:footnote w:id="309">
    <w:p w:rsidR="006947E6" w:rsidRPr="0011435B" w:rsidRDefault="006947E6" w:rsidP="00A1546C">
      <w:pPr>
        <w:pStyle w:val="Textodenotaderodap"/>
        <w:rPr>
          <w:rFonts w:ascii="Arial Narrow" w:hAnsi="Arial Narrow"/>
        </w:rPr>
      </w:pPr>
      <w:r w:rsidRPr="0011435B">
        <w:rPr>
          <w:rStyle w:val="Refdenotaderodap"/>
          <w:rFonts w:ascii="Arial Narrow" w:hAnsi="Arial Narrow"/>
        </w:rPr>
        <w:footnoteRef/>
      </w:r>
      <w:r w:rsidRPr="0011435B">
        <w:rPr>
          <w:rFonts w:ascii="Arial Narrow" w:hAnsi="Arial Narrow"/>
        </w:rPr>
        <w:t xml:space="preserve"> </w:t>
      </w:r>
      <w:r>
        <w:rPr>
          <w:rFonts w:ascii="Arial Narrow" w:hAnsi="Arial Narrow"/>
        </w:rPr>
        <w:t xml:space="preserve">Citado em </w:t>
      </w:r>
      <w:r w:rsidRPr="00756F8C">
        <w:rPr>
          <w:rFonts w:ascii="Arial Narrow" w:hAnsi="Arial Narrow"/>
        </w:rPr>
        <w:t>J. L. Love (1996)</w:t>
      </w:r>
      <w:r>
        <w:rPr>
          <w:rFonts w:ascii="Arial Narrow" w:hAnsi="Arial Narrow"/>
        </w:rPr>
        <w:t xml:space="preserve"> 84.</w:t>
      </w:r>
    </w:p>
  </w:footnote>
  <w:footnote w:id="310">
    <w:p w:rsidR="006947E6" w:rsidRPr="0006135A" w:rsidRDefault="006947E6" w:rsidP="00A1546C">
      <w:pPr>
        <w:pStyle w:val="Textodenotaderodap"/>
        <w:rPr>
          <w:rFonts w:ascii="Arial Narrow" w:hAnsi="Arial Narrow"/>
        </w:rPr>
      </w:pPr>
      <w:r w:rsidRPr="0006135A">
        <w:rPr>
          <w:rStyle w:val="Refdenotaderodap"/>
          <w:rFonts w:ascii="Arial Narrow" w:hAnsi="Arial Narrow"/>
        </w:rPr>
        <w:footnoteRef/>
      </w:r>
      <w:r w:rsidRPr="0006135A">
        <w:rPr>
          <w:rFonts w:ascii="Arial Narrow" w:hAnsi="Arial Narrow"/>
        </w:rPr>
        <w:t xml:space="preserve"> </w:t>
      </w:r>
      <w:r>
        <w:rPr>
          <w:rFonts w:ascii="Arial Narrow" w:hAnsi="Arial Narrow"/>
        </w:rPr>
        <w:t>Acerca da subordinação de Manoilescu à política nacional-socialista ver id., ibid., 78</w:t>
      </w:r>
      <w:r w:rsidR="00D94040">
        <w:rPr>
          <w:rFonts w:ascii="Arial Narrow" w:hAnsi="Arial Narrow"/>
        </w:rPr>
        <w:t xml:space="preserve"> e</w:t>
      </w:r>
      <w:r>
        <w:rPr>
          <w:rFonts w:ascii="Arial Narrow" w:hAnsi="Arial Narrow"/>
        </w:rPr>
        <w:t xml:space="preserve"> 94.</w:t>
      </w:r>
    </w:p>
  </w:footnote>
  <w:footnote w:id="311">
    <w:p w:rsidR="006947E6" w:rsidRPr="00756F8C" w:rsidRDefault="006947E6" w:rsidP="00A1546C">
      <w:pPr>
        <w:pStyle w:val="Textodenotaderodap"/>
        <w:rPr>
          <w:rFonts w:ascii="Arial Narrow" w:hAnsi="Arial Narrow"/>
        </w:rPr>
      </w:pPr>
      <w:r w:rsidRPr="00756F8C">
        <w:rPr>
          <w:rStyle w:val="Refdenotaderodap"/>
          <w:rFonts w:ascii="Arial Narrow" w:hAnsi="Arial Narrow"/>
        </w:rPr>
        <w:footnoteRef/>
      </w:r>
      <w:r w:rsidRPr="00756F8C">
        <w:rPr>
          <w:rFonts w:ascii="Arial Narrow" w:hAnsi="Arial Narrow"/>
        </w:rPr>
        <w:t xml:space="preserve"> </w:t>
      </w:r>
      <w:r>
        <w:rPr>
          <w:rFonts w:ascii="Arial Narrow" w:hAnsi="Arial Narrow"/>
        </w:rPr>
        <w:t xml:space="preserve">Id., ibid., 88-89. </w:t>
      </w:r>
      <w:r w:rsidRPr="00756F8C">
        <w:rPr>
          <w:rFonts w:ascii="Arial Narrow" w:hAnsi="Arial Narrow"/>
        </w:rPr>
        <w:t>A frase citada encontra-se na p</w:t>
      </w:r>
      <w:r>
        <w:rPr>
          <w:rFonts w:ascii="Arial Narrow" w:hAnsi="Arial Narrow"/>
        </w:rPr>
        <w:t>ág. 88.</w:t>
      </w:r>
    </w:p>
  </w:footnote>
  <w:footnote w:id="312">
    <w:p w:rsidR="006947E6" w:rsidRPr="00455654" w:rsidRDefault="006947E6" w:rsidP="00A1546C">
      <w:pPr>
        <w:pStyle w:val="Textodenotaderodap"/>
        <w:rPr>
          <w:rFonts w:ascii="Arial Narrow" w:hAnsi="Arial Narrow"/>
          <w:lang w:val="en-GB"/>
        </w:rPr>
      </w:pPr>
      <w:r w:rsidRPr="00DA10E0">
        <w:rPr>
          <w:rStyle w:val="Refdenotaderodap"/>
          <w:rFonts w:ascii="Arial Narrow" w:hAnsi="Arial Narrow"/>
        </w:rPr>
        <w:footnoteRef/>
      </w:r>
      <w:r w:rsidRPr="00455654">
        <w:rPr>
          <w:rFonts w:ascii="Arial Narrow" w:hAnsi="Arial Narrow"/>
          <w:lang w:val="en-GB"/>
        </w:rPr>
        <w:t xml:space="preserve"> Id., ibid., 83, 88, 90.</w:t>
      </w:r>
    </w:p>
  </w:footnote>
  <w:footnote w:id="313">
    <w:p w:rsidR="006947E6" w:rsidRPr="00455654" w:rsidRDefault="006947E6" w:rsidP="00A1546C">
      <w:pPr>
        <w:pStyle w:val="Textodenotaderodap"/>
        <w:rPr>
          <w:rFonts w:ascii="Arial Narrow" w:hAnsi="Arial Narrow"/>
          <w:lang w:val="en-GB"/>
        </w:rPr>
      </w:pPr>
      <w:r w:rsidRPr="00414685">
        <w:rPr>
          <w:rStyle w:val="Refdenotaderodap"/>
          <w:rFonts w:ascii="Arial Narrow" w:hAnsi="Arial Narrow"/>
        </w:rPr>
        <w:footnoteRef/>
      </w:r>
      <w:r w:rsidRPr="00455654">
        <w:rPr>
          <w:rFonts w:ascii="Arial Narrow" w:hAnsi="Arial Narrow"/>
          <w:lang w:val="en-GB"/>
        </w:rPr>
        <w:t xml:space="preserve"> Id., ibid., 82.</w:t>
      </w:r>
    </w:p>
  </w:footnote>
  <w:footnote w:id="314">
    <w:p w:rsidR="006947E6" w:rsidRPr="00455654" w:rsidRDefault="006947E6" w:rsidP="00A1546C">
      <w:pPr>
        <w:pStyle w:val="Textodenotaderodap"/>
        <w:rPr>
          <w:rFonts w:ascii="Arial Narrow" w:hAnsi="Arial Narrow"/>
          <w:lang w:val="en-GB"/>
        </w:rPr>
      </w:pPr>
      <w:r w:rsidRPr="00510694">
        <w:rPr>
          <w:rStyle w:val="Refdenotaderodap"/>
          <w:rFonts w:ascii="Arial Narrow" w:hAnsi="Arial Narrow"/>
        </w:rPr>
        <w:footnoteRef/>
      </w:r>
      <w:r w:rsidRPr="00455654">
        <w:rPr>
          <w:rFonts w:ascii="Arial Narrow" w:hAnsi="Arial Narrow"/>
          <w:lang w:val="en-GB"/>
        </w:rPr>
        <w:t xml:space="preserve"> Id., ibid., 83.</w:t>
      </w:r>
    </w:p>
  </w:footnote>
  <w:footnote w:id="315">
    <w:p w:rsidR="006947E6" w:rsidRPr="00455654" w:rsidRDefault="006947E6" w:rsidP="00A1546C">
      <w:pPr>
        <w:pStyle w:val="Textodenotaderodap"/>
        <w:rPr>
          <w:rFonts w:ascii="Arial Narrow" w:hAnsi="Arial Narrow"/>
          <w:lang w:val="en-GB"/>
        </w:rPr>
      </w:pPr>
      <w:r w:rsidRPr="00055AB5">
        <w:rPr>
          <w:rStyle w:val="Refdenotaderodap"/>
          <w:rFonts w:ascii="Arial Narrow" w:hAnsi="Arial Narrow"/>
        </w:rPr>
        <w:footnoteRef/>
      </w:r>
      <w:r w:rsidRPr="00455654">
        <w:rPr>
          <w:rFonts w:ascii="Arial Narrow" w:hAnsi="Arial Narrow"/>
          <w:lang w:val="en-GB"/>
        </w:rPr>
        <w:t xml:space="preserve"> Id., ibid., 82.</w:t>
      </w:r>
    </w:p>
  </w:footnote>
  <w:footnote w:id="316">
    <w:p w:rsidR="006947E6" w:rsidRPr="00455654" w:rsidRDefault="006947E6" w:rsidP="00A1546C">
      <w:pPr>
        <w:pStyle w:val="Textodenotaderodap"/>
        <w:rPr>
          <w:rFonts w:ascii="Arial Narrow" w:hAnsi="Arial Narrow"/>
          <w:lang w:val="en-GB"/>
        </w:rPr>
      </w:pPr>
      <w:r w:rsidRPr="006D0FC6">
        <w:rPr>
          <w:rStyle w:val="Refdenotaderodap"/>
          <w:rFonts w:ascii="Arial Narrow" w:hAnsi="Arial Narrow"/>
        </w:rPr>
        <w:footnoteRef/>
      </w:r>
      <w:r w:rsidRPr="00455654">
        <w:rPr>
          <w:rFonts w:ascii="Arial Narrow" w:hAnsi="Arial Narrow"/>
          <w:lang w:val="en-GB"/>
        </w:rPr>
        <w:t xml:space="preserve"> Id., ibid., 84.</w:t>
      </w:r>
    </w:p>
  </w:footnote>
  <w:footnote w:id="317">
    <w:p w:rsidR="006947E6" w:rsidRPr="00756F8C" w:rsidRDefault="006947E6" w:rsidP="00A1546C">
      <w:pPr>
        <w:pStyle w:val="Textodenotaderodap"/>
        <w:rPr>
          <w:rFonts w:ascii="Arial Narrow" w:hAnsi="Arial Narrow"/>
          <w:lang w:val="en-GB"/>
        </w:rPr>
      </w:pPr>
      <w:r w:rsidRPr="00A26A9E">
        <w:rPr>
          <w:rStyle w:val="Refdenotaderodap"/>
          <w:rFonts w:ascii="Arial Narrow" w:hAnsi="Arial Narrow"/>
        </w:rPr>
        <w:footnoteRef/>
      </w:r>
      <w:r w:rsidRPr="00455654">
        <w:rPr>
          <w:rFonts w:ascii="Arial Narrow" w:hAnsi="Arial Narrow"/>
          <w:lang w:val="en-GB"/>
        </w:rPr>
        <w:t xml:space="preserve"> M. Manoïlesco (1936) 361 (sub. o</w:t>
      </w:r>
      <w:r w:rsidRPr="00756F8C">
        <w:rPr>
          <w:rFonts w:ascii="Arial Narrow" w:hAnsi="Arial Narrow"/>
          <w:lang w:val="en-GB"/>
        </w:rPr>
        <w:t>rig.).</w:t>
      </w:r>
    </w:p>
  </w:footnote>
  <w:footnote w:id="318">
    <w:p w:rsidR="006947E6" w:rsidRPr="00455654" w:rsidRDefault="006947E6" w:rsidP="00A1546C">
      <w:pPr>
        <w:pStyle w:val="Textodenotaderodap"/>
        <w:rPr>
          <w:rFonts w:ascii="Arial Narrow" w:hAnsi="Arial Narrow"/>
          <w:lang w:val="en-GB"/>
        </w:rPr>
      </w:pPr>
      <w:r w:rsidRPr="00603506">
        <w:rPr>
          <w:rStyle w:val="Refdenotaderodap"/>
          <w:rFonts w:ascii="Arial Narrow" w:hAnsi="Arial Narrow"/>
        </w:rPr>
        <w:footnoteRef/>
      </w:r>
      <w:r w:rsidRPr="00756F8C">
        <w:rPr>
          <w:rFonts w:ascii="Arial Narrow" w:hAnsi="Arial Narrow"/>
          <w:lang w:val="en-GB"/>
        </w:rPr>
        <w:t xml:space="preserve"> Id., ibid., 118-120 </w:t>
      </w:r>
      <w:r w:rsidRPr="00455654">
        <w:rPr>
          <w:rFonts w:ascii="Arial Narrow" w:hAnsi="Arial Narrow"/>
          <w:lang w:val="en-GB"/>
        </w:rPr>
        <w:t>(subs. orig.).</w:t>
      </w:r>
    </w:p>
  </w:footnote>
  <w:footnote w:id="319">
    <w:p w:rsidR="006947E6" w:rsidRPr="00455654" w:rsidRDefault="006947E6" w:rsidP="00A1546C">
      <w:pPr>
        <w:pStyle w:val="Textodenotaderodap"/>
        <w:rPr>
          <w:rFonts w:ascii="Arial Narrow" w:hAnsi="Arial Narrow"/>
          <w:lang w:val="en-GB"/>
        </w:rPr>
      </w:pPr>
      <w:r w:rsidRPr="0034430A">
        <w:rPr>
          <w:rStyle w:val="Refdenotaderodap"/>
          <w:rFonts w:ascii="Arial Narrow" w:hAnsi="Arial Narrow"/>
        </w:rPr>
        <w:footnoteRef/>
      </w:r>
      <w:r w:rsidRPr="00455654">
        <w:rPr>
          <w:rFonts w:ascii="Arial Narrow" w:hAnsi="Arial Narrow"/>
          <w:lang w:val="en-GB"/>
        </w:rPr>
        <w:t xml:space="preserve"> Id., ibid., 120-121.</w:t>
      </w:r>
    </w:p>
  </w:footnote>
  <w:footnote w:id="320">
    <w:p w:rsidR="006947E6" w:rsidRPr="00F90ACE" w:rsidRDefault="006947E6" w:rsidP="00A1546C">
      <w:pPr>
        <w:pStyle w:val="Textodenotaderodap"/>
        <w:rPr>
          <w:rFonts w:ascii="Arial Narrow" w:hAnsi="Arial Narrow"/>
        </w:rPr>
      </w:pPr>
      <w:r w:rsidRPr="0034430A">
        <w:rPr>
          <w:rStyle w:val="Refdenotaderodap"/>
          <w:rFonts w:ascii="Arial Narrow" w:hAnsi="Arial Narrow"/>
        </w:rPr>
        <w:footnoteRef/>
      </w:r>
      <w:r w:rsidRPr="008E19D3">
        <w:rPr>
          <w:rFonts w:ascii="Arial Narrow" w:hAnsi="Arial Narrow"/>
          <w:lang w:val="en-GB"/>
        </w:rPr>
        <w:t xml:space="preserve"> Id., ibid., 126 (sub. orig.). </w:t>
      </w:r>
      <w:r w:rsidRPr="008E19D3">
        <w:rPr>
          <w:rFonts w:ascii="Arial Narrow" w:hAnsi="Arial Narrow"/>
        </w:rPr>
        <w:t>«</w:t>
      </w:r>
      <w:r w:rsidRPr="00F90ACE">
        <w:rPr>
          <w:rFonts w:ascii="Arial Narrow" w:hAnsi="Arial Narrow"/>
          <w:i/>
        </w:rPr>
        <w:t>A organização</w:t>
      </w:r>
      <w:r w:rsidRPr="008E19D3">
        <w:rPr>
          <w:rFonts w:ascii="Arial Narrow" w:hAnsi="Arial Narrow"/>
        </w:rPr>
        <w:t xml:space="preserve"> impõe-se», escreveu ainda Manoilescu </w:t>
      </w:r>
      <w:r>
        <w:rPr>
          <w:rFonts w:ascii="Arial Narrow" w:hAnsi="Arial Narrow"/>
        </w:rPr>
        <w:t>(</w:t>
      </w:r>
      <w:r w:rsidRPr="008E19D3">
        <w:rPr>
          <w:rFonts w:ascii="Arial Narrow" w:hAnsi="Arial Narrow"/>
        </w:rPr>
        <w:t>p</w:t>
      </w:r>
      <w:r>
        <w:rPr>
          <w:rFonts w:ascii="Arial Narrow" w:hAnsi="Arial Narrow"/>
        </w:rPr>
        <w:t xml:space="preserve">ág. 122, subs. orig.), «e a sua forma natural é </w:t>
      </w:r>
      <w:r w:rsidRPr="00F90ACE">
        <w:rPr>
          <w:rFonts w:ascii="Arial Narrow" w:hAnsi="Arial Narrow"/>
          <w:i/>
        </w:rPr>
        <w:t>a corporação</w:t>
      </w:r>
      <w:r>
        <w:rPr>
          <w:rFonts w:ascii="Arial Narrow" w:hAnsi="Arial Narrow"/>
        </w:rPr>
        <w:t>».</w:t>
      </w:r>
    </w:p>
  </w:footnote>
  <w:footnote w:id="321">
    <w:p w:rsidR="006947E6" w:rsidRPr="00915C5E" w:rsidRDefault="006947E6" w:rsidP="00A1546C">
      <w:pPr>
        <w:pStyle w:val="Textodenotaderodap"/>
        <w:rPr>
          <w:rFonts w:ascii="Arial Narrow" w:hAnsi="Arial Narrow"/>
        </w:rPr>
      </w:pPr>
      <w:r w:rsidRPr="00915C5E">
        <w:rPr>
          <w:rStyle w:val="Refdenotaderodap"/>
          <w:rFonts w:ascii="Arial Narrow" w:hAnsi="Arial Narrow"/>
        </w:rPr>
        <w:footnoteRef/>
      </w:r>
      <w:r w:rsidRPr="00915C5E">
        <w:rPr>
          <w:rFonts w:ascii="Arial Narrow" w:hAnsi="Arial Narrow"/>
        </w:rPr>
        <w:t xml:space="preserve"> Id., ibid., 13</w:t>
      </w:r>
      <w:r>
        <w:rPr>
          <w:rFonts w:ascii="Arial Narrow" w:hAnsi="Arial Narrow"/>
        </w:rPr>
        <w:t>. Os outros dois países eram a Itália e a Áustria.</w:t>
      </w:r>
    </w:p>
  </w:footnote>
  <w:footnote w:id="322">
    <w:p w:rsidR="006947E6" w:rsidRPr="00915C5E" w:rsidRDefault="006947E6" w:rsidP="00A1546C">
      <w:pPr>
        <w:pStyle w:val="Textodenotaderodap"/>
        <w:rPr>
          <w:rFonts w:ascii="Arial Narrow" w:hAnsi="Arial Narrow"/>
          <w:lang w:val="en-GB"/>
        </w:rPr>
      </w:pPr>
      <w:r w:rsidRPr="00FA6C71">
        <w:rPr>
          <w:rStyle w:val="Refdenotaderodap"/>
          <w:rFonts w:ascii="Arial Narrow" w:hAnsi="Arial Narrow"/>
        </w:rPr>
        <w:footnoteRef/>
      </w:r>
      <w:r w:rsidRPr="00915C5E">
        <w:rPr>
          <w:rFonts w:ascii="Arial Narrow" w:hAnsi="Arial Narrow"/>
          <w:lang w:val="en-GB"/>
        </w:rPr>
        <w:t xml:space="preserve"> J. L. Love (1996) 77, 102-104.</w:t>
      </w:r>
    </w:p>
  </w:footnote>
  <w:footnote w:id="323">
    <w:p w:rsidR="006947E6" w:rsidRPr="00915C5E" w:rsidRDefault="006947E6" w:rsidP="00A1546C">
      <w:pPr>
        <w:pStyle w:val="Textodenotaderodap"/>
        <w:rPr>
          <w:rFonts w:ascii="Arial Narrow" w:hAnsi="Arial Narrow"/>
          <w:lang w:val="en-GB"/>
        </w:rPr>
      </w:pPr>
      <w:r w:rsidRPr="003E6DC6">
        <w:rPr>
          <w:rStyle w:val="Refdenotaderodap"/>
          <w:rFonts w:ascii="Arial Narrow" w:hAnsi="Arial Narrow"/>
        </w:rPr>
        <w:footnoteRef/>
      </w:r>
      <w:r w:rsidRPr="00915C5E">
        <w:rPr>
          <w:rFonts w:ascii="Arial Narrow" w:hAnsi="Arial Narrow"/>
          <w:lang w:val="en-GB"/>
        </w:rPr>
        <w:t xml:space="preserve"> Id., ibid., 11, 78, 147.</w:t>
      </w:r>
    </w:p>
  </w:footnote>
  <w:footnote w:id="324">
    <w:p w:rsidR="006947E6" w:rsidRPr="00455654" w:rsidRDefault="006947E6" w:rsidP="00A1546C">
      <w:pPr>
        <w:pStyle w:val="Textodenotaderodap"/>
        <w:rPr>
          <w:rFonts w:ascii="Arial Narrow" w:hAnsi="Arial Narrow"/>
          <w:lang w:val="en-GB"/>
        </w:rPr>
      </w:pPr>
      <w:r w:rsidRPr="00C15172">
        <w:rPr>
          <w:rStyle w:val="Refdenotaderodap"/>
          <w:rFonts w:ascii="Arial Narrow" w:hAnsi="Arial Narrow"/>
        </w:rPr>
        <w:footnoteRef/>
      </w:r>
      <w:r w:rsidRPr="00455654">
        <w:rPr>
          <w:rFonts w:ascii="Arial Narrow" w:hAnsi="Arial Narrow"/>
          <w:lang w:val="en-GB"/>
        </w:rPr>
        <w:t xml:space="preserve"> Id., ibid., 106-107.</w:t>
      </w:r>
    </w:p>
  </w:footnote>
  <w:footnote w:id="325">
    <w:p w:rsidR="006947E6" w:rsidRPr="00455654" w:rsidRDefault="006947E6" w:rsidP="00A1546C">
      <w:pPr>
        <w:pStyle w:val="Textodenotaderodap"/>
        <w:rPr>
          <w:rFonts w:ascii="Arial Narrow" w:hAnsi="Arial Narrow"/>
          <w:lang w:val="en-GB"/>
        </w:rPr>
      </w:pPr>
      <w:r w:rsidRPr="003F77E3">
        <w:rPr>
          <w:rStyle w:val="Refdenotaderodap"/>
          <w:rFonts w:ascii="Arial Narrow" w:hAnsi="Arial Narrow"/>
        </w:rPr>
        <w:footnoteRef/>
      </w:r>
      <w:r w:rsidRPr="00455654">
        <w:rPr>
          <w:rFonts w:ascii="Arial Narrow" w:hAnsi="Arial Narrow"/>
          <w:lang w:val="en-GB"/>
        </w:rPr>
        <w:t xml:space="preserve"> Id., ibid., </w:t>
      </w:r>
      <w:r w:rsidRPr="003F77E3">
        <w:rPr>
          <w:rFonts w:ascii="Arial Narrow" w:hAnsi="Arial Narrow"/>
          <w:lang w:val="en-GB"/>
        </w:rPr>
        <w:t>105</w:t>
      </w:r>
      <w:r>
        <w:rPr>
          <w:rFonts w:ascii="Arial Narrow" w:hAnsi="Arial Narrow"/>
          <w:lang w:val="en-GB"/>
        </w:rPr>
        <w:t>.</w:t>
      </w:r>
    </w:p>
  </w:footnote>
  <w:footnote w:id="326">
    <w:p w:rsidR="006947E6" w:rsidRPr="00455654" w:rsidRDefault="006947E6" w:rsidP="00D3677D">
      <w:pPr>
        <w:pStyle w:val="Textodenotaderodap"/>
        <w:rPr>
          <w:rFonts w:ascii="Arial Narrow" w:hAnsi="Arial Narrow"/>
          <w:lang w:val="en-GB"/>
        </w:rPr>
      </w:pPr>
      <w:r w:rsidRPr="0093429A">
        <w:rPr>
          <w:rStyle w:val="Refdenotaderodap"/>
          <w:rFonts w:ascii="Arial Narrow" w:hAnsi="Arial Narrow"/>
        </w:rPr>
        <w:footnoteRef/>
      </w:r>
      <w:r w:rsidRPr="00455654">
        <w:rPr>
          <w:rFonts w:ascii="Arial Narrow" w:hAnsi="Arial Narrow"/>
          <w:lang w:val="en-GB"/>
        </w:rPr>
        <w:t xml:space="preserve"> Id., ibid., 111-112.</w:t>
      </w:r>
    </w:p>
  </w:footnote>
  <w:footnote w:id="327">
    <w:p w:rsidR="006947E6" w:rsidRPr="00084BBA" w:rsidRDefault="006947E6" w:rsidP="00A1546C">
      <w:pPr>
        <w:pStyle w:val="Textodenotaderodap"/>
        <w:rPr>
          <w:rFonts w:ascii="Arial Narrow" w:hAnsi="Arial Narrow"/>
        </w:rPr>
      </w:pPr>
      <w:r w:rsidRPr="00DF4364">
        <w:rPr>
          <w:rStyle w:val="Refdenotaderodap"/>
          <w:rFonts w:ascii="Arial Narrow" w:hAnsi="Arial Narrow"/>
        </w:rPr>
        <w:footnoteRef/>
      </w:r>
      <w:r w:rsidRPr="00084BBA">
        <w:rPr>
          <w:rFonts w:ascii="Arial Narrow" w:hAnsi="Arial Narrow"/>
        </w:rPr>
        <w:t xml:space="preserve"> Id., ibid., 122 e segs. Note-se que, a crer em A. Norden (1943) 72, uma filha de Prebisch casara com um importante agente nacional-socialista, o que evidentemente pode não ter </w:t>
      </w:r>
      <w:r w:rsidR="00A967FD">
        <w:rPr>
          <w:rFonts w:ascii="Arial Narrow" w:hAnsi="Arial Narrow"/>
        </w:rPr>
        <w:t xml:space="preserve">aqui </w:t>
      </w:r>
      <w:r w:rsidRPr="00084BBA">
        <w:rPr>
          <w:rFonts w:ascii="Arial Narrow" w:hAnsi="Arial Narrow"/>
        </w:rPr>
        <w:t>nenhum significado.</w:t>
      </w:r>
    </w:p>
  </w:footnote>
  <w:footnote w:id="328">
    <w:p w:rsidR="006947E6" w:rsidRPr="00DF4364" w:rsidRDefault="006947E6" w:rsidP="00A1546C">
      <w:pPr>
        <w:pStyle w:val="Textodenotaderodap"/>
        <w:rPr>
          <w:rFonts w:ascii="Arial Narrow" w:hAnsi="Arial Narrow"/>
          <w:lang w:val="en-GB"/>
        </w:rPr>
      </w:pPr>
      <w:r w:rsidRPr="00812C31">
        <w:rPr>
          <w:rStyle w:val="Refdenotaderodap"/>
          <w:rFonts w:ascii="Arial Narrow" w:hAnsi="Arial Narrow"/>
        </w:rPr>
        <w:footnoteRef/>
      </w:r>
      <w:r w:rsidRPr="00DF4364">
        <w:rPr>
          <w:rFonts w:ascii="Arial Narrow" w:hAnsi="Arial Narrow"/>
          <w:lang w:val="en-GB"/>
        </w:rPr>
        <w:t xml:space="preserve"> </w:t>
      </w:r>
      <w:r w:rsidRPr="00915C5E">
        <w:rPr>
          <w:rFonts w:ascii="Arial Narrow" w:hAnsi="Arial Narrow"/>
          <w:lang w:val="en-GB"/>
        </w:rPr>
        <w:t xml:space="preserve">J. L. Love (1996) </w:t>
      </w:r>
      <w:r w:rsidRPr="00812C31">
        <w:rPr>
          <w:rFonts w:ascii="Arial Narrow" w:hAnsi="Arial Narrow"/>
          <w:lang w:val="en-GB"/>
        </w:rPr>
        <w:t>135</w:t>
      </w:r>
      <w:r>
        <w:rPr>
          <w:rFonts w:ascii="Arial Narrow" w:hAnsi="Arial Narrow"/>
          <w:lang w:val="en-GB"/>
        </w:rPr>
        <w:t>.</w:t>
      </w:r>
    </w:p>
  </w:footnote>
  <w:footnote w:id="329">
    <w:p w:rsidR="006947E6" w:rsidRPr="00DF4364" w:rsidRDefault="006947E6" w:rsidP="00A1546C">
      <w:pPr>
        <w:pStyle w:val="Textodenotaderodap"/>
        <w:rPr>
          <w:rFonts w:ascii="Arial Narrow" w:hAnsi="Arial Narrow"/>
          <w:lang w:val="en-GB"/>
        </w:rPr>
      </w:pPr>
      <w:r w:rsidRPr="0053510C">
        <w:rPr>
          <w:rStyle w:val="Refdenotaderodap"/>
          <w:rFonts w:ascii="Arial Narrow" w:hAnsi="Arial Narrow"/>
        </w:rPr>
        <w:footnoteRef/>
      </w:r>
      <w:r w:rsidRPr="00DF4364">
        <w:rPr>
          <w:rFonts w:ascii="Arial Narrow" w:hAnsi="Arial Narrow"/>
          <w:lang w:val="en-GB"/>
        </w:rPr>
        <w:t xml:space="preserve"> Id., ibid., </w:t>
      </w:r>
      <w:r w:rsidRPr="0053510C">
        <w:rPr>
          <w:rFonts w:ascii="Arial Narrow" w:hAnsi="Arial Narrow"/>
          <w:lang w:val="en-GB"/>
        </w:rPr>
        <w:t>134</w:t>
      </w:r>
      <w:r>
        <w:rPr>
          <w:rFonts w:ascii="Arial Narrow" w:hAnsi="Arial Narrow"/>
          <w:lang w:val="en-GB"/>
        </w:rPr>
        <w:t>.</w:t>
      </w:r>
    </w:p>
  </w:footnote>
  <w:footnote w:id="330">
    <w:p w:rsidR="006947E6" w:rsidRPr="00666BEF" w:rsidRDefault="006947E6" w:rsidP="00A1546C">
      <w:pPr>
        <w:pStyle w:val="Textodenotaderodap"/>
        <w:rPr>
          <w:rFonts w:ascii="Arial Narrow" w:hAnsi="Arial Narrow"/>
          <w:lang w:val="en-GB"/>
        </w:rPr>
      </w:pPr>
      <w:r w:rsidRPr="00666BEF">
        <w:rPr>
          <w:rStyle w:val="Refdenotaderodap"/>
          <w:rFonts w:ascii="Arial Narrow" w:hAnsi="Arial Narrow"/>
        </w:rPr>
        <w:footnoteRef/>
      </w:r>
      <w:r w:rsidRPr="00666BEF">
        <w:rPr>
          <w:rFonts w:ascii="Arial Narrow" w:hAnsi="Arial Narrow"/>
          <w:lang w:val="en-GB"/>
        </w:rPr>
        <w:t xml:space="preserve"> Id., ibid., </w:t>
      </w:r>
      <w:r w:rsidRPr="00455654">
        <w:rPr>
          <w:rFonts w:ascii="Arial Narrow" w:hAnsi="Arial Narrow"/>
          <w:lang w:val="en-GB"/>
        </w:rPr>
        <w:t>77, 94.</w:t>
      </w:r>
    </w:p>
  </w:footnote>
  <w:footnote w:id="331">
    <w:p w:rsidR="006947E6" w:rsidRPr="00666BEF" w:rsidRDefault="006947E6" w:rsidP="00A1546C">
      <w:pPr>
        <w:pStyle w:val="Textodenotaderodap"/>
        <w:rPr>
          <w:rFonts w:ascii="Arial Narrow" w:hAnsi="Arial Narrow"/>
          <w:lang w:val="en-GB"/>
        </w:rPr>
      </w:pPr>
      <w:r w:rsidRPr="00020E01">
        <w:rPr>
          <w:rStyle w:val="Refdenotaderodap"/>
          <w:rFonts w:ascii="Arial Narrow" w:hAnsi="Arial Narrow"/>
        </w:rPr>
        <w:footnoteRef/>
      </w:r>
      <w:r w:rsidRPr="00666BEF">
        <w:rPr>
          <w:rFonts w:ascii="Arial Narrow" w:hAnsi="Arial Narrow"/>
          <w:lang w:val="en-GB"/>
        </w:rPr>
        <w:t xml:space="preserve"> Id., ibid., 112.</w:t>
      </w:r>
    </w:p>
  </w:footnote>
  <w:footnote w:id="332">
    <w:p w:rsidR="006947E6" w:rsidRPr="00666BEF" w:rsidRDefault="006947E6" w:rsidP="00A1546C">
      <w:pPr>
        <w:pStyle w:val="Textodenotaderodap"/>
        <w:rPr>
          <w:rFonts w:ascii="Arial Narrow" w:hAnsi="Arial Narrow"/>
          <w:lang w:val="en-GB"/>
        </w:rPr>
      </w:pPr>
      <w:r w:rsidRPr="00E91003">
        <w:rPr>
          <w:rStyle w:val="Refdenotaderodap"/>
          <w:rFonts w:ascii="Arial Narrow" w:hAnsi="Arial Narrow"/>
        </w:rPr>
        <w:footnoteRef/>
      </w:r>
      <w:r w:rsidRPr="00666BEF">
        <w:rPr>
          <w:rFonts w:ascii="Arial Narrow" w:hAnsi="Arial Narrow"/>
          <w:lang w:val="en-GB"/>
        </w:rPr>
        <w:t xml:space="preserve"> Id., ibid., 135.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1546C"/>
    <w:rsid w:val="00010EF4"/>
    <w:rsid w:val="000128C0"/>
    <w:rsid w:val="00012FA5"/>
    <w:rsid w:val="00013B21"/>
    <w:rsid w:val="00017A7F"/>
    <w:rsid w:val="00031514"/>
    <w:rsid w:val="000332E2"/>
    <w:rsid w:val="00034DC6"/>
    <w:rsid w:val="00041F01"/>
    <w:rsid w:val="00044B3B"/>
    <w:rsid w:val="00046312"/>
    <w:rsid w:val="00047708"/>
    <w:rsid w:val="000535A0"/>
    <w:rsid w:val="000538CE"/>
    <w:rsid w:val="00053F81"/>
    <w:rsid w:val="000543DA"/>
    <w:rsid w:val="00056038"/>
    <w:rsid w:val="00056507"/>
    <w:rsid w:val="00057BCE"/>
    <w:rsid w:val="00057F20"/>
    <w:rsid w:val="000639DA"/>
    <w:rsid w:val="00063AC4"/>
    <w:rsid w:val="00064425"/>
    <w:rsid w:val="000710E8"/>
    <w:rsid w:val="00071711"/>
    <w:rsid w:val="00077A54"/>
    <w:rsid w:val="00080107"/>
    <w:rsid w:val="00080F31"/>
    <w:rsid w:val="00081D99"/>
    <w:rsid w:val="00082827"/>
    <w:rsid w:val="00084BBA"/>
    <w:rsid w:val="000933AA"/>
    <w:rsid w:val="000966AD"/>
    <w:rsid w:val="00097500"/>
    <w:rsid w:val="0009756F"/>
    <w:rsid w:val="000A0A71"/>
    <w:rsid w:val="000B1452"/>
    <w:rsid w:val="000B3B98"/>
    <w:rsid w:val="000B495E"/>
    <w:rsid w:val="000D465B"/>
    <w:rsid w:val="000D51AE"/>
    <w:rsid w:val="000E031A"/>
    <w:rsid w:val="000E0F2E"/>
    <w:rsid w:val="000E2C96"/>
    <w:rsid w:val="000E2CFE"/>
    <w:rsid w:val="000E4A99"/>
    <w:rsid w:val="000E7093"/>
    <w:rsid w:val="000E73BE"/>
    <w:rsid w:val="000F60B5"/>
    <w:rsid w:val="000F6446"/>
    <w:rsid w:val="000F78C9"/>
    <w:rsid w:val="0010289C"/>
    <w:rsid w:val="0010347A"/>
    <w:rsid w:val="00103BA0"/>
    <w:rsid w:val="00103E20"/>
    <w:rsid w:val="00103FD9"/>
    <w:rsid w:val="001129B0"/>
    <w:rsid w:val="00114BF6"/>
    <w:rsid w:val="00123970"/>
    <w:rsid w:val="00126429"/>
    <w:rsid w:val="001270A0"/>
    <w:rsid w:val="0013245B"/>
    <w:rsid w:val="00133DFD"/>
    <w:rsid w:val="00134259"/>
    <w:rsid w:val="00141301"/>
    <w:rsid w:val="0014776F"/>
    <w:rsid w:val="00150F7C"/>
    <w:rsid w:val="00156AA5"/>
    <w:rsid w:val="00163891"/>
    <w:rsid w:val="00171496"/>
    <w:rsid w:val="0017213F"/>
    <w:rsid w:val="00172359"/>
    <w:rsid w:val="00174F57"/>
    <w:rsid w:val="00176F08"/>
    <w:rsid w:val="001838B5"/>
    <w:rsid w:val="00183BA7"/>
    <w:rsid w:val="00184003"/>
    <w:rsid w:val="001850A5"/>
    <w:rsid w:val="00185E3C"/>
    <w:rsid w:val="0018678F"/>
    <w:rsid w:val="00191989"/>
    <w:rsid w:val="001943DB"/>
    <w:rsid w:val="00195323"/>
    <w:rsid w:val="00196E40"/>
    <w:rsid w:val="001A4A09"/>
    <w:rsid w:val="001A6D22"/>
    <w:rsid w:val="001B783E"/>
    <w:rsid w:val="001C14CB"/>
    <w:rsid w:val="001C6287"/>
    <w:rsid w:val="001C6AF1"/>
    <w:rsid w:val="001C6E09"/>
    <w:rsid w:val="001D12B2"/>
    <w:rsid w:val="001D7AD8"/>
    <w:rsid w:val="001E6FCB"/>
    <w:rsid w:val="001F22BC"/>
    <w:rsid w:val="001F241C"/>
    <w:rsid w:val="001F5F32"/>
    <w:rsid w:val="001F694B"/>
    <w:rsid w:val="00200187"/>
    <w:rsid w:val="00200303"/>
    <w:rsid w:val="00200EFC"/>
    <w:rsid w:val="002035CE"/>
    <w:rsid w:val="00206614"/>
    <w:rsid w:val="00206CBD"/>
    <w:rsid w:val="00214B02"/>
    <w:rsid w:val="002228D7"/>
    <w:rsid w:val="0022587E"/>
    <w:rsid w:val="002272E9"/>
    <w:rsid w:val="00235154"/>
    <w:rsid w:val="002373BA"/>
    <w:rsid w:val="002402F7"/>
    <w:rsid w:val="002438DA"/>
    <w:rsid w:val="00247B45"/>
    <w:rsid w:val="00247F17"/>
    <w:rsid w:val="00255A9B"/>
    <w:rsid w:val="00260937"/>
    <w:rsid w:val="002618E2"/>
    <w:rsid w:val="002634A3"/>
    <w:rsid w:val="002665A0"/>
    <w:rsid w:val="00286C67"/>
    <w:rsid w:val="00293F2F"/>
    <w:rsid w:val="002A0A97"/>
    <w:rsid w:val="002A0B73"/>
    <w:rsid w:val="002A16D1"/>
    <w:rsid w:val="002A216F"/>
    <w:rsid w:val="002A3228"/>
    <w:rsid w:val="002A67CB"/>
    <w:rsid w:val="002B1695"/>
    <w:rsid w:val="002C131C"/>
    <w:rsid w:val="002D1030"/>
    <w:rsid w:val="002E04FE"/>
    <w:rsid w:val="002E7042"/>
    <w:rsid w:val="002F0E26"/>
    <w:rsid w:val="002F6B60"/>
    <w:rsid w:val="00300C2F"/>
    <w:rsid w:val="0030190A"/>
    <w:rsid w:val="00302F5A"/>
    <w:rsid w:val="00306EE2"/>
    <w:rsid w:val="0031347D"/>
    <w:rsid w:val="00313533"/>
    <w:rsid w:val="00316153"/>
    <w:rsid w:val="003164B1"/>
    <w:rsid w:val="0031698D"/>
    <w:rsid w:val="003218AC"/>
    <w:rsid w:val="00323A87"/>
    <w:rsid w:val="00333B1F"/>
    <w:rsid w:val="0033753B"/>
    <w:rsid w:val="003416A2"/>
    <w:rsid w:val="003416B5"/>
    <w:rsid w:val="00344806"/>
    <w:rsid w:val="00345326"/>
    <w:rsid w:val="00345760"/>
    <w:rsid w:val="00346CD7"/>
    <w:rsid w:val="00352D41"/>
    <w:rsid w:val="00356BA8"/>
    <w:rsid w:val="003576D1"/>
    <w:rsid w:val="00360E50"/>
    <w:rsid w:val="00361AA6"/>
    <w:rsid w:val="00363AE0"/>
    <w:rsid w:val="003652BC"/>
    <w:rsid w:val="00365B79"/>
    <w:rsid w:val="00376FF9"/>
    <w:rsid w:val="003805A3"/>
    <w:rsid w:val="00382E5A"/>
    <w:rsid w:val="003867DC"/>
    <w:rsid w:val="00387287"/>
    <w:rsid w:val="0038767F"/>
    <w:rsid w:val="0039048C"/>
    <w:rsid w:val="00390C5F"/>
    <w:rsid w:val="0039754C"/>
    <w:rsid w:val="003A091C"/>
    <w:rsid w:val="003A3168"/>
    <w:rsid w:val="003A33F2"/>
    <w:rsid w:val="003B1CB8"/>
    <w:rsid w:val="003B2C8B"/>
    <w:rsid w:val="003C0EB5"/>
    <w:rsid w:val="003C26F1"/>
    <w:rsid w:val="003C31B7"/>
    <w:rsid w:val="003D3864"/>
    <w:rsid w:val="003D4511"/>
    <w:rsid w:val="003D4CDD"/>
    <w:rsid w:val="003E6530"/>
    <w:rsid w:val="003F7222"/>
    <w:rsid w:val="00402014"/>
    <w:rsid w:val="0040326C"/>
    <w:rsid w:val="00410976"/>
    <w:rsid w:val="004112E2"/>
    <w:rsid w:val="00421D18"/>
    <w:rsid w:val="00422521"/>
    <w:rsid w:val="0042450B"/>
    <w:rsid w:val="00426370"/>
    <w:rsid w:val="00434196"/>
    <w:rsid w:val="004352CF"/>
    <w:rsid w:val="00435CAA"/>
    <w:rsid w:val="00444BB1"/>
    <w:rsid w:val="0044527C"/>
    <w:rsid w:val="00447054"/>
    <w:rsid w:val="00447D1C"/>
    <w:rsid w:val="004510EC"/>
    <w:rsid w:val="00460C7C"/>
    <w:rsid w:val="00466AA5"/>
    <w:rsid w:val="00472D15"/>
    <w:rsid w:val="00473120"/>
    <w:rsid w:val="004747B7"/>
    <w:rsid w:val="00476E2C"/>
    <w:rsid w:val="00480876"/>
    <w:rsid w:val="00481C68"/>
    <w:rsid w:val="004835AE"/>
    <w:rsid w:val="00485A16"/>
    <w:rsid w:val="00485BDF"/>
    <w:rsid w:val="00486965"/>
    <w:rsid w:val="00490CB0"/>
    <w:rsid w:val="004932FA"/>
    <w:rsid w:val="004939B3"/>
    <w:rsid w:val="004956FD"/>
    <w:rsid w:val="00495A05"/>
    <w:rsid w:val="00496AD6"/>
    <w:rsid w:val="00496FA9"/>
    <w:rsid w:val="004A37C2"/>
    <w:rsid w:val="004A39F5"/>
    <w:rsid w:val="004A4ABB"/>
    <w:rsid w:val="004A66B6"/>
    <w:rsid w:val="004A7286"/>
    <w:rsid w:val="004B1B97"/>
    <w:rsid w:val="004B3AE6"/>
    <w:rsid w:val="004B5220"/>
    <w:rsid w:val="004B5499"/>
    <w:rsid w:val="004B6A95"/>
    <w:rsid w:val="004C7564"/>
    <w:rsid w:val="004D576C"/>
    <w:rsid w:val="004D645E"/>
    <w:rsid w:val="004E3F1A"/>
    <w:rsid w:val="004F1196"/>
    <w:rsid w:val="004F647B"/>
    <w:rsid w:val="005035D3"/>
    <w:rsid w:val="00503CC0"/>
    <w:rsid w:val="00511D53"/>
    <w:rsid w:val="00520590"/>
    <w:rsid w:val="00521856"/>
    <w:rsid w:val="00525EDA"/>
    <w:rsid w:val="00526238"/>
    <w:rsid w:val="00526260"/>
    <w:rsid w:val="00530D1F"/>
    <w:rsid w:val="0053191C"/>
    <w:rsid w:val="005329A5"/>
    <w:rsid w:val="00532A9D"/>
    <w:rsid w:val="00535244"/>
    <w:rsid w:val="00536B46"/>
    <w:rsid w:val="0054281E"/>
    <w:rsid w:val="00544B18"/>
    <w:rsid w:val="0055022F"/>
    <w:rsid w:val="00555F74"/>
    <w:rsid w:val="00556A8B"/>
    <w:rsid w:val="00556DC4"/>
    <w:rsid w:val="00567959"/>
    <w:rsid w:val="00571ED1"/>
    <w:rsid w:val="00576BBB"/>
    <w:rsid w:val="00581B1B"/>
    <w:rsid w:val="00583CFF"/>
    <w:rsid w:val="00583F71"/>
    <w:rsid w:val="00585BE6"/>
    <w:rsid w:val="005915C8"/>
    <w:rsid w:val="00595E8A"/>
    <w:rsid w:val="005962EA"/>
    <w:rsid w:val="00597A1F"/>
    <w:rsid w:val="005A0D98"/>
    <w:rsid w:val="005A630B"/>
    <w:rsid w:val="005B46F2"/>
    <w:rsid w:val="005C05C2"/>
    <w:rsid w:val="005C4355"/>
    <w:rsid w:val="005D48BB"/>
    <w:rsid w:val="005E3387"/>
    <w:rsid w:val="005E4772"/>
    <w:rsid w:val="005F0CBA"/>
    <w:rsid w:val="005F211B"/>
    <w:rsid w:val="005F304E"/>
    <w:rsid w:val="005F4FFE"/>
    <w:rsid w:val="00604D7A"/>
    <w:rsid w:val="0060524B"/>
    <w:rsid w:val="00605672"/>
    <w:rsid w:val="00606793"/>
    <w:rsid w:val="006076A3"/>
    <w:rsid w:val="006112B0"/>
    <w:rsid w:val="00611DF6"/>
    <w:rsid w:val="00616FD5"/>
    <w:rsid w:val="006173BE"/>
    <w:rsid w:val="00622612"/>
    <w:rsid w:val="00625674"/>
    <w:rsid w:val="00627916"/>
    <w:rsid w:val="0064029F"/>
    <w:rsid w:val="00644834"/>
    <w:rsid w:val="00645C17"/>
    <w:rsid w:val="00657F34"/>
    <w:rsid w:val="00664CEF"/>
    <w:rsid w:val="00664D1E"/>
    <w:rsid w:val="006710D2"/>
    <w:rsid w:val="006711E0"/>
    <w:rsid w:val="006724F0"/>
    <w:rsid w:val="006748FE"/>
    <w:rsid w:val="006802FF"/>
    <w:rsid w:val="00680387"/>
    <w:rsid w:val="00684BF5"/>
    <w:rsid w:val="0068765F"/>
    <w:rsid w:val="00687897"/>
    <w:rsid w:val="00692B5C"/>
    <w:rsid w:val="006947E6"/>
    <w:rsid w:val="006A0E4A"/>
    <w:rsid w:val="006A39CD"/>
    <w:rsid w:val="006A3D43"/>
    <w:rsid w:val="006A44D3"/>
    <w:rsid w:val="006A7912"/>
    <w:rsid w:val="006B26CA"/>
    <w:rsid w:val="006B3610"/>
    <w:rsid w:val="006B5716"/>
    <w:rsid w:val="006C202C"/>
    <w:rsid w:val="006C2127"/>
    <w:rsid w:val="006C37ED"/>
    <w:rsid w:val="006D2631"/>
    <w:rsid w:val="006E1C07"/>
    <w:rsid w:val="006E3231"/>
    <w:rsid w:val="006E37F1"/>
    <w:rsid w:val="006E4B0B"/>
    <w:rsid w:val="006F0B03"/>
    <w:rsid w:val="006F1235"/>
    <w:rsid w:val="006F5174"/>
    <w:rsid w:val="00701E2F"/>
    <w:rsid w:val="00702095"/>
    <w:rsid w:val="007045D0"/>
    <w:rsid w:val="007047A2"/>
    <w:rsid w:val="00706885"/>
    <w:rsid w:val="007177AF"/>
    <w:rsid w:val="00723533"/>
    <w:rsid w:val="00724EAA"/>
    <w:rsid w:val="00726686"/>
    <w:rsid w:val="00727169"/>
    <w:rsid w:val="00727988"/>
    <w:rsid w:val="007330D7"/>
    <w:rsid w:val="00736B40"/>
    <w:rsid w:val="00745E51"/>
    <w:rsid w:val="00747194"/>
    <w:rsid w:val="0075060D"/>
    <w:rsid w:val="00751A65"/>
    <w:rsid w:val="007566DA"/>
    <w:rsid w:val="00760FFA"/>
    <w:rsid w:val="007623C8"/>
    <w:rsid w:val="00762BF3"/>
    <w:rsid w:val="00767E11"/>
    <w:rsid w:val="007713CE"/>
    <w:rsid w:val="00772613"/>
    <w:rsid w:val="0077604A"/>
    <w:rsid w:val="00777214"/>
    <w:rsid w:val="00781EE9"/>
    <w:rsid w:val="00785115"/>
    <w:rsid w:val="00786CD4"/>
    <w:rsid w:val="007912B7"/>
    <w:rsid w:val="007941A5"/>
    <w:rsid w:val="00794387"/>
    <w:rsid w:val="0079590C"/>
    <w:rsid w:val="007A539F"/>
    <w:rsid w:val="007A5B16"/>
    <w:rsid w:val="007A6360"/>
    <w:rsid w:val="007B2506"/>
    <w:rsid w:val="007B33DA"/>
    <w:rsid w:val="007B4FF4"/>
    <w:rsid w:val="007B6804"/>
    <w:rsid w:val="007B7624"/>
    <w:rsid w:val="007C0197"/>
    <w:rsid w:val="007C136F"/>
    <w:rsid w:val="007D05D7"/>
    <w:rsid w:val="007D2129"/>
    <w:rsid w:val="007D2AFE"/>
    <w:rsid w:val="007D550D"/>
    <w:rsid w:val="007D5C09"/>
    <w:rsid w:val="007D6A03"/>
    <w:rsid w:val="007E033F"/>
    <w:rsid w:val="007E2147"/>
    <w:rsid w:val="007E2695"/>
    <w:rsid w:val="007E3395"/>
    <w:rsid w:val="007F408E"/>
    <w:rsid w:val="0080032B"/>
    <w:rsid w:val="008009FC"/>
    <w:rsid w:val="00800CB3"/>
    <w:rsid w:val="00802A27"/>
    <w:rsid w:val="008034DB"/>
    <w:rsid w:val="00807490"/>
    <w:rsid w:val="008116A0"/>
    <w:rsid w:val="008177CC"/>
    <w:rsid w:val="008218BA"/>
    <w:rsid w:val="008229C0"/>
    <w:rsid w:val="00824E45"/>
    <w:rsid w:val="00825257"/>
    <w:rsid w:val="00827819"/>
    <w:rsid w:val="00831D74"/>
    <w:rsid w:val="00842D67"/>
    <w:rsid w:val="00842DC4"/>
    <w:rsid w:val="00844AC0"/>
    <w:rsid w:val="00856FCA"/>
    <w:rsid w:val="00860522"/>
    <w:rsid w:val="00863B5A"/>
    <w:rsid w:val="0086429D"/>
    <w:rsid w:val="00872427"/>
    <w:rsid w:val="00872516"/>
    <w:rsid w:val="00882171"/>
    <w:rsid w:val="00885CB6"/>
    <w:rsid w:val="0088672B"/>
    <w:rsid w:val="008868BB"/>
    <w:rsid w:val="008910B6"/>
    <w:rsid w:val="0089400F"/>
    <w:rsid w:val="008961EA"/>
    <w:rsid w:val="00897504"/>
    <w:rsid w:val="00897C2E"/>
    <w:rsid w:val="008A2EF4"/>
    <w:rsid w:val="008B764E"/>
    <w:rsid w:val="008C14B2"/>
    <w:rsid w:val="008C1C6F"/>
    <w:rsid w:val="008C3816"/>
    <w:rsid w:val="008C3ED0"/>
    <w:rsid w:val="008D0F4A"/>
    <w:rsid w:val="008D4ADB"/>
    <w:rsid w:val="008E4025"/>
    <w:rsid w:val="008E60A0"/>
    <w:rsid w:val="008E6DC2"/>
    <w:rsid w:val="008E717E"/>
    <w:rsid w:val="008F45AD"/>
    <w:rsid w:val="00901DE9"/>
    <w:rsid w:val="00902EBD"/>
    <w:rsid w:val="0091078A"/>
    <w:rsid w:val="0091325F"/>
    <w:rsid w:val="0091327D"/>
    <w:rsid w:val="00917C8C"/>
    <w:rsid w:val="0092749F"/>
    <w:rsid w:val="009310D0"/>
    <w:rsid w:val="00931C5E"/>
    <w:rsid w:val="0093315C"/>
    <w:rsid w:val="009344DC"/>
    <w:rsid w:val="0094706E"/>
    <w:rsid w:val="00950B1E"/>
    <w:rsid w:val="009601F2"/>
    <w:rsid w:val="00965AB3"/>
    <w:rsid w:val="00972267"/>
    <w:rsid w:val="00974CF9"/>
    <w:rsid w:val="00982F4E"/>
    <w:rsid w:val="00990E7F"/>
    <w:rsid w:val="009923A5"/>
    <w:rsid w:val="009975E7"/>
    <w:rsid w:val="00997BCB"/>
    <w:rsid w:val="009A0FA1"/>
    <w:rsid w:val="009A123D"/>
    <w:rsid w:val="009A280E"/>
    <w:rsid w:val="009A4062"/>
    <w:rsid w:val="009A4624"/>
    <w:rsid w:val="009A664F"/>
    <w:rsid w:val="009B1755"/>
    <w:rsid w:val="009B778C"/>
    <w:rsid w:val="009C022B"/>
    <w:rsid w:val="009C1B72"/>
    <w:rsid w:val="009C3B43"/>
    <w:rsid w:val="009C3BC8"/>
    <w:rsid w:val="009C4628"/>
    <w:rsid w:val="009C587B"/>
    <w:rsid w:val="009D148D"/>
    <w:rsid w:val="009D629F"/>
    <w:rsid w:val="009E2E95"/>
    <w:rsid w:val="009E7C89"/>
    <w:rsid w:val="009F11E1"/>
    <w:rsid w:val="00A01258"/>
    <w:rsid w:val="00A04DDC"/>
    <w:rsid w:val="00A1546C"/>
    <w:rsid w:val="00A200E6"/>
    <w:rsid w:val="00A25A16"/>
    <w:rsid w:val="00A3108D"/>
    <w:rsid w:val="00A31346"/>
    <w:rsid w:val="00A36936"/>
    <w:rsid w:val="00A40FAA"/>
    <w:rsid w:val="00A41DF3"/>
    <w:rsid w:val="00A45619"/>
    <w:rsid w:val="00A4701E"/>
    <w:rsid w:val="00A50ECD"/>
    <w:rsid w:val="00A521A2"/>
    <w:rsid w:val="00A544F8"/>
    <w:rsid w:val="00A5631C"/>
    <w:rsid w:val="00A6162A"/>
    <w:rsid w:val="00A62D27"/>
    <w:rsid w:val="00A636C3"/>
    <w:rsid w:val="00A727D5"/>
    <w:rsid w:val="00A7525E"/>
    <w:rsid w:val="00A758F6"/>
    <w:rsid w:val="00A75AB0"/>
    <w:rsid w:val="00A76828"/>
    <w:rsid w:val="00A77794"/>
    <w:rsid w:val="00A82087"/>
    <w:rsid w:val="00A8392A"/>
    <w:rsid w:val="00A847F6"/>
    <w:rsid w:val="00A94320"/>
    <w:rsid w:val="00A967FD"/>
    <w:rsid w:val="00AA2F01"/>
    <w:rsid w:val="00AA3737"/>
    <w:rsid w:val="00AA67C3"/>
    <w:rsid w:val="00AB03DD"/>
    <w:rsid w:val="00AB6246"/>
    <w:rsid w:val="00AC25BF"/>
    <w:rsid w:val="00AE0761"/>
    <w:rsid w:val="00AE6DF7"/>
    <w:rsid w:val="00B00866"/>
    <w:rsid w:val="00B034F6"/>
    <w:rsid w:val="00B0462B"/>
    <w:rsid w:val="00B13441"/>
    <w:rsid w:val="00B142B1"/>
    <w:rsid w:val="00B16CA0"/>
    <w:rsid w:val="00B26CC8"/>
    <w:rsid w:val="00B27275"/>
    <w:rsid w:val="00B346C4"/>
    <w:rsid w:val="00B361D6"/>
    <w:rsid w:val="00B37851"/>
    <w:rsid w:val="00B42FF2"/>
    <w:rsid w:val="00B43E34"/>
    <w:rsid w:val="00B4481C"/>
    <w:rsid w:val="00B47C95"/>
    <w:rsid w:val="00B47E1C"/>
    <w:rsid w:val="00B51E93"/>
    <w:rsid w:val="00B53BA2"/>
    <w:rsid w:val="00B56FE1"/>
    <w:rsid w:val="00B57466"/>
    <w:rsid w:val="00B65868"/>
    <w:rsid w:val="00B67D85"/>
    <w:rsid w:val="00B748C9"/>
    <w:rsid w:val="00B76484"/>
    <w:rsid w:val="00B82A50"/>
    <w:rsid w:val="00B84C03"/>
    <w:rsid w:val="00B8589F"/>
    <w:rsid w:val="00B87B6C"/>
    <w:rsid w:val="00B91D27"/>
    <w:rsid w:val="00B955DE"/>
    <w:rsid w:val="00B96009"/>
    <w:rsid w:val="00BA05C3"/>
    <w:rsid w:val="00BA0E6A"/>
    <w:rsid w:val="00BA4DD8"/>
    <w:rsid w:val="00BB3307"/>
    <w:rsid w:val="00BB4C79"/>
    <w:rsid w:val="00BB5340"/>
    <w:rsid w:val="00BC396D"/>
    <w:rsid w:val="00BC462A"/>
    <w:rsid w:val="00BC4D96"/>
    <w:rsid w:val="00BD2354"/>
    <w:rsid w:val="00BD23E6"/>
    <w:rsid w:val="00BD35DF"/>
    <w:rsid w:val="00BD747A"/>
    <w:rsid w:val="00BE0CCC"/>
    <w:rsid w:val="00BE1195"/>
    <w:rsid w:val="00BE14E9"/>
    <w:rsid w:val="00BE788E"/>
    <w:rsid w:val="00BE7C9B"/>
    <w:rsid w:val="00BF10A2"/>
    <w:rsid w:val="00C026C8"/>
    <w:rsid w:val="00C05AF0"/>
    <w:rsid w:val="00C10859"/>
    <w:rsid w:val="00C11D45"/>
    <w:rsid w:val="00C15E91"/>
    <w:rsid w:val="00C2059E"/>
    <w:rsid w:val="00C218EC"/>
    <w:rsid w:val="00C23AFF"/>
    <w:rsid w:val="00C2767D"/>
    <w:rsid w:val="00C35F68"/>
    <w:rsid w:val="00C373D4"/>
    <w:rsid w:val="00C413F9"/>
    <w:rsid w:val="00C440A1"/>
    <w:rsid w:val="00C51751"/>
    <w:rsid w:val="00C74D4E"/>
    <w:rsid w:val="00C753BA"/>
    <w:rsid w:val="00C82D3F"/>
    <w:rsid w:val="00C8476C"/>
    <w:rsid w:val="00C9669E"/>
    <w:rsid w:val="00CA3E14"/>
    <w:rsid w:val="00CA47EE"/>
    <w:rsid w:val="00CA7365"/>
    <w:rsid w:val="00CB0EFE"/>
    <w:rsid w:val="00CB109B"/>
    <w:rsid w:val="00CB12F8"/>
    <w:rsid w:val="00CB4576"/>
    <w:rsid w:val="00CB4E3E"/>
    <w:rsid w:val="00CD174E"/>
    <w:rsid w:val="00CD6027"/>
    <w:rsid w:val="00CE09E4"/>
    <w:rsid w:val="00CE0D06"/>
    <w:rsid w:val="00CE64C1"/>
    <w:rsid w:val="00D01136"/>
    <w:rsid w:val="00D028F4"/>
    <w:rsid w:val="00D035C8"/>
    <w:rsid w:val="00D0364D"/>
    <w:rsid w:val="00D04C4F"/>
    <w:rsid w:val="00D06CE2"/>
    <w:rsid w:val="00D1237E"/>
    <w:rsid w:val="00D132E3"/>
    <w:rsid w:val="00D15C9F"/>
    <w:rsid w:val="00D1770C"/>
    <w:rsid w:val="00D17F69"/>
    <w:rsid w:val="00D207D5"/>
    <w:rsid w:val="00D27BE1"/>
    <w:rsid w:val="00D31F6D"/>
    <w:rsid w:val="00D3243E"/>
    <w:rsid w:val="00D3677D"/>
    <w:rsid w:val="00D45309"/>
    <w:rsid w:val="00D517EC"/>
    <w:rsid w:val="00D562B2"/>
    <w:rsid w:val="00D57353"/>
    <w:rsid w:val="00D609AB"/>
    <w:rsid w:val="00D63837"/>
    <w:rsid w:val="00D63BD8"/>
    <w:rsid w:val="00D67718"/>
    <w:rsid w:val="00D67BA4"/>
    <w:rsid w:val="00D713AD"/>
    <w:rsid w:val="00D71483"/>
    <w:rsid w:val="00D72D41"/>
    <w:rsid w:val="00D830D0"/>
    <w:rsid w:val="00D8376A"/>
    <w:rsid w:val="00D845F2"/>
    <w:rsid w:val="00D87502"/>
    <w:rsid w:val="00D94040"/>
    <w:rsid w:val="00D94F05"/>
    <w:rsid w:val="00D96B03"/>
    <w:rsid w:val="00D96D4B"/>
    <w:rsid w:val="00DA1836"/>
    <w:rsid w:val="00DA1B5E"/>
    <w:rsid w:val="00DA6D32"/>
    <w:rsid w:val="00DA7959"/>
    <w:rsid w:val="00DB201C"/>
    <w:rsid w:val="00DB37E9"/>
    <w:rsid w:val="00DB4132"/>
    <w:rsid w:val="00DC35E1"/>
    <w:rsid w:val="00DC425E"/>
    <w:rsid w:val="00DC618A"/>
    <w:rsid w:val="00DC77C9"/>
    <w:rsid w:val="00DD0384"/>
    <w:rsid w:val="00DD2818"/>
    <w:rsid w:val="00DD5AF9"/>
    <w:rsid w:val="00DE4AA8"/>
    <w:rsid w:val="00DE55DD"/>
    <w:rsid w:val="00DE58DC"/>
    <w:rsid w:val="00E00AB4"/>
    <w:rsid w:val="00E043A4"/>
    <w:rsid w:val="00E05EA7"/>
    <w:rsid w:val="00E06BF5"/>
    <w:rsid w:val="00E128CE"/>
    <w:rsid w:val="00E14EFB"/>
    <w:rsid w:val="00E176CF"/>
    <w:rsid w:val="00E225DD"/>
    <w:rsid w:val="00E335A5"/>
    <w:rsid w:val="00E4245F"/>
    <w:rsid w:val="00E546C3"/>
    <w:rsid w:val="00E5546D"/>
    <w:rsid w:val="00E5688B"/>
    <w:rsid w:val="00E603AD"/>
    <w:rsid w:val="00E62677"/>
    <w:rsid w:val="00E73EA1"/>
    <w:rsid w:val="00E75A6A"/>
    <w:rsid w:val="00E81CB8"/>
    <w:rsid w:val="00E847F8"/>
    <w:rsid w:val="00E95CFC"/>
    <w:rsid w:val="00EA048B"/>
    <w:rsid w:val="00EA379F"/>
    <w:rsid w:val="00EA41EC"/>
    <w:rsid w:val="00EA593E"/>
    <w:rsid w:val="00EB111B"/>
    <w:rsid w:val="00EB1C32"/>
    <w:rsid w:val="00EB24A3"/>
    <w:rsid w:val="00EB52B8"/>
    <w:rsid w:val="00EB592C"/>
    <w:rsid w:val="00EB7054"/>
    <w:rsid w:val="00EC47C2"/>
    <w:rsid w:val="00EC52ED"/>
    <w:rsid w:val="00EC7649"/>
    <w:rsid w:val="00EC7F1C"/>
    <w:rsid w:val="00ED3130"/>
    <w:rsid w:val="00EE04F3"/>
    <w:rsid w:val="00EE200C"/>
    <w:rsid w:val="00EE22DB"/>
    <w:rsid w:val="00EF0534"/>
    <w:rsid w:val="00EF1422"/>
    <w:rsid w:val="00EF34BB"/>
    <w:rsid w:val="00F002DA"/>
    <w:rsid w:val="00F1242A"/>
    <w:rsid w:val="00F12BB9"/>
    <w:rsid w:val="00F15911"/>
    <w:rsid w:val="00F16339"/>
    <w:rsid w:val="00F16E17"/>
    <w:rsid w:val="00F200C4"/>
    <w:rsid w:val="00F21840"/>
    <w:rsid w:val="00F24489"/>
    <w:rsid w:val="00F348E5"/>
    <w:rsid w:val="00F36078"/>
    <w:rsid w:val="00F4035E"/>
    <w:rsid w:val="00F46DE0"/>
    <w:rsid w:val="00F5144B"/>
    <w:rsid w:val="00F543BE"/>
    <w:rsid w:val="00F61A9C"/>
    <w:rsid w:val="00F65B2D"/>
    <w:rsid w:val="00F65D68"/>
    <w:rsid w:val="00F660F0"/>
    <w:rsid w:val="00F704EA"/>
    <w:rsid w:val="00F756E9"/>
    <w:rsid w:val="00F75FA4"/>
    <w:rsid w:val="00F76118"/>
    <w:rsid w:val="00F7718D"/>
    <w:rsid w:val="00F81FCE"/>
    <w:rsid w:val="00F83427"/>
    <w:rsid w:val="00F83D23"/>
    <w:rsid w:val="00F90EDB"/>
    <w:rsid w:val="00F91ADC"/>
    <w:rsid w:val="00F93814"/>
    <w:rsid w:val="00F96220"/>
    <w:rsid w:val="00F9662C"/>
    <w:rsid w:val="00FA47DE"/>
    <w:rsid w:val="00FA61AE"/>
    <w:rsid w:val="00FB5E5E"/>
    <w:rsid w:val="00FB6D27"/>
    <w:rsid w:val="00FB7A75"/>
    <w:rsid w:val="00FC3007"/>
    <w:rsid w:val="00FC717E"/>
    <w:rsid w:val="00FC7451"/>
    <w:rsid w:val="00FD09EE"/>
    <w:rsid w:val="00FD4D10"/>
    <w:rsid w:val="00FE04EB"/>
    <w:rsid w:val="00FE0A7F"/>
    <w:rsid w:val="00FE55C1"/>
    <w:rsid w:val="00FE7276"/>
    <w:rsid w:val="00FE7F4C"/>
    <w:rsid w:val="00FF0162"/>
    <w:rsid w:val="00FF0370"/>
    <w:rsid w:val="00FF33E2"/>
    <w:rsid w:val="00FF3BBA"/>
    <w:rsid w:val="00FF6A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1546C"/>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Normal"/>
    <w:rsid w:val="00A1546C"/>
    <w:rPr>
      <w:rFonts w:eastAsia="Batang"/>
      <w:lang w:eastAsia="ko-KR"/>
    </w:rPr>
  </w:style>
  <w:style w:type="paragraph" w:customStyle="1" w:styleId="Estilo2">
    <w:name w:val="Estilo2"/>
    <w:basedOn w:val="Normal"/>
    <w:autoRedefine/>
    <w:rsid w:val="00A1546C"/>
  </w:style>
  <w:style w:type="paragraph" w:styleId="Textodenotaderodap">
    <w:name w:val="footnote text"/>
    <w:basedOn w:val="Normal"/>
    <w:link w:val="TextodenotaderodapChar"/>
    <w:semiHidden/>
    <w:rsid w:val="00A1546C"/>
    <w:pPr>
      <w:spacing w:line="240" w:lineRule="auto"/>
      <w:ind w:firstLine="720"/>
    </w:pPr>
    <w:rPr>
      <w:rFonts w:ascii="Times New Roman" w:hAnsi="Times New Roman"/>
      <w:noProof w:val="0"/>
      <w:sz w:val="20"/>
      <w:szCs w:val="20"/>
      <w:lang w:eastAsia="pt-PT"/>
    </w:rPr>
  </w:style>
  <w:style w:type="character" w:customStyle="1" w:styleId="TextodenotaderodapChar">
    <w:name w:val="Texto de nota de rodapé Char"/>
    <w:basedOn w:val="Fontepargpadro"/>
    <w:link w:val="Textodenotaderodap"/>
    <w:semiHidden/>
    <w:rsid w:val="00A1546C"/>
    <w:rPr>
      <w:lang w:val="pt-PT" w:eastAsia="pt-PT"/>
    </w:rPr>
  </w:style>
  <w:style w:type="paragraph" w:styleId="Rodap">
    <w:name w:val="footer"/>
    <w:basedOn w:val="Normal"/>
    <w:link w:val="RodapChar"/>
    <w:rsid w:val="00A1546C"/>
    <w:pPr>
      <w:tabs>
        <w:tab w:val="center" w:pos="4320"/>
        <w:tab w:val="right" w:pos="8640"/>
      </w:tabs>
      <w:ind w:firstLine="720"/>
    </w:pPr>
    <w:rPr>
      <w:rFonts w:ascii="Times New Roman" w:hAnsi="Times New Roman"/>
      <w:noProof w:val="0"/>
      <w:szCs w:val="20"/>
      <w:lang w:eastAsia="pt-PT"/>
    </w:rPr>
  </w:style>
  <w:style w:type="character" w:customStyle="1" w:styleId="RodapChar">
    <w:name w:val="Rodapé Char"/>
    <w:basedOn w:val="Fontepargpadro"/>
    <w:link w:val="Rodap"/>
    <w:rsid w:val="00A1546C"/>
    <w:rPr>
      <w:sz w:val="24"/>
      <w:lang w:val="pt-PT" w:eastAsia="pt-PT"/>
    </w:rPr>
  </w:style>
  <w:style w:type="paragraph" w:styleId="Ttulo">
    <w:name w:val="Title"/>
    <w:basedOn w:val="Normal"/>
    <w:link w:val="TtuloChar"/>
    <w:qFormat/>
    <w:rsid w:val="00A1546C"/>
    <w:pPr>
      <w:spacing w:before="240" w:after="60"/>
      <w:ind w:firstLine="0"/>
      <w:jc w:val="center"/>
      <w:outlineLvl w:val="0"/>
    </w:pPr>
    <w:rPr>
      <w:rFonts w:ascii="Times New Roman" w:hAnsi="Times New Roman"/>
      <w:b/>
      <w:noProof w:val="0"/>
      <w:kern w:val="28"/>
      <w:sz w:val="32"/>
      <w:szCs w:val="20"/>
      <w:lang w:eastAsia="pt-PT"/>
    </w:rPr>
  </w:style>
  <w:style w:type="character" w:customStyle="1" w:styleId="TtuloChar">
    <w:name w:val="Título Char"/>
    <w:basedOn w:val="Fontepargpadro"/>
    <w:link w:val="Ttulo"/>
    <w:rsid w:val="00A1546C"/>
    <w:rPr>
      <w:b/>
      <w:kern w:val="28"/>
      <w:sz w:val="32"/>
      <w:lang w:val="pt-PT" w:eastAsia="pt-PT"/>
    </w:rPr>
  </w:style>
  <w:style w:type="paragraph" w:styleId="Corpodetexto">
    <w:name w:val="Body Text"/>
    <w:basedOn w:val="Normal"/>
    <w:link w:val="CorpodetextoChar"/>
    <w:rsid w:val="00A1546C"/>
    <w:pPr>
      <w:keepNext/>
      <w:spacing w:before="720" w:after="360"/>
      <w:ind w:firstLine="0"/>
    </w:pPr>
    <w:rPr>
      <w:rFonts w:ascii="Times New Roman" w:hAnsi="Times New Roman"/>
      <w:b/>
      <w:noProof w:val="0"/>
      <w:sz w:val="28"/>
      <w:szCs w:val="20"/>
      <w:lang w:eastAsia="pt-PT"/>
    </w:rPr>
  </w:style>
  <w:style w:type="character" w:customStyle="1" w:styleId="CorpodetextoChar">
    <w:name w:val="Corpo de texto Char"/>
    <w:basedOn w:val="Fontepargpadro"/>
    <w:link w:val="Corpodetexto"/>
    <w:rsid w:val="00A1546C"/>
    <w:rPr>
      <w:b/>
      <w:sz w:val="28"/>
      <w:lang w:val="pt-PT" w:eastAsia="pt-PT"/>
    </w:rPr>
  </w:style>
  <w:style w:type="character" w:styleId="Refdenotaderodap">
    <w:name w:val="footnote reference"/>
    <w:basedOn w:val="Fontepargpadro"/>
    <w:semiHidden/>
    <w:rsid w:val="00A1546C"/>
    <w:rPr>
      <w:vertAlign w:val="superscript"/>
    </w:rPr>
  </w:style>
  <w:style w:type="character" w:styleId="Nmerodepgina">
    <w:name w:val="page number"/>
    <w:basedOn w:val="Fontepargpadro"/>
    <w:rsid w:val="00A1546C"/>
    <w:rPr>
      <w:rFonts w:ascii="Times New Roman" w:hAnsi="Times New Roman"/>
      <w:sz w:val="24"/>
    </w:rPr>
  </w:style>
  <w:style w:type="paragraph" w:styleId="Recuodecorpodetexto">
    <w:name w:val="Body Text Indent"/>
    <w:basedOn w:val="Normal"/>
    <w:link w:val="RecuodecorpodetextoChar"/>
    <w:rsid w:val="00A1546C"/>
    <w:pPr>
      <w:keepNext/>
      <w:spacing w:before="720" w:after="360"/>
      <w:ind w:firstLine="720"/>
    </w:pPr>
    <w:rPr>
      <w:rFonts w:ascii="Times New Roman" w:hAnsi="Times New Roman"/>
      <w:b/>
      <w:noProof w:val="0"/>
      <w:sz w:val="28"/>
      <w:szCs w:val="20"/>
      <w:lang w:eastAsia="pt-PT"/>
    </w:rPr>
  </w:style>
  <w:style w:type="character" w:customStyle="1" w:styleId="RecuodecorpodetextoChar">
    <w:name w:val="Recuo de corpo de texto Char"/>
    <w:basedOn w:val="Fontepargpadro"/>
    <w:link w:val="Recuodecorpodetexto"/>
    <w:rsid w:val="00A1546C"/>
    <w:rPr>
      <w:b/>
      <w:sz w:val="28"/>
      <w:lang w:val="pt-PT" w:eastAsia="pt-PT"/>
    </w:rPr>
  </w:style>
  <w:style w:type="paragraph" w:styleId="Cabealho">
    <w:name w:val="header"/>
    <w:basedOn w:val="Normal"/>
    <w:link w:val="CabealhoChar"/>
    <w:rsid w:val="00A1546C"/>
    <w:pPr>
      <w:tabs>
        <w:tab w:val="center" w:pos="4252"/>
        <w:tab w:val="right" w:pos="8504"/>
      </w:tabs>
    </w:pPr>
  </w:style>
  <w:style w:type="character" w:customStyle="1" w:styleId="CabealhoChar">
    <w:name w:val="Cabeçalho Char"/>
    <w:basedOn w:val="Fontepargpadro"/>
    <w:link w:val="Cabealho"/>
    <w:rsid w:val="00A1546C"/>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75DF1-4CD1-4F7A-9396-81A0A751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75</Pages>
  <Words>28110</Words>
  <Characters>160227</Characters>
  <Application>Microsoft Office Word</Application>
  <DocSecurity>0</DocSecurity>
  <Lines>1335</Lines>
  <Paragraphs>375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508</cp:revision>
  <dcterms:created xsi:type="dcterms:W3CDTF">2010-10-07T00:45:00Z</dcterms:created>
  <dcterms:modified xsi:type="dcterms:W3CDTF">2015-05-25T21:20:00Z</dcterms:modified>
</cp:coreProperties>
</file>